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line="276" w:lineRule="auto" w:before="72"/>
        <w:ind w:left="428" w:right="354" w:hanging="3"/>
        <w:jc w:val="center"/>
        <w:rPr>
          <w:rFonts w:ascii="Arial Black" w:hAnsi="Arial Black"/>
          <w:sz w:val="28"/>
        </w:rPr>
      </w:pPr>
      <w:r>
        <w:rPr>
          <w:rFonts w:ascii="Arial Black" w:hAnsi="Arial Black"/>
          <w:sz w:val="28"/>
        </w:rPr>
        <w:t>A COMPARATIVE ANALYSIS OF DIRECTORS’ DUTIES OF CARE AND SKILL AND FIDUCIARY DUTIES OF LOYALTY</w:t>
      </w:r>
      <w:r>
        <w:rPr>
          <w:rFonts w:ascii="Arial Black" w:hAnsi="Arial Black"/>
          <w:spacing w:val="-6"/>
          <w:sz w:val="28"/>
        </w:rPr>
        <w:t> </w:t>
      </w:r>
      <w:r>
        <w:rPr>
          <w:rFonts w:ascii="Arial Black" w:hAnsi="Arial Black"/>
          <w:sz w:val="28"/>
        </w:rPr>
        <w:t>AND</w:t>
      </w:r>
      <w:r>
        <w:rPr>
          <w:rFonts w:ascii="Arial Black" w:hAnsi="Arial Black"/>
          <w:spacing w:val="-6"/>
          <w:sz w:val="28"/>
        </w:rPr>
        <w:t> </w:t>
      </w:r>
      <w:r>
        <w:rPr>
          <w:rFonts w:ascii="Arial Black" w:hAnsi="Arial Black"/>
          <w:sz w:val="28"/>
        </w:rPr>
        <w:t>GOOD</w:t>
      </w:r>
      <w:r>
        <w:rPr>
          <w:rFonts w:ascii="Arial Black" w:hAnsi="Arial Black"/>
          <w:spacing w:val="-6"/>
          <w:sz w:val="28"/>
        </w:rPr>
        <w:t> </w:t>
      </w:r>
      <w:r>
        <w:rPr>
          <w:rFonts w:ascii="Arial Black" w:hAnsi="Arial Black"/>
          <w:sz w:val="28"/>
        </w:rPr>
        <w:t>FAITH</w:t>
      </w:r>
      <w:r>
        <w:rPr>
          <w:rFonts w:ascii="Arial Black" w:hAnsi="Arial Black"/>
          <w:spacing w:val="-6"/>
          <w:sz w:val="28"/>
        </w:rPr>
        <w:t> </w:t>
      </w:r>
      <w:r>
        <w:rPr>
          <w:rFonts w:ascii="Arial Black" w:hAnsi="Arial Black"/>
          <w:sz w:val="28"/>
        </w:rPr>
        <w:t>UNDER</w:t>
      </w:r>
      <w:r>
        <w:rPr>
          <w:rFonts w:ascii="Arial Black" w:hAnsi="Arial Black"/>
          <w:spacing w:val="-6"/>
          <w:sz w:val="28"/>
        </w:rPr>
        <w:t> </w:t>
      </w:r>
      <w:r>
        <w:rPr>
          <w:rFonts w:ascii="Arial Black" w:hAnsi="Arial Black"/>
          <w:sz w:val="28"/>
        </w:rPr>
        <w:t>THE</w:t>
      </w:r>
      <w:r>
        <w:rPr>
          <w:rFonts w:ascii="Arial Black" w:hAnsi="Arial Black"/>
          <w:spacing w:val="-5"/>
          <w:sz w:val="28"/>
        </w:rPr>
        <w:t> </w:t>
      </w:r>
      <w:r>
        <w:rPr>
          <w:rFonts w:ascii="Arial Black" w:hAnsi="Arial Black"/>
          <w:sz w:val="28"/>
        </w:rPr>
        <w:t>COMPANIES’ ACTS OF NIGERIA AND THE UNITED KINDGOM</w:t>
      </w:r>
    </w:p>
    <w:p>
      <w:pPr>
        <w:pStyle w:val="BodyText"/>
        <w:ind w:left="0"/>
        <w:rPr>
          <w:rFonts w:ascii="Arial Black"/>
          <w:sz w:val="28"/>
        </w:rPr>
      </w:pPr>
    </w:p>
    <w:p>
      <w:pPr>
        <w:pStyle w:val="BodyText"/>
        <w:ind w:left="0"/>
        <w:rPr>
          <w:rFonts w:ascii="Arial Black"/>
          <w:sz w:val="28"/>
        </w:rPr>
      </w:pPr>
    </w:p>
    <w:p>
      <w:pPr>
        <w:pStyle w:val="BodyText"/>
        <w:ind w:left="0"/>
        <w:rPr>
          <w:rFonts w:ascii="Arial Black"/>
          <w:sz w:val="28"/>
        </w:rPr>
      </w:pPr>
    </w:p>
    <w:p>
      <w:pPr>
        <w:pStyle w:val="BodyText"/>
        <w:ind w:left="0"/>
        <w:rPr>
          <w:rFonts w:ascii="Arial Black"/>
          <w:sz w:val="28"/>
        </w:rPr>
      </w:pPr>
    </w:p>
    <w:p>
      <w:pPr>
        <w:pStyle w:val="BodyText"/>
        <w:spacing w:before="288"/>
        <w:ind w:left="0"/>
        <w:rPr>
          <w:rFonts w:ascii="Arial Black"/>
          <w:sz w:val="28"/>
        </w:rPr>
      </w:pPr>
    </w:p>
    <w:p>
      <w:pPr>
        <w:pStyle w:val="Heading2"/>
        <w:ind w:left="88" w:firstLine="0"/>
        <w:jc w:val="center"/>
      </w:pPr>
      <w:r>
        <w:rPr>
          <w:spacing w:val="-5"/>
        </w:rPr>
        <w:t>By</w:t>
      </w: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spacing w:before="112"/>
        <w:ind w:left="0"/>
        <w:rPr>
          <w:b/>
        </w:rPr>
      </w:pPr>
    </w:p>
    <w:p>
      <w:pPr>
        <w:pStyle w:val="BodyText"/>
        <w:spacing w:line="276" w:lineRule="auto"/>
        <w:ind w:left="1906" w:right="1830"/>
        <w:jc w:val="center"/>
        <w:rPr>
          <w:rFonts w:ascii="Arial Black"/>
        </w:rPr>
      </w:pPr>
      <w:r>
        <w:rPr>
          <w:rFonts w:ascii="Arial Black"/>
        </w:rPr>
        <w:t>HannatuADAMU,</w:t>
      </w:r>
      <w:r>
        <w:rPr>
          <w:rFonts w:ascii="Arial Black"/>
          <w:spacing w:val="-8"/>
        </w:rPr>
        <w:t> </w:t>
      </w:r>
      <w:r>
        <w:rPr>
          <w:rFonts w:ascii="Arial Black"/>
        </w:rPr>
        <w:t>LL.B</w:t>
      </w:r>
      <w:r>
        <w:rPr>
          <w:rFonts w:ascii="Arial Black"/>
          <w:spacing w:val="-9"/>
        </w:rPr>
        <w:t> </w:t>
      </w:r>
      <w:r>
        <w:rPr>
          <w:rFonts w:ascii="Arial Black"/>
        </w:rPr>
        <w:t>(ABU</w:t>
      </w:r>
      <w:r>
        <w:rPr>
          <w:rFonts w:ascii="Arial Black"/>
          <w:spacing w:val="-8"/>
        </w:rPr>
        <w:t> </w:t>
      </w:r>
      <w:r>
        <w:rPr>
          <w:rFonts w:ascii="Arial Black"/>
        </w:rPr>
        <w:t>ZARIA)</w:t>
      </w:r>
      <w:r>
        <w:rPr>
          <w:rFonts w:ascii="Arial Black"/>
          <w:spacing w:val="-11"/>
        </w:rPr>
        <w:t> </w:t>
      </w:r>
      <w:r>
        <w:rPr>
          <w:rFonts w:ascii="Arial Black"/>
        </w:rPr>
        <w:t>2009 </w:t>
      </w:r>
      <w:r>
        <w:rPr>
          <w:rFonts w:ascii="Arial Black"/>
          <w:spacing w:val="-2"/>
        </w:rPr>
        <w:t>LLM/LAW/1072/2011-2012</w:t>
      </w:r>
    </w:p>
    <w:p>
      <w:pPr>
        <w:pStyle w:val="BodyText"/>
        <w:spacing w:before="50"/>
        <w:ind w:left="0"/>
        <w:rPr>
          <w:rFonts w:ascii="Arial Black"/>
        </w:rPr>
      </w:pPr>
    </w:p>
    <w:p>
      <w:pPr>
        <w:pStyle w:val="BodyText"/>
        <w:spacing w:line="276" w:lineRule="auto"/>
        <w:ind w:left="339" w:right="261"/>
        <w:jc w:val="center"/>
        <w:rPr>
          <w:rFonts w:ascii="Arial Black"/>
        </w:rPr>
      </w:pPr>
      <w:r>
        <w:rPr>
          <w:rFonts w:ascii="Arial Black"/>
        </w:rPr>
        <w:t>A THESIS SUBMITTED TO THE SCHOOL OF POSTGRADUATE STUDIES, AHMADU BELLO UNIVERSITY ZARIA, IN PARTIAL FULFUILMENT</w:t>
      </w:r>
      <w:r>
        <w:rPr>
          <w:rFonts w:ascii="Arial Black"/>
          <w:spacing w:val="-4"/>
        </w:rPr>
        <w:t> </w:t>
      </w:r>
      <w:r>
        <w:rPr>
          <w:rFonts w:ascii="Arial Black"/>
        </w:rPr>
        <w:t>OF</w:t>
      </w:r>
      <w:r>
        <w:rPr>
          <w:rFonts w:ascii="Arial Black"/>
          <w:spacing w:val="-5"/>
        </w:rPr>
        <w:t> </w:t>
      </w:r>
      <w:r>
        <w:rPr>
          <w:rFonts w:ascii="Arial Black"/>
        </w:rPr>
        <w:t>THE</w:t>
      </w:r>
      <w:r>
        <w:rPr>
          <w:rFonts w:ascii="Arial Black"/>
          <w:spacing w:val="-4"/>
        </w:rPr>
        <w:t> </w:t>
      </w:r>
      <w:r>
        <w:rPr>
          <w:rFonts w:ascii="Arial Black"/>
        </w:rPr>
        <w:t>REQUIREMENTS</w:t>
      </w:r>
      <w:r>
        <w:rPr>
          <w:rFonts w:ascii="Arial Black"/>
          <w:spacing w:val="-4"/>
        </w:rPr>
        <w:t> </w:t>
      </w:r>
      <w:r>
        <w:rPr>
          <w:rFonts w:ascii="Arial Black"/>
        </w:rPr>
        <w:t>FOR</w:t>
      </w:r>
      <w:r>
        <w:rPr>
          <w:rFonts w:ascii="Arial Black"/>
          <w:spacing w:val="-3"/>
        </w:rPr>
        <w:t> </w:t>
      </w:r>
      <w:r>
        <w:rPr>
          <w:rFonts w:ascii="Arial Black"/>
        </w:rPr>
        <w:t>THE</w:t>
      </w:r>
      <w:r>
        <w:rPr>
          <w:rFonts w:ascii="Arial Black"/>
          <w:spacing w:val="-4"/>
        </w:rPr>
        <w:t> </w:t>
      </w:r>
      <w:r>
        <w:rPr>
          <w:rFonts w:ascii="Arial Black"/>
        </w:rPr>
        <w:t>AWARD</w:t>
      </w:r>
      <w:r>
        <w:rPr>
          <w:rFonts w:ascii="Arial Black"/>
          <w:spacing w:val="-7"/>
        </w:rPr>
        <w:t> </w:t>
      </w:r>
      <w:r>
        <w:rPr>
          <w:rFonts w:ascii="Arial Black"/>
        </w:rPr>
        <w:t>OF THE DEGREE OF MASTER OF LAWS (LL.M)</w:t>
      </w:r>
    </w:p>
    <w:p>
      <w:pPr>
        <w:pStyle w:val="BodyText"/>
        <w:ind w:left="0"/>
        <w:rPr>
          <w:rFonts w:ascii="Arial Black"/>
        </w:rPr>
      </w:pPr>
    </w:p>
    <w:p>
      <w:pPr>
        <w:pStyle w:val="BodyText"/>
        <w:ind w:left="0"/>
        <w:rPr>
          <w:rFonts w:ascii="Arial Black"/>
        </w:rPr>
      </w:pPr>
    </w:p>
    <w:p>
      <w:pPr>
        <w:pStyle w:val="BodyText"/>
        <w:ind w:left="0"/>
        <w:rPr>
          <w:rFonts w:ascii="Arial Black"/>
        </w:rPr>
      </w:pPr>
    </w:p>
    <w:p>
      <w:pPr>
        <w:pStyle w:val="BodyText"/>
        <w:spacing w:before="28"/>
        <w:ind w:left="0"/>
        <w:rPr>
          <w:rFonts w:ascii="Arial Black"/>
        </w:rPr>
      </w:pPr>
    </w:p>
    <w:p>
      <w:pPr>
        <w:pStyle w:val="BodyText"/>
        <w:spacing w:line="276" w:lineRule="auto"/>
        <w:ind w:left="2084" w:right="2012"/>
        <w:jc w:val="center"/>
        <w:rPr>
          <w:rFonts w:ascii="Arial Black"/>
        </w:rPr>
      </w:pPr>
      <w:r>
        <w:rPr>
          <w:rFonts w:ascii="Arial Black"/>
        </w:rPr>
        <w:t>DEPARTMENT</w:t>
      </w:r>
      <w:r>
        <w:rPr>
          <w:rFonts w:ascii="Arial Black"/>
          <w:spacing w:val="-11"/>
        </w:rPr>
        <w:t> </w:t>
      </w:r>
      <w:r>
        <w:rPr>
          <w:rFonts w:ascii="Arial Black"/>
        </w:rPr>
        <w:t>OF</w:t>
      </w:r>
      <w:r>
        <w:rPr>
          <w:rFonts w:ascii="Arial Black"/>
          <w:spacing w:val="-12"/>
        </w:rPr>
        <w:t> </w:t>
      </w:r>
      <w:r>
        <w:rPr>
          <w:rFonts w:ascii="Arial Black"/>
        </w:rPr>
        <w:t>COMMERCIAL</w:t>
      </w:r>
      <w:r>
        <w:rPr>
          <w:rFonts w:ascii="Arial Black"/>
          <w:spacing w:val="-11"/>
        </w:rPr>
        <w:t> </w:t>
      </w:r>
      <w:r>
        <w:rPr>
          <w:rFonts w:ascii="Arial Black"/>
        </w:rPr>
        <w:t>LAW, FACULTY OF LAW,</w:t>
      </w:r>
    </w:p>
    <w:p>
      <w:pPr>
        <w:pStyle w:val="BodyText"/>
        <w:spacing w:line="276" w:lineRule="auto"/>
        <w:ind w:left="2118" w:right="2045"/>
        <w:jc w:val="center"/>
        <w:rPr>
          <w:rFonts w:ascii="Arial Black"/>
        </w:rPr>
      </w:pPr>
      <w:r>
        <w:rPr>
          <w:rFonts w:ascii="Arial Black"/>
        </w:rPr>
        <w:t>AHMADU</w:t>
      </w:r>
      <w:r>
        <w:rPr>
          <w:rFonts w:ascii="Arial Black"/>
          <w:spacing w:val="-12"/>
        </w:rPr>
        <w:t> </w:t>
      </w:r>
      <w:r>
        <w:rPr>
          <w:rFonts w:ascii="Arial Black"/>
        </w:rPr>
        <w:t>BELLO</w:t>
      </w:r>
      <w:r>
        <w:rPr>
          <w:rFonts w:ascii="Arial Black"/>
          <w:spacing w:val="-12"/>
        </w:rPr>
        <w:t> </w:t>
      </w:r>
      <w:r>
        <w:rPr>
          <w:rFonts w:ascii="Arial Black"/>
        </w:rPr>
        <w:t>UNIVERSITY,</w:t>
      </w:r>
      <w:r>
        <w:rPr>
          <w:rFonts w:ascii="Arial Black"/>
          <w:spacing w:val="-12"/>
        </w:rPr>
        <w:t> </w:t>
      </w:r>
      <w:r>
        <w:rPr>
          <w:rFonts w:ascii="Arial Black"/>
        </w:rPr>
        <w:t>ZARIA </w:t>
      </w:r>
      <w:r>
        <w:rPr>
          <w:rFonts w:ascii="Arial Black"/>
          <w:spacing w:val="-2"/>
        </w:rPr>
        <w:t>NIGERIA</w:t>
      </w:r>
    </w:p>
    <w:p>
      <w:pPr>
        <w:pStyle w:val="BodyText"/>
        <w:ind w:left="0"/>
        <w:rPr>
          <w:rFonts w:ascii="Arial Black"/>
        </w:rPr>
      </w:pPr>
    </w:p>
    <w:p>
      <w:pPr>
        <w:pStyle w:val="BodyText"/>
        <w:spacing w:before="302"/>
        <w:ind w:left="0"/>
        <w:rPr>
          <w:rFonts w:ascii="Arial Black"/>
        </w:rPr>
      </w:pPr>
    </w:p>
    <w:p>
      <w:pPr>
        <w:pStyle w:val="BodyText"/>
        <w:ind w:left="81"/>
        <w:jc w:val="center"/>
        <w:rPr>
          <w:rFonts w:ascii="Arial Black"/>
        </w:rPr>
      </w:pPr>
      <w:r>
        <w:rPr>
          <w:rFonts w:ascii="Arial Black"/>
        </w:rPr>
        <w:t>NOVEMBER,</w:t>
      </w:r>
      <w:r>
        <w:rPr>
          <w:rFonts w:ascii="Arial Black"/>
          <w:spacing w:val="2"/>
        </w:rPr>
        <w:t> </w:t>
      </w:r>
      <w:r>
        <w:rPr>
          <w:rFonts w:ascii="Arial Black"/>
          <w:spacing w:val="-4"/>
        </w:rPr>
        <w:t>2015</w:t>
      </w:r>
    </w:p>
    <w:p>
      <w:pPr>
        <w:spacing w:after="0"/>
        <w:jc w:val="center"/>
        <w:rPr>
          <w:rFonts w:ascii="Arial Black"/>
        </w:rPr>
        <w:sectPr>
          <w:type w:val="continuous"/>
          <w:pgSz w:w="11910" w:h="16840"/>
          <w:pgMar w:top="1320" w:bottom="280" w:left="1680" w:right="1180"/>
        </w:sectPr>
      </w:pPr>
    </w:p>
    <w:p>
      <w:pPr>
        <w:pStyle w:val="BodyText"/>
        <w:spacing w:before="88"/>
        <w:ind w:left="72"/>
        <w:jc w:val="center"/>
        <w:rPr>
          <w:rFonts w:ascii="Arial Black"/>
        </w:rPr>
      </w:pPr>
      <w:r>
        <w:rPr>
          <w:rFonts w:ascii="Arial Black"/>
          <w:spacing w:val="-2"/>
        </w:rPr>
        <w:t>DECLARATION</w:t>
      </w:r>
    </w:p>
    <w:p>
      <w:pPr>
        <w:pStyle w:val="BodyText"/>
        <w:spacing w:line="276" w:lineRule="auto" w:before="249"/>
        <w:ind w:right="227"/>
        <w:jc w:val="both"/>
      </w:pPr>
      <w:r>
        <w:rPr/>
        <w:t>I declare that the work in this thesis entitled, A COMPARATIVE ANALYSIS OF DIRECTORS‘ DUTIES OF CARE AND SKILL AND FIDUCIARY DUTIES OF LOYALTY</w:t>
      </w:r>
      <w:r>
        <w:rPr>
          <w:spacing w:val="26"/>
        </w:rPr>
        <w:t> </w:t>
      </w:r>
      <w:r>
        <w:rPr/>
        <w:t>AND</w:t>
      </w:r>
      <w:r>
        <w:rPr>
          <w:spacing w:val="23"/>
        </w:rPr>
        <w:t> </w:t>
      </w:r>
      <w:r>
        <w:rPr/>
        <w:t>GOOD</w:t>
      </w:r>
      <w:r>
        <w:rPr>
          <w:spacing w:val="28"/>
        </w:rPr>
        <w:t> </w:t>
      </w:r>
      <w:r>
        <w:rPr/>
        <w:t>FAITH</w:t>
      </w:r>
      <w:r>
        <w:rPr>
          <w:spacing w:val="24"/>
        </w:rPr>
        <w:t> </w:t>
      </w:r>
      <w:r>
        <w:rPr/>
        <w:t>UNDER</w:t>
      </w:r>
      <w:r>
        <w:rPr>
          <w:spacing w:val="22"/>
        </w:rPr>
        <w:t> </w:t>
      </w:r>
      <w:r>
        <w:rPr/>
        <w:t>THE</w:t>
      </w:r>
      <w:r>
        <w:rPr>
          <w:spacing w:val="30"/>
        </w:rPr>
        <w:t> </w:t>
      </w:r>
      <w:r>
        <w:rPr/>
        <w:t>COMPANIES‘</w:t>
      </w:r>
      <w:r>
        <w:rPr>
          <w:spacing w:val="27"/>
        </w:rPr>
        <w:t> </w:t>
      </w:r>
      <w:r>
        <w:rPr/>
        <w:t>ACTS</w:t>
      </w:r>
      <w:r>
        <w:rPr>
          <w:spacing w:val="24"/>
        </w:rPr>
        <w:t> </w:t>
      </w:r>
      <w:r>
        <w:rPr/>
        <w:t>OF</w:t>
      </w:r>
      <w:r>
        <w:rPr>
          <w:spacing w:val="21"/>
        </w:rPr>
        <w:t> </w:t>
      </w:r>
      <w:r>
        <w:rPr>
          <w:spacing w:val="-2"/>
        </w:rPr>
        <w:t>NIGERIA</w:t>
      </w:r>
    </w:p>
    <w:p>
      <w:pPr>
        <w:pStyle w:val="BodyText"/>
        <w:spacing w:line="273" w:lineRule="auto"/>
        <w:ind w:right="225"/>
        <w:jc w:val="both"/>
      </w:pPr>
      <w:r>
        <w:rPr/>
        <w:t>AND THE UNITED KINGDOM, has been carried out by me in the Department of Commercial Law. The information derived from the literature has been duly acknowledged in the text and a list of references provided. No part of this thesis was previously presented for another degree or diploma at this or any other institution.</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226"/>
        <w:ind w:left="0"/>
        <w:rPr>
          <w:sz w:val="20"/>
        </w:rPr>
      </w:pPr>
      <w:r>
        <w:rPr/>
        <mc:AlternateContent>
          <mc:Choice Requires="wps">
            <w:drawing>
              <wp:anchor distT="0" distB="0" distL="0" distR="0" allowOverlap="1" layoutInCell="1" locked="0" behindDoc="1" simplePos="0" relativeHeight="487587840">
                <wp:simplePos x="0" y="0"/>
                <wp:positionH relativeFrom="page">
                  <wp:posOffset>1262481</wp:posOffset>
                </wp:positionH>
                <wp:positionV relativeFrom="paragraph">
                  <wp:posOffset>305012</wp:posOffset>
                </wp:positionV>
                <wp:extent cx="1295400" cy="1270"/>
                <wp:effectExtent l="0" t="0" r="0" b="0"/>
                <wp:wrapTopAndBottom/>
                <wp:docPr id="2" name="Graphic 2"/>
                <wp:cNvGraphicFramePr>
                  <a:graphicFrameLocks/>
                </wp:cNvGraphicFramePr>
                <a:graphic>
                  <a:graphicData uri="http://schemas.microsoft.com/office/word/2010/wordprocessingShape">
                    <wps:wsp>
                      <wps:cNvPr id="2" name="Graphic 2"/>
                      <wps:cNvSpPr/>
                      <wps:spPr>
                        <a:xfrm>
                          <a:off x="0" y="0"/>
                          <a:ext cx="1295400" cy="1270"/>
                        </a:xfrm>
                        <a:custGeom>
                          <a:avLst/>
                          <a:gdLst/>
                          <a:ahLst/>
                          <a:cxnLst/>
                          <a:rect l="l" t="t" r="r" b="b"/>
                          <a:pathLst>
                            <a:path w="1295400" h="0">
                              <a:moveTo>
                                <a:pt x="0" y="0"/>
                              </a:moveTo>
                              <a:lnTo>
                                <a:pt x="12954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407997pt;margin-top:24.016729pt;width:102pt;height:.1pt;mso-position-horizontal-relative:page;mso-position-vertical-relative:paragraph;z-index:-15728640;mso-wrap-distance-left:0;mso-wrap-distance-right:0" id="docshape2" coordorigin="1988,480" coordsize="2040,0" path="m1988,480l4028,480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352">
                <wp:simplePos x="0" y="0"/>
                <wp:positionH relativeFrom="page">
                  <wp:posOffset>3549141</wp:posOffset>
                </wp:positionH>
                <wp:positionV relativeFrom="paragraph">
                  <wp:posOffset>305012</wp:posOffset>
                </wp:positionV>
                <wp:extent cx="1219200" cy="1270"/>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1219200" cy="1270"/>
                        </a:xfrm>
                        <a:custGeom>
                          <a:avLst/>
                          <a:gdLst/>
                          <a:ahLst/>
                          <a:cxnLst/>
                          <a:rect l="l" t="t" r="r" b="b"/>
                          <a:pathLst>
                            <a:path w="1219200" h="0">
                              <a:moveTo>
                                <a:pt x="0" y="0"/>
                              </a:moveTo>
                              <a:lnTo>
                                <a:pt x="12192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279.459991pt;margin-top:24.016729pt;width:96pt;height:.1pt;mso-position-horizontal-relative:page;mso-position-vertical-relative:paragraph;z-index:-15728128;mso-wrap-distance-left:0;mso-wrap-distance-right:0" id="docshape3" coordorigin="5589,480" coordsize="1920,0" path="m5589,480l7509,480e" filled="false" stroked="true" strokeweight=".487125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864">
                <wp:simplePos x="0" y="0"/>
                <wp:positionH relativeFrom="page">
                  <wp:posOffset>5378830</wp:posOffset>
                </wp:positionH>
                <wp:positionV relativeFrom="paragraph">
                  <wp:posOffset>305012</wp:posOffset>
                </wp:positionV>
                <wp:extent cx="1066800" cy="127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1066800" cy="1270"/>
                        </a:xfrm>
                        <a:custGeom>
                          <a:avLst/>
                          <a:gdLst/>
                          <a:ahLst/>
                          <a:cxnLst/>
                          <a:rect l="l" t="t" r="r" b="b"/>
                          <a:pathLst>
                            <a:path w="1066800" h="0">
                              <a:moveTo>
                                <a:pt x="0" y="0"/>
                              </a:moveTo>
                              <a:lnTo>
                                <a:pt x="10668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23.529999pt;margin-top:24.016729pt;width:84pt;height:.1pt;mso-position-horizontal-relative:page;mso-position-vertical-relative:paragraph;z-index:-15727616;mso-wrap-distance-left:0;mso-wrap-distance-right:0" id="docshape4" coordorigin="8471,480" coordsize="1680,0" path="m8471,480l10151,480e" filled="false" stroked="true" strokeweight=".487125pt" strokecolor="#000000">
                <v:path arrowok="t"/>
                <v:stroke dashstyle="solid"/>
                <w10:wrap type="topAndBottom"/>
              </v:shape>
            </w:pict>
          </mc:Fallback>
        </mc:AlternateContent>
      </w:r>
    </w:p>
    <w:p>
      <w:pPr>
        <w:pStyle w:val="BodyText"/>
        <w:tabs>
          <w:tab w:pos="4629" w:val="left" w:leader="none"/>
          <w:tab w:pos="7510" w:val="left" w:leader="none"/>
        </w:tabs>
        <w:spacing w:before="36"/>
      </w:pPr>
      <w:r>
        <w:rPr/>
        <w:t>Name</w:t>
      </w:r>
      <w:r>
        <w:rPr>
          <w:spacing w:val="2"/>
        </w:rPr>
        <w:t> </w:t>
      </w:r>
      <w:r>
        <w:rPr/>
        <w:t>of</w:t>
      </w:r>
      <w:r>
        <w:rPr>
          <w:spacing w:val="-5"/>
        </w:rPr>
        <w:t> </w:t>
      </w:r>
      <w:r>
        <w:rPr>
          <w:spacing w:val="-2"/>
        </w:rPr>
        <w:t>student</w:t>
      </w:r>
      <w:r>
        <w:rPr/>
        <w:tab/>
      </w:r>
      <w:r>
        <w:rPr>
          <w:spacing w:val="-2"/>
        </w:rPr>
        <w:t>Signature</w:t>
      </w:r>
      <w:r>
        <w:rPr/>
        <w:tab/>
      </w:r>
      <w:r>
        <w:rPr>
          <w:spacing w:val="-4"/>
        </w:rPr>
        <w:t>Date</w:t>
      </w:r>
    </w:p>
    <w:p>
      <w:pPr>
        <w:spacing w:after="0"/>
        <w:sectPr>
          <w:footerReference w:type="default" r:id="rId5"/>
          <w:pgSz w:w="11910" w:h="16840"/>
          <w:pgMar w:header="0" w:footer="998" w:top="1300" w:bottom="1180" w:left="1680" w:right="1180"/>
          <w:pgNumType w:start="2"/>
        </w:sectPr>
      </w:pPr>
    </w:p>
    <w:p>
      <w:pPr>
        <w:pStyle w:val="BodyText"/>
        <w:spacing w:before="88"/>
        <w:ind w:left="72"/>
        <w:jc w:val="center"/>
        <w:rPr>
          <w:rFonts w:ascii="Arial Black"/>
        </w:rPr>
      </w:pPr>
      <w:r>
        <w:rPr>
          <w:rFonts w:ascii="Arial Black"/>
          <w:spacing w:val="-2"/>
        </w:rPr>
        <w:t>CERTIFICATION</w:t>
      </w:r>
    </w:p>
    <w:p>
      <w:pPr>
        <w:pStyle w:val="BodyText"/>
        <w:spacing w:line="276" w:lineRule="auto" w:before="249"/>
        <w:ind w:right="229"/>
        <w:jc w:val="both"/>
      </w:pPr>
      <w:r>
        <w:rPr/>
        <w:t>This thesis entitledA COMPARATIVE ANALYSIS OF DIRECTORS‘ DUTIES OF CARE AND</w:t>
      </w:r>
      <w:r>
        <w:rPr>
          <w:spacing w:val="-5"/>
        </w:rPr>
        <w:t> </w:t>
      </w:r>
      <w:r>
        <w:rPr/>
        <w:t>SKILL AND FIDUCIARY</w:t>
      </w:r>
      <w:r>
        <w:rPr>
          <w:spacing w:val="-1"/>
        </w:rPr>
        <w:t> </w:t>
      </w:r>
      <w:r>
        <w:rPr/>
        <w:t>DUTIES</w:t>
      </w:r>
      <w:r>
        <w:rPr>
          <w:spacing w:val="-4"/>
        </w:rPr>
        <w:t> </w:t>
      </w:r>
      <w:r>
        <w:rPr/>
        <w:t>OF</w:t>
      </w:r>
      <w:r>
        <w:rPr>
          <w:spacing w:val="-4"/>
        </w:rPr>
        <w:t> </w:t>
      </w:r>
      <w:r>
        <w:rPr/>
        <w:t>LOYALTY AND GOOD FAITH UNDER</w:t>
      </w:r>
      <w:r>
        <w:rPr>
          <w:spacing w:val="27"/>
        </w:rPr>
        <w:t> </w:t>
      </w:r>
      <w:r>
        <w:rPr/>
        <w:t>THE</w:t>
      </w:r>
      <w:r>
        <w:rPr>
          <w:spacing w:val="25"/>
        </w:rPr>
        <w:t> </w:t>
      </w:r>
      <w:r>
        <w:rPr/>
        <w:t>COMPANIES‘</w:t>
      </w:r>
      <w:r>
        <w:rPr>
          <w:spacing w:val="30"/>
        </w:rPr>
        <w:t> </w:t>
      </w:r>
      <w:r>
        <w:rPr/>
        <w:t>ACTS</w:t>
      </w:r>
      <w:r>
        <w:rPr>
          <w:spacing w:val="29"/>
        </w:rPr>
        <w:t> </w:t>
      </w:r>
      <w:r>
        <w:rPr/>
        <w:t>OF</w:t>
      </w:r>
      <w:r>
        <w:rPr>
          <w:spacing w:val="25"/>
        </w:rPr>
        <w:t> </w:t>
      </w:r>
      <w:r>
        <w:rPr/>
        <w:t>NIGERIA</w:t>
      </w:r>
      <w:r>
        <w:rPr>
          <w:spacing w:val="23"/>
        </w:rPr>
        <w:t> </w:t>
      </w:r>
      <w:r>
        <w:rPr/>
        <w:t>AND</w:t>
      </w:r>
      <w:r>
        <w:rPr>
          <w:spacing w:val="28"/>
        </w:rPr>
        <w:t> </w:t>
      </w:r>
      <w:r>
        <w:rPr/>
        <w:t>THE</w:t>
      </w:r>
      <w:r>
        <w:rPr>
          <w:spacing w:val="30"/>
        </w:rPr>
        <w:t> </w:t>
      </w:r>
      <w:r>
        <w:rPr/>
        <w:t>UNITED</w:t>
      </w:r>
      <w:r>
        <w:rPr>
          <w:spacing w:val="24"/>
        </w:rPr>
        <w:t> </w:t>
      </w:r>
      <w:r>
        <w:rPr>
          <w:spacing w:val="-2"/>
        </w:rPr>
        <w:t>KINGDOM</w:t>
      </w:r>
    </w:p>
    <w:p>
      <w:pPr>
        <w:pStyle w:val="BodyText"/>
        <w:spacing w:line="276" w:lineRule="auto"/>
        <w:ind w:right="232"/>
        <w:jc w:val="both"/>
      </w:pPr>
      <w:r>
        <w:rPr/>
        <w:t>by Hannatu ADAMU meets the regulations governing the award of the degree of</w:t>
      </w:r>
      <w:r>
        <w:rPr>
          <w:spacing w:val="40"/>
        </w:rPr>
        <w:t> </w:t>
      </w:r>
      <w:r>
        <w:rPr/>
        <w:t>Master of</w:t>
      </w:r>
      <w:r>
        <w:rPr>
          <w:spacing w:val="-4"/>
        </w:rPr>
        <w:t> </w:t>
      </w:r>
      <w:r>
        <w:rPr/>
        <w:t>Laws of the Ahmadu Bello University, and is approved for its contribution</w:t>
      </w:r>
      <w:r>
        <w:rPr>
          <w:spacing w:val="-1"/>
        </w:rPr>
        <w:t> </w:t>
      </w:r>
      <w:r>
        <w:rPr/>
        <w:t>to knowledge and literary presentation.</w:t>
      </w:r>
    </w:p>
    <w:p>
      <w:pPr>
        <w:pStyle w:val="BodyText"/>
        <w:ind w:left="0"/>
        <w:rPr>
          <w:sz w:val="20"/>
        </w:rPr>
      </w:pPr>
    </w:p>
    <w:p>
      <w:pPr>
        <w:pStyle w:val="BodyText"/>
        <w:ind w:left="0"/>
        <w:rPr>
          <w:sz w:val="20"/>
        </w:rPr>
      </w:pPr>
    </w:p>
    <w:p>
      <w:pPr>
        <w:pStyle w:val="BodyText"/>
        <w:ind w:left="0"/>
        <w:rPr>
          <w:sz w:val="20"/>
        </w:rPr>
      </w:pPr>
    </w:p>
    <w:p>
      <w:pPr>
        <w:pStyle w:val="BodyText"/>
        <w:spacing w:before="43"/>
        <w:ind w:left="0"/>
        <w:rPr>
          <w:sz w:val="20"/>
        </w:rPr>
      </w:pPr>
    </w:p>
    <w:tbl>
      <w:tblPr>
        <w:tblW w:w="0" w:type="auto"/>
        <w:jc w:val="left"/>
        <w:tblInd w:w="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24"/>
        <w:gridCol w:w="2555"/>
        <w:gridCol w:w="2238"/>
      </w:tblGrid>
      <w:tr>
        <w:trPr>
          <w:trHeight w:val="291" w:hRule="atLeast"/>
        </w:trPr>
        <w:tc>
          <w:tcPr>
            <w:tcW w:w="3524" w:type="dxa"/>
          </w:tcPr>
          <w:p>
            <w:pPr>
              <w:pStyle w:val="TableParagraph"/>
              <w:spacing w:line="266" w:lineRule="exact"/>
              <w:ind w:left="50"/>
              <w:rPr>
                <w:sz w:val="24"/>
              </w:rPr>
            </w:pPr>
            <w:r>
              <w:rPr>
                <w:sz w:val="24"/>
              </w:rPr>
              <w:t>Dr.</w:t>
            </w:r>
            <w:r>
              <w:rPr>
                <w:spacing w:val="-1"/>
                <w:sz w:val="24"/>
              </w:rPr>
              <w:t> </w:t>
            </w:r>
            <w:r>
              <w:rPr>
                <w:sz w:val="24"/>
              </w:rPr>
              <w:t>A.A.</w:t>
            </w:r>
            <w:r>
              <w:rPr>
                <w:spacing w:val="-1"/>
                <w:sz w:val="24"/>
              </w:rPr>
              <w:t> </w:t>
            </w:r>
            <w:r>
              <w:rPr>
                <w:spacing w:val="-2"/>
                <w:sz w:val="24"/>
              </w:rPr>
              <w:t>Akume</w:t>
            </w:r>
          </w:p>
        </w:tc>
        <w:tc>
          <w:tcPr>
            <w:tcW w:w="2555" w:type="dxa"/>
          </w:tcPr>
          <w:p>
            <w:pPr>
              <w:pStyle w:val="TableParagraph"/>
              <w:tabs>
                <w:tab w:pos="2102" w:val="left" w:leader="none"/>
              </w:tabs>
              <w:spacing w:line="266" w:lineRule="exact"/>
              <w:ind w:left="127"/>
              <w:rPr>
                <w:sz w:val="24"/>
              </w:rPr>
            </w:pPr>
            <w:r>
              <w:rPr>
                <w:sz w:val="24"/>
                <w:u w:val="single"/>
              </w:rPr>
              <w:t> </w:t>
              <w:tab/>
            </w:r>
          </w:p>
        </w:tc>
        <w:tc>
          <w:tcPr>
            <w:tcW w:w="2238" w:type="dxa"/>
          </w:tcPr>
          <w:p>
            <w:pPr>
              <w:pStyle w:val="TableParagraph"/>
              <w:tabs>
                <w:tab w:pos="2188" w:val="left" w:leader="none"/>
              </w:tabs>
              <w:spacing w:line="266" w:lineRule="exact"/>
              <w:ind w:left="453"/>
              <w:rPr>
                <w:sz w:val="24"/>
              </w:rPr>
            </w:pPr>
            <w:r>
              <w:rPr>
                <w:sz w:val="24"/>
                <w:u w:val="single"/>
              </w:rPr>
              <w:t> </w:t>
              <w:tab/>
            </w:r>
          </w:p>
        </w:tc>
      </w:tr>
      <w:tr>
        <w:trPr>
          <w:trHeight w:val="291" w:hRule="atLeast"/>
        </w:trPr>
        <w:tc>
          <w:tcPr>
            <w:tcW w:w="3524" w:type="dxa"/>
          </w:tcPr>
          <w:p>
            <w:pPr>
              <w:pStyle w:val="TableParagraph"/>
              <w:spacing w:line="256" w:lineRule="exact" w:before="15"/>
              <w:ind w:left="50"/>
              <w:rPr>
                <w:sz w:val="24"/>
              </w:rPr>
            </w:pPr>
            <w:r>
              <w:rPr>
                <w:sz w:val="24"/>
              </w:rPr>
              <w:t>Chairman,</w:t>
            </w:r>
            <w:r>
              <w:rPr>
                <w:spacing w:val="-1"/>
                <w:sz w:val="24"/>
              </w:rPr>
              <w:t> </w:t>
            </w:r>
            <w:r>
              <w:rPr>
                <w:sz w:val="24"/>
              </w:rPr>
              <w:t>Supervisory</w:t>
            </w:r>
            <w:r>
              <w:rPr>
                <w:spacing w:val="-11"/>
                <w:sz w:val="24"/>
              </w:rPr>
              <w:t> </w:t>
            </w:r>
            <w:r>
              <w:rPr>
                <w:spacing w:val="-2"/>
                <w:sz w:val="24"/>
              </w:rPr>
              <w:t>Committee</w:t>
            </w:r>
          </w:p>
        </w:tc>
        <w:tc>
          <w:tcPr>
            <w:tcW w:w="2555" w:type="dxa"/>
          </w:tcPr>
          <w:p>
            <w:pPr>
              <w:pStyle w:val="TableParagraph"/>
              <w:spacing w:line="256" w:lineRule="exact" w:before="15"/>
              <w:ind w:left="847"/>
              <w:rPr>
                <w:sz w:val="24"/>
              </w:rPr>
            </w:pPr>
            <w:r>
              <w:rPr>
                <w:spacing w:val="-2"/>
                <w:sz w:val="24"/>
              </w:rPr>
              <w:t>Signature</w:t>
            </w:r>
          </w:p>
        </w:tc>
        <w:tc>
          <w:tcPr>
            <w:tcW w:w="2238" w:type="dxa"/>
          </w:tcPr>
          <w:p>
            <w:pPr>
              <w:pStyle w:val="TableParagraph"/>
              <w:spacing w:line="256" w:lineRule="exact" w:before="15"/>
              <w:ind w:left="1173"/>
              <w:rPr>
                <w:sz w:val="24"/>
              </w:rPr>
            </w:pPr>
            <w:r>
              <w:rPr>
                <w:spacing w:val="-4"/>
                <w:sz w:val="24"/>
              </w:rPr>
              <w:t>Date</w:t>
            </w:r>
          </w:p>
        </w:tc>
      </w:tr>
    </w:tbl>
    <w:p>
      <w:pPr>
        <w:pStyle w:val="BodyText"/>
        <w:ind w:left="0"/>
      </w:pPr>
    </w:p>
    <w:p>
      <w:pPr>
        <w:pStyle w:val="BodyText"/>
        <w:spacing w:before="42"/>
        <w:ind w:left="0"/>
      </w:pPr>
    </w:p>
    <w:p>
      <w:pPr>
        <w:pStyle w:val="BodyText"/>
        <w:tabs>
          <w:tab w:pos="3909" w:val="left" w:leader="none"/>
          <w:tab w:pos="5884" w:val="left" w:leader="none"/>
        </w:tabs>
      </w:pPr>
      <w:r>
        <w:rPr/>
        <w:t>Dr.</w:t>
      </w:r>
      <w:r>
        <w:rPr>
          <w:spacing w:val="-1"/>
        </w:rPr>
        <w:t> </w:t>
      </w:r>
      <w:r>
        <w:rPr/>
        <w:t>A.R.</w:t>
      </w:r>
      <w:r>
        <w:rPr>
          <w:spacing w:val="1"/>
        </w:rPr>
        <w:t> </w:t>
      </w:r>
      <w:r>
        <w:rPr>
          <w:spacing w:val="-4"/>
        </w:rPr>
        <w:t>Agom</w:t>
      </w:r>
      <w:r>
        <w:rPr/>
        <w:tab/>
      </w:r>
      <w:r>
        <w:rPr>
          <w:u w:val="single"/>
        </w:rPr>
        <w:tab/>
      </w:r>
    </w:p>
    <w:p>
      <w:pPr>
        <w:pStyle w:val="BodyText"/>
        <w:tabs>
          <w:tab w:pos="2709" w:val="left" w:leader="none"/>
          <w:tab w:pos="6790" w:val="left" w:leader="none"/>
        </w:tabs>
        <w:spacing w:line="237" w:lineRule="auto" w:before="4"/>
        <w:ind w:left="1748" w:right="1329" w:hanging="721"/>
      </w:pPr>
      <w:r>
        <w:rPr>
          <w:u w:val="single"/>
        </w:rPr>
        <w:tab/>
        <w:tab/>
      </w:r>
      <w:r>
        <w:rPr/>
        <w:t>Member, Supervisory Committee</w:t>
        <w:tab/>
      </w:r>
      <w:r>
        <w:rPr>
          <w:spacing w:val="-2"/>
        </w:rPr>
        <w:t>Signature </w:t>
      </w:r>
      <w:r>
        <w:rPr>
          <w:spacing w:val="-4"/>
        </w:rPr>
        <w:t>Date</w:t>
      </w:r>
    </w:p>
    <w:p>
      <w:pPr>
        <w:pStyle w:val="BodyText"/>
        <w:ind w:left="0"/>
        <w:rPr>
          <w:sz w:val="20"/>
        </w:rPr>
      </w:pPr>
    </w:p>
    <w:p>
      <w:pPr>
        <w:pStyle w:val="BodyText"/>
        <w:spacing w:before="188"/>
        <w:ind w:left="0"/>
        <w:rPr>
          <w:sz w:val="20"/>
        </w:rPr>
      </w:pPr>
    </w:p>
    <w:tbl>
      <w:tblPr>
        <w:tblW w:w="0" w:type="auto"/>
        <w:jc w:val="left"/>
        <w:tblInd w:w="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862"/>
        <w:gridCol w:w="3218"/>
        <w:gridCol w:w="2238"/>
      </w:tblGrid>
      <w:tr>
        <w:trPr>
          <w:trHeight w:val="291" w:hRule="atLeast"/>
        </w:trPr>
        <w:tc>
          <w:tcPr>
            <w:tcW w:w="2862" w:type="dxa"/>
          </w:tcPr>
          <w:p>
            <w:pPr>
              <w:pStyle w:val="TableParagraph"/>
              <w:spacing w:line="266" w:lineRule="exact"/>
              <w:ind w:left="50"/>
              <w:rPr>
                <w:sz w:val="24"/>
              </w:rPr>
            </w:pPr>
            <w:r>
              <w:rPr>
                <w:sz w:val="24"/>
              </w:rPr>
              <w:t>Dr.</w:t>
            </w:r>
            <w:r>
              <w:rPr>
                <w:spacing w:val="1"/>
                <w:sz w:val="24"/>
              </w:rPr>
              <w:t> </w:t>
            </w:r>
            <w:r>
              <w:rPr>
                <w:sz w:val="24"/>
              </w:rPr>
              <w:t>A.R.</w:t>
            </w:r>
            <w:r>
              <w:rPr>
                <w:spacing w:val="2"/>
                <w:sz w:val="24"/>
              </w:rPr>
              <w:t> </w:t>
            </w:r>
            <w:r>
              <w:rPr>
                <w:spacing w:val="-4"/>
                <w:sz w:val="24"/>
              </w:rPr>
              <w:t>Agom</w:t>
            </w:r>
          </w:p>
        </w:tc>
        <w:tc>
          <w:tcPr>
            <w:tcW w:w="3218" w:type="dxa"/>
          </w:tcPr>
          <w:p>
            <w:pPr>
              <w:pStyle w:val="TableParagraph"/>
              <w:tabs>
                <w:tab w:pos="2764" w:val="left" w:leader="none"/>
              </w:tabs>
              <w:spacing w:line="266" w:lineRule="exact"/>
              <w:ind w:left="789"/>
              <w:rPr>
                <w:sz w:val="24"/>
              </w:rPr>
            </w:pPr>
            <w:r>
              <w:rPr>
                <w:sz w:val="24"/>
                <w:u w:val="single"/>
              </w:rPr>
              <w:t> </w:t>
              <w:tab/>
            </w:r>
          </w:p>
        </w:tc>
        <w:tc>
          <w:tcPr>
            <w:tcW w:w="2238" w:type="dxa"/>
          </w:tcPr>
          <w:p>
            <w:pPr>
              <w:pStyle w:val="TableParagraph"/>
              <w:tabs>
                <w:tab w:pos="2187" w:val="left" w:leader="none"/>
              </w:tabs>
              <w:spacing w:line="266" w:lineRule="exact"/>
              <w:ind w:left="452"/>
              <w:rPr>
                <w:sz w:val="24"/>
              </w:rPr>
            </w:pPr>
            <w:r>
              <w:rPr>
                <w:sz w:val="24"/>
                <w:u w:val="single"/>
              </w:rPr>
              <w:t> </w:t>
              <w:tab/>
            </w:r>
          </w:p>
        </w:tc>
      </w:tr>
      <w:tr>
        <w:trPr>
          <w:trHeight w:val="564" w:hRule="atLeast"/>
        </w:trPr>
        <w:tc>
          <w:tcPr>
            <w:tcW w:w="2862" w:type="dxa"/>
          </w:tcPr>
          <w:p>
            <w:pPr>
              <w:pStyle w:val="TableParagraph"/>
              <w:spacing w:line="274" w:lineRule="exact"/>
              <w:ind w:left="50"/>
              <w:rPr>
                <w:sz w:val="24"/>
              </w:rPr>
            </w:pPr>
            <w:r>
              <w:rPr>
                <w:sz w:val="24"/>
              </w:rPr>
              <w:t>Head,</w:t>
            </w:r>
            <w:r>
              <w:rPr>
                <w:spacing w:val="-15"/>
                <w:sz w:val="24"/>
              </w:rPr>
              <w:t> </w:t>
            </w:r>
            <w:r>
              <w:rPr>
                <w:sz w:val="24"/>
              </w:rPr>
              <w:t>Department</w:t>
            </w:r>
            <w:r>
              <w:rPr>
                <w:spacing w:val="-15"/>
                <w:sz w:val="24"/>
              </w:rPr>
              <w:t> </w:t>
            </w:r>
            <w:r>
              <w:rPr>
                <w:sz w:val="24"/>
              </w:rPr>
              <w:t>of Commercial Law</w:t>
            </w:r>
          </w:p>
        </w:tc>
        <w:tc>
          <w:tcPr>
            <w:tcW w:w="3218" w:type="dxa"/>
          </w:tcPr>
          <w:p>
            <w:pPr>
              <w:pStyle w:val="TableParagraph"/>
              <w:spacing w:line="240" w:lineRule="auto" w:before="15"/>
              <w:ind w:left="1509"/>
              <w:rPr>
                <w:sz w:val="24"/>
              </w:rPr>
            </w:pPr>
            <w:r>
              <w:rPr>
                <w:spacing w:val="-2"/>
                <w:sz w:val="24"/>
              </w:rPr>
              <w:t>Signature</w:t>
            </w:r>
          </w:p>
        </w:tc>
        <w:tc>
          <w:tcPr>
            <w:tcW w:w="2238" w:type="dxa"/>
          </w:tcPr>
          <w:p>
            <w:pPr>
              <w:pStyle w:val="TableParagraph"/>
              <w:spacing w:line="240" w:lineRule="auto" w:before="15"/>
              <w:ind w:left="1172"/>
              <w:rPr>
                <w:sz w:val="24"/>
              </w:rPr>
            </w:pPr>
            <w:r>
              <w:rPr>
                <w:spacing w:val="-4"/>
                <w:sz w:val="24"/>
              </w:rPr>
              <w:t>Date</w:t>
            </w:r>
          </w:p>
        </w:tc>
      </w:tr>
    </w:tbl>
    <w:p>
      <w:pPr>
        <w:pStyle w:val="BodyText"/>
        <w:ind w:left="0"/>
        <w:rPr>
          <w:sz w:val="20"/>
        </w:rPr>
      </w:pPr>
    </w:p>
    <w:p>
      <w:pPr>
        <w:pStyle w:val="BodyText"/>
        <w:spacing w:before="105" w:after="1"/>
        <w:ind w:left="0"/>
        <w:rPr>
          <w:sz w:val="20"/>
        </w:rPr>
      </w:pPr>
    </w:p>
    <w:tbl>
      <w:tblPr>
        <w:tblW w:w="0" w:type="auto"/>
        <w:jc w:val="left"/>
        <w:tblInd w:w="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851"/>
        <w:gridCol w:w="3227"/>
        <w:gridCol w:w="2357"/>
      </w:tblGrid>
      <w:tr>
        <w:trPr>
          <w:trHeight w:val="291" w:hRule="atLeast"/>
        </w:trPr>
        <w:tc>
          <w:tcPr>
            <w:tcW w:w="2851" w:type="dxa"/>
          </w:tcPr>
          <w:p>
            <w:pPr>
              <w:pStyle w:val="TableParagraph"/>
              <w:spacing w:line="266" w:lineRule="exact"/>
              <w:ind w:left="50"/>
              <w:rPr>
                <w:sz w:val="24"/>
              </w:rPr>
            </w:pPr>
            <w:r>
              <w:rPr>
                <w:sz w:val="24"/>
              </w:rPr>
              <w:t>Prof.</w:t>
            </w:r>
            <w:r>
              <w:rPr>
                <w:spacing w:val="-5"/>
                <w:sz w:val="24"/>
              </w:rPr>
              <w:t> </w:t>
            </w:r>
            <w:r>
              <w:rPr>
                <w:sz w:val="24"/>
              </w:rPr>
              <w:t>K.</w:t>
            </w:r>
            <w:r>
              <w:rPr>
                <w:spacing w:val="-2"/>
                <w:sz w:val="24"/>
              </w:rPr>
              <w:t> </w:t>
            </w:r>
            <w:r>
              <w:rPr>
                <w:spacing w:val="-4"/>
                <w:sz w:val="24"/>
              </w:rPr>
              <w:t>Bala</w:t>
            </w:r>
          </w:p>
        </w:tc>
        <w:tc>
          <w:tcPr>
            <w:tcW w:w="3227" w:type="dxa"/>
          </w:tcPr>
          <w:p>
            <w:pPr>
              <w:pStyle w:val="TableParagraph"/>
              <w:tabs>
                <w:tab w:pos="2774" w:val="left" w:leader="none"/>
              </w:tabs>
              <w:spacing w:line="266" w:lineRule="exact"/>
              <w:ind w:left="800"/>
              <w:rPr>
                <w:sz w:val="24"/>
              </w:rPr>
            </w:pPr>
            <w:r>
              <w:rPr>
                <w:sz w:val="24"/>
                <w:u w:val="single"/>
              </w:rPr>
              <w:t> </w:t>
              <w:tab/>
            </w:r>
          </w:p>
        </w:tc>
        <w:tc>
          <w:tcPr>
            <w:tcW w:w="2357" w:type="dxa"/>
          </w:tcPr>
          <w:p>
            <w:pPr>
              <w:pStyle w:val="TableParagraph"/>
              <w:tabs>
                <w:tab w:pos="2261" w:val="left" w:leader="none"/>
              </w:tabs>
              <w:spacing w:line="266" w:lineRule="exact"/>
              <w:ind w:left="406"/>
              <w:jc w:val="center"/>
              <w:rPr>
                <w:sz w:val="24"/>
              </w:rPr>
            </w:pPr>
            <w:r>
              <w:rPr>
                <w:sz w:val="24"/>
                <w:u w:val="single"/>
              </w:rPr>
              <w:t> </w:t>
              <w:tab/>
            </w:r>
          </w:p>
        </w:tc>
      </w:tr>
      <w:tr>
        <w:trPr>
          <w:trHeight w:val="314" w:hRule="atLeast"/>
        </w:trPr>
        <w:tc>
          <w:tcPr>
            <w:tcW w:w="2851" w:type="dxa"/>
          </w:tcPr>
          <w:p>
            <w:pPr>
              <w:pStyle w:val="TableParagraph"/>
              <w:spacing w:line="240" w:lineRule="auto" w:before="15"/>
              <w:ind w:left="50"/>
              <w:rPr>
                <w:sz w:val="24"/>
              </w:rPr>
            </w:pPr>
            <w:r>
              <w:rPr>
                <w:sz w:val="24"/>
              </w:rPr>
              <w:t>Dean, School</w:t>
            </w:r>
            <w:r>
              <w:rPr>
                <w:spacing w:val="-9"/>
                <w:sz w:val="24"/>
              </w:rPr>
              <w:t> </w:t>
            </w:r>
            <w:r>
              <w:rPr>
                <w:spacing w:val="-5"/>
                <w:sz w:val="24"/>
              </w:rPr>
              <w:t>of</w:t>
            </w:r>
          </w:p>
        </w:tc>
        <w:tc>
          <w:tcPr>
            <w:tcW w:w="3227" w:type="dxa"/>
          </w:tcPr>
          <w:p>
            <w:pPr>
              <w:pStyle w:val="TableParagraph"/>
              <w:spacing w:line="240" w:lineRule="auto" w:before="15"/>
              <w:ind w:left="1520"/>
              <w:rPr>
                <w:sz w:val="24"/>
              </w:rPr>
            </w:pPr>
            <w:r>
              <w:rPr>
                <w:spacing w:val="-2"/>
                <w:sz w:val="24"/>
              </w:rPr>
              <w:t>Signature</w:t>
            </w:r>
          </w:p>
        </w:tc>
        <w:tc>
          <w:tcPr>
            <w:tcW w:w="2357" w:type="dxa"/>
          </w:tcPr>
          <w:p>
            <w:pPr>
              <w:pStyle w:val="TableParagraph"/>
              <w:spacing w:line="240" w:lineRule="auto" w:before="15"/>
              <w:ind w:left="448"/>
              <w:jc w:val="center"/>
              <w:rPr>
                <w:sz w:val="24"/>
              </w:rPr>
            </w:pPr>
            <w:r>
              <w:rPr>
                <w:spacing w:val="-4"/>
                <w:sz w:val="24"/>
              </w:rPr>
              <w:t>Date</w:t>
            </w:r>
          </w:p>
        </w:tc>
      </w:tr>
      <w:tr>
        <w:trPr>
          <w:trHeight w:val="288" w:hRule="atLeast"/>
        </w:trPr>
        <w:tc>
          <w:tcPr>
            <w:tcW w:w="2851" w:type="dxa"/>
          </w:tcPr>
          <w:p>
            <w:pPr>
              <w:pStyle w:val="TableParagraph"/>
              <w:spacing w:line="256" w:lineRule="exact" w:before="13"/>
              <w:ind w:left="50"/>
              <w:rPr>
                <w:sz w:val="24"/>
              </w:rPr>
            </w:pPr>
            <w:r>
              <w:rPr>
                <w:sz w:val="24"/>
              </w:rPr>
              <w:t>Postgraduate</w:t>
            </w:r>
            <w:r>
              <w:rPr>
                <w:spacing w:val="2"/>
                <w:sz w:val="24"/>
              </w:rPr>
              <w:t> </w:t>
            </w:r>
            <w:r>
              <w:rPr>
                <w:spacing w:val="-2"/>
                <w:sz w:val="24"/>
              </w:rPr>
              <w:t>Studies</w:t>
            </w:r>
          </w:p>
        </w:tc>
        <w:tc>
          <w:tcPr>
            <w:tcW w:w="3227" w:type="dxa"/>
          </w:tcPr>
          <w:p>
            <w:pPr>
              <w:pStyle w:val="TableParagraph"/>
              <w:spacing w:line="240" w:lineRule="auto"/>
              <w:ind w:left="0"/>
              <w:rPr>
                <w:sz w:val="20"/>
              </w:rPr>
            </w:pPr>
          </w:p>
        </w:tc>
        <w:tc>
          <w:tcPr>
            <w:tcW w:w="2357" w:type="dxa"/>
          </w:tcPr>
          <w:p>
            <w:pPr>
              <w:pStyle w:val="TableParagraph"/>
              <w:spacing w:line="240" w:lineRule="auto"/>
              <w:ind w:left="0"/>
              <w:rPr>
                <w:sz w:val="20"/>
              </w:rPr>
            </w:pPr>
          </w:p>
        </w:tc>
      </w:tr>
    </w:tbl>
    <w:p>
      <w:pPr>
        <w:spacing w:after="0" w:line="240" w:lineRule="auto"/>
        <w:rPr>
          <w:sz w:val="20"/>
        </w:rPr>
        <w:sectPr>
          <w:pgSz w:w="11910" w:h="16840"/>
          <w:pgMar w:header="0" w:footer="998" w:top="1300" w:bottom="1180" w:left="1680" w:right="1180"/>
        </w:sectPr>
      </w:pPr>
    </w:p>
    <w:p>
      <w:pPr>
        <w:pStyle w:val="BodyText"/>
        <w:spacing w:before="73"/>
        <w:ind w:left="86"/>
        <w:jc w:val="center"/>
        <w:rPr>
          <w:rFonts w:ascii="Arial Black"/>
        </w:rPr>
      </w:pPr>
      <w:r>
        <w:rPr>
          <w:rFonts w:ascii="Arial Black"/>
          <w:spacing w:val="-2"/>
        </w:rPr>
        <w:t>ACKNOWLEDGMENTS</w:t>
      </w:r>
    </w:p>
    <w:p>
      <w:pPr>
        <w:pStyle w:val="BodyText"/>
        <w:spacing w:before="330"/>
        <w:jc w:val="both"/>
      </w:pPr>
      <w:r>
        <w:rPr/>
        <w:t>Alhamdulillah</w:t>
      </w:r>
      <w:r>
        <w:rPr>
          <w:spacing w:val="-6"/>
        </w:rPr>
        <w:t> </w:t>
      </w:r>
      <w:r>
        <w:rPr/>
        <w:t>that</w:t>
      </w:r>
      <w:r>
        <w:rPr>
          <w:spacing w:val="-1"/>
        </w:rPr>
        <w:t> </w:t>
      </w:r>
      <w:r>
        <w:rPr/>
        <w:t>I</w:t>
      </w:r>
      <w:r>
        <w:rPr>
          <w:spacing w:val="3"/>
        </w:rPr>
        <w:t> </w:t>
      </w:r>
      <w:r>
        <w:rPr/>
        <w:t>have</w:t>
      </w:r>
      <w:r>
        <w:rPr>
          <w:spacing w:val="-2"/>
        </w:rPr>
        <w:t> </w:t>
      </w:r>
      <w:r>
        <w:rPr/>
        <w:t>come</w:t>
      </w:r>
      <w:r>
        <w:rPr>
          <w:spacing w:val="-2"/>
        </w:rPr>
        <w:t> </w:t>
      </w:r>
      <w:r>
        <w:rPr/>
        <w:t>this</w:t>
      </w:r>
      <w:r>
        <w:rPr>
          <w:spacing w:val="1"/>
        </w:rPr>
        <w:t> </w:t>
      </w:r>
      <w:r>
        <w:rPr>
          <w:spacing w:val="-4"/>
        </w:rPr>
        <w:t>far.</w:t>
      </w:r>
    </w:p>
    <w:p>
      <w:pPr>
        <w:pStyle w:val="BodyText"/>
        <w:spacing w:line="276" w:lineRule="auto" w:before="42"/>
        <w:ind w:right="226" w:firstLine="720"/>
        <w:jc w:val="both"/>
      </w:pPr>
      <w:r>
        <w:rPr/>
        <w:t>For the most part, my parents have been my number one support group. It is almost impossible to be unsuccessful under their watch. I am constantly amazed at my good fortune of having such wonderful persons in my life. I remain eternally grateful</w:t>
      </w:r>
      <w:r>
        <w:rPr>
          <w:spacing w:val="80"/>
        </w:rPr>
        <w:t> </w:t>
      </w:r>
      <w:r>
        <w:rPr/>
        <w:t>for</w:t>
      </w:r>
      <w:r>
        <w:rPr>
          <w:spacing w:val="-1"/>
        </w:rPr>
        <w:t> </w:t>
      </w:r>
      <w:r>
        <w:rPr/>
        <w:t>everything. As for the</w:t>
      </w:r>
      <w:r>
        <w:rPr>
          <w:spacing w:val="-3"/>
        </w:rPr>
        <w:t> </w:t>
      </w:r>
      <w:r>
        <w:rPr/>
        <w:t>rest</w:t>
      </w:r>
      <w:r>
        <w:rPr>
          <w:spacing w:val="-2"/>
        </w:rPr>
        <w:t> </w:t>
      </w:r>
      <w:r>
        <w:rPr/>
        <w:t>of</w:t>
      </w:r>
      <w:r>
        <w:rPr>
          <w:spacing w:val="-10"/>
        </w:rPr>
        <w:t> </w:t>
      </w:r>
      <w:r>
        <w:rPr/>
        <w:t>the family, indeed there is no tie</w:t>
      </w:r>
      <w:r>
        <w:rPr>
          <w:spacing w:val="-3"/>
        </w:rPr>
        <w:t> </w:t>
      </w:r>
      <w:r>
        <w:rPr/>
        <w:t>that binds</w:t>
      </w:r>
      <w:r>
        <w:rPr>
          <w:spacing w:val="-4"/>
        </w:rPr>
        <w:t> </w:t>
      </w:r>
      <w:r>
        <w:rPr/>
        <w:t>greater</w:t>
      </w:r>
      <w:r>
        <w:rPr>
          <w:spacing w:val="-1"/>
        </w:rPr>
        <w:t> </w:t>
      </w:r>
      <w:r>
        <w:rPr/>
        <w:t>than blood: we share more than a name. We have stood by one another through successes</w:t>
      </w:r>
      <w:r>
        <w:rPr>
          <w:spacing w:val="40"/>
        </w:rPr>
        <w:t> </w:t>
      </w:r>
      <w:r>
        <w:rPr/>
        <w:t>and disappointments all our lives. This latest accomplishment is as much theirs as it is </w:t>
      </w:r>
      <w:r>
        <w:rPr>
          <w:spacing w:val="-2"/>
        </w:rPr>
        <w:t>mine.</w:t>
      </w:r>
    </w:p>
    <w:p>
      <w:pPr>
        <w:pStyle w:val="BodyText"/>
        <w:spacing w:line="276" w:lineRule="auto" w:before="1"/>
        <w:ind w:right="226" w:firstLine="720"/>
        <w:jc w:val="both"/>
      </w:pPr>
      <w:r>
        <w:rPr/>
        <w:t>My</w:t>
      </w:r>
      <w:r>
        <w:rPr>
          <w:spacing w:val="-3"/>
        </w:rPr>
        <w:t> </w:t>
      </w:r>
      <w:r>
        <w:rPr/>
        <w:t>supervisors, Drs. A. A. Akumeand A.R. Agom have been</w:t>
      </w:r>
      <w:r>
        <w:rPr>
          <w:spacing w:val="-3"/>
        </w:rPr>
        <w:t> </w:t>
      </w:r>
      <w:r>
        <w:rPr/>
        <w:t>encouraging. I am most grateful for the real interest shown by these two regarding my work. It is quite literally awesome having them as my colleagues to share ideas and importantly, to be guided scholarship and career wise. Each session of discussions with either of them reminds me why they are teacher and I, student.</w:t>
      </w:r>
    </w:p>
    <w:p>
      <w:pPr>
        <w:pStyle w:val="BodyText"/>
        <w:spacing w:line="276" w:lineRule="auto" w:before="2"/>
        <w:ind w:right="222" w:firstLine="720"/>
        <w:jc w:val="both"/>
      </w:pPr>
      <w:r>
        <w:rPr/>
        <w:t>I must mention Prof. A. Gurin who, as Internal Examiner for the work, acknowledged my</w:t>
      </w:r>
      <w:r>
        <w:rPr>
          <w:spacing w:val="-1"/>
        </w:rPr>
        <w:t> </w:t>
      </w:r>
      <w:r>
        <w:rPr/>
        <w:t>good</w:t>
      </w:r>
      <w:r>
        <w:rPr>
          <w:spacing w:val="-1"/>
        </w:rPr>
        <w:t> </w:t>
      </w:r>
      <w:r>
        <w:rPr/>
        <w:t>fortune</w:t>
      </w:r>
      <w:r>
        <w:rPr>
          <w:spacing w:val="-2"/>
        </w:rPr>
        <w:t> </w:t>
      </w:r>
      <w:r>
        <w:rPr/>
        <w:t>of having some of the best supervisors around. He gave very useful advice which improved the work for external examination. Prof. Kenen of Benue State Universityas External Examiner also gave very good commendations and suggestions that improved the final quality of the work.</w:t>
      </w:r>
    </w:p>
    <w:p>
      <w:pPr>
        <w:pStyle w:val="BodyText"/>
        <w:spacing w:line="276" w:lineRule="auto"/>
        <w:ind w:right="222" w:firstLine="720"/>
        <w:jc w:val="both"/>
      </w:pPr>
      <w:r>
        <w:rPr/>
        <w:t>Prof. J.A.M Audi, Dr. I. Akande and Mrs. F. Kera have been the best chaperons ever, constantly reminding me why I joined the noble profession in the first place. I am honoured to have had the help and support of these exceptionally distinguished ladies, without whom my membership of the Faculty Board of Law would be a dreadfully lonely experience.</w:t>
      </w:r>
    </w:p>
    <w:p>
      <w:pPr>
        <w:pStyle w:val="BodyText"/>
        <w:spacing w:line="276" w:lineRule="auto"/>
        <w:ind w:right="225" w:firstLine="720"/>
        <w:jc w:val="both"/>
      </w:pPr>
      <w:r>
        <w:rPr/>
        <w:t>Profs. Y.Y.</w:t>
      </w:r>
      <w:r>
        <w:rPr>
          <w:spacing w:val="-2"/>
        </w:rPr>
        <w:t> </w:t>
      </w:r>
      <w:r>
        <w:rPr/>
        <w:t>Bambale, K.S. Chukkol, M.T.</w:t>
      </w:r>
      <w:r>
        <w:rPr>
          <w:spacing w:val="-2"/>
        </w:rPr>
        <w:t> </w:t>
      </w:r>
      <w:r>
        <w:rPr/>
        <w:t>Ladan, Y. Aboki, G.I.</w:t>
      </w:r>
      <w:r>
        <w:rPr>
          <w:spacing w:val="-2"/>
        </w:rPr>
        <w:t> </w:t>
      </w:r>
      <w:r>
        <w:rPr/>
        <w:t>Goldface, A.K. Usman, as well as Drs. A. Bappah, A.M. Madaki, and B. Babaji have, in various ways, been very helpful and supportive towards my work. Each showed a willingness to help should</w:t>
      </w:r>
      <w:r>
        <w:rPr>
          <w:spacing w:val="-2"/>
        </w:rPr>
        <w:t> </w:t>
      </w:r>
      <w:r>
        <w:rPr/>
        <w:t>the need have</w:t>
      </w:r>
      <w:r>
        <w:rPr>
          <w:spacing w:val="-3"/>
        </w:rPr>
        <w:t> </w:t>
      </w:r>
      <w:r>
        <w:rPr/>
        <w:t>ever</w:t>
      </w:r>
      <w:r>
        <w:rPr>
          <w:spacing w:val="-1"/>
        </w:rPr>
        <w:t> </w:t>
      </w:r>
      <w:r>
        <w:rPr/>
        <w:t>arisen. More</w:t>
      </w:r>
      <w:r>
        <w:rPr>
          <w:spacing w:val="-7"/>
        </w:rPr>
        <w:t> </w:t>
      </w:r>
      <w:r>
        <w:rPr/>
        <w:t>than</w:t>
      </w:r>
      <w:r>
        <w:rPr>
          <w:spacing w:val="-2"/>
        </w:rPr>
        <w:t> </w:t>
      </w:r>
      <w:r>
        <w:rPr/>
        <w:t>anything, this further spurred me</w:t>
      </w:r>
      <w:r>
        <w:rPr>
          <w:spacing w:val="-3"/>
        </w:rPr>
        <w:t> </w:t>
      </w:r>
      <w:r>
        <w:rPr/>
        <w:t>on</w:t>
      </w:r>
      <w:r>
        <w:rPr>
          <w:spacing w:val="-4"/>
        </w:rPr>
        <w:t> </w:t>
      </w:r>
      <w:r>
        <w:rPr/>
        <w:t>to give my best.</w:t>
      </w:r>
    </w:p>
    <w:p>
      <w:pPr>
        <w:pStyle w:val="BodyText"/>
        <w:spacing w:line="276" w:lineRule="auto"/>
        <w:ind w:right="224" w:firstLine="720"/>
        <w:jc w:val="both"/>
      </w:pPr>
      <w:r>
        <w:rPr/>
        <w:t>I feel greatly honoured to be associated with the Department of Commercial Law. Here, the genuine concern shown among colleagues regarding personal development, as I see it, is unprecedented. Along with</w:t>
      </w:r>
      <w:r>
        <w:rPr>
          <w:spacing w:val="-1"/>
        </w:rPr>
        <w:t> </w:t>
      </w:r>
      <w:r>
        <w:rPr/>
        <w:t>others in</w:t>
      </w:r>
      <w:r>
        <w:rPr>
          <w:spacing w:val="-1"/>
        </w:rPr>
        <w:t> </w:t>
      </w:r>
      <w:r>
        <w:rPr/>
        <w:t>the Department already mentioned,</w:t>
      </w:r>
      <w:r>
        <w:rPr>
          <w:spacing w:val="-2"/>
        </w:rPr>
        <w:t> </w:t>
      </w:r>
      <w:r>
        <w:rPr/>
        <w:t>Drs.</w:t>
      </w:r>
      <w:r>
        <w:rPr>
          <w:spacing w:val="-2"/>
        </w:rPr>
        <w:t> </w:t>
      </w:r>
      <w:r>
        <w:rPr/>
        <w:t>D.C.</w:t>
      </w:r>
      <w:r>
        <w:rPr>
          <w:spacing w:val="-2"/>
        </w:rPr>
        <w:t> </w:t>
      </w:r>
      <w:r>
        <w:rPr/>
        <w:t>John,S.A.</w:t>
      </w:r>
      <w:r>
        <w:rPr>
          <w:spacing w:val="-2"/>
        </w:rPr>
        <w:t> </w:t>
      </w:r>
      <w:r>
        <w:rPr/>
        <w:t>Apinega,P.</w:t>
      </w:r>
      <w:r>
        <w:rPr>
          <w:spacing w:val="-2"/>
        </w:rPr>
        <w:t> </w:t>
      </w:r>
      <w:r>
        <w:rPr/>
        <w:t>Onuh,andI.</w:t>
      </w:r>
      <w:r>
        <w:rPr>
          <w:spacing w:val="-2"/>
        </w:rPr>
        <w:t> </w:t>
      </w:r>
      <w:r>
        <w:rPr/>
        <w:t>Iloba,and</w:t>
      </w:r>
      <w:r>
        <w:rPr>
          <w:spacing w:val="-3"/>
        </w:rPr>
        <w:t> </w:t>
      </w:r>
      <w:r>
        <w:rPr/>
        <w:t>Messrs.S.K.</w:t>
      </w:r>
      <w:r>
        <w:rPr>
          <w:spacing w:val="-2"/>
        </w:rPr>
        <w:t> </w:t>
      </w:r>
      <w:r>
        <w:rPr/>
        <w:t>Musa,</w:t>
      </w:r>
      <w:r>
        <w:rPr>
          <w:spacing w:val="-2"/>
        </w:rPr>
        <w:t> </w:t>
      </w:r>
      <w:r>
        <w:rPr/>
        <w:t>M. Ramadan, and U. S. Bebeji, as</w:t>
      </w:r>
      <w:r>
        <w:rPr>
          <w:spacing w:val="-2"/>
        </w:rPr>
        <w:t> </w:t>
      </w:r>
      <w:r>
        <w:rPr/>
        <w:t>well</w:t>
      </w:r>
      <w:r>
        <w:rPr>
          <w:spacing w:val="-4"/>
        </w:rPr>
        <w:t> </w:t>
      </w:r>
      <w:r>
        <w:rPr/>
        <w:t>as Mrs. J. Shuaibuare</w:t>
      </w:r>
      <w:r>
        <w:rPr>
          <w:spacing w:val="-1"/>
        </w:rPr>
        <w:t> </w:t>
      </w:r>
      <w:r>
        <w:rPr/>
        <w:t>persons</w:t>
      </w:r>
      <w:r>
        <w:rPr>
          <w:spacing w:val="-2"/>
        </w:rPr>
        <w:t> </w:t>
      </w:r>
      <w:r>
        <w:rPr/>
        <w:t>whom</w:t>
      </w:r>
      <w:r>
        <w:rPr>
          <w:spacing w:val="-9"/>
        </w:rPr>
        <w:t> </w:t>
      </w:r>
      <w:r>
        <w:rPr/>
        <w:t>I am</w:t>
      </w:r>
      <w:r>
        <w:rPr>
          <w:spacing w:val="-9"/>
        </w:rPr>
        <w:t> </w:t>
      </w:r>
      <w:r>
        <w:rPr/>
        <w:t>glad to be working with. Mrs. Oladimeji and Madam Janet have also been supportive and understanding in</w:t>
      </w:r>
      <w:r>
        <w:rPr>
          <w:spacing w:val="-2"/>
        </w:rPr>
        <w:t> </w:t>
      </w:r>
      <w:r>
        <w:rPr/>
        <w:t>their</w:t>
      </w:r>
      <w:r>
        <w:rPr>
          <w:spacing w:val="-1"/>
        </w:rPr>
        <w:t> </w:t>
      </w:r>
      <w:r>
        <w:rPr/>
        <w:t>own little</w:t>
      </w:r>
      <w:r>
        <w:rPr>
          <w:spacing w:val="-3"/>
        </w:rPr>
        <w:t> </w:t>
      </w:r>
      <w:r>
        <w:rPr/>
        <w:t>ways:</w:t>
      </w:r>
      <w:r>
        <w:rPr>
          <w:spacing w:val="-2"/>
        </w:rPr>
        <w:t> </w:t>
      </w:r>
      <w:r>
        <w:rPr/>
        <w:t>that we</w:t>
      </w:r>
      <w:r>
        <w:rPr>
          <w:spacing w:val="-4"/>
        </w:rPr>
        <w:t> </w:t>
      </w:r>
      <w:r>
        <w:rPr/>
        <w:t>have</w:t>
      </w:r>
      <w:r>
        <w:rPr>
          <w:spacing w:val="-3"/>
        </w:rPr>
        <w:t> </w:t>
      </w:r>
      <w:r>
        <w:rPr/>
        <w:t>always met and</w:t>
      </w:r>
      <w:r>
        <w:rPr>
          <w:spacing w:val="-2"/>
        </w:rPr>
        <w:t> </w:t>
      </w:r>
      <w:r>
        <w:rPr/>
        <w:t>parted</w:t>
      </w:r>
      <w:r>
        <w:rPr>
          <w:spacing w:val="-2"/>
        </w:rPr>
        <w:t> </w:t>
      </w:r>
      <w:r>
        <w:rPr/>
        <w:t>in</w:t>
      </w:r>
      <w:r>
        <w:rPr>
          <w:spacing w:val="-7"/>
        </w:rPr>
        <w:t> </w:t>
      </w:r>
      <w:r>
        <w:rPr/>
        <w:t>smiles</w:t>
      </w:r>
      <w:r>
        <w:rPr>
          <w:spacing w:val="-4"/>
        </w:rPr>
        <w:t> </w:t>
      </w:r>
      <w:r>
        <w:rPr/>
        <w:t>has been more than enough for me.</w:t>
      </w:r>
    </w:p>
    <w:p>
      <w:pPr>
        <w:pStyle w:val="BodyText"/>
        <w:spacing w:line="278" w:lineRule="auto"/>
        <w:ind w:right="228" w:firstLine="720"/>
        <w:jc w:val="both"/>
      </w:pPr>
      <w:r>
        <w:rPr/>
        <w:t>Dr.Ameh (Faculty Officer), Madam Basira and the entire staff of the Law Library have been a great help. I dare say that I still owe these all, and many others, a great debt of gratitude.</w:t>
      </w:r>
    </w:p>
    <w:p>
      <w:pPr>
        <w:spacing w:after="0" w:line="278" w:lineRule="auto"/>
        <w:jc w:val="both"/>
        <w:sectPr>
          <w:pgSz w:w="11910" w:h="16840"/>
          <w:pgMar w:header="0" w:footer="998" w:top="1320" w:bottom="1180" w:left="1680" w:right="1180"/>
        </w:sectPr>
      </w:pPr>
    </w:p>
    <w:p>
      <w:pPr>
        <w:pStyle w:val="BodyText"/>
        <w:spacing w:before="88"/>
        <w:ind w:left="77"/>
        <w:jc w:val="center"/>
        <w:rPr>
          <w:rFonts w:ascii="Arial Black"/>
        </w:rPr>
      </w:pPr>
      <w:r>
        <w:rPr>
          <w:rFonts w:ascii="Arial Black"/>
          <w:spacing w:val="-2"/>
        </w:rPr>
        <w:t>DEDICATION</w:t>
      </w:r>
    </w:p>
    <w:p>
      <w:pPr>
        <w:pStyle w:val="BodyText"/>
        <w:spacing w:line="271" w:lineRule="auto" w:before="249"/>
      </w:pPr>
      <w:r>
        <w:rPr/>
        <w:t>My</w:t>
      </w:r>
      <w:r>
        <w:rPr>
          <w:spacing w:val="28"/>
        </w:rPr>
        <w:t> </w:t>
      </w:r>
      <w:r>
        <w:rPr/>
        <w:t>prayer</w:t>
      </w:r>
      <w:r>
        <w:rPr>
          <w:spacing w:val="35"/>
        </w:rPr>
        <w:t> </w:t>
      </w:r>
      <w:r>
        <w:rPr/>
        <w:t>and</w:t>
      </w:r>
      <w:r>
        <w:rPr>
          <w:spacing w:val="37"/>
        </w:rPr>
        <w:t> </w:t>
      </w:r>
      <w:r>
        <w:rPr/>
        <w:t>my</w:t>
      </w:r>
      <w:r>
        <w:rPr>
          <w:spacing w:val="29"/>
        </w:rPr>
        <w:t> </w:t>
      </w:r>
      <w:r>
        <w:rPr/>
        <w:t>sacrifice,</w:t>
      </w:r>
      <w:r>
        <w:rPr>
          <w:spacing w:val="39"/>
        </w:rPr>
        <w:t> </w:t>
      </w:r>
      <w:r>
        <w:rPr/>
        <w:t>my</w:t>
      </w:r>
      <w:r>
        <w:rPr>
          <w:spacing w:val="34"/>
        </w:rPr>
        <w:t> </w:t>
      </w:r>
      <w:r>
        <w:rPr/>
        <w:t>life</w:t>
      </w:r>
      <w:r>
        <w:rPr>
          <w:spacing w:val="36"/>
        </w:rPr>
        <w:t> </w:t>
      </w:r>
      <w:r>
        <w:rPr/>
        <w:t>and</w:t>
      </w:r>
      <w:r>
        <w:rPr>
          <w:spacing w:val="37"/>
        </w:rPr>
        <w:t> </w:t>
      </w:r>
      <w:r>
        <w:rPr/>
        <w:t>my</w:t>
      </w:r>
      <w:r>
        <w:rPr>
          <w:spacing w:val="29"/>
        </w:rPr>
        <w:t> </w:t>
      </w:r>
      <w:r>
        <w:rPr/>
        <w:t>death</w:t>
      </w:r>
      <w:r>
        <w:rPr>
          <w:spacing w:val="28"/>
        </w:rPr>
        <w:t> </w:t>
      </w:r>
      <w:r>
        <w:rPr/>
        <w:t>belong</w:t>
      </w:r>
      <w:r>
        <w:rPr>
          <w:spacing w:val="37"/>
        </w:rPr>
        <w:t> </w:t>
      </w:r>
      <w:r>
        <w:rPr/>
        <w:t>to</w:t>
      </w:r>
      <w:r>
        <w:rPr>
          <w:spacing w:val="37"/>
        </w:rPr>
        <w:t> </w:t>
      </w:r>
      <w:r>
        <w:rPr/>
        <w:t>Allah,</w:t>
      </w:r>
      <w:r>
        <w:rPr>
          <w:spacing w:val="35"/>
        </w:rPr>
        <w:t> </w:t>
      </w:r>
      <w:r>
        <w:rPr/>
        <w:t>the</w:t>
      </w:r>
      <w:r>
        <w:rPr>
          <w:spacing w:val="36"/>
        </w:rPr>
        <w:t> </w:t>
      </w:r>
      <w:r>
        <w:rPr/>
        <w:t>Lord</w:t>
      </w:r>
      <w:r>
        <w:rPr>
          <w:spacing w:val="33"/>
        </w:rPr>
        <w:t> </w:t>
      </w:r>
      <w:r>
        <w:rPr/>
        <w:t>of</w:t>
      </w:r>
      <w:r>
        <w:rPr>
          <w:spacing w:val="25"/>
        </w:rPr>
        <w:t> </w:t>
      </w:r>
      <w:r>
        <w:rPr/>
        <w:t>the </w:t>
      </w:r>
      <w:r>
        <w:rPr>
          <w:spacing w:val="-2"/>
        </w:rPr>
        <w:t>Worlds.</w:t>
      </w:r>
    </w:p>
    <w:p>
      <w:pPr>
        <w:pStyle w:val="BodyText"/>
        <w:spacing w:before="207"/>
        <w:ind w:left="29" w:right="227"/>
        <w:jc w:val="right"/>
      </w:pPr>
      <w:r>
        <w:rPr/>
        <w:t>Al</w:t>
      </w:r>
      <w:r>
        <w:rPr>
          <w:spacing w:val="-4"/>
        </w:rPr>
        <w:t> </w:t>
      </w:r>
      <w:r>
        <w:rPr/>
        <w:t>Qur‘an</w:t>
      </w:r>
      <w:r>
        <w:rPr>
          <w:spacing w:val="-3"/>
        </w:rPr>
        <w:t> </w:t>
      </w:r>
      <w:r>
        <w:rPr>
          <w:spacing w:val="-2"/>
        </w:rPr>
        <w:t>6:162</w:t>
      </w:r>
    </w:p>
    <w:p>
      <w:pPr>
        <w:pStyle w:val="BodyText"/>
        <w:spacing w:before="243"/>
        <w:ind w:left="78"/>
        <w:jc w:val="center"/>
      </w:pPr>
      <w:r>
        <w:rPr>
          <w:spacing w:val="-5"/>
        </w:rPr>
        <w:t>For</w:t>
      </w:r>
    </w:p>
    <w:p>
      <w:pPr>
        <w:pStyle w:val="BodyText"/>
        <w:spacing w:line="271" w:lineRule="auto" w:before="45"/>
        <w:ind w:left="3116" w:right="3040"/>
        <w:jc w:val="center"/>
      </w:pPr>
      <w:r>
        <w:rPr/>
        <w:t>My</w:t>
      </w:r>
      <w:r>
        <w:rPr>
          <w:spacing w:val="-14"/>
        </w:rPr>
        <w:t> </w:t>
      </w:r>
      <w:r>
        <w:rPr/>
        <w:t>mother,</w:t>
      </w:r>
      <w:r>
        <w:rPr>
          <w:spacing w:val="-9"/>
        </w:rPr>
        <w:t> </w:t>
      </w:r>
      <w:r>
        <w:rPr/>
        <w:t>my</w:t>
      </w:r>
      <w:r>
        <w:rPr>
          <w:spacing w:val="-10"/>
        </w:rPr>
        <w:t> </w:t>
      </w:r>
      <w:r>
        <w:rPr/>
        <w:t>best</w:t>
      </w:r>
      <w:r>
        <w:rPr>
          <w:spacing w:val="-6"/>
        </w:rPr>
        <w:t> </w:t>
      </w:r>
      <w:r>
        <w:rPr/>
        <w:t>friend, My father, my mentor.</w:t>
      </w:r>
    </w:p>
    <w:p>
      <w:pPr>
        <w:spacing w:after="0" w:line="271" w:lineRule="auto"/>
        <w:jc w:val="center"/>
        <w:sectPr>
          <w:pgSz w:w="11910" w:h="16840"/>
          <w:pgMar w:header="0" w:footer="998" w:top="1300" w:bottom="1180" w:left="1680" w:right="1180"/>
        </w:sectPr>
      </w:pPr>
    </w:p>
    <w:p>
      <w:pPr>
        <w:pStyle w:val="BodyText"/>
        <w:spacing w:before="88"/>
        <w:ind w:left="84"/>
        <w:jc w:val="center"/>
        <w:rPr>
          <w:rFonts w:ascii="Arial Black"/>
        </w:rPr>
      </w:pPr>
      <w:r>
        <w:rPr>
          <w:rFonts w:ascii="Arial Black"/>
        </w:rPr>
        <w:t>TABLE</w:t>
      </w:r>
      <w:r>
        <w:rPr>
          <w:rFonts w:ascii="Arial Black"/>
          <w:spacing w:val="-1"/>
        </w:rPr>
        <w:t> </w:t>
      </w:r>
      <w:r>
        <w:rPr>
          <w:rFonts w:ascii="Arial Black"/>
        </w:rPr>
        <w:t>OF</w:t>
      </w:r>
      <w:r>
        <w:rPr>
          <w:rFonts w:ascii="Arial Black"/>
          <w:spacing w:val="-1"/>
        </w:rPr>
        <w:t> </w:t>
      </w:r>
      <w:r>
        <w:rPr>
          <w:rFonts w:ascii="Arial Black"/>
          <w:spacing w:val="-2"/>
        </w:rPr>
        <w:t>CONTENTS</w:t>
      </w:r>
    </w:p>
    <w:p>
      <w:pPr>
        <w:pStyle w:val="BodyText"/>
        <w:tabs>
          <w:tab w:pos="8230" w:val="left" w:leader="none"/>
        </w:tabs>
        <w:spacing w:before="249"/>
      </w:pPr>
      <w:r>
        <w:rPr/>
        <mc:AlternateContent>
          <mc:Choice Requires="wps">
            <w:drawing>
              <wp:anchor distT="0" distB="0" distL="0" distR="0" allowOverlap="1" layoutInCell="1" locked="0" behindDoc="1" simplePos="0" relativeHeight="485082112">
                <wp:simplePos x="0" y="0"/>
                <wp:positionH relativeFrom="page">
                  <wp:posOffset>1881251</wp:posOffset>
                </wp:positionH>
                <wp:positionV relativeFrom="paragraph">
                  <wp:posOffset>266304</wp:posOffset>
                </wp:positionV>
                <wp:extent cx="4318000" cy="1270"/>
                <wp:effectExtent l="0" t="0" r="0" b="0"/>
                <wp:wrapNone/>
                <wp:docPr id="5" name="Graphic 5"/>
                <wp:cNvGraphicFramePr>
                  <a:graphicFrameLocks/>
                </wp:cNvGraphicFramePr>
                <a:graphic>
                  <a:graphicData uri="http://schemas.microsoft.com/office/word/2010/wordprocessingShape">
                    <wps:wsp>
                      <wps:cNvPr id="5" name="Graphic 5"/>
                      <wps:cNvSpPr/>
                      <wps:spPr>
                        <a:xfrm>
                          <a:off x="0" y="0"/>
                          <a:ext cx="4318000" cy="1270"/>
                        </a:xfrm>
                        <a:custGeom>
                          <a:avLst/>
                          <a:gdLst/>
                          <a:ahLst/>
                          <a:cxnLst/>
                          <a:rect l="l" t="t" r="r" b="b"/>
                          <a:pathLst>
                            <a:path w="4318000" h="0">
                              <a:moveTo>
                                <a:pt x="0" y="0"/>
                              </a:moveTo>
                              <a:lnTo>
                                <a:pt x="4317748"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4368" from="148.130005pt,20.968887pt" to="488.110193pt,20.968887pt" stroked="true" strokeweight=".885563pt" strokecolor="#000000">
                <v:stroke dashstyle="shortdash"/>
                <w10:wrap type="none"/>
              </v:line>
            </w:pict>
          </mc:Fallback>
        </mc:AlternateContent>
      </w:r>
      <w:r>
        <w:rPr/>
        <w:t>Title</w:t>
      </w:r>
      <w:r>
        <w:rPr>
          <w:spacing w:val="-9"/>
        </w:rPr>
        <w:t> </w:t>
      </w:r>
      <w:r>
        <w:rPr>
          <w:spacing w:val="-4"/>
        </w:rPr>
        <w:t>Page</w:t>
      </w:r>
      <w:r>
        <w:rPr/>
        <w:tab/>
      </w:r>
      <w:r>
        <w:rPr>
          <w:spacing w:val="-10"/>
        </w:rPr>
        <w:t>i</w:t>
      </w:r>
    </w:p>
    <w:p>
      <w:pPr>
        <w:spacing w:after="0"/>
        <w:sectPr>
          <w:pgSz w:w="11910" w:h="16840"/>
          <w:pgMar w:header="0" w:footer="998" w:top="1300" w:bottom="1474" w:left="1680" w:right="1180"/>
        </w:sectPr>
      </w:pPr>
    </w:p>
    <w:sdt>
      <w:sdtPr>
        <w:docPartObj>
          <w:docPartGallery w:val="Table of Contents"/>
          <w:docPartUnique/>
        </w:docPartObj>
      </w:sdtPr>
      <w:sdtEndPr/>
      <w:sdtContent>
        <w:p>
          <w:pPr>
            <w:pStyle w:val="TOC3"/>
            <w:tabs>
              <w:tab w:pos="8365" w:val="right" w:leader="none"/>
            </w:tabs>
            <w:ind w:left="308" w:firstLine="0"/>
          </w:pPr>
          <w:r>
            <w:rPr/>
            <mc:AlternateContent>
              <mc:Choice Requires="wps">
                <w:drawing>
                  <wp:anchor distT="0" distB="0" distL="0" distR="0" allowOverlap="1" layoutInCell="1" locked="0" behindDoc="1" simplePos="0" relativeHeight="485082624">
                    <wp:simplePos x="0" y="0"/>
                    <wp:positionH relativeFrom="page">
                      <wp:posOffset>1969642</wp:posOffset>
                    </wp:positionH>
                    <wp:positionV relativeFrom="paragraph">
                      <wp:posOffset>283845</wp:posOffset>
                    </wp:positionV>
                    <wp:extent cx="4209415" cy="1270"/>
                    <wp:effectExtent l="0" t="0" r="0" b="0"/>
                    <wp:wrapNone/>
                    <wp:docPr id="6" name="Graphic 6"/>
                    <wp:cNvGraphicFramePr>
                      <a:graphicFrameLocks/>
                    </wp:cNvGraphicFramePr>
                    <a:graphic>
                      <a:graphicData uri="http://schemas.microsoft.com/office/word/2010/wordprocessingShape">
                        <wps:wsp>
                          <wps:cNvPr id="6" name="Graphic 6"/>
                          <wps:cNvSpPr/>
                          <wps:spPr>
                            <a:xfrm>
                              <a:off x="0" y="0"/>
                              <a:ext cx="4209415" cy="1270"/>
                            </a:xfrm>
                            <a:custGeom>
                              <a:avLst/>
                              <a:gdLst/>
                              <a:ahLst/>
                              <a:cxnLst/>
                              <a:rect l="l" t="t" r="r" b="b"/>
                              <a:pathLst>
                                <a:path w="4209415" h="0">
                                  <a:moveTo>
                                    <a:pt x="0" y="0"/>
                                  </a:moveTo>
                                  <a:lnTo>
                                    <a:pt x="4209082"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3856" from="155.089996pt,22.350063pt" to="486.513809pt,22.350063pt" stroked="true" strokeweight=".885563pt" strokecolor="#000000">
                    <v:stroke dashstyle="shortdash"/>
                    <w10:wrap type="none"/>
                  </v:line>
                </w:pict>
              </mc:Fallback>
            </mc:AlternateContent>
          </w:r>
          <w:r>
            <w:rPr>
              <w:spacing w:val="-2"/>
            </w:rPr>
            <w:t>Declaration</w:t>
          </w:r>
          <w:r>
            <w:rPr/>
            <w:tab/>
          </w:r>
          <w:r>
            <w:rPr>
              <w:spacing w:val="-5"/>
            </w:rPr>
            <w:t>ii</w:t>
          </w:r>
        </w:p>
        <w:p>
          <w:pPr>
            <w:pStyle w:val="TOC3"/>
            <w:tabs>
              <w:tab w:pos="8432" w:val="right" w:leader="none"/>
            </w:tabs>
            <w:ind w:left="308" w:firstLine="0"/>
          </w:pPr>
          <w:r>
            <w:rPr/>
            <mc:AlternateContent>
              <mc:Choice Requires="wps">
                <w:drawing>
                  <wp:anchor distT="0" distB="0" distL="0" distR="0" allowOverlap="1" layoutInCell="1" locked="0" behindDoc="1" simplePos="0" relativeHeight="485083136">
                    <wp:simplePos x="0" y="0"/>
                    <wp:positionH relativeFrom="page">
                      <wp:posOffset>2366136</wp:posOffset>
                    </wp:positionH>
                    <wp:positionV relativeFrom="paragraph">
                      <wp:posOffset>283861</wp:posOffset>
                    </wp:positionV>
                    <wp:extent cx="3807460" cy="1270"/>
                    <wp:effectExtent l="0" t="0" r="0" b="0"/>
                    <wp:wrapNone/>
                    <wp:docPr id="7" name="Graphic 7"/>
                    <wp:cNvGraphicFramePr>
                      <a:graphicFrameLocks/>
                    </wp:cNvGraphicFramePr>
                    <a:graphic>
                      <a:graphicData uri="http://schemas.microsoft.com/office/word/2010/wordprocessingShape">
                        <wps:wsp>
                          <wps:cNvPr id="7" name="Graphic 7"/>
                          <wps:cNvSpPr/>
                          <wps:spPr>
                            <a:xfrm>
                              <a:off x="0" y="0"/>
                              <a:ext cx="3807460" cy="1270"/>
                            </a:xfrm>
                            <a:custGeom>
                              <a:avLst/>
                              <a:gdLst/>
                              <a:ahLst/>
                              <a:cxnLst/>
                              <a:rect l="l" t="t" r="r" b="b"/>
                              <a:pathLst>
                                <a:path w="3807460" h="0">
                                  <a:moveTo>
                                    <a:pt x="0" y="0"/>
                                  </a:moveTo>
                                  <a:lnTo>
                                    <a:pt x="3807114"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3344" from="186.309998pt,22.351273pt" to="486.082821pt,22.351273pt" stroked="true" strokeweight=".885563pt" strokecolor="#000000">
                    <v:stroke dashstyle="shortdash"/>
                    <w10:wrap type="none"/>
                  </v:line>
                </w:pict>
              </mc:Fallback>
            </mc:AlternateContent>
          </w:r>
          <w:r>
            <w:rPr/>
            <w:t>Certification</w:t>
          </w:r>
          <w:r>
            <w:rPr>
              <w:spacing w:val="-7"/>
            </w:rPr>
            <w:t> </w:t>
          </w:r>
          <w:r>
            <w:rPr>
              <w:spacing w:val="-4"/>
            </w:rPr>
            <w:t>Page</w:t>
          </w:r>
          <w:r>
            <w:rPr/>
            <w:tab/>
          </w:r>
          <w:r>
            <w:rPr>
              <w:spacing w:val="-5"/>
            </w:rPr>
            <w:t>iii</w:t>
          </w:r>
        </w:p>
        <w:p>
          <w:pPr>
            <w:pStyle w:val="TOC3"/>
            <w:tabs>
              <w:tab w:pos="8408" w:val="right" w:leader="none"/>
            </w:tabs>
            <w:ind w:left="308" w:firstLine="0"/>
          </w:pPr>
          <w:r>
            <w:rPr/>
            <mc:AlternateContent>
              <mc:Choice Requires="wps">
                <w:drawing>
                  <wp:anchor distT="0" distB="0" distL="0" distR="0" allowOverlap="1" layoutInCell="1" locked="0" behindDoc="1" simplePos="0" relativeHeight="485083648">
                    <wp:simplePos x="0" y="0"/>
                    <wp:positionH relativeFrom="page">
                      <wp:posOffset>2402713</wp:posOffset>
                    </wp:positionH>
                    <wp:positionV relativeFrom="paragraph">
                      <wp:posOffset>283875</wp:posOffset>
                    </wp:positionV>
                    <wp:extent cx="3863340" cy="1270"/>
                    <wp:effectExtent l="0" t="0" r="0" b="0"/>
                    <wp:wrapNone/>
                    <wp:docPr id="8" name="Graphic 8"/>
                    <wp:cNvGraphicFramePr>
                      <a:graphicFrameLocks/>
                    </wp:cNvGraphicFramePr>
                    <a:graphic>
                      <a:graphicData uri="http://schemas.microsoft.com/office/word/2010/wordprocessingShape">
                        <wps:wsp>
                          <wps:cNvPr id="8" name="Graphic 8"/>
                          <wps:cNvSpPr/>
                          <wps:spPr>
                            <a:xfrm>
                              <a:off x="0" y="0"/>
                              <a:ext cx="3863340" cy="1270"/>
                            </a:xfrm>
                            <a:custGeom>
                              <a:avLst/>
                              <a:gdLst/>
                              <a:ahLst/>
                              <a:cxnLst/>
                              <a:rect l="l" t="t" r="r" b="b"/>
                              <a:pathLst>
                                <a:path w="3863340" h="0">
                                  <a:moveTo>
                                    <a:pt x="0" y="0"/>
                                  </a:moveTo>
                                  <a:lnTo>
                                    <a:pt x="3863342"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2832" from="189.190002pt,22.352419pt" to="493.390191pt,22.352419pt" stroked="true" strokeweight=".885563pt" strokecolor="#000000">
                    <v:stroke dashstyle="shortdash"/>
                    <w10:wrap type="none"/>
                  </v:line>
                </w:pict>
              </mc:Fallback>
            </mc:AlternateContent>
          </w:r>
          <w:r>
            <w:rPr>
              <w:spacing w:val="-2"/>
            </w:rPr>
            <w:t>Acknowledgments</w:t>
          </w:r>
          <w:r>
            <w:rPr/>
            <w:tab/>
          </w:r>
          <w:r>
            <w:rPr>
              <w:spacing w:val="-5"/>
            </w:rPr>
            <w:t>iv</w:t>
          </w:r>
        </w:p>
        <w:p>
          <w:pPr>
            <w:pStyle w:val="TOC3"/>
            <w:tabs>
              <w:tab w:pos="8350" w:val="right" w:leader="none"/>
            </w:tabs>
            <w:spacing w:before="277"/>
            <w:ind w:left="308" w:firstLine="0"/>
          </w:pPr>
          <w:r>
            <w:rPr/>
            <mc:AlternateContent>
              <mc:Choice Requires="wps">
                <w:drawing>
                  <wp:anchor distT="0" distB="0" distL="0" distR="0" allowOverlap="1" layoutInCell="1" locked="0" behindDoc="1" simplePos="0" relativeHeight="485084160">
                    <wp:simplePos x="0" y="0"/>
                    <wp:positionH relativeFrom="page">
                      <wp:posOffset>1926970</wp:posOffset>
                    </wp:positionH>
                    <wp:positionV relativeFrom="paragraph">
                      <wp:posOffset>284144</wp:posOffset>
                    </wp:positionV>
                    <wp:extent cx="4265930" cy="1270"/>
                    <wp:effectExtent l="0" t="0" r="0" b="0"/>
                    <wp:wrapNone/>
                    <wp:docPr id="9" name="Graphic 9"/>
                    <wp:cNvGraphicFramePr>
                      <a:graphicFrameLocks/>
                    </wp:cNvGraphicFramePr>
                    <a:graphic>
                      <a:graphicData uri="http://schemas.microsoft.com/office/word/2010/wordprocessingShape">
                        <wps:wsp>
                          <wps:cNvPr id="9" name="Graphic 9"/>
                          <wps:cNvSpPr/>
                          <wps:spPr>
                            <a:xfrm>
                              <a:off x="0" y="0"/>
                              <a:ext cx="4265930" cy="1270"/>
                            </a:xfrm>
                            <a:custGeom>
                              <a:avLst/>
                              <a:gdLst/>
                              <a:ahLst/>
                              <a:cxnLst/>
                              <a:rect l="l" t="t" r="r" b="b"/>
                              <a:pathLst>
                                <a:path w="4265930" h="0">
                                  <a:moveTo>
                                    <a:pt x="0" y="0"/>
                                  </a:moveTo>
                                  <a:lnTo>
                                    <a:pt x="4265932"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2320" from="151.729996pt,22.373587pt" to="487.630184pt,22.373587pt" stroked="true" strokeweight=".885563pt" strokecolor="#000000">
                    <v:stroke dashstyle="dash"/>
                    <w10:wrap type="none"/>
                  </v:line>
                </w:pict>
              </mc:Fallback>
            </mc:AlternateContent>
          </w:r>
          <w:r>
            <w:rPr>
              <w:spacing w:val="-2"/>
            </w:rPr>
            <w:t>Dedication</w:t>
          </w:r>
          <w:r>
            <w:rPr/>
            <w:tab/>
          </w:r>
          <w:r>
            <w:rPr>
              <w:spacing w:val="-10"/>
            </w:rPr>
            <w:t>v</w:t>
          </w:r>
        </w:p>
        <w:p>
          <w:pPr>
            <w:pStyle w:val="TOC3"/>
            <w:tabs>
              <w:tab w:pos="8417" w:val="right" w:leader="none"/>
            </w:tabs>
            <w:ind w:left="308" w:firstLine="0"/>
          </w:pPr>
          <w:r>
            <w:rPr/>
            <mc:AlternateContent>
              <mc:Choice Requires="wps">
                <w:drawing>
                  <wp:anchor distT="0" distB="0" distL="0" distR="0" allowOverlap="1" layoutInCell="1" locked="0" behindDoc="1" simplePos="0" relativeHeight="485084672">
                    <wp:simplePos x="0" y="0"/>
                    <wp:positionH relativeFrom="page">
                      <wp:posOffset>2353945</wp:posOffset>
                    </wp:positionH>
                    <wp:positionV relativeFrom="paragraph">
                      <wp:posOffset>283524</wp:posOffset>
                    </wp:positionV>
                    <wp:extent cx="3860800" cy="1270"/>
                    <wp:effectExtent l="0" t="0" r="0" b="0"/>
                    <wp:wrapNone/>
                    <wp:docPr id="10" name="Graphic 10"/>
                    <wp:cNvGraphicFramePr>
                      <a:graphicFrameLocks/>
                    </wp:cNvGraphicFramePr>
                    <a:graphic>
                      <a:graphicData uri="http://schemas.microsoft.com/office/word/2010/wordprocessingShape">
                        <wps:wsp>
                          <wps:cNvPr id="10" name="Graphic 10"/>
                          <wps:cNvSpPr/>
                          <wps:spPr>
                            <a:xfrm>
                              <a:off x="0" y="0"/>
                              <a:ext cx="3860800" cy="1270"/>
                            </a:xfrm>
                            <a:custGeom>
                              <a:avLst/>
                              <a:gdLst/>
                              <a:ahLst/>
                              <a:cxnLst/>
                              <a:rect l="l" t="t" r="r" b="b"/>
                              <a:pathLst>
                                <a:path w="3860800" h="0">
                                  <a:moveTo>
                                    <a:pt x="0" y="0"/>
                                  </a:moveTo>
                                  <a:lnTo>
                                    <a:pt x="3860294"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1808" from="185.350006pt,22.324795pt" to="489.310194pt,22.324795pt" stroked="true" strokeweight=".885563pt" strokecolor="#000000">
                    <v:stroke dashstyle="shortdash"/>
                    <w10:wrap type="none"/>
                  </v:line>
                </w:pict>
              </mc:Fallback>
            </mc:AlternateContent>
          </w:r>
          <w:r>
            <w:rPr/>
            <w:t>Table of</w:t>
          </w:r>
          <w:r>
            <w:rPr>
              <w:spacing w:val="-6"/>
            </w:rPr>
            <w:t> </w:t>
          </w:r>
          <w:r>
            <w:rPr>
              <w:spacing w:val="-2"/>
            </w:rPr>
            <w:t>Contents</w:t>
          </w:r>
          <w:r>
            <w:rPr/>
            <w:tab/>
          </w:r>
          <w:r>
            <w:rPr>
              <w:spacing w:val="-5"/>
            </w:rPr>
            <w:t>vi</w:t>
          </w:r>
        </w:p>
        <w:p>
          <w:pPr>
            <w:pStyle w:val="TOC3"/>
            <w:tabs>
              <w:tab w:pos="8413" w:val="right" w:leader="none"/>
            </w:tabs>
            <w:ind w:left="308" w:firstLine="0"/>
          </w:pPr>
          <w:r>
            <w:rPr/>
            <mc:AlternateContent>
              <mc:Choice Requires="wps">
                <w:drawing>
                  <wp:anchor distT="0" distB="0" distL="0" distR="0" allowOverlap="1" layoutInCell="1" locked="0" behindDoc="1" simplePos="0" relativeHeight="485085184">
                    <wp:simplePos x="0" y="0"/>
                    <wp:positionH relativeFrom="page">
                      <wp:posOffset>2417952</wp:posOffset>
                    </wp:positionH>
                    <wp:positionV relativeFrom="paragraph">
                      <wp:posOffset>283539</wp:posOffset>
                    </wp:positionV>
                    <wp:extent cx="3813810" cy="1270"/>
                    <wp:effectExtent l="0" t="0" r="0" b="0"/>
                    <wp:wrapNone/>
                    <wp:docPr id="11" name="Graphic 11"/>
                    <wp:cNvGraphicFramePr>
                      <a:graphicFrameLocks/>
                    </wp:cNvGraphicFramePr>
                    <a:graphic>
                      <a:graphicData uri="http://schemas.microsoft.com/office/word/2010/wordprocessingShape">
                        <wps:wsp>
                          <wps:cNvPr id="11" name="Graphic 11"/>
                          <wps:cNvSpPr/>
                          <wps:spPr>
                            <a:xfrm>
                              <a:off x="0" y="0"/>
                              <a:ext cx="3813810" cy="1270"/>
                            </a:xfrm>
                            <a:custGeom>
                              <a:avLst/>
                              <a:gdLst/>
                              <a:ahLst/>
                              <a:cxnLst/>
                              <a:rect l="l" t="t" r="r" b="b"/>
                              <a:pathLst>
                                <a:path w="3813810" h="0">
                                  <a:moveTo>
                                    <a:pt x="0" y="0"/>
                                  </a:moveTo>
                                  <a:lnTo>
                                    <a:pt x="3813356"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1296" from="190.389999pt,22.325943pt" to="490.654282pt,22.325943pt" stroked="true" strokeweight=".885563pt" strokecolor="#000000">
                    <v:stroke dashstyle="dash"/>
                    <w10:wrap type="none"/>
                  </v:line>
                </w:pict>
              </mc:Fallback>
            </mc:AlternateContent>
          </w:r>
          <w:r>
            <w:rPr/>
            <w:t>List of</w:t>
          </w:r>
          <w:r>
            <w:rPr>
              <w:spacing w:val="-2"/>
            </w:rPr>
            <w:t> Appendices</w:t>
          </w:r>
          <w:r>
            <w:rPr/>
            <w:tab/>
          </w:r>
          <w:r>
            <w:rPr>
              <w:spacing w:val="-5"/>
            </w:rPr>
            <w:t>ix</w:t>
          </w:r>
        </w:p>
        <w:p>
          <w:pPr>
            <w:pStyle w:val="TOC3"/>
            <w:tabs>
              <w:tab w:pos="8350" w:val="right" w:leader="none"/>
            </w:tabs>
            <w:spacing w:before="277"/>
            <w:ind w:left="308" w:firstLine="0"/>
          </w:pPr>
          <w:r>
            <w:rPr/>
            <mc:AlternateContent>
              <mc:Choice Requires="wps">
                <w:drawing>
                  <wp:anchor distT="0" distB="0" distL="0" distR="0" allowOverlap="1" layoutInCell="1" locked="0" behindDoc="1" simplePos="0" relativeHeight="485085696">
                    <wp:simplePos x="0" y="0"/>
                    <wp:positionH relativeFrom="page">
                      <wp:posOffset>2186304</wp:posOffset>
                    </wp:positionH>
                    <wp:positionV relativeFrom="paragraph">
                      <wp:posOffset>283935</wp:posOffset>
                    </wp:positionV>
                    <wp:extent cx="4010025" cy="1270"/>
                    <wp:effectExtent l="0" t="0" r="0" b="0"/>
                    <wp:wrapNone/>
                    <wp:docPr id="12" name="Graphic 12"/>
                    <wp:cNvGraphicFramePr>
                      <a:graphicFrameLocks/>
                    </wp:cNvGraphicFramePr>
                    <a:graphic>
                      <a:graphicData uri="http://schemas.microsoft.com/office/word/2010/wordprocessingShape">
                        <wps:wsp>
                          <wps:cNvPr id="12" name="Graphic 12"/>
                          <wps:cNvSpPr/>
                          <wps:spPr>
                            <a:xfrm>
                              <a:off x="0" y="0"/>
                              <a:ext cx="4010025" cy="1270"/>
                            </a:xfrm>
                            <a:custGeom>
                              <a:avLst/>
                              <a:gdLst/>
                              <a:ahLst/>
                              <a:cxnLst/>
                              <a:rect l="l" t="t" r="r" b="b"/>
                              <a:pathLst>
                                <a:path w="4010025" h="0">
                                  <a:moveTo>
                                    <a:pt x="0" y="0"/>
                                  </a:moveTo>
                                  <a:lnTo>
                                    <a:pt x="4009646"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0784" from="172.149994pt,22.357119pt" to="487.870182pt,22.357119pt" stroked="true" strokeweight=".885563pt" strokecolor="#000000">
                    <v:stroke dashstyle="shortdash"/>
                    <w10:wrap type="none"/>
                  </v:line>
                </w:pict>
              </mc:Fallback>
            </mc:AlternateContent>
          </w:r>
          <w:r>
            <w:rPr/>
            <w:t>List of</w:t>
          </w:r>
          <w:r>
            <w:rPr>
              <w:spacing w:val="-7"/>
            </w:rPr>
            <w:t> </w:t>
          </w:r>
          <w:r>
            <w:rPr>
              <w:spacing w:val="-2"/>
            </w:rPr>
            <w:t>Statutes</w:t>
          </w:r>
          <w:r>
            <w:rPr/>
            <w:tab/>
          </w:r>
          <w:r>
            <w:rPr>
              <w:spacing w:val="-10"/>
            </w:rPr>
            <w:t>x</w:t>
          </w:r>
        </w:p>
        <w:p>
          <w:pPr>
            <w:pStyle w:val="TOC3"/>
            <w:tabs>
              <w:tab w:pos="8417" w:val="right" w:leader="none"/>
            </w:tabs>
            <w:ind w:left="308" w:firstLine="0"/>
          </w:pPr>
          <w:r>
            <w:rPr/>
            <mc:AlternateContent>
              <mc:Choice Requires="wps">
                <w:drawing>
                  <wp:anchor distT="0" distB="0" distL="0" distR="0" allowOverlap="1" layoutInCell="1" locked="0" behindDoc="1" simplePos="0" relativeHeight="485086208">
                    <wp:simplePos x="0" y="0"/>
                    <wp:positionH relativeFrom="page">
                      <wp:posOffset>2164969</wp:posOffset>
                    </wp:positionH>
                    <wp:positionV relativeFrom="paragraph">
                      <wp:posOffset>283314</wp:posOffset>
                    </wp:positionV>
                    <wp:extent cx="4118610" cy="1270"/>
                    <wp:effectExtent l="0" t="0" r="0" b="0"/>
                    <wp:wrapNone/>
                    <wp:docPr id="13" name="Graphic 13"/>
                    <wp:cNvGraphicFramePr>
                      <a:graphicFrameLocks/>
                    </wp:cNvGraphicFramePr>
                    <a:graphic>
                      <a:graphicData uri="http://schemas.microsoft.com/office/word/2010/wordprocessingShape">
                        <wps:wsp>
                          <wps:cNvPr id="13" name="Graphic 13"/>
                          <wps:cNvSpPr/>
                          <wps:spPr>
                            <a:xfrm>
                              <a:off x="0" y="0"/>
                              <a:ext cx="4118610" cy="1270"/>
                            </a:xfrm>
                            <a:custGeom>
                              <a:avLst/>
                              <a:gdLst/>
                              <a:ahLst/>
                              <a:cxnLst/>
                              <a:rect l="l" t="t" r="r" b="b"/>
                              <a:pathLst>
                                <a:path w="4118610" h="0">
                                  <a:moveTo>
                                    <a:pt x="0" y="0"/>
                                  </a:moveTo>
                                  <a:lnTo>
                                    <a:pt x="4118306"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30272" from="170.470001pt,22.308266pt" to="494.746095pt,22.308266pt" stroked="true" strokeweight=".885563pt" strokecolor="#000000">
                    <v:stroke dashstyle="shortdash"/>
                    <w10:wrap type="none"/>
                  </v:line>
                </w:pict>
              </mc:Fallback>
            </mc:AlternateContent>
          </w:r>
          <w:r>
            <w:rPr/>
            <w:t>Table of</w:t>
          </w:r>
          <w:r>
            <w:rPr>
              <w:spacing w:val="-6"/>
            </w:rPr>
            <w:t> </w:t>
          </w:r>
          <w:r>
            <w:rPr>
              <w:spacing w:val="-2"/>
            </w:rPr>
            <w:t>Cases</w:t>
          </w:r>
          <w:r>
            <w:rPr/>
            <w:tab/>
          </w:r>
          <w:r>
            <w:rPr>
              <w:spacing w:val="-5"/>
            </w:rPr>
            <w:t>xi</w:t>
          </w:r>
        </w:p>
        <w:p>
          <w:pPr>
            <w:pStyle w:val="TOC3"/>
            <w:tabs>
              <w:tab w:pos="8533" w:val="right" w:leader="none"/>
            </w:tabs>
            <w:ind w:left="308" w:firstLine="0"/>
          </w:pPr>
          <w:r>
            <w:rPr/>
            <mc:AlternateContent>
              <mc:Choice Requires="wps">
                <w:drawing>
                  <wp:anchor distT="0" distB="0" distL="0" distR="0" allowOverlap="1" layoutInCell="1" locked="0" behindDoc="1" simplePos="0" relativeHeight="485086720">
                    <wp:simplePos x="0" y="0"/>
                    <wp:positionH relativeFrom="page">
                      <wp:posOffset>2122297</wp:posOffset>
                    </wp:positionH>
                    <wp:positionV relativeFrom="paragraph">
                      <wp:posOffset>283329</wp:posOffset>
                    </wp:positionV>
                    <wp:extent cx="4064635" cy="1270"/>
                    <wp:effectExtent l="0" t="0" r="0" b="0"/>
                    <wp:wrapNone/>
                    <wp:docPr id="14" name="Graphic 14"/>
                    <wp:cNvGraphicFramePr>
                      <a:graphicFrameLocks/>
                    </wp:cNvGraphicFramePr>
                    <a:graphic>
                      <a:graphicData uri="http://schemas.microsoft.com/office/word/2010/wordprocessingShape">
                        <wps:wsp>
                          <wps:cNvPr id="14" name="Graphic 14"/>
                          <wps:cNvSpPr/>
                          <wps:spPr>
                            <a:xfrm>
                              <a:off x="0" y="0"/>
                              <a:ext cx="4064635" cy="1270"/>
                            </a:xfrm>
                            <a:custGeom>
                              <a:avLst/>
                              <a:gdLst/>
                              <a:ahLst/>
                              <a:cxnLst/>
                              <a:rect l="l" t="t" r="r" b="b"/>
                              <a:pathLst>
                                <a:path w="4064635" h="0">
                                  <a:moveTo>
                                    <a:pt x="0" y="0"/>
                                  </a:moveTo>
                                  <a:lnTo>
                                    <a:pt x="4064510"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9760" from="167.110001pt,22.309444pt" to="487.150189pt,22.309444pt" stroked="true" strokeweight=".885563pt" strokecolor="#000000">
                    <v:stroke dashstyle="shortdash"/>
                    <w10:wrap type="none"/>
                  </v:line>
                </w:pict>
              </mc:Fallback>
            </mc:AlternateContent>
          </w:r>
          <w:r>
            <w:rPr>
              <w:spacing w:val="-2"/>
            </w:rPr>
            <w:t>Abbreviations</w:t>
          </w:r>
          <w:r>
            <w:rPr/>
            <w:tab/>
          </w:r>
          <w:r>
            <w:rPr>
              <w:spacing w:val="-5"/>
            </w:rPr>
            <w:t>xix</w:t>
          </w:r>
        </w:p>
        <w:p>
          <w:pPr>
            <w:pStyle w:val="TOC3"/>
            <w:tabs>
              <w:tab w:pos="8470" w:val="right" w:leader="none"/>
            </w:tabs>
            <w:ind w:left="308" w:firstLine="0"/>
          </w:pPr>
          <w:r>
            <w:rPr/>
            <mc:AlternateContent>
              <mc:Choice Requires="wps">
                <w:drawing>
                  <wp:anchor distT="0" distB="0" distL="0" distR="0" allowOverlap="1" layoutInCell="1" locked="0" behindDoc="1" simplePos="0" relativeHeight="485087232">
                    <wp:simplePos x="0" y="0"/>
                    <wp:positionH relativeFrom="page">
                      <wp:posOffset>1820291</wp:posOffset>
                    </wp:positionH>
                    <wp:positionV relativeFrom="paragraph">
                      <wp:posOffset>283598</wp:posOffset>
                    </wp:positionV>
                    <wp:extent cx="4415790" cy="1270"/>
                    <wp:effectExtent l="0" t="0" r="0" b="0"/>
                    <wp:wrapNone/>
                    <wp:docPr id="15" name="Graphic 15"/>
                    <wp:cNvGraphicFramePr>
                      <a:graphicFrameLocks/>
                    </wp:cNvGraphicFramePr>
                    <a:graphic>
                      <a:graphicData uri="http://schemas.microsoft.com/office/word/2010/wordprocessingShape">
                        <wps:wsp>
                          <wps:cNvPr id="15" name="Graphic 15"/>
                          <wps:cNvSpPr/>
                          <wps:spPr>
                            <a:xfrm>
                              <a:off x="0" y="0"/>
                              <a:ext cx="4415790" cy="1270"/>
                            </a:xfrm>
                            <a:custGeom>
                              <a:avLst/>
                              <a:gdLst/>
                              <a:ahLst/>
                              <a:cxnLst/>
                              <a:rect l="l" t="t" r="r" b="b"/>
                              <a:pathLst>
                                <a:path w="4415790" h="0">
                                  <a:moveTo>
                                    <a:pt x="0" y="0"/>
                                  </a:moveTo>
                                  <a:lnTo>
                                    <a:pt x="4415284"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9248" from="143.330002pt,22.330612pt" to="490.99019pt,22.330612pt" stroked="true" strokeweight=".885563pt" strokecolor="#000000">
                    <v:stroke dashstyle="shortdash"/>
                    <w10:wrap type="none"/>
                  </v:line>
                </w:pict>
              </mc:Fallback>
            </mc:AlternateContent>
          </w:r>
          <w:r>
            <w:rPr>
              <w:spacing w:val="-2"/>
            </w:rPr>
            <w:t>Abstract</w:t>
          </w:r>
          <w:r>
            <w:rPr/>
            <w:tab/>
          </w:r>
          <w:r>
            <w:rPr>
              <w:spacing w:val="-5"/>
            </w:rPr>
            <w:t>xx</w:t>
          </w:r>
        </w:p>
        <w:p>
          <w:pPr>
            <w:pStyle w:val="TOC1"/>
          </w:pPr>
          <w:hyperlink w:history="true" w:anchor="_TOC_250051">
            <w:r>
              <w:rPr/>
              <w:t>CHAPTER</w:t>
            </w:r>
            <w:r>
              <w:rPr>
                <w:spacing w:val="-8"/>
              </w:rPr>
              <w:t> </w:t>
            </w:r>
            <w:r>
              <w:rPr>
                <w:spacing w:val="-5"/>
              </w:rPr>
              <w:t>ONE</w:t>
            </w:r>
          </w:hyperlink>
        </w:p>
        <w:p>
          <w:pPr>
            <w:pStyle w:val="TOC2"/>
            <w:tabs>
              <w:tab w:pos="8350" w:val="right" w:leader="hyphen"/>
            </w:tabs>
            <w:spacing w:line="275" w:lineRule="exact"/>
          </w:pPr>
          <w:r>
            <w:rPr/>
            <w:t>General</w:t>
          </w:r>
          <w:r>
            <w:rPr>
              <w:spacing w:val="-6"/>
            </w:rPr>
            <w:t> </w:t>
          </w:r>
          <w:r>
            <w:rPr>
              <w:spacing w:val="-2"/>
            </w:rPr>
            <w:t>Introduction</w:t>
          </w:r>
          <w:r>
            <w:rPr/>
            <w:tab/>
          </w:r>
          <w:r>
            <w:rPr>
              <w:spacing w:val="-10"/>
            </w:rPr>
            <w:t>1</w:t>
          </w:r>
        </w:p>
        <w:p>
          <w:pPr>
            <w:pStyle w:val="TOC3"/>
            <w:numPr>
              <w:ilvl w:val="1"/>
              <w:numId w:val="1"/>
            </w:numPr>
            <w:tabs>
              <w:tab w:pos="1028" w:val="left" w:leader="none"/>
              <w:tab w:pos="8350" w:val="right" w:leader="none"/>
            </w:tabs>
            <w:spacing w:line="240" w:lineRule="auto" w:before="271" w:after="0"/>
            <w:ind w:left="1028" w:right="0" w:hanging="720"/>
            <w:jc w:val="left"/>
          </w:pPr>
          <w:r>
            <w:rPr/>
            <mc:AlternateContent>
              <mc:Choice Requires="wps">
                <w:drawing>
                  <wp:anchor distT="0" distB="0" distL="0" distR="0" allowOverlap="1" layoutInCell="1" locked="0" behindDoc="1" simplePos="0" relativeHeight="485087744">
                    <wp:simplePos x="0" y="0"/>
                    <wp:positionH relativeFrom="page">
                      <wp:posOffset>2463673</wp:posOffset>
                    </wp:positionH>
                    <wp:positionV relativeFrom="paragraph">
                      <wp:posOffset>280453</wp:posOffset>
                    </wp:positionV>
                    <wp:extent cx="3698240" cy="1270"/>
                    <wp:effectExtent l="0" t="0" r="0" b="0"/>
                    <wp:wrapNone/>
                    <wp:docPr id="16" name="Graphic 16"/>
                    <wp:cNvGraphicFramePr>
                      <a:graphicFrameLocks/>
                    </wp:cNvGraphicFramePr>
                    <a:graphic>
                      <a:graphicData uri="http://schemas.microsoft.com/office/word/2010/wordprocessingShape">
                        <wps:wsp>
                          <wps:cNvPr id="16" name="Graphic 16"/>
                          <wps:cNvSpPr/>
                          <wps:spPr>
                            <a:xfrm>
                              <a:off x="0" y="0"/>
                              <a:ext cx="3698240" cy="1270"/>
                            </a:xfrm>
                            <a:custGeom>
                              <a:avLst/>
                              <a:gdLst/>
                              <a:ahLst/>
                              <a:cxnLst/>
                              <a:rect l="l" t="t" r="r" b="b"/>
                              <a:pathLst>
                                <a:path w="3698240" h="0">
                                  <a:moveTo>
                                    <a:pt x="0" y="0"/>
                                  </a:moveTo>
                                  <a:lnTo>
                                    <a:pt x="3698225"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8736" from="193.990005pt,22.082968pt" to="485.188877pt,22.082968pt" stroked="true" strokeweight=".885563pt" strokecolor="#000000">
                    <v:stroke dashstyle="shortdash"/>
                    <w10:wrap type="none"/>
                  </v:line>
                </w:pict>
              </mc:Fallback>
            </mc:AlternateContent>
          </w:r>
          <w:r>
            <w:rPr>
              <w:spacing w:val="-2"/>
            </w:rPr>
            <w:t>Background</w:t>
          </w:r>
          <w:r>
            <w:rPr/>
            <w:tab/>
          </w:r>
          <w:r>
            <w:rPr>
              <w:spacing w:val="-10"/>
            </w:rPr>
            <w:t>1</w:t>
          </w:r>
        </w:p>
        <w:p>
          <w:pPr>
            <w:pStyle w:val="TOC3"/>
            <w:numPr>
              <w:ilvl w:val="1"/>
              <w:numId w:val="1"/>
            </w:numPr>
            <w:tabs>
              <w:tab w:pos="1028" w:val="left" w:leader="none"/>
              <w:tab w:pos="8470" w:val="right" w:leader="none"/>
            </w:tabs>
            <w:spacing w:line="240" w:lineRule="auto" w:before="277" w:after="0"/>
            <w:ind w:left="1028" w:right="0" w:hanging="720"/>
            <w:jc w:val="left"/>
          </w:pPr>
          <w:r>
            <w:rPr/>
            <mc:AlternateContent>
              <mc:Choice Requires="wps">
                <w:drawing>
                  <wp:anchor distT="0" distB="0" distL="0" distR="0" allowOverlap="1" layoutInCell="1" locked="0" behindDoc="1" simplePos="0" relativeHeight="485088256">
                    <wp:simplePos x="0" y="0"/>
                    <wp:positionH relativeFrom="page">
                      <wp:posOffset>3268726</wp:posOffset>
                    </wp:positionH>
                    <wp:positionV relativeFrom="paragraph">
                      <wp:posOffset>283897</wp:posOffset>
                    </wp:positionV>
                    <wp:extent cx="2898140" cy="1270"/>
                    <wp:effectExtent l="0" t="0" r="0" b="0"/>
                    <wp:wrapNone/>
                    <wp:docPr id="17" name="Graphic 17"/>
                    <wp:cNvGraphicFramePr>
                      <a:graphicFrameLocks/>
                    </wp:cNvGraphicFramePr>
                    <a:graphic>
                      <a:graphicData uri="http://schemas.microsoft.com/office/word/2010/wordprocessingShape">
                        <wps:wsp>
                          <wps:cNvPr id="17" name="Graphic 17"/>
                          <wps:cNvSpPr/>
                          <wps:spPr>
                            <a:xfrm>
                              <a:off x="0" y="0"/>
                              <a:ext cx="2898140" cy="1270"/>
                            </a:xfrm>
                            <a:custGeom>
                              <a:avLst/>
                              <a:gdLst/>
                              <a:ahLst/>
                              <a:cxnLst/>
                              <a:rect l="l" t="t" r="r" b="b"/>
                              <a:pathLst>
                                <a:path w="2898140" h="0">
                                  <a:moveTo>
                                    <a:pt x="0" y="0"/>
                                  </a:moveTo>
                                  <a:lnTo>
                                    <a:pt x="2897649"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8224" from="257.380005pt,22.354134pt" to="485.54137pt,22.354134pt" stroked="true" strokeweight=".885563pt" strokecolor="#000000">
                    <v:stroke dashstyle="dash"/>
                    <w10:wrap type="none"/>
                  </v:line>
                </w:pict>
              </mc:Fallback>
            </mc:AlternateContent>
          </w:r>
          <w:hyperlink w:history="true" w:anchor="_TOC_250050">
            <w:r>
              <w:rPr/>
              <w:t>Statement of</w:t>
            </w:r>
            <w:r>
              <w:rPr>
                <w:spacing w:val="-8"/>
              </w:rPr>
              <w:t> </w:t>
            </w:r>
            <w:r>
              <w:rPr/>
              <w:t>the </w:t>
            </w:r>
            <w:r>
              <w:rPr>
                <w:spacing w:val="-2"/>
              </w:rPr>
              <w:t>Problem</w:t>
            </w:r>
            <w:r>
              <w:rPr/>
              <w:tab/>
            </w:r>
            <w:r>
              <w:rPr>
                <w:spacing w:val="-5"/>
              </w:rPr>
              <w:t>10</w:t>
            </w:r>
          </w:hyperlink>
        </w:p>
        <w:p>
          <w:pPr>
            <w:pStyle w:val="TOC3"/>
            <w:numPr>
              <w:ilvl w:val="1"/>
              <w:numId w:val="1"/>
            </w:numPr>
            <w:tabs>
              <w:tab w:pos="1028" w:val="left" w:leader="none"/>
              <w:tab w:pos="847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88768">
                    <wp:simplePos x="0" y="0"/>
                    <wp:positionH relativeFrom="page">
                      <wp:posOffset>2875533</wp:posOffset>
                    </wp:positionH>
                    <wp:positionV relativeFrom="paragraph">
                      <wp:posOffset>283277</wp:posOffset>
                    </wp:positionV>
                    <wp:extent cx="3304540" cy="1270"/>
                    <wp:effectExtent l="0" t="0" r="0" b="0"/>
                    <wp:wrapNone/>
                    <wp:docPr id="18" name="Graphic 18"/>
                    <wp:cNvGraphicFramePr>
                      <a:graphicFrameLocks/>
                    </wp:cNvGraphicFramePr>
                    <a:graphic>
                      <a:graphicData uri="http://schemas.microsoft.com/office/word/2010/wordprocessingShape">
                        <wps:wsp>
                          <wps:cNvPr id="18" name="Graphic 18"/>
                          <wps:cNvSpPr/>
                          <wps:spPr>
                            <a:xfrm>
                              <a:off x="0" y="0"/>
                              <a:ext cx="3304540" cy="1270"/>
                            </a:xfrm>
                            <a:custGeom>
                              <a:avLst/>
                              <a:gdLst/>
                              <a:ahLst/>
                              <a:cxnLst/>
                              <a:rect l="l" t="t" r="r" b="b"/>
                              <a:pathLst>
                                <a:path w="3304540" h="0">
                                  <a:moveTo>
                                    <a:pt x="0" y="0"/>
                                  </a:moveTo>
                                  <a:lnTo>
                                    <a:pt x="3304109"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7712" from="226.419998pt,22.305313pt" to="486.586092pt,22.305313pt" stroked="true" strokeweight=".885563pt" strokecolor="#000000">
                    <v:stroke dashstyle="dash"/>
                    <w10:wrap type="none"/>
                  </v:line>
                </w:pict>
              </mc:Fallback>
            </mc:AlternateContent>
          </w:r>
          <w:hyperlink w:history="true" w:anchor="_TOC_250049">
            <w:r>
              <w:rPr/>
              <w:t>Aim</w:t>
            </w:r>
            <w:r>
              <w:rPr>
                <w:spacing w:val="-4"/>
              </w:rPr>
              <w:t> </w:t>
            </w:r>
            <w:r>
              <w:rPr/>
              <w:t>and</w:t>
            </w:r>
            <w:r>
              <w:rPr>
                <w:spacing w:val="1"/>
              </w:rPr>
              <w:t> </w:t>
            </w:r>
            <w:r>
              <w:rPr>
                <w:spacing w:val="-2"/>
              </w:rPr>
              <w:t>Objective</w:t>
            </w:r>
            <w:r>
              <w:rPr/>
              <w:tab/>
            </w:r>
            <w:r>
              <w:rPr>
                <w:spacing w:val="-5"/>
              </w:rPr>
              <w:t>10</w:t>
            </w:r>
          </w:hyperlink>
        </w:p>
        <w:p>
          <w:pPr>
            <w:pStyle w:val="TOC3"/>
            <w:numPr>
              <w:ilvl w:val="1"/>
              <w:numId w:val="1"/>
            </w:numPr>
            <w:tabs>
              <w:tab w:pos="1028" w:val="left" w:leader="none"/>
              <w:tab w:pos="847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89280">
                    <wp:simplePos x="0" y="0"/>
                    <wp:positionH relativeFrom="page">
                      <wp:posOffset>3091942</wp:posOffset>
                    </wp:positionH>
                    <wp:positionV relativeFrom="paragraph">
                      <wp:posOffset>283292</wp:posOffset>
                    </wp:positionV>
                    <wp:extent cx="3093085" cy="1270"/>
                    <wp:effectExtent l="0" t="0" r="0" b="0"/>
                    <wp:wrapNone/>
                    <wp:docPr id="19" name="Graphic 19"/>
                    <wp:cNvGraphicFramePr>
                      <a:graphicFrameLocks/>
                    </wp:cNvGraphicFramePr>
                    <a:graphic>
                      <a:graphicData uri="http://schemas.microsoft.com/office/word/2010/wordprocessingShape">
                        <wps:wsp>
                          <wps:cNvPr id="19" name="Graphic 19"/>
                          <wps:cNvSpPr/>
                          <wps:spPr>
                            <a:xfrm>
                              <a:off x="0" y="0"/>
                              <a:ext cx="3093085" cy="1270"/>
                            </a:xfrm>
                            <a:custGeom>
                              <a:avLst/>
                              <a:gdLst/>
                              <a:ahLst/>
                              <a:cxnLst/>
                              <a:rect l="l" t="t" r="r" b="b"/>
                              <a:pathLst>
                                <a:path w="3093085" h="0">
                                  <a:moveTo>
                                    <a:pt x="0" y="0"/>
                                  </a:moveTo>
                                  <a:lnTo>
                                    <a:pt x="3092726"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7200" from="243.460007pt,22.30649pt" to="486.981749pt,22.30649pt" stroked="true" strokeweight=".885563pt" strokecolor="#000000">
                    <v:stroke dashstyle="shortdash"/>
                    <w10:wrap type="none"/>
                  </v:line>
                </w:pict>
              </mc:Fallback>
            </mc:AlternateContent>
          </w:r>
          <w:hyperlink w:history="true" w:anchor="_TOC_250048">
            <w:r>
              <w:rPr/>
              <w:t>Scope</w:t>
            </w:r>
            <w:r>
              <w:rPr>
                <w:spacing w:val="-2"/>
              </w:rPr>
              <w:t> </w:t>
            </w:r>
            <w:r>
              <w:rPr/>
              <w:t>of</w:t>
            </w:r>
            <w:r>
              <w:rPr>
                <w:spacing w:val="-4"/>
              </w:rPr>
              <w:t> </w:t>
            </w:r>
            <w:r>
              <w:rPr/>
              <w:t>the</w:t>
            </w:r>
            <w:r>
              <w:rPr>
                <w:spacing w:val="4"/>
              </w:rPr>
              <w:t> </w:t>
            </w:r>
            <w:r>
              <w:rPr>
                <w:spacing w:val="-2"/>
              </w:rPr>
              <w:t>Research</w:t>
            </w:r>
            <w:r>
              <w:rPr/>
              <w:tab/>
            </w:r>
            <w:r>
              <w:rPr>
                <w:spacing w:val="-5"/>
              </w:rPr>
              <w:t>10</w:t>
            </w:r>
          </w:hyperlink>
        </w:p>
        <w:p>
          <w:pPr>
            <w:pStyle w:val="TOC3"/>
            <w:numPr>
              <w:ilvl w:val="1"/>
              <w:numId w:val="1"/>
            </w:numPr>
            <w:tabs>
              <w:tab w:pos="1028" w:val="left" w:leader="none"/>
              <w:tab w:pos="847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89792">
                    <wp:simplePos x="0" y="0"/>
                    <wp:positionH relativeFrom="page">
                      <wp:posOffset>2536825</wp:posOffset>
                    </wp:positionH>
                    <wp:positionV relativeFrom="paragraph">
                      <wp:posOffset>283688</wp:posOffset>
                    </wp:positionV>
                    <wp:extent cx="3654425" cy="1270"/>
                    <wp:effectExtent l="0" t="0" r="0" b="0"/>
                    <wp:wrapNone/>
                    <wp:docPr id="20" name="Graphic 20"/>
                    <wp:cNvGraphicFramePr>
                      <a:graphicFrameLocks/>
                    </wp:cNvGraphicFramePr>
                    <a:graphic>
                      <a:graphicData uri="http://schemas.microsoft.com/office/word/2010/wordprocessingShape">
                        <wps:wsp>
                          <wps:cNvPr id="20" name="Graphic 20"/>
                          <wps:cNvSpPr/>
                          <wps:spPr>
                            <a:xfrm>
                              <a:off x="0" y="0"/>
                              <a:ext cx="3654425" cy="1270"/>
                            </a:xfrm>
                            <a:custGeom>
                              <a:avLst/>
                              <a:gdLst/>
                              <a:ahLst/>
                              <a:cxnLst/>
                              <a:rect l="l" t="t" r="r" b="b"/>
                              <a:pathLst>
                                <a:path w="3654425" h="0">
                                  <a:moveTo>
                                    <a:pt x="0" y="0"/>
                                  </a:moveTo>
                                  <a:lnTo>
                                    <a:pt x="3654091"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6688" from="199.75pt,22.337667pt" to="487.473742pt,22.337667pt" stroked="true" strokeweight=".885563pt" strokecolor="#000000">
                    <v:stroke dashstyle="dash"/>
                    <w10:wrap type="none"/>
                  </v:line>
                </w:pict>
              </mc:Fallback>
            </mc:AlternateContent>
          </w:r>
          <w:hyperlink w:history="true" w:anchor="_TOC_250047">
            <w:r>
              <w:rPr>
                <w:spacing w:val="-2"/>
              </w:rPr>
              <w:t>Methodology</w:t>
            </w:r>
            <w:r>
              <w:rPr/>
              <w:tab/>
            </w:r>
            <w:r>
              <w:rPr>
                <w:spacing w:val="-5"/>
              </w:rPr>
              <w:t>11</w:t>
            </w:r>
          </w:hyperlink>
        </w:p>
        <w:p>
          <w:pPr>
            <w:pStyle w:val="TOC3"/>
            <w:numPr>
              <w:ilvl w:val="1"/>
              <w:numId w:val="1"/>
            </w:numPr>
            <w:tabs>
              <w:tab w:pos="1028" w:val="left" w:leader="none"/>
              <w:tab w:pos="847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0304">
                    <wp:simplePos x="0" y="0"/>
                    <wp:positionH relativeFrom="page">
                      <wp:posOffset>2820670</wp:posOffset>
                    </wp:positionH>
                    <wp:positionV relativeFrom="paragraph">
                      <wp:posOffset>283703</wp:posOffset>
                    </wp:positionV>
                    <wp:extent cx="3400425" cy="1270"/>
                    <wp:effectExtent l="0" t="0" r="0" b="0"/>
                    <wp:wrapNone/>
                    <wp:docPr id="21" name="Graphic 21"/>
                    <wp:cNvGraphicFramePr>
                      <a:graphicFrameLocks/>
                    </wp:cNvGraphicFramePr>
                    <a:graphic>
                      <a:graphicData uri="http://schemas.microsoft.com/office/word/2010/wordprocessingShape">
                        <wps:wsp>
                          <wps:cNvPr id="21" name="Graphic 21"/>
                          <wps:cNvSpPr/>
                          <wps:spPr>
                            <a:xfrm>
                              <a:off x="0" y="0"/>
                              <a:ext cx="3400425" cy="1270"/>
                            </a:xfrm>
                            <a:custGeom>
                              <a:avLst/>
                              <a:gdLst/>
                              <a:ahLst/>
                              <a:cxnLst/>
                              <a:rect l="l" t="t" r="r" b="b"/>
                              <a:pathLst>
                                <a:path w="3400425" h="0">
                                  <a:moveTo>
                                    <a:pt x="0" y="0"/>
                                  </a:moveTo>
                                  <a:lnTo>
                                    <a:pt x="3399819"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6176" from="222.100006pt,22.338829pt" to="489.802313pt,22.338829pt" stroked="true" strokeweight=".885563pt" strokecolor="#000000">
                    <v:stroke dashstyle="shortdash"/>
                    <w10:wrap type="none"/>
                  </v:line>
                </w:pict>
              </mc:Fallback>
            </mc:AlternateContent>
          </w:r>
          <w:hyperlink w:history="true" w:anchor="_TOC_250046">
            <w:r>
              <w:rPr/>
              <w:t>Literature</w:t>
            </w:r>
            <w:r>
              <w:rPr>
                <w:spacing w:val="2"/>
              </w:rPr>
              <w:t> </w:t>
            </w:r>
            <w:r>
              <w:rPr>
                <w:spacing w:val="-2"/>
              </w:rPr>
              <w:t>Review</w:t>
            </w:r>
            <w:r>
              <w:rPr/>
              <w:tab/>
            </w:r>
            <w:r>
              <w:rPr>
                <w:spacing w:val="-5"/>
              </w:rPr>
              <w:t>11</w:t>
            </w:r>
          </w:hyperlink>
        </w:p>
        <w:p>
          <w:pPr>
            <w:pStyle w:val="TOC3"/>
            <w:numPr>
              <w:ilvl w:val="1"/>
              <w:numId w:val="1"/>
            </w:numPr>
            <w:tabs>
              <w:tab w:pos="1028" w:val="left" w:leader="none"/>
              <w:tab w:pos="847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0816">
                    <wp:simplePos x="0" y="0"/>
                    <wp:positionH relativeFrom="page">
                      <wp:posOffset>2460625</wp:posOffset>
                    </wp:positionH>
                    <wp:positionV relativeFrom="paragraph">
                      <wp:posOffset>283718</wp:posOffset>
                    </wp:positionV>
                    <wp:extent cx="3761740" cy="1270"/>
                    <wp:effectExtent l="0" t="0" r="0" b="0"/>
                    <wp:wrapNone/>
                    <wp:docPr id="22" name="Graphic 22"/>
                    <wp:cNvGraphicFramePr>
                      <a:graphicFrameLocks/>
                    </wp:cNvGraphicFramePr>
                    <a:graphic>
                      <a:graphicData uri="http://schemas.microsoft.com/office/word/2010/wordprocessingShape">
                        <wps:wsp>
                          <wps:cNvPr id="22" name="Graphic 22"/>
                          <wps:cNvSpPr/>
                          <wps:spPr>
                            <a:xfrm>
                              <a:off x="0" y="0"/>
                              <a:ext cx="3761740" cy="1270"/>
                            </a:xfrm>
                            <a:custGeom>
                              <a:avLst/>
                              <a:gdLst/>
                              <a:ahLst/>
                              <a:cxnLst/>
                              <a:rect l="l" t="t" r="r" b="b"/>
                              <a:pathLst>
                                <a:path w="3761740" h="0">
                                  <a:moveTo>
                                    <a:pt x="0" y="0"/>
                                  </a:moveTo>
                                  <a:lnTo>
                                    <a:pt x="3761320"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5664" from="193.75pt,22.340008pt" to="489.916966pt,22.340008pt" stroked="true" strokeweight=".885563pt" strokecolor="#000000">
                    <v:stroke dashstyle="dash"/>
                    <w10:wrap type="none"/>
                  </v:line>
                </w:pict>
              </mc:Fallback>
            </mc:AlternateContent>
          </w:r>
          <w:hyperlink w:history="true" w:anchor="_TOC_250045">
            <w:r>
              <w:rPr>
                <w:spacing w:val="-2"/>
              </w:rPr>
              <w:t>Justification</w:t>
            </w:r>
            <w:r>
              <w:rPr/>
              <w:tab/>
            </w:r>
            <w:r>
              <w:rPr>
                <w:spacing w:val="-5"/>
              </w:rPr>
              <w:t>17</w:t>
            </w:r>
          </w:hyperlink>
        </w:p>
        <w:p>
          <w:pPr>
            <w:pStyle w:val="TOC3"/>
            <w:numPr>
              <w:ilvl w:val="1"/>
              <w:numId w:val="1"/>
            </w:numPr>
            <w:tabs>
              <w:tab w:pos="1028" w:val="left" w:leader="none"/>
              <w:tab w:pos="8470" w:val="right" w:leader="none"/>
            </w:tabs>
            <w:spacing w:line="240" w:lineRule="auto" w:before="277" w:after="0"/>
            <w:ind w:left="1028" w:right="0" w:hanging="720"/>
            <w:jc w:val="left"/>
          </w:pPr>
          <w:r>
            <w:rPr/>
            <mc:AlternateContent>
              <mc:Choice Requires="wps">
                <w:drawing>
                  <wp:anchor distT="0" distB="0" distL="0" distR="0" allowOverlap="1" layoutInCell="1" locked="0" behindDoc="1" simplePos="0" relativeHeight="485091328">
                    <wp:simplePos x="0" y="0"/>
                    <wp:positionH relativeFrom="page">
                      <wp:posOffset>3094989</wp:posOffset>
                    </wp:positionH>
                    <wp:positionV relativeFrom="paragraph">
                      <wp:posOffset>283986</wp:posOffset>
                    </wp:positionV>
                    <wp:extent cx="3089910" cy="1270"/>
                    <wp:effectExtent l="0" t="0" r="0" b="0"/>
                    <wp:wrapNone/>
                    <wp:docPr id="23" name="Graphic 23"/>
                    <wp:cNvGraphicFramePr>
                      <a:graphicFrameLocks/>
                    </wp:cNvGraphicFramePr>
                    <a:graphic>
                      <a:graphicData uri="http://schemas.microsoft.com/office/word/2010/wordprocessingShape">
                        <wps:wsp>
                          <wps:cNvPr id="23" name="Graphic 23"/>
                          <wps:cNvSpPr/>
                          <wps:spPr>
                            <a:xfrm>
                              <a:off x="0" y="0"/>
                              <a:ext cx="3089910" cy="1270"/>
                            </a:xfrm>
                            <a:custGeom>
                              <a:avLst/>
                              <a:gdLst/>
                              <a:ahLst/>
                              <a:cxnLst/>
                              <a:rect l="l" t="t" r="r" b="b"/>
                              <a:pathLst>
                                <a:path w="3089910" h="0">
                                  <a:moveTo>
                                    <a:pt x="0" y="0"/>
                                  </a:moveTo>
                                  <a:lnTo>
                                    <a:pt x="3089830"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5152" from="243.699997pt,22.361176pt" to="486.993739pt,22.361176pt" stroked="true" strokeweight=".885563pt" strokecolor="#000000">
                    <v:stroke dashstyle="shortdash"/>
                    <w10:wrap type="none"/>
                  </v:line>
                </w:pict>
              </mc:Fallback>
            </mc:AlternateContent>
          </w:r>
          <w:hyperlink w:history="true" w:anchor="_TOC_250044">
            <w:r>
              <w:rPr/>
              <w:t>Organizational</w:t>
            </w:r>
            <w:r>
              <w:rPr>
                <w:spacing w:val="-9"/>
              </w:rPr>
              <w:t> </w:t>
            </w:r>
            <w:r>
              <w:rPr>
                <w:spacing w:val="-2"/>
              </w:rPr>
              <w:t>Layout</w:t>
            </w:r>
            <w:r>
              <w:rPr/>
              <w:tab/>
            </w:r>
            <w:r>
              <w:rPr>
                <w:spacing w:val="-5"/>
              </w:rPr>
              <w:t>17</w:t>
            </w:r>
          </w:hyperlink>
        </w:p>
        <w:p>
          <w:pPr>
            <w:pStyle w:val="TOC1"/>
            <w:spacing w:line="240" w:lineRule="auto" w:before="280"/>
          </w:pPr>
          <w:hyperlink w:history="true" w:anchor="_TOC_250043">
            <w:r>
              <w:rPr/>
              <w:t>CHAPTER</w:t>
            </w:r>
            <w:r>
              <w:rPr>
                <w:spacing w:val="-9"/>
              </w:rPr>
              <w:t> </w:t>
            </w:r>
            <w:r>
              <w:rPr>
                <w:spacing w:val="-5"/>
              </w:rPr>
              <w:t>TWO</w:t>
            </w:r>
          </w:hyperlink>
        </w:p>
        <w:p>
          <w:pPr>
            <w:pStyle w:val="TOC2"/>
            <w:tabs>
              <w:tab w:pos="8470" w:val="right" w:leader="hyphen"/>
            </w:tabs>
            <w:spacing w:before="3"/>
          </w:pPr>
          <w:r>
            <w:rPr/>
            <w:t>Directors</w:t>
          </w:r>
          <w:r>
            <w:rPr>
              <w:spacing w:val="-2"/>
            </w:rPr>
            <w:t> </w:t>
          </w:r>
          <w:r>
            <w:rPr/>
            <w:t>Under</w:t>
          </w:r>
          <w:r>
            <w:rPr>
              <w:spacing w:val="-6"/>
            </w:rPr>
            <w:t> </w:t>
          </w:r>
          <w:r>
            <w:rPr/>
            <w:t>Nigerian</w:t>
          </w:r>
          <w:r>
            <w:rPr>
              <w:spacing w:val="1"/>
            </w:rPr>
            <w:t> </w:t>
          </w:r>
          <w:r>
            <w:rPr/>
            <w:t>and UK Company</w:t>
          </w:r>
          <w:r>
            <w:rPr>
              <w:spacing w:val="1"/>
            </w:rPr>
            <w:t> </w:t>
          </w:r>
          <w:r>
            <w:rPr>
              <w:spacing w:val="-4"/>
            </w:rPr>
            <w:t>Laws</w:t>
          </w:r>
          <w:r>
            <w:rPr/>
            <w:tab/>
          </w:r>
          <w:r>
            <w:rPr>
              <w:spacing w:val="-5"/>
            </w:rPr>
            <w:t>19</w:t>
          </w:r>
        </w:p>
        <w:p>
          <w:pPr>
            <w:pStyle w:val="TOC3"/>
            <w:numPr>
              <w:ilvl w:val="1"/>
              <w:numId w:val="2"/>
            </w:numPr>
            <w:tabs>
              <w:tab w:pos="1028" w:val="left" w:leader="none"/>
              <w:tab w:pos="8470" w:val="right" w:leader="none"/>
            </w:tabs>
            <w:spacing w:line="240" w:lineRule="auto" w:before="267" w:after="0"/>
            <w:ind w:left="1028" w:right="0" w:hanging="720"/>
            <w:jc w:val="left"/>
          </w:pPr>
          <w:r>
            <w:rPr/>
            <mc:AlternateContent>
              <mc:Choice Requires="wps">
                <w:drawing>
                  <wp:anchor distT="0" distB="0" distL="0" distR="0" allowOverlap="1" layoutInCell="1" locked="0" behindDoc="1" simplePos="0" relativeHeight="485091840">
                    <wp:simplePos x="0" y="0"/>
                    <wp:positionH relativeFrom="page">
                      <wp:posOffset>2469769</wp:posOffset>
                    </wp:positionH>
                    <wp:positionV relativeFrom="paragraph">
                      <wp:posOffset>277808</wp:posOffset>
                    </wp:positionV>
                    <wp:extent cx="3701415" cy="1270"/>
                    <wp:effectExtent l="0" t="0" r="0" b="0"/>
                    <wp:wrapNone/>
                    <wp:docPr id="24" name="Graphic 24"/>
                    <wp:cNvGraphicFramePr>
                      <a:graphicFrameLocks/>
                    </wp:cNvGraphicFramePr>
                    <a:graphic>
                      <a:graphicData uri="http://schemas.microsoft.com/office/word/2010/wordprocessingShape">
                        <wps:wsp>
                          <wps:cNvPr id="24" name="Graphic 24"/>
                          <wps:cNvSpPr/>
                          <wps:spPr>
                            <a:xfrm>
                              <a:off x="0" y="0"/>
                              <a:ext cx="3701415" cy="1270"/>
                            </a:xfrm>
                            <a:custGeom>
                              <a:avLst/>
                              <a:gdLst/>
                              <a:ahLst/>
                              <a:cxnLst/>
                              <a:rect l="l" t="t" r="r" b="b"/>
                              <a:pathLst>
                                <a:path w="3701415" h="0">
                                  <a:moveTo>
                                    <a:pt x="0" y="0"/>
                                  </a:moveTo>
                                  <a:lnTo>
                                    <a:pt x="3701121"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4640" from="194.470001pt,21.874695pt" to="485.896873pt,21.874695pt" stroked="true" strokeweight=".885563pt" strokecolor="#000000">
                    <v:stroke dashstyle="shortdash"/>
                    <w10:wrap type="none"/>
                  </v:line>
                </w:pict>
              </mc:Fallback>
            </mc:AlternateContent>
          </w:r>
          <w:hyperlink w:history="true" w:anchor="_TOC_250042">
            <w:r>
              <w:rPr>
                <w:spacing w:val="-2"/>
              </w:rPr>
              <w:t>Introduction</w:t>
            </w:r>
            <w:r>
              <w:rPr/>
              <w:tab/>
            </w:r>
            <w:r>
              <w:rPr>
                <w:spacing w:val="-5"/>
              </w:rPr>
              <w:t>19</w:t>
            </w:r>
          </w:hyperlink>
        </w:p>
        <w:p>
          <w:pPr>
            <w:pStyle w:val="TOC3"/>
            <w:numPr>
              <w:ilvl w:val="1"/>
              <w:numId w:val="2"/>
            </w:numPr>
            <w:tabs>
              <w:tab w:pos="1028" w:val="left" w:leader="none"/>
              <w:tab w:pos="8470" w:val="right" w:leader="none"/>
            </w:tabs>
            <w:spacing w:line="240" w:lineRule="auto" w:before="276" w:after="240"/>
            <w:ind w:left="1028" w:right="0" w:hanging="720"/>
            <w:jc w:val="left"/>
          </w:pPr>
          <w:r>
            <w:rPr/>
            <mc:AlternateContent>
              <mc:Choice Requires="wps">
                <w:drawing>
                  <wp:anchor distT="0" distB="0" distL="0" distR="0" allowOverlap="1" layoutInCell="1" locked="0" behindDoc="1" simplePos="0" relativeHeight="485092352">
                    <wp:simplePos x="0" y="0"/>
                    <wp:positionH relativeFrom="page">
                      <wp:posOffset>2976117</wp:posOffset>
                    </wp:positionH>
                    <wp:positionV relativeFrom="paragraph">
                      <wp:posOffset>283487</wp:posOffset>
                    </wp:positionV>
                    <wp:extent cx="3239135" cy="1270"/>
                    <wp:effectExtent l="0" t="0" r="0" b="0"/>
                    <wp:wrapNone/>
                    <wp:docPr id="25" name="Graphic 25"/>
                    <wp:cNvGraphicFramePr>
                      <a:graphicFrameLocks/>
                    </wp:cNvGraphicFramePr>
                    <a:graphic>
                      <a:graphicData uri="http://schemas.microsoft.com/office/word/2010/wordprocessingShape">
                        <wps:wsp>
                          <wps:cNvPr id="25" name="Graphic 25"/>
                          <wps:cNvSpPr/>
                          <wps:spPr>
                            <a:xfrm>
                              <a:off x="0" y="0"/>
                              <a:ext cx="3239135" cy="1270"/>
                            </a:xfrm>
                            <a:custGeom>
                              <a:avLst/>
                              <a:gdLst/>
                              <a:ahLst/>
                              <a:cxnLst/>
                              <a:rect l="l" t="t" r="r" b="b"/>
                              <a:pathLst>
                                <a:path w="3239135" h="0">
                                  <a:moveTo>
                                    <a:pt x="0" y="0"/>
                                  </a:moveTo>
                                  <a:lnTo>
                                    <a:pt x="3239033"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4128" from="234.339996pt,22.321867pt" to="489.382021pt,22.321867pt" stroked="true" strokeweight=".885563pt" strokecolor="#000000">
                    <v:stroke dashstyle="shortdash"/>
                    <w10:wrap type="none"/>
                  </v:line>
                </w:pict>
              </mc:Fallback>
            </mc:AlternateContent>
          </w:r>
          <w:hyperlink w:history="true" w:anchor="_TOC_250041">
            <w:r>
              <w:rPr/>
              <w:t>Meaning of</w:t>
            </w:r>
            <w:r>
              <w:rPr>
                <w:spacing w:val="-6"/>
              </w:rPr>
              <w:t> </w:t>
            </w:r>
            <w:r>
              <w:rPr>
                <w:spacing w:val="-2"/>
              </w:rPr>
              <w:t>Director</w:t>
            </w:r>
            <w:r>
              <w:rPr/>
              <w:tab/>
            </w:r>
            <w:r>
              <w:rPr>
                <w:spacing w:val="-5"/>
              </w:rPr>
              <w:t>20</w:t>
            </w:r>
          </w:hyperlink>
        </w:p>
        <w:p>
          <w:pPr>
            <w:pStyle w:val="TOC3"/>
            <w:numPr>
              <w:ilvl w:val="1"/>
              <w:numId w:val="2"/>
            </w:numPr>
            <w:tabs>
              <w:tab w:pos="1028" w:val="left" w:leader="none"/>
              <w:tab w:pos="8230" w:val="left" w:leader="hyphen"/>
            </w:tabs>
            <w:spacing w:line="240" w:lineRule="auto" w:before="65" w:after="0"/>
            <w:ind w:left="1028" w:right="0" w:hanging="720"/>
            <w:jc w:val="left"/>
          </w:pPr>
          <w:hyperlink w:history="true" w:anchor="_TOC_250040">
            <w:r>
              <w:rPr/>
              <w:t>Qualification</w:t>
            </w:r>
            <w:r>
              <w:rPr>
                <w:spacing w:val="-1"/>
              </w:rPr>
              <w:t> </w:t>
            </w:r>
            <w:r>
              <w:rPr/>
              <w:t>for</w:t>
            </w:r>
            <w:r>
              <w:rPr>
                <w:spacing w:val="-4"/>
              </w:rPr>
              <w:t> </w:t>
            </w:r>
            <w:r>
              <w:rPr/>
              <w:t>the</w:t>
            </w:r>
            <w:r>
              <w:rPr>
                <w:spacing w:val="-2"/>
              </w:rPr>
              <w:t> </w:t>
            </w:r>
            <w:r>
              <w:rPr/>
              <w:t>Office</w:t>
            </w:r>
            <w:r>
              <w:rPr>
                <w:spacing w:val="-2"/>
              </w:rPr>
              <w:t> </w:t>
            </w:r>
            <w:r>
              <w:rPr/>
              <w:t>of</w:t>
            </w:r>
            <w:r>
              <w:rPr>
                <w:spacing w:val="-8"/>
              </w:rPr>
              <w:t> </w:t>
            </w:r>
            <w:r>
              <w:rPr>
                <w:spacing w:val="-2"/>
              </w:rPr>
              <w:t>Director</w:t>
            </w:r>
            <w:r>
              <w:rPr/>
              <w:tab/>
            </w:r>
            <w:r>
              <w:rPr>
                <w:spacing w:val="-5"/>
              </w:rPr>
              <w:t>24</w:t>
            </w:r>
          </w:hyperlink>
        </w:p>
        <w:p>
          <w:pPr>
            <w:pStyle w:val="TOC3"/>
            <w:numPr>
              <w:ilvl w:val="1"/>
              <w:numId w:val="2"/>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2864">
                    <wp:simplePos x="0" y="0"/>
                    <wp:positionH relativeFrom="page">
                      <wp:posOffset>3296158</wp:posOffset>
                    </wp:positionH>
                    <wp:positionV relativeFrom="paragraph">
                      <wp:posOffset>283488</wp:posOffset>
                    </wp:positionV>
                    <wp:extent cx="2889885" cy="1270"/>
                    <wp:effectExtent l="0" t="0" r="0" b="0"/>
                    <wp:wrapNone/>
                    <wp:docPr id="26" name="Graphic 26"/>
                    <wp:cNvGraphicFramePr>
                      <a:graphicFrameLocks/>
                    </wp:cNvGraphicFramePr>
                    <a:graphic>
                      <a:graphicData uri="http://schemas.microsoft.com/office/word/2010/wordprocessingShape">
                        <wps:wsp>
                          <wps:cNvPr id="26" name="Graphic 26"/>
                          <wps:cNvSpPr/>
                          <wps:spPr>
                            <a:xfrm>
                              <a:off x="0" y="0"/>
                              <a:ext cx="2889885" cy="1270"/>
                            </a:xfrm>
                            <a:custGeom>
                              <a:avLst/>
                              <a:gdLst/>
                              <a:ahLst/>
                              <a:cxnLst/>
                              <a:rect l="l" t="t" r="r" b="b"/>
                              <a:pathLst>
                                <a:path w="2889885" h="0">
                                  <a:moveTo>
                                    <a:pt x="0" y="0"/>
                                  </a:moveTo>
                                  <a:lnTo>
                                    <a:pt x="2889284"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3616" from="259.540009pt,22.321951pt" to="487.042738pt,22.321951pt" stroked="true" strokeweight=".885563pt" strokecolor="#000000">
                    <v:stroke dashstyle="shortdash"/>
                    <w10:wrap type="none"/>
                  </v:line>
                </w:pict>
              </mc:Fallback>
            </mc:AlternateContent>
          </w:r>
          <w:hyperlink w:history="true" w:anchor="_TOC_250039">
            <w:r>
              <w:rPr/>
              <w:t>Appointment</w:t>
            </w:r>
            <w:r>
              <w:rPr>
                <w:spacing w:val="-2"/>
              </w:rPr>
              <w:t> </w:t>
            </w:r>
            <w:r>
              <w:rPr/>
              <w:t>of</w:t>
            </w:r>
            <w:r>
              <w:rPr>
                <w:spacing w:val="-8"/>
              </w:rPr>
              <w:t> </w:t>
            </w:r>
            <w:r>
              <w:rPr>
                <w:spacing w:val="-2"/>
              </w:rPr>
              <w:t>Directors</w:t>
            </w:r>
            <w:r>
              <w:rPr/>
              <w:tab/>
            </w:r>
            <w:r>
              <w:rPr>
                <w:spacing w:val="-5"/>
              </w:rPr>
              <w:t>26</w:t>
            </w:r>
          </w:hyperlink>
        </w:p>
        <w:p>
          <w:pPr>
            <w:pStyle w:val="TOC3"/>
            <w:numPr>
              <w:ilvl w:val="2"/>
              <w:numId w:val="2"/>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3376">
                    <wp:simplePos x="0" y="0"/>
                    <wp:positionH relativeFrom="page">
                      <wp:posOffset>2606929</wp:posOffset>
                    </wp:positionH>
                    <wp:positionV relativeFrom="paragraph">
                      <wp:posOffset>283884</wp:posOffset>
                    </wp:positionV>
                    <wp:extent cx="3600450" cy="1270"/>
                    <wp:effectExtent l="0" t="0" r="0" b="0"/>
                    <wp:wrapNone/>
                    <wp:docPr id="27" name="Graphic 27"/>
                    <wp:cNvGraphicFramePr>
                      <a:graphicFrameLocks/>
                    </wp:cNvGraphicFramePr>
                    <a:graphic>
                      <a:graphicData uri="http://schemas.microsoft.com/office/word/2010/wordprocessingShape">
                        <wps:wsp>
                          <wps:cNvPr id="27" name="Graphic 27"/>
                          <wps:cNvSpPr/>
                          <wps:spPr>
                            <a:xfrm>
                              <a:off x="0" y="0"/>
                              <a:ext cx="3600450" cy="1270"/>
                            </a:xfrm>
                            <a:custGeom>
                              <a:avLst/>
                              <a:gdLst/>
                              <a:ahLst/>
                              <a:cxnLst/>
                              <a:rect l="l" t="t" r="r" b="b"/>
                              <a:pathLst>
                                <a:path w="3600450" h="0">
                                  <a:moveTo>
                                    <a:pt x="0" y="0"/>
                                  </a:moveTo>
                                  <a:lnTo>
                                    <a:pt x="3599849"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3104" from="205.270004pt,22.353127pt" to="488.722734pt,22.353127pt" stroked="true" strokeweight=".885563pt" strokecolor="#000000">
                    <v:stroke dashstyle="shortdash"/>
                    <w10:wrap type="none"/>
                  </v:line>
                </w:pict>
              </mc:Fallback>
            </mc:AlternateContent>
          </w:r>
          <w:hyperlink w:history="true" w:anchor="_TOC_250038">
            <w:r>
              <w:rPr/>
              <w:t>First </w:t>
            </w:r>
            <w:r>
              <w:rPr>
                <w:spacing w:val="-2"/>
              </w:rPr>
              <w:t>Directors</w:t>
            </w:r>
            <w:r>
              <w:rPr/>
              <w:tab/>
            </w:r>
            <w:r>
              <w:rPr>
                <w:spacing w:val="-5"/>
              </w:rPr>
              <w:t>27</w:t>
            </w:r>
          </w:hyperlink>
        </w:p>
        <w:p>
          <w:pPr>
            <w:pStyle w:val="TOC3"/>
            <w:numPr>
              <w:ilvl w:val="2"/>
              <w:numId w:val="2"/>
            </w:numPr>
            <w:tabs>
              <w:tab w:pos="1028" w:val="left" w:leader="none"/>
              <w:tab w:pos="8230" w:val="left" w:leader="none"/>
            </w:tabs>
            <w:spacing w:line="240" w:lineRule="auto" w:before="277" w:after="0"/>
            <w:ind w:left="1028" w:right="0" w:hanging="720"/>
            <w:jc w:val="left"/>
          </w:pPr>
          <w:r>
            <w:rPr/>
            <mc:AlternateContent>
              <mc:Choice Requires="wps">
                <w:drawing>
                  <wp:anchor distT="0" distB="0" distL="0" distR="0" allowOverlap="1" layoutInCell="1" locked="0" behindDoc="1" simplePos="0" relativeHeight="485093888">
                    <wp:simplePos x="0" y="0"/>
                    <wp:positionH relativeFrom="page">
                      <wp:posOffset>3030982</wp:posOffset>
                    </wp:positionH>
                    <wp:positionV relativeFrom="paragraph">
                      <wp:posOffset>283899</wp:posOffset>
                    </wp:positionV>
                    <wp:extent cx="3197860" cy="1270"/>
                    <wp:effectExtent l="0" t="0" r="0" b="0"/>
                    <wp:wrapNone/>
                    <wp:docPr id="28" name="Graphic 28"/>
                    <wp:cNvGraphicFramePr>
                      <a:graphicFrameLocks/>
                    </wp:cNvGraphicFramePr>
                    <a:graphic>
                      <a:graphicData uri="http://schemas.microsoft.com/office/word/2010/wordprocessingShape">
                        <wps:wsp>
                          <wps:cNvPr id="28" name="Graphic 28"/>
                          <wps:cNvSpPr/>
                          <wps:spPr>
                            <a:xfrm>
                              <a:off x="0" y="0"/>
                              <a:ext cx="3197860" cy="1270"/>
                            </a:xfrm>
                            <a:custGeom>
                              <a:avLst/>
                              <a:gdLst/>
                              <a:ahLst/>
                              <a:cxnLst/>
                              <a:rect l="l" t="t" r="r" b="b"/>
                              <a:pathLst>
                                <a:path w="3197860" h="0">
                                  <a:moveTo>
                                    <a:pt x="0" y="0"/>
                                  </a:moveTo>
                                  <a:lnTo>
                                    <a:pt x="3197279"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2592" from="238.660004pt,22.354275pt" to="490.414286pt,22.354275pt" stroked="true" strokeweight=".885563pt" strokecolor="#000000">
                    <v:stroke dashstyle="shortdash"/>
                    <w10:wrap type="none"/>
                  </v:line>
                </w:pict>
              </mc:Fallback>
            </mc:AlternateContent>
          </w:r>
          <w:hyperlink w:history="true" w:anchor="_TOC_250037">
            <w:r>
              <w:rPr/>
              <w:t>Subsequent </w:t>
            </w:r>
            <w:r>
              <w:rPr>
                <w:spacing w:val="-2"/>
              </w:rPr>
              <w:t>Directors</w:t>
            </w:r>
            <w:r>
              <w:rPr/>
              <w:tab/>
            </w:r>
            <w:r>
              <w:rPr>
                <w:spacing w:val="-5"/>
              </w:rPr>
              <w:t>28</w:t>
            </w:r>
          </w:hyperlink>
        </w:p>
        <w:p>
          <w:pPr>
            <w:pStyle w:val="TOC3"/>
            <w:numPr>
              <w:ilvl w:val="1"/>
              <w:numId w:val="2"/>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4400">
                    <wp:simplePos x="0" y="0"/>
                    <wp:positionH relativeFrom="page">
                      <wp:posOffset>2863342</wp:posOffset>
                    </wp:positionH>
                    <wp:positionV relativeFrom="paragraph">
                      <wp:posOffset>283279</wp:posOffset>
                    </wp:positionV>
                    <wp:extent cx="3291204" cy="1270"/>
                    <wp:effectExtent l="0" t="0" r="0" b="0"/>
                    <wp:wrapNone/>
                    <wp:docPr id="29" name="Graphic 29"/>
                    <wp:cNvGraphicFramePr>
                      <a:graphicFrameLocks/>
                    </wp:cNvGraphicFramePr>
                    <a:graphic>
                      <a:graphicData uri="http://schemas.microsoft.com/office/word/2010/wordprocessingShape">
                        <wps:wsp>
                          <wps:cNvPr id="29" name="Graphic 29"/>
                          <wps:cNvSpPr/>
                          <wps:spPr>
                            <a:xfrm>
                              <a:off x="0" y="0"/>
                              <a:ext cx="3291204" cy="1270"/>
                            </a:xfrm>
                            <a:custGeom>
                              <a:avLst/>
                              <a:gdLst/>
                              <a:ahLst/>
                              <a:cxnLst/>
                              <a:rect l="l" t="t" r="r" b="b"/>
                              <a:pathLst>
                                <a:path w="3291204" h="0">
                                  <a:moveTo>
                                    <a:pt x="0" y="0"/>
                                  </a:moveTo>
                                  <a:lnTo>
                                    <a:pt x="3290698"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2080" from="225.460007pt,22.305483pt" to="484.570125pt,22.305483pt" stroked="true" strokeweight=".885563pt" strokecolor="#000000">
                    <v:stroke dashstyle="shortdash"/>
                    <w10:wrap type="none"/>
                  </v:line>
                </w:pict>
              </mc:Fallback>
            </mc:AlternateContent>
          </w:r>
          <w:hyperlink w:history="true" w:anchor="_TOC_250036">
            <w:r>
              <w:rPr/>
              <w:t>Types</w:t>
            </w:r>
            <w:r>
              <w:rPr>
                <w:spacing w:val="-1"/>
              </w:rPr>
              <w:t> </w:t>
            </w:r>
            <w:r>
              <w:rPr/>
              <w:t>of</w:t>
            </w:r>
            <w:r>
              <w:rPr>
                <w:spacing w:val="-6"/>
              </w:rPr>
              <w:t> </w:t>
            </w:r>
            <w:r>
              <w:rPr>
                <w:spacing w:val="-2"/>
              </w:rPr>
              <w:t>Directors</w:t>
            </w:r>
            <w:r>
              <w:rPr/>
              <w:tab/>
            </w:r>
            <w:r>
              <w:rPr>
                <w:spacing w:val="-5"/>
              </w:rPr>
              <w:t>31</w:t>
            </w:r>
          </w:hyperlink>
        </w:p>
        <w:p>
          <w:pPr>
            <w:pStyle w:val="TOC3"/>
            <w:numPr>
              <w:ilvl w:val="1"/>
              <w:numId w:val="2"/>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4912">
                    <wp:simplePos x="0" y="0"/>
                    <wp:positionH relativeFrom="page">
                      <wp:posOffset>2863342</wp:posOffset>
                    </wp:positionH>
                    <wp:positionV relativeFrom="paragraph">
                      <wp:posOffset>283548</wp:posOffset>
                    </wp:positionV>
                    <wp:extent cx="3342640" cy="1270"/>
                    <wp:effectExtent l="0" t="0" r="0" b="0"/>
                    <wp:wrapNone/>
                    <wp:docPr id="30" name="Graphic 30"/>
                    <wp:cNvGraphicFramePr>
                      <a:graphicFrameLocks/>
                    </wp:cNvGraphicFramePr>
                    <a:graphic>
                      <a:graphicData uri="http://schemas.microsoft.com/office/word/2010/wordprocessingShape">
                        <wps:wsp>
                          <wps:cNvPr id="30" name="Graphic 30"/>
                          <wps:cNvSpPr/>
                          <wps:spPr>
                            <a:xfrm>
                              <a:off x="0" y="0"/>
                              <a:ext cx="3342640" cy="1270"/>
                            </a:xfrm>
                            <a:custGeom>
                              <a:avLst/>
                              <a:gdLst/>
                              <a:ahLst/>
                              <a:cxnLst/>
                              <a:rect l="l" t="t" r="r" b="b"/>
                              <a:pathLst>
                                <a:path w="3342640" h="0">
                                  <a:moveTo>
                                    <a:pt x="0" y="0"/>
                                  </a:moveTo>
                                  <a:lnTo>
                                    <a:pt x="3342363"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1568" from="225.460007pt,22.326651pt" to="488.638219pt,22.326651pt" stroked="true" strokeweight=".885563pt" strokecolor="#000000">
                    <v:stroke dashstyle="shortdash"/>
                    <w10:wrap type="none"/>
                  </v:line>
                </w:pict>
              </mc:Fallback>
            </mc:AlternateContent>
          </w:r>
          <w:hyperlink w:history="true" w:anchor="_TOC_250035">
            <w:r>
              <w:rPr/>
              <w:t>Status</w:t>
            </w:r>
            <w:r>
              <w:rPr>
                <w:spacing w:val="-1"/>
              </w:rPr>
              <w:t> </w:t>
            </w:r>
            <w:r>
              <w:rPr/>
              <w:t>of</w:t>
            </w:r>
            <w:r>
              <w:rPr>
                <w:spacing w:val="-2"/>
              </w:rPr>
              <w:t> Directors</w:t>
            </w:r>
            <w:r>
              <w:rPr/>
              <w:tab/>
            </w:r>
            <w:r>
              <w:rPr>
                <w:spacing w:val="-5"/>
              </w:rPr>
              <w:t>41</w:t>
            </w:r>
          </w:hyperlink>
        </w:p>
        <w:p>
          <w:pPr>
            <w:pStyle w:val="TOC3"/>
            <w:numPr>
              <w:ilvl w:val="1"/>
              <w:numId w:val="2"/>
            </w:numPr>
            <w:tabs>
              <w:tab w:pos="1028" w:val="left" w:leader="none"/>
              <w:tab w:pos="8230" w:val="left" w:leader="hyphen"/>
            </w:tabs>
            <w:spacing w:line="240" w:lineRule="auto" w:before="276" w:after="0"/>
            <w:ind w:left="1028" w:right="0" w:hanging="720"/>
            <w:jc w:val="left"/>
          </w:pPr>
          <w:r>
            <w:rPr/>
            <w:t>Division</w:t>
          </w:r>
          <w:r>
            <w:rPr>
              <w:spacing w:val="-5"/>
            </w:rPr>
            <w:t> </w:t>
          </w:r>
          <w:r>
            <w:rPr/>
            <w:t>of</w:t>
          </w:r>
          <w:r>
            <w:rPr>
              <w:spacing w:val="-6"/>
            </w:rPr>
            <w:t> </w:t>
          </w:r>
          <w:r>
            <w:rPr/>
            <w:t>Powers between</w:t>
          </w:r>
          <w:r>
            <w:rPr>
              <w:spacing w:val="-3"/>
            </w:rPr>
            <w:t> </w:t>
          </w:r>
          <w:r>
            <w:rPr/>
            <w:t>Directors and</w:t>
          </w:r>
          <w:r>
            <w:rPr>
              <w:spacing w:val="2"/>
            </w:rPr>
            <w:t> </w:t>
          </w:r>
          <w:r>
            <w:rPr/>
            <w:t>the</w:t>
          </w:r>
          <w:r>
            <w:rPr>
              <w:spacing w:val="3"/>
            </w:rPr>
            <w:t> </w:t>
          </w:r>
          <w:r>
            <w:rPr/>
            <w:t>General</w:t>
          </w:r>
          <w:r>
            <w:rPr>
              <w:spacing w:val="-6"/>
            </w:rPr>
            <w:t> </w:t>
          </w:r>
          <w:r>
            <w:rPr>
              <w:spacing w:val="-2"/>
            </w:rPr>
            <w:t>Meeting</w:t>
          </w:r>
          <w:r>
            <w:rPr/>
            <w:tab/>
          </w:r>
          <w:r>
            <w:rPr>
              <w:spacing w:val="-5"/>
            </w:rPr>
            <w:t>45</w:t>
          </w:r>
        </w:p>
        <w:p>
          <w:pPr>
            <w:pStyle w:val="TOC1"/>
          </w:pPr>
          <w:hyperlink w:history="true" w:anchor="_TOC_250034">
            <w:r>
              <w:rPr/>
              <w:t>CHAPTER</w:t>
            </w:r>
            <w:r>
              <w:rPr>
                <w:spacing w:val="-9"/>
              </w:rPr>
              <w:t> </w:t>
            </w:r>
            <w:r>
              <w:rPr>
                <w:spacing w:val="-4"/>
              </w:rPr>
              <w:t>THREE</w:t>
            </w:r>
          </w:hyperlink>
        </w:p>
        <w:p>
          <w:pPr>
            <w:pStyle w:val="TOC2"/>
            <w:tabs>
              <w:tab w:pos="8235" w:val="left" w:leader="hyphen"/>
            </w:tabs>
            <w:spacing w:line="242" w:lineRule="auto"/>
            <w:ind w:right="255"/>
          </w:pPr>
          <w:r>
            <w:rPr/>
            <w:t>Duties of Care</w:t>
          </w:r>
          <w:r>
            <w:rPr>
              <w:spacing w:val="23"/>
            </w:rPr>
            <w:t> </w:t>
          </w:r>
          <w:r>
            <w:rPr/>
            <w:t>and</w:t>
          </w:r>
          <w:r>
            <w:rPr>
              <w:spacing w:val="24"/>
            </w:rPr>
            <w:t> </w:t>
          </w:r>
          <w:r>
            <w:rPr/>
            <w:t>Skill and</w:t>
          </w:r>
          <w:r>
            <w:rPr>
              <w:spacing w:val="24"/>
            </w:rPr>
            <w:t> </w:t>
          </w:r>
          <w:r>
            <w:rPr/>
            <w:t>Fiduciary</w:t>
          </w:r>
          <w:r>
            <w:rPr>
              <w:spacing w:val="24"/>
            </w:rPr>
            <w:t> </w:t>
          </w:r>
          <w:r>
            <w:rPr/>
            <w:t>Duties</w:t>
          </w:r>
          <w:r>
            <w:rPr>
              <w:spacing w:val="26"/>
            </w:rPr>
            <w:t> </w:t>
          </w:r>
          <w:r>
            <w:rPr/>
            <w:t>of Loyalty</w:t>
          </w:r>
          <w:r>
            <w:rPr>
              <w:spacing w:val="24"/>
            </w:rPr>
            <w:t> </w:t>
          </w:r>
          <w:r>
            <w:rPr/>
            <w:t>and</w:t>
          </w:r>
          <w:r>
            <w:rPr>
              <w:spacing w:val="24"/>
            </w:rPr>
            <w:t> </w:t>
          </w:r>
          <w:r>
            <w:rPr/>
            <w:t>Good</w:t>
          </w:r>
          <w:r>
            <w:rPr>
              <w:spacing w:val="25"/>
            </w:rPr>
            <w:t> </w:t>
          </w:r>
          <w:r>
            <w:rPr/>
            <w:t>Faith</w:t>
          </w:r>
          <w:r>
            <w:rPr>
              <w:spacing w:val="24"/>
            </w:rPr>
            <w:t> </w:t>
          </w:r>
          <w:r>
            <w:rPr/>
            <w:t>Under the Companies and Allied Matters Act</w:t>
            <w:tab/>
          </w:r>
          <w:r>
            <w:rPr>
              <w:spacing w:val="-6"/>
            </w:rPr>
            <w:t>50</w:t>
          </w:r>
        </w:p>
        <w:p>
          <w:pPr>
            <w:pStyle w:val="TOC3"/>
            <w:numPr>
              <w:ilvl w:val="1"/>
              <w:numId w:val="3"/>
            </w:numPr>
            <w:tabs>
              <w:tab w:pos="1028" w:val="left" w:leader="none"/>
              <w:tab w:pos="8230" w:val="left" w:leader="none"/>
            </w:tabs>
            <w:spacing w:line="240" w:lineRule="auto" w:before="191" w:after="0"/>
            <w:ind w:left="1028" w:right="0" w:hanging="720"/>
            <w:jc w:val="left"/>
          </w:pPr>
          <w:r>
            <w:rPr/>
            <mc:AlternateContent>
              <mc:Choice Requires="wps">
                <w:drawing>
                  <wp:anchor distT="0" distB="0" distL="0" distR="0" allowOverlap="1" layoutInCell="1" locked="0" behindDoc="1" simplePos="0" relativeHeight="485095424">
                    <wp:simplePos x="0" y="0"/>
                    <wp:positionH relativeFrom="page">
                      <wp:posOffset>2469769</wp:posOffset>
                    </wp:positionH>
                    <wp:positionV relativeFrom="paragraph">
                      <wp:posOffset>229310</wp:posOffset>
                    </wp:positionV>
                    <wp:extent cx="3701415" cy="1270"/>
                    <wp:effectExtent l="0" t="0" r="0" b="0"/>
                    <wp:wrapNone/>
                    <wp:docPr id="31" name="Graphic 31"/>
                    <wp:cNvGraphicFramePr>
                      <a:graphicFrameLocks/>
                    </wp:cNvGraphicFramePr>
                    <a:graphic>
                      <a:graphicData uri="http://schemas.microsoft.com/office/word/2010/wordprocessingShape">
                        <wps:wsp>
                          <wps:cNvPr id="31" name="Graphic 31"/>
                          <wps:cNvSpPr/>
                          <wps:spPr>
                            <a:xfrm>
                              <a:off x="0" y="0"/>
                              <a:ext cx="3701415" cy="1270"/>
                            </a:xfrm>
                            <a:custGeom>
                              <a:avLst/>
                              <a:gdLst/>
                              <a:ahLst/>
                              <a:cxnLst/>
                              <a:rect l="l" t="t" r="r" b="b"/>
                              <a:pathLst>
                                <a:path w="3701415" h="0">
                                  <a:moveTo>
                                    <a:pt x="0" y="0"/>
                                  </a:moveTo>
                                  <a:lnTo>
                                    <a:pt x="3701121"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1056" from="194.470001pt,18.055916pt" to="485.896873pt,18.055916pt" stroked="true" strokeweight=".885563pt" strokecolor="#000000">
                    <v:stroke dashstyle="shortdash"/>
                    <w10:wrap type="none"/>
                  </v:line>
                </w:pict>
              </mc:Fallback>
            </mc:AlternateContent>
          </w:r>
          <w:hyperlink w:history="true" w:anchor="_TOC_250033">
            <w:r>
              <w:rPr>
                <w:spacing w:val="-2"/>
              </w:rPr>
              <w:t>Introduction</w:t>
            </w:r>
            <w:r>
              <w:rPr/>
              <w:tab/>
            </w:r>
            <w:r>
              <w:rPr>
                <w:spacing w:val="-5"/>
              </w:rPr>
              <w:t>50</w:t>
            </w:r>
          </w:hyperlink>
        </w:p>
        <w:p>
          <w:pPr>
            <w:pStyle w:val="TOC3"/>
            <w:numPr>
              <w:ilvl w:val="1"/>
              <w:numId w:val="3"/>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5936">
                    <wp:simplePos x="0" y="0"/>
                    <wp:positionH relativeFrom="page">
                      <wp:posOffset>3408934</wp:posOffset>
                    </wp:positionH>
                    <wp:positionV relativeFrom="paragraph">
                      <wp:posOffset>283300</wp:posOffset>
                    </wp:positionV>
                    <wp:extent cx="2785745" cy="1270"/>
                    <wp:effectExtent l="0" t="0" r="0" b="0"/>
                    <wp:wrapNone/>
                    <wp:docPr id="32" name="Graphic 32"/>
                    <wp:cNvGraphicFramePr>
                      <a:graphicFrameLocks/>
                    </wp:cNvGraphicFramePr>
                    <a:graphic>
                      <a:graphicData uri="http://schemas.microsoft.com/office/word/2010/wordprocessingShape">
                        <wps:wsp>
                          <wps:cNvPr id="32" name="Graphic 32"/>
                          <wps:cNvSpPr/>
                          <wps:spPr>
                            <a:xfrm>
                              <a:off x="0" y="0"/>
                              <a:ext cx="2785745" cy="1270"/>
                            </a:xfrm>
                            <a:custGeom>
                              <a:avLst/>
                              <a:gdLst/>
                              <a:ahLst/>
                              <a:cxnLst/>
                              <a:rect l="l" t="t" r="r" b="b"/>
                              <a:pathLst>
                                <a:path w="2785745" h="0">
                                  <a:moveTo>
                                    <a:pt x="0" y="0"/>
                                  </a:moveTo>
                                  <a:lnTo>
                                    <a:pt x="2785632"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0544" from="268.420013pt,22.307125pt" to="487.761191pt,22.307125pt" stroked="true" strokeweight=".885563pt" strokecolor="#000000">
                    <v:stroke dashstyle="shortdash"/>
                    <w10:wrap type="none"/>
                  </v:line>
                </w:pict>
              </mc:Fallback>
            </mc:AlternateContent>
          </w:r>
          <w:hyperlink w:history="true" w:anchor="_TOC_250032">
            <w:r>
              <w:rPr/>
              <w:t>General</w:t>
            </w:r>
            <w:r>
              <w:rPr>
                <w:spacing w:val="-4"/>
              </w:rPr>
              <w:t> </w:t>
            </w:r>
            <w:r>
              <w:rPr/>
              <w:t>Duties</w:t>
            </w:r>
            <w:r>
              <w:rPr>
                <w:spacing w:val="-1"/>
              </w:rPr>
              <w:t> </w:t>
            </w:r>
            <w:r>
              <w:rPr/>
              <w:t>of</w:t>
            </w:r>
            <w:r>
              <w:rPr>
                <w:spacing w:val="-6"/>
              </w:rPr>
              <w:t> </w:t>
            </w:r>
            <w:r>
              <w:rPr>
                <w:spacing w:val="-2"/>
              </w:rPr>
              <w:t>Directors</w:t>
            </w:r>
            <w:r>
              <w:rPr/>
              <w:tab/>
            </w:r>
            <w:r>
              <w:rPr>
                <w:spacing w:val="-5"/>
              </w:rPr>
              <w:t>51</w:t>
            </w:r>
          </w:hyperlink>
        </w:p>
        <w:p>
          <w:pPr>
            <w:pStyle w:val="TOC3"/>
            <w:numPr>
              <w:ilvl w:val="1"/>
              <w:numId w:val="3"/>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6448">
                    <wp:simplePos x="0" y="0"/>
                    <wp:positionH relativeFrom="page">
                      <wp:posOffset>3189477</wp:posOffset>
                    </wp:positionH>
                    <wp:positionV relativeFrom="paragraph">
                      <wp:posOffset>283569</wp:posOffset>
                    </wp:positionV>
                    <wp:extent cx="2992755" cy="1270"/>
                    <wp:effectExtent l="0" t="0" r="0" b="0"/>
                    <wp:wrapNone/>
                    <wp:docPr id="33" name="Graphic 33"/>
                    <wp:cNvGraphicFramePr>
                      <a:graphicFrameLocks/>
                    </wp:cNvGraphicFramePr>
                    <a:graphic>
                      <a:graphicData uri="http://schemas.microsoft.com/office/word/2010/wordprocessingShape">
                        <wps:wsp>
                          <wps:cNvPr id="33" name="Graphic 33"/>
                          <wps:cNvSpPr/>
                          <wps:spPr>
                            <a:xfrm>
                              <a:off x="0" y="0"/>
                              <a:ext cx="2992755" cy="1270"/>
                            </a:xfrm>
                            <a:custGeom>
                              <a:avLst/>
                              <a:gdLst/>
                              <a:ahLst/>
                              <a:cxnLst/>
                              <a:rect l="l" t="t" r="r" b="b"/>
                              <a:pathLst>
                                <a:path w="2992755" h="0">
                                  <a:moveTo>
                                    <a:pt x="0" y="0"/>
                                  </a:moveTo>
                                  <a:lnTo>
                                    <a:pt x="2992292"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20032" from="251.139999pt,22.328293pt" to="486.753553pt,22.328293pt" stroked="true" strokeweight=".885563pt" strokecolor="#000000">
                    <v:stroke dashstyle="shortdash"/>
                    <w10:wrap type="none"/>
                  </v:line>
                </w:pict>
              </mc:Fallback>
            </mc:AlternateContent>
          </w:r>
          <w:hyperlink w:history="true" w:anchor="_TOC_250031">
            <w:r>
              <w:rPr/>
              <w:t>Duties</w:t>
            </w:r>
            <w:r>
              <w:rPr>
                <w:spacing w:val="-4"/>
              </w:rPr>
              <w:t> </w:t>
            </w:r>
            <w:r>
              <w:rPr/>
              <w:t>of</w:t>
            </w:r>
            <w:r>
              <w:rPr>
                <w:spacing w:val="-8"/>
              </w:rPr>
              <w:t> </w:t>
            </w:r>
            <w:r>
              <w:rPr/>
              <w:t>Care</w:t>
            </w:r>
            <w:r>
              <w:rPr>
                <w:spacing w:val="-1"/>
              </w:rPr>
              <w:t> </w:t>
            </w:r>
            <w:r>
              <w:rPr/>
              <w:t>and</w:t>
            </w:r>
            <w:r>
              <w:rPr>
                <w:spacing w:val="1"/>
              </w:rPr>
              <w:t> </w:t>
            </w:r>
            <w:r>
              <w:rPr>
                <w:spacing w:val="-4"/>
              </w:rPr>
              <w:t>Skill</w:t>
            </w:r>
            <w:r>
              <w:rPr/>
              <w:tab/>
            </w:r>
            <w:r>
              <w:rPr>
                <w:spacing w:val="-5"/>
              </w:rPr>
              <w:t>51</w:t>
            </w:r>
          </w:hyperlink>
        </w:p>
        <w:p>
          <w:pPr>
            <w:pStyle w:val="TOC3"/>
            <w:numPr>
              <w:ilvl w:val="1"/>
              <w:numId w:val="3"/>
            </w:numPr>
            <w:tabs>
              <w:tab w:pos="1028" w:val="left" w:leader="none"/>
              <w:tab w:pos="8230" w:val="left" w:leader="hyphen"/>
            </w:tabs>
            <w:spacing w:line="240" w:lineRule="auto" w:before="276" w:after="0"/>
            <w:ind w:left="1028" w:right="0" w:hanging="720"/>
            <w:jc w:val="left"/>
          </w:pPr>
          <w:hyperlink w:history="true" w:anchor="_TOC_250030">
            <w:r>
              <w:rPr/>
              <w:t>Fiduciary</w:t>
            </w:r>
            <w:r>
              <w:rPr>
                <w:spacing w:val="-7"/>
              </w:rPr>
              <w:t> </w:t>
            </w:r>
            <w:r>
              <w:rPr/>
              <w:t>Duties</w:t>
            </w:r>
            <w:r>
              <w:rPr>
                <w:spacing w:val="3"/>
              </w:rPr>
              <w:t> </w:t>
            </w:r>
            <w:r>
              <w:rPr/>
              <w:t>of</w:t>
            </w:r>
            <w:r>
              <w:rPr>
                <w:spacing w:val="-5"/>
              </w:rPr>
              <w:t> </w:t>
            </w:r>
            <w:r>
              <w:rPr/>
              <w:t>Loyalty</w:t>
            </w:r>
            <w:r>
              <w:rPr>
                <w:spacing w:val="-6"/>
              </w:rPr>
              <w:t> </w:t>
            </w:r>
            <w:r>
              <w:rPr/>
              <w:t>and</w:t>
            </w:r>
            <w:r>
              <w:rPr>
                <w:spacing w:val="3"/>
              </w:rPr>
              <w:t> </w:t>
            </w:r>
            <w:r>
              <w:rPr/>
              <w:t>Good</w:t>
            </w:r>
            <w:r>
              <w:rPr>
                <w:spacing w:val="4"/>
              </w:rPr>
              <w:t> </w:t>
            </w:r>
            <w:r>
              <w:rPr>
                <w:spacing w:val="-4"/>
              </w:rPr>
              <w:t>Faith</w:t>
            </w:r>
            <w:r>
              <w:rPr/>
              <w:tab/>
            </w:r>
            <w:r>
              <w:rPr>
                <w:spacing w:val="-5"/>
              </w:rPr>
              <w:t>66</w:t>
            </w:r>
          </w:hyperlink>
        </w:p>
        <w:p>
          <w:pPr>
            <w:pStyle w:val="TOC3"/>
            <w:numPr>
              <w:ilvl w:val="2"/>
              <w:numId w:val="3"/>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6960">
                    <wp:simplePos x="0" y="0"/>
                    <wp:positionH relativeFrom="page">
                      <wp:posOffset>3192526</wp:posOffset>
                    </wp:positionH>
                    <wp:positionV relativeFrom="paragraph">
                      <wp:posOffset>283598</wp:posOffset>
                    </wp:positionV>
                    <wp:extent cx="2998470" cy="1270"/>
                    <wp:effectExtent l="0" t="0" r="0" b="0"/>
                    <wp:wrapNone/>
                    <wp:docPr id="34" name="Graphic 34"/>
                    <wp:cNvGraphicFramePr>
                      <a:graphicFrameLocks/>
                    </wp:cNvGraphicFramePr>
                    <a:graphic>
                      <a:graphicData uri="http://schemas.microsoft.com/office/word/2010/wordprocessingShape">
                        <wps:wsp>
                          <wps:cNvPr id="34" name="Graphic 34"/>
                          <wps:cNvSpPr/>
                          <wps:spPr>
                            <a:xfrm>
                              <a:off x="0" y="0"/>
                              <a:ext cx="2998470" cy="1270"/>
                            </a:xfrm>
                            <a:custGeom>
                              <a:avLst/>
                              <a:gdLst/>
                              <a:ahLst/>
                              <a:cxnLst/>
                              <a:rect l="l" t="t" r="r" b="b"/>
                              <a:pathLst>
                                <a:path w="2998470" h="0">
                                  <a:moveTo>
                                    <a:pt x="0" y="0"/>
                                  </a:moveTo>
                                  <a:lnTo>
                                    <a:pt x="2998235"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9520" from="251.380005pt,22.330618pt" to="487.461559pt,22.330618pt" stroked="true" strokeweight=".885563pt" strokecolor="#000000">
                    <v:stroke dashstyle="dash"/>
                    <w10:wrap type="none"/>
                  </v:line>
                </w:pict>
              </mc:Fallback>
            </mc:AlternateContent>
          </w:r>
          <w:hyperlink w:history="true" w:anchor="_TOC_250029">
            <w:r>
              <w:rPr/>
              <w:t>Duties</w:t>
            </w:r>
            <w:r>
              <w:rPr>
                <w:spacing w:val="-4"/>
              </w:rPr>
              <w:t> </w:t>
            </w:r>
            <w:r>
              <w:rPr/>
              <w:t>Owed to</w:t>
            </w:r>
            <w:r>
              <w:rPr>
                <w:spacing w:val="1"/>
              </w:rPr>
              <w:t> </w:t>
            </w:r>
            <w:r>
              <w:rPr>
                <w:spacing w:val="-4"/>
              </w:rPr>
              <w:t>Whom?</w:t>
            </w:r>
            <w:r>
              <w:rPr/>
              <w:tab/>
            </w:r>
            <w:r>
              <w:rPr>
                <w:spacing w:val="-5"/>
              </w:rPr>
              <w:t>67</w:t>
            </w:r>
          </w:hyperlink>
        </w:p>
        <w:p>
          <w:pPr>
            <w:pStyle w:val="TOC3"/>
            <w:numPr>
              <w:ilvl w:val="2"/>
              <w:numId w:val="3"/>
            </w:numPr>
            <w:tabs>
              <w:tab w:pos="1028" w:val="left" w:leader="none"/>
              <w:tab w:pos="8230" w:val="left" w:leader="none"/>
            </w:tabs>
            <w:spacing w:line="271" w:lineRule="auto" w:before="276" w:after="0"/>
            <w:ind w:left="1028" w:right="571" w:hanging="721"/>
            <w:jc w:val="left"/>
          </w:pPr>
          <w:r>
            <w:rPr/>
            <mc:AlternateContent>
              <mc:Choice Requires="wps">
                <w:drawing>
                  <wp:anchor distT="0" distB="0" distL="0" distR="0" allowOverlap="1" layoutInCell="1" locked="0" behindDoc="1" simplePos="0" relativeHeight="485097472">
                    <wp:simplePos x="0" y="0"/>
                    <wp:positionH relativeFrom="page">
                      <wp:posOffset>2375280</wp:posOffset>
                    </wp:positionH>
                    <wp:positionV relativeFrom="paragraph">
                      <wp:posOffset>481987</wp:posOffset>
                    </wp:positionV>
                    <wp:extent cx="3812540" cy="1270"/>
                    <wp:effectExtent l="0" t="0" r="0" b="0"/>
                    <wp:wrapNone/>
                    <wp:docPr id="35" name="Graphic 35"/>
                    <wp:cNvGraphicFramePr>
                      <a:graphicFrameLocks/>
                    </wp:cNvGraphicFramePr>
                    <a:graphic>
                      <a:graphicData uri="http://schemas.microsoft.com/office/word/2010/wordprocessingShape">
                        <wps:wsp>
                          <wps:cNvPr id="35" name="Graphic 35"/>
                          <wps:cNvSpPr/>
                          <wps:spPr>
                            <a:xfrm>
                              <a:off x="0" y="0"/>
                              <a:ext cx="3812540" cy="1270"/>
                            </a:xfrm>
                            <a:custGeom>
                              <a:avLst/>
                              <a:gdLst/>
                              <a:ahLst/>
                              <a:cxnLst/>
                              <a:rect l="l" t="t" r="r" b="b"/>
                              <a:pathLst>
                                <a:path w="3812540" h="0">
                                  <a:moveTo>
                                    <a:pt x="0" y="0"/>
                                  </a:moveTo>
                                  <a:lnTo>
                                    <a:pt x="3812070"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9008" from="187.029999pt,37.951790pt" to="487.193058pt,37.951790pt" stroked="true" strokeweight=".885563pt" strokecolor="#000000">
                    <v:stroke dashstyle="dash"/>
                    <w10:wrap type="none"/>
                  </v:line>
                </w:pict>
              </mc:Fallback>
            </mc:AlternateContent>
          </w:r>
          <w:hyperlink w:history="true" w:anchor="_TOC_250028">
            <w:r>
              <w:rPr/>
              <w:t>In Whose Interests and For Whose Benefit Should Directors Manage the </w:t>
            </w:r>
            <w:r>
              <w:rPr>
                <w:spacing w:val="-2"/>
              </w:rPr>
              <w:t>Company?</w:t>
            </w:r>
            <w:r>
              <w:rPr/>
              <w:tab/>
            </w:r>
            <w:r>
              <w:rPr>
                <w:spacing w:val="-6"/>
              </w:rPr>
              <w:t>74</w:t>
            </w:r>
          </w:hyperlink>
        </w:p>
        <w:p>
          <w:pPr>
            <w:pStyle w:val="TOC3"/>
            <w:numPr>
              <w:ilvl w:val="1"/>
              <w:numId w:val="3"/>
            </w:numPr>
            <w:tabs>
              <w:tab w:pos="1028" w:val="left" w:leader="none"/>
            </w:tabs>
            <w:spacing w:line="240" w:lineRule="auto" w:before="212" w:after="0"/>
            <w:ind w:left="1028" w:right="0" w:hanging="720"/>
            <w:jc w:val="left"/>
          </w:pPr>
          <w:r>
            <w:rPr/>
            <w:t>Duty</w:t>
          </w:r>
          <w:r>
            <w:rPr>
              <w:spacing w:val="-12"/>
            </w:rPr>
            <w:t> </w:t>
          </w:r>
          <w:r>
            <w:rPr/>
            <w:t>to</w:t>
          </w:r>
          <w:r>
            <w:rPr>
              <w:spacing w:val="5"/>
            </w:rPr>
            <w:t> </w:t>
          </w:r>
          <w:r>
            <w:rPr/>
            <w:t>Act</w:t>
          </w:r>
          <w:r>
            <w:rPr>
              <w:spacing w:val="6"/>
            </w:rPr>
            <w:t> </w:t>
          </w:r>
          <w:r>
            <w:rPr/>
            <w:t>in</w:t>
          </w:r>
          <w:r>
            <w:rPr>
              <w:spacing w:val="-5"/>
            </w:rPr>
            <w:t> </w:t>
          </w:r>
          <w:r>
            <w:rPr/>
            <w:t>the Best</w:t>
          </w:r>
          <w:r>
            <w:rPr>
              <w:spacing w:val="5"/>
            </w:rPr>
            <w:t> </w:t>
          </w:r>
          <w:r>
            <w:rPr/>
            <w:t>Interests</w:t>
          </w:r>
          <w:r>
            <w:rPr>
              <w:spacing w:val="-2"/>
            </w:rPr>
            <w:t> </w:t>
          </w:r>
          <w:r>
            <w:rPr/>
            <w:t>of</w:t>
          </w:r>
          <w:r>
            <w:rPr>
              <w:spacing w:val="-7"/>
            </w:rPr>
            <w:t> </w:t>
          </w:r>
          <w:r>
            <w:rPr/>
            <w:t>the</w:t>
          </w:r>
          <w:r>
            <w:rPr>
              <w:spacing w:val="-1"/>
            </w:rPr>
            <w:t> </w:t>
          </w:r>
          <w:r>
            <w:rPr/>
            <w:t>Company</w:t>
          </w:r>
          <w:r>
            <w:rPr>
              <w:spacing w:val="-4"/>
            </w:rPr>
            <w:t> </w:t>
          </w:r>
          <w:r>
            <w:rPr/>
            <w:t>and</w:t>
          </w:r>
          <w:r>
            <w:rPr>
              <w:spacing w:val="4"/>
            </w:rPr>
            <w:t> </w:t>
          </w:r>
          <w:r>
            <w:rPr/>
            <w:t>for</w:t>
          </w:r>
          <w:r>
            <w:rPr>
              <w:spacing w:val="2"/>
            </w:rPr>
            <w:t> </w:t>
          </w:r>
          <w:r>
            <w:rPr/>
            <w:t>Proper</w:t>
          </w:r>
          <w:r>
            <w:rPr>
              <w:spacing w:val="-3"/>
            </w:rPr>
            <w:t> </w:t>
          </w:r>
          <w:r>
            <w:rPr/>
            <w:t>Purpose-</w:t>
          </w:r>
          <w:r>
            <w:rPr>
              <w:spacing w:val="73"/>
            </w:rPr>
            <w:t> </w:t>
          </w:r>
          <w:r>
            <w:rPr>
              <w:spacing w:val="-5"/>
            </w:rPr>
            <w:t>87</w:t>
          </w:r>
        </w:p>
        <w:p>
          <w:pPr>
            <w:pStyle w:val="TOC3"/>
            <w:numPr>
              <w:ilvl w:val="1"/>
              <w:numId w:val="3"/>
            </w:numPr>
            <w:tabs>
              <w:tab w:pos="1028" w:val="left" w:leader="none"/>
              <w:tab w:pos="8230" w:val="left" w:leader="hyphen"/>
            </w:tabs>
            <w:spacing w:line="240" w:lineRule="auto" w:before="276" w:after="0"/>
            <w:ind w:left="1028" w:right="0" w:hanging="720"/>
            <w:jc w:val="left"/>
          </w:pPr>
          <w:hyperlink w:history="true" w:anchor="_TOC_250027">
            <w:r>
              <w:rPr/>
              <w:t>Duty</w:t>
            </w:r>
            <w:r>
              <w:rPr>
                <w:spacing w:val="-9"/>
              </w:rPr>
              <w:t> </w:t>
            </w:r>
            <w:r>
              <w:rPr/>
              <w:t>Not</w:t>
            </w:r>
            <w:r>
              <w:rPr>
                <w:spacing w:val="2"/>
              </w:rPr>
              <w:t> </w:t>
            </w:r>
            <w:r>
              <w:rPr/>
              <w:t>to</w:t>
            </w:r>
            <w:r>
              <w:rPr>
                <w:spacing w:val="1"/>
              </w:rPr>
              <w:t> </w:t>
            </w:r>
            <w:r>
              <w:rPr/>
              <w:t>Fetter</w:t>
            </w:r>
            <w:r>
              <w:rPr>
                <w:spacing w:val="-1"/>
              </w:rPr>
              <w:t> </w:t>
            </w:r>
            <w:r>
              <w:rPr/>
              <w:t>Discretion</w:t>
            </w:r>
            <w:r>
              <w:rPr>
                <w:spacing w:val="-4"/>
              </w:rPr>
              <w:t> </w:t>
            </w:r>
            <w:r>
              <w:rPr/>
              <w:t>to</w:t>
            </w:r>
            <w:r>
              <w:rPr>
                <w:spacing w:val="7"/>
              </w:rPr>
              <w:t> </w:t>
            </w:r>
            <w:r>
              <w:rPr>
                <w:spacing w:val="-4"/>
              </w:rPr>
              <w:t>Vote</w:t>
            </w:r>
            <w:r>
              <w:rPr/>
              <w:tab/>
            </w:r>
            <w:r>
              <w:rPr>
                <w:spacing w:val="-5"/>
              </w:rPr>
              <w:t>106</w:t>
            </w:r>
          </w:hyperlink>
        </w:p>
        <w:p>
          <w:pPr>
            <w:pStyle w:val="TOC3"/>
            <w:numPr>
              <w:ilvl w:val="1"/>
              <w:numId w:val="3"/>
            </w:numPr>
            <w:tabs>
              <w:tab w:pos="1028" w:val="left" w:leader="none"/>
              <w:tab w:pos="8230" w:val="left" w:leader="hyphen"/>
            </w:tabs>
            <w:spacing w:line="240" w:lineRule="auto" w:before="277" w:after="0"/>
            <w:ind w:left="1028" w:right="0" w:hanging="720"/>
            <w:jc w:val="left"/>
          </w:pPr>
          <w:hyperlink w:history="true" w:anchor="_TOC_250026">
            <w:r>
              <w:rPr/>
              <w:t>Duty</w:t>
            </w:r>
            <w:r>
              <w:rPr>
                <w:spacing w:val="-12"/>
              </w:rPr>
              <w:t> </w:t>
            </w:r>
            <w:r>
              <w:rPr/>
              <w:t>Not to</w:t>
            </w:r>
            <w:r>
              <w:rPr>
                <w:spacing w:val="1"/>
              </w:rPr>
              <w:t> </w:t>
            </w:r>
            <w:r>
              <w:rPr/>
              <w:t>Allow</w:t>
            </w:r>
            <w:r>
              <w:rPr>
                <w:spacing w:val="-1"/>
              </w:rPr>
              <w:t> </w:t>
            </w:r>
            <w:r>
              <w:rPr/>
              <w:t>Duty</w:t>
            </w:r>
            <w:r>
              <w:rPr>
                <w:spacing w:val="-10"/>
              </w:rPr>
              <w:t> </w:t>
            </w:r>
            <w:r>
              <w:rPr/>
              <w:t>to</w:t>
            </w:r>
            <w:r>
              <w:rPr>
                <w:spacing w:val="5"/>
              </w:rPr>
              <w:t> </w:t>
            </w:r>
            <w:r>
              <w:rPr/>
              <w:t>Conflict</w:t>
            </w:r>
            <w:r>
              <w:rPr>
                <w:spacing w:val="7"/>
              </w:rPr>
              <w:t> </w:t>
            </w:r>
            <w:r>
              <w:rPr/>
              <w:t>with</w:t>
            </w:r>
            <w:r>
              <w:rPr>
                <w:spacing w:val="-5"/>
              </w:rPr>
              <w:t> </w:t>
            </w:r>
            <w:r>
              <w:rPr/>
              <w:t>Personal</w:t>
            </w:r>
            <w:r>
              <w:rPr>
                <w:spacing w:val="-4"/>
              </w:rPr>
              <w:t> </w:t>
            </w:r>
            <w:r>
              <w:rPr>
                <w:spacing w:val="-2"/>
              </w:rPr>
              <w:t>Interest</w:t>
            </w:r>
            <w:r>
              <w:rPr/>
              <w:tab/>
            </w:r>
            <w:r>
              <w:rPr>
                <w:spacing w:val="-5"/>
              </w:rPr>
              <w:t>108</w:t>
            </w:r>
          </w:hyperlink>
        </w:p>
        <w:p>
          <w:pPr>
            <w:pStyle w:val="TOC3"/>
            <w:numPr>
              <w:ilvl w:val="1"/>
              <w:numId w:val="3"/>
            </w:numPr>
            <w:tabs>
              <w:tab w:pos="1028" w:val="left" w:leader="none"/>
              <w:tab w:pos="8230" w:val="left" w:leader="hyphen"/>
            </w:tabs>
            <w:spacing w:line="240" w:lineRule="auto" w:before="276" w:after="0"/>
            <w:ind w:left="1028" w:right="0" w:hanging="720"/>
            <w:jc w:val="left"/>
          </w:pPr>
          <w:hyperlink w:history="true" w:anchor="_TOC_250025">
            <w:r>
              <w:rPr/>
              <w:t>Duty</w:t>
            </w:r>
            <w:r>
              <w:rPr>
                <w:spacing w:val="-10"/>
              </w:rPr>
              <w:t> </w:t>
            </w:r>
            <w:r>
              <w:rPr/>
              <w:t>Not</w:t>
            </w:r>
            <w:r>
              <w:rPr>
                <w:spacing w:val="-1"/>
              </w:rPr>
              <w:t> </w:t>
            </w:r>
            <w:r>
              <w:rPr/>
              <w:t>to</w:t>
            </w:r>
            <w:r>
              <w:rPr>
                <w:spacing w:val="2"/>
              </w:rPr>
              <w:t> </w:t>
            </w:r>
            <w:r>
              <w:rPr/>
              <w:t>Accept</w:t>
            </w:r>
            <w:r>
              <w:rPr>
                <w:spacing w:val="4"/>
              </w:rPr>
              <w:t> </w:t>
            </w:r>
            <w:r>
              <w:rPr/>
              <w:t>Secret</w:t>
            </w:r>
            <w:r>
              <w:rPr>
                <w:spacing w:val="5"/>
              </w:rPr>
              <w:t> </w:t>
            </w:r>
            <w:r>
              <w:rPr>
                <w:spacing w:val="-2"/>
              </w:rPr>
              <w:t>Benefits</w:t>
            </w:r>
            <w:r>
              <w:rPr/>
              <w:tab/>
            </w:r>
            <w:r>
              <w:rPr>
                <w:spacing w:val="-5"/>
              </w:rPr>
              <w:t>121</w:t>
            </w:r>
          </w:hyperlink>
        </w:p>
        <w:p>
          <w:pPr>
            <w:pStyle w:val="TOC1"/>
            <w:spacing w:before="280"/>
          </w:pPr>
          <w:hyperlink w:history="true" w:anchor="_TOC_250024">
            <w:r>
              <w:rPr/>
              <w:t>CHAPTER</w:t>
            </w:r>
            <w:r>
              <w:rPr>
                <w:spacing w:val="-9"/>
              </w:rPr>
              <w:t> </w:t>
            </w:r>
            <w:r>
              <w:rPr>
                <w:spacing w:val="-4"/>
              </w:rPr>
              <w:t>FOUR</w:t>
            </w:r>
          </w:hyperlink>
        </w:p>
        <w:p>
          <w:pPr>
            <w:pStyle w:val="TOC2"/>
            <w:tabs>
              <w:tab w:pos="8230" w:val="left" w:leader="hyphen"/>
            </w:tabs>
            <w:spacing w:line="242" w:lineRule="auto"/>
            <w:ind w:right="255"/>
          </w:pPr>
          <w:r>
            <w:rPr/>
            <w:t>Duties of Care</w:t>
          </w:r>
          <w:r>
            <w:rPr>
              <w:spacing w:val="23"/>
            </w:rPr>
            <w:t> </w:t>
          </w:r>
          <w:r>
            <w:rPr/>
            <w:t>and</w:t>
          </w:r>
          <w:r>
            <w:rPr>
              <w:spacing w:val="24"/>
            </w:rPr>
            <w:t> </w:t>
          </w:r>
          <w:r>
            <w:rPr/>
            <w:t>Skill and</w:t>
          </w:r>
          <w:r>
            <w:rPr>
              <w:spacing w:val="24"/>
            </w:rPr>
            <w:t> </w:t>
          </w:r>
          <w:r>
            <w:rPr/>
            <w:t>Fiduciary</w:t>
          </w:r>
          <w:r>
            <w:rPr>
              <w:spacing w:val="24"/>
            </w:rPr>
            <w:t> </w:t>
          </w:r>
          <w:r>
            <w:rPr/>
            <w:t>Duties</w:t>
          </w:r>
          <w:r>
            <w:rPr>
              <w:spacing w:val="32"/>
            </w:rPr>
            <w:t> </w:t>
          </w:r>
          <w:r>
            <w:rPr/>
            <w:t>of Loyalty</w:t>
          </w:r>
          <w:r>
            <w:rPr>
              <w:spacing w:val="24"/>
            </w:rPr>
            <w:t> </w:t>
          </w:r>
          <w:r>
            <w:rPr/>
            <w:t>and</w:t>
          </w:r>
          <w:r>
            <w:rPr>
              <w:spacing w:val="24"/>
            </w:rPr>
            <w:t> </w:t>
          </w:r>
          <w:r>
            <w:rPr/>
            <w:t>Good</w:t>
          </w:r>
          <w:r>
            <w:rPr>
              <w:spacing w:val="25"/>
            </w:rPr>
            <w:t> </w:t>
          </w:r>
          <w:r>
            <w:rPr/>
            <w:t>Faith</w:t>
          </w:r>
          <w:r>
            <w:rPr>
              <w:spacing w:val="26"/>
            </w:rPr>
            <w:t> </w:t>
          </w:r>
          <w:r>
            <w:rPr/>
            <w:t>Under the UK Companies Act 2006</w:t>
            <w:tab/>
          </w:r>
          <w:r>
            <w:rPr>
              <w:spacing w:val="-4"/>
            </w:rPr>
            <w:t>125</w:t>
          </w:r>
        </w:p>
        <w:p>
          <w:pPr>
            <w:pStyle w:val="TOC3"/>
            <w:numPr>
              <w:ilvl w:val="1"/>
              <w:numId w:val="4"/>
            </w:numPr>
            <w:tabs>
              <w:tab w:pos="1028" w:val="left" w:leader="none"/>
              <w:tab w:pos="8230" w:val="left" w:leader="none"/>
            </w:tabs>
            <w:spacing w:line="240" w:lineRule="auto" w:before="191" w:after="0"/>
            <w:ind w:left="1028" w:right="0" w:hanging="720"/>
            <w:jc w:val="left"/>
          </w:pPr>
          <w:r>
            <w:rPr/>
            <mc:AlternateContent>
              <mc:Choice Requires="wps">
                <w:drawing>
                  <wp:anchor distT="0" distB="0" distL="0" distR="0" allowOverlap="1" layoutInCell="1" locked="0" behindDoc="1" simplePos="0" relativeHeight="485097984">
                    <wp:simplePos x="0" y="0"/>
                    <wp:positionH relativeFrom="page">
                      <wp:posOffset>2469769</wp:posOffset>
                    </wp:positionH>
                    <wp:positionV relativeFrom="paragraph">
                      <wp:posOffset>229464</wp:posOffset>
                    </wp:positionV>
                    <wp:extent cx="3752850" cy="1270"/>
                    <wp:effectExtent l="0" t="0" r="0" b="0"/>
                    <wp:wrapNone/>
                    <wp:docPr id="36" name="Graphic 36"/>
                    <wp:cNvGraphicFramePr>
                      <a:graphicFrameLocks/>
                    </wp:cNvGraphicFramePr>
                    <a:graphic>
                      <a:graphicData uri="http://schemas.microsoft.com/office/word/2010/wordprocessingShape">
                        <wps:wsp>
                          <wps:cNvPr id="36" name="Graphic 36"/>
                          <wps:cNvSpPr/>
                          <wps:spPr>
                            <a:xfrm>
                              <a:off x="0" y="0"/>
                              <a:ext cx="3752850" cy="1270"/>
                            </a:xfrm>
                            <a:custGeom>
                              <a:avLst/>
                              <a:gdLst/>
                              <a:ahLst/>
                              <a:cxnLst/>
                              <a:rect l="l" t="t" r="r" b="b"/>
                              <a:pathLst>
                                <a:path w="3752850" h="0">
                                  <a:moveTo>
                                    <a:pt x="0" y="0"/>
                                  </a:moveTo>
                                  <a:lnTo>
                                    <a:pt x="3752786"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8496" from="194.470001pt,18.068098pt" to="489.964967pt,18.068098pt" stroked="true" strokeweight=".885563pt" strokecolor="#000000">
                    <v:stroke dashstyle="shortdash"/>
                    <w10:wrap type="none"/>
                  </v:line>
                </w:pict>
              </mc:Fallback>
            </mc:AlternateContent>
          </w:r>
          <w:hyperlink w:history="true" w:anchor="_TOC_250023">
            <w:r>
              <w:rPr>
                <w:spacing w:val="-2"/>
              </w:rPr>
              <w:t>Introduction</w:t>
            </w:r>
            <w:r>
              <w:rPr/>
              <w:tab/>
            </w:r>
            <w:r>
              <w:rPr>
                <w:spacing w:val="-5"/>
              </w:rPr>
              <w:t>125</w:t>
            </w:r>
          </w:hyperlink>
        </w:p>
        <w:p>
          <w:pPr>
            <w:pStyle w:val="TOC3"/>
            <w:numPr>
              <w:ilvl w:val="1"/>
              <w:numId w:val="4"/>
            </w:numPr>
            <w:tabs>
              <w:tab w:pos="1028" w:val="left" w:leader="none"/>
              <w:tab w:pos="8230" w:val="lef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098496">
                    <wp:simplePos x="0" y="0"/>
                    <wp:positionH relativeFrom="page">
                      <wp:posOffset>3408934</wp:posOffset>
                    </wp:positionH>
                    <wp:positionV relativeFrom="paragraph">
                      <wp:posOffset>283454</wp:posOffset>
                    </wp:positionV>
                    <wp:extent cx="2788920" cy="1270"/>
                    <wp:effectExtent l="0" t="0" r="0" b="0"/>
                    <wp:wrapNone/>
                    <wp:docPr id="37" name="Graphic 37"/>
                    <wp:cNvGraphicFramePr>
                      <a:graphicFrameLocks/>
                    </wp:cNvGraphicFramePr>
                    <a:graphic>
                      <a:graphicData uri="http://schemas.microsoft.com/office/word/2010/wordprocessingShape">
                        <wps:wsp>
                          <wps:cNvPr id="37" name="Graphic 37"/>
                          <wps:cNvSpPr/>
                          <wps:spPr>
                            <a:xfrm>
                              <a:off x="0" y="0"/>
                              <a:ext cx="2788920" cy="1270"/>
                            </a:xfrm>
                            <a:custGeom>
                              <a:avLst/>
                              <a:gdLst/>
                              <a:ahLst/>
                              <a:cxnLst/>
                              <a:rect l="l" t="t" r="r" b="b"/>
                              <a:pathLst>
                                <a:path w="2788920" h="0">
                                  <a:moveTo>
                                    <a:pt x="0" y="0"/>
                                  </a:moveTo>
                                  <a:lnTo>
                                    <a:pt x="2788850"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7984" from="268.420013pt,22.31926pt" to="488.014555pt,22.31926pt" stroked="true" strokeweight=".885563pt" strokecolor="#000000">
                    <v:stroke dashstyle="shortdash"/>
                    <w10:wrap type="none"/>
                  </v:line>
                </w:pict>
              </mc:Fallback>
            </mc:AlternateContent>
          </w:r>
          <w:hyperlink w:history="true" w:anchor="_TOC_250022">
            <w:r>
              <w:rPr/>
              <w:t>General</w:t>
            </w:r>
            <w:r>
              <w:rPr>
                <w:spacing w:val="-4"/>
              </w:rPr>
              <w:t> </w:t>
            </w:r>
            <w:r>
              <w:rPr/>
              <w:t>Duties</w:t>
            </w:r>
            <w:r>
              <w:rPr>
                <w:spacing w:val="-1"/>
              </w:rPr>
              <w:t> </w:t>
            </w:r>
            <w:r>
              <w:rPr/>
              <w:t>of</w:t>
            </w:r>
            <w:r>
              <w:rPr>
                <w:spacing w:val="-6"/>
              </w:rPr>
              <w:t> </w:t>
            </w:r>
            <w:r>
              <w:rPr>
                <w:spacing w:val="-2"/>
              </w:rPr>
              <w:t>Directors</w:t>
            </w:r>
            <w:r>
              <w:rPr/>
              <w:tab/>
            </w:r>
            <w:r>
              <w:rPr>
                <w:spacing w:val="-5"/>
              </w:rPr>
              <w:t>126</w:t>
            </w:r>
          </w:hyperlink>
        </w:p>
        <w:p>
          <w:pPr>
            <w:pStyle w:val="TOC3"/>
            <w:numPr>
              <w:ilvl w:val="2"/>
              <w:numId w:val="4"/>
            </w:numPr>
            <w:tabs>
              <w:tab w:pos="1028" w:val="left" w:leader="none"/>
              <w:tab w:pos="8230" w:val="left" w:leader="hyphen"/>
            </w:tabs>
            <w:spacing w:line="240" w:lineRule="auto" w:before="276" w:after="0"/>
            <w:ind w:left="1028" w:right="0" w:hanging="720"/>
            <w:jc w:val="left"/>
          </w:pPr>
          <w:hyperlink w:history="true" w:anchor="_TOC_250021">
            <w:r>
              <w:rPr/>
              <w:t>To whom</w:t>
            </w:r>
            <w:r>
              <w:rPr>
                <w:spacing w:val="-9"/>
              </w:rPr>
              <w:t> </w:t>
            </w:r>
            <w:r>
              <w:rPr/>
              <w:t>are the</w:t>
            </w:r>
            <w:r>
              <w:rPr>
                <w:spacing w:val="-1"/>
              </w:rPr>
              <w:t> </w:t>
            </w:r>
            <w:r>
              <w:rPr/>
              <w:t>Duties</w:t>
            </w:r>
            <w:r>
              <w:rPr>
                <w:spacing w:val="-1"/>
              </w:rPr>
              <w:t> </w:t>
            </w:r>
            <w:r>
              <w:rPr>
                <w:spacing w:val="-4"/>
              </w:rPr>
              <w:t>Owed?</w:t>
            </w:r>
            <w:r>
              <w:rPr/>
              <w:tab/>
            </w:r>
            <w:r>
              <w:rPr>
                <w:spacing w:val="-5"/>
              </w:rPr>
              <w:t>126</w:t>
            </w:r>
          </w:hyperlink>
        </w:p>
        <w:p>
          <w:pPr>
            <w:pStyle w:val="TOC3"/>
            <w:numPr>
              <w:ilvl w:val="2"/>
              <w:numId w:val="4"/>
            </w:numPr>
            <w:tabs>
              <w:tab w:pos="1028" w:val="left" w:leader="none"/>
              <w:tab w:pos="8230" w:val="left" w:leader="none"/>
            </w:tabs>
            <w:spacing w:line="240" w:lineRule="auto" w:before="276" w:after="240"/>
            <w:ind w:left="1028" w:right="0" w:hanging="720"/>
            <w:jc w:val="left"/>
          </w:pPr>
          <w:r>
            <w:rPr/>
            <mc:AlternateContent>
              <mc:Choice Requires="wps">
                <w:drawing>
                  <wp:anchor distT="0" distB="0" distL="0" distR="0" allowOverlap="1" layoutInCell="1" locked="0" behindDoc="1" simplePos="0" relativeHeight="485099008">
                    <wp:simplePos x="0" y="0"/>
                    <wp:positionH relativeFrom="page">
                      <wp:posOffset>3354070</wp:posOffset>
                    </wp:positionH>
                    <wp:positionV relativeFrom="paragraph">
                      <wp:posOffset>283814</wp:posOffset>
                    </wp:positionV>
                    <wp:extent cx="2837815" cy="1270"/>
                    <wp:effectExtent l="0" t="0" r="0" b="0"/>
                    <wp:wrapNone/>
                    <wp:docPr id="38" name="Graphic 38"/>
                    <wp:cNvGraphicFramePr>
                      <a:graphicFrameLocks/>
                    </wp:cNvGraphicFramePr>
                    <a:graphic>
                      <a:graphicData uri="http://schemas.microsoft.com/office/word/2010/wordprocessingShape">
                        <wps:wsp>
                          <wps:cNvPr id="38" name="Graphic 38"/>
                          <wps:cNvSpPr/>
                          <wps:spPr>
                            <a:xfrm>
                              <a:off x="0" y="0"/>
                              <a:ext cx="2837815" cy="1270"/>
                            </a:xfrm>
                            <a:custGeom>
                              <a:avLst/>
                              <a:gdLst/>
                              <a:ahLst/>
                              <a:cxnLst/>
                              <a:rect l="l" t="t" r="r" b="b"/>
                              <a:pathLst>
                                <a:path w="2837815" h="0">
                                  <a:moveTo>
                                    <a:pt x="0" y="0"/>
                                  </a:moveTo>
                                  <a:lnTo>
                                    <a:pt x="2837297"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7472" from="264.100006pt,22.34761pt" to="487.509277pt,22.34761pt" stroked="true" strokeweight=".885563pt" strokecolor="#000000">
                    <v:stroke dashstyle="shortdash"/>
                    <w10:wrap type="none"/>
                  </v:line>
                </w:pict>
              </mc:Fallback>
            </mc:AlternateContent>
          </w:r>
          <w:hyperlink w:history="true" w:anchor="_TOC_250020">
            <w:r>
              <w:rPr/>
              <w:t>Duty</w:t>
            </w:r>
            <w:r>
              <w:rPr>
                <w:spacing w:val="-11"/>
              </w:rPr>
              <w:t> </w:t>
            </w:r>
            <w:r>
              <w:rPr/>
              <w:t>to</w:t>
            </w:r>
            <w:r>
              <w:rPr>
                <w:spacing w:val="3"/>
              </w:rPr>
              <w:t> </w:t>
            </w:r>
            <w:r>
              <w:rPr/>
              <w:t>Act</w:t>
            </w:r>
            <w:r>
              <w:rPr>
                <w:spacing w:val="4"/>
              </w:rPr>
              <w:t> </w:t>
            </w:r>
            <w:r>
              <w:rPr/>
              <w:t>within</w:t>
            </w:r>
            <w:r>
              <w:rPr>
                <w:spacing w:val="-6"/>
              </w:rPr>
              <w:t> </w:t>
            </w:r>
            <w:r>
              <w:rPr>
                <w:spacing w:val="-2"/>
              </w:rPr>
              <w:t>Powers</w:t>
            </w:r>
            <w:r>
              <w:rPr/>
              <w:tab/>
            </w:r>
            <w:r>
              <w:rPr>
                <w:spacing w:val="-5"/>
              </w:rPr>
              <w:t>130</w:t>
            </w:r>
          </w:hyperlink>
        </w:p>
        <w:p>
          <w:pPr>
            <w:pStyle w:val="TOC3"/>
            <w:numPr>
              <w:ilvl w:val="2"/>
              <w:numId w:val="4"/>
            </w:numPr>
            <w:tabs>
              <w:tab w:pos="1028" w:val="left" w:leader="none"/>
              <w:tab w:pos="8590" w:val="right" w:leader="hyphen"/>
            </w:tabs>
            <w:spacing w:line="240" w:lineRule="auto" w:before="65" w:after="0"/>
            <w:ind w:left="1028" w:right="0" w:hanging="720"/>
            <w:jc w:val="left"/>
          </w:pPr>
          <w:hyperlink w:history="true" w:anchor="_TOC_250019">
            <w:r>
              <w:rPr/>
              <w:t>Duty</w:t>
            </w:r>
            <w:r>
              <w:rPr>
                <w:spacing w:val="-9"/>
              </w:rPr>
              <w:t> </w:t>
            </w:r>
            <w:r>
              <w:rPr/>
              <w:t>to</w:t>
            </w:r>
            <w:r>
              <w:rPr>
                <w:spacing w:val="7"/>
              </w:rPr>
              <w:t> </w:t>
            </w:r>
            <w:r>
              <w:rPr/>
              <w:t>Promote</w:t>
            </w:r>
            <w:r>
              <w:rPr>
                <w:spacing w:val="-5"/>
              </w:rPr>
              <w:t> </w:t>
            </w:r>
            <w:r>
              <w:rPr/>
              <w:t>the</w:t>
            </w:r>
            <w:r>
              <w:rPr>
                <w:spacing w:val="1"/>
              </w:rPr>
              <w:t> </w:t>
            </w:r>
            <w:r>
              <w:rPr/>
              <w:t>Success</w:t>
            </w:r>
            <w:r>
              <w:rPr>
                <w:spacing w:val="-1"/>
              </w:rPr>
              <w:t> </w:t>
            </w:r>
            <w:r>
              <w:rPr/>
              <w:t>of</w:t>
            </w:r>
            <w:r>
              <w:rPr>
                <w:spacing w:val="-6"/>
              </w:rPr>
              <w:t> </w:t>
            </w:r>
            <w:r>
              <w:rPr/>
              <w:t>the</w:t>
            </w:r>
            <w:r>
              <w:rPr>
                <w:spacing w:val="1"/>
              </w:rPr>
              <w:t> </w:t>
            </w:r>
            <w:r>
              <w:rPr>
                <w:spacing w:val="-2"/>
              </w:rPr>
              <w:t>Company</w:t>
            </w:r>
            <w:r>
              <w:rPr/>
              <w:tab/>
            </w:r>
            <w:r>
              <w:rPr>
                <w:spacing w:val="-5"/>
              </w:rPr>
              <w:t>133</w:t>
            </w:r>
          </w:hyperlink>
        </w:p>
        <w:p>
          <w:pPr>
            <w:pStyle w:val="TOC3"/>
            <w:numPr>
              <w:ilvl w:val="2"/>
              <w:numId w:val="4"/>
            </w:numPr>
            <w:tabs>
              <w:tab w:pos="1028" w:val="left" w:leader="none"/>
              <w:tab w:pos="8590" w:val="right" w:leader="hyphen"/>
            </w:tabs>
            <w:spacing w:line="240" w:lineRule="auto" w:before="276" w:after="0"/>
            <w:ind w:left="1028" w:right="0" w:hanging="720"/>
            <w:jc w:val="left"/>
          </w:pPr>
          <w:hyperlink w:history="true" w:anchor="_TOC_250018">
            <w:r>
              <w:rPr/>
              <w:t>Duty</w:t>
            </w:r>
            <w:r>
              <w:rPr>
                <w:spacing w:val="-11"/>
              </w:rPr>
              <w:t> </w:t>
            </w:r>
            <w:r>
              <w:rPr/>
              <w:t>to Exercise</w:t>
            </w:r>
            <w:r>
              <w:rPr>
                <w:spacing w:val="-2"/>
              </w:rPr>
              <w:t> </w:t>
            </w:r>
            <w:r>
              <w:rPr/>
              <w:t>Independent</w:t>
            </w:r>
            <w:r>
              <w:rPr>
                <w:spacing w:val="5"/>
              </w:rPr>
              <w:t> </w:t>
            </w:r>
            <w:r>
              <w:rPr>
                <w:spacing w:val="-2"/>
              </w:rPr>
              <w:t>Judgment</w:t>
            </w:r>
            <w:r>
              <w:rPr/>
              <w:tab/>
            </w:r>
            <w:r>
              <w:rPr>
                <w:spacing w:val="-5"/>
              </w:rPr>
              <w:t>152</w:t>
            </w:r>
          </w:hyperlink>
        </w:p>
        <w:p>
          <w:pPr>
            <w:pStyle w:val="TOC3"/>
            <w:numPr>
              <w:ilvl w:val="2"/>
              <w:numId w:val="4"/>
            </w:numPr>
            <w:tabs>
              <w:tab w:pos="1028" w:val="left" w:leader="none"/>
              <w:tab w:pos="8590" w:val="right" w:leader="hyphen"/>
            </w:tabs>
            <w:spacing w:line="240" w:lineRule="auto" w:before="276" w:after="0"/>
            <w:ind w:left="1028" w:right="0" w:hanging="720"/>
            <w:jc w:val="left"/>
          </w:pPr>
          <w:hyperlink w:history="true" w:anchor="_TOC_250017">
            <w:r>
              <w:rPr/>
              <w:t>Duty</w:t>
            </w:r>
            <w:r>
              <w:rPr>
                <w:spacing w:val="-11"/>
              </w:rPr>
              <w:t> </w:t>
            </w:r>
            <w:r>
              <w:rPr/>
              <w:t>to</w:t>
            </w:r>
            <w:r>
              <w:rPr>
                <w:spacing w:val="-1"/>
              </w:rPr>
              <w:t> </w:t>
            </w:r>
            <w:r>
              <w:rPr/>
              <w:t>Exercise</w:t>
            </w:r>
            <w:r>
              <w:rPr>
                <w:spacing w:val="-2"/>
              </w:rPr>
              <w:t> </w:t>
            </w:r>
            <w:r>
              <w:rPr/>
              <w:t>Reasonable</w:t>
            </w:r>
            <w:r>
              <w:rPr>
                <w:spacing w:val="-2"/>
              </w:rPr>
              <w:t> </w:t>
            </w:r>
            <w:r>
              <w:rPr/>
              <w:t>Care,</w:t>
            </w:r>
            <w:r>
              <w:rPr>
                <w:spacing w:val="1"/>
              </w:rPr>
              <w:t> </w:t>
            </w:r>
            <w:r>
              <w:rPr/>
              <w:t>Skill</w:t>
            </w:r>
            <w:r>
              <w:rPr>
                <w:spacing w:val="-5"/>
              </w:rPr>
              <w:t> </w:t>
            </w:r>
            <w:r>
              <w:rPr/>
              <w:t>and</w:t>
            </w:r>
            <w:r>
              <w:rPr>
                <w:spacing w:val="-1"/>
              </w:rPr>
              <w:t> </w:t>
            </w:r>
            <w:r>
              <w:rPr>
                <w:spacing w:val="-2"/>
              </w:rPr>
              <w:t>Diligence</w:t>
            </w:r>
            <w:r>
              <w:rPr/>
              <w:tab/>
            </w:r>
            <w:r>
              <w:rPr>
                <w:spacing w:val="-5"/>
              </w:rPr>
              <w:t>156</w:t>
            </w:r>
          </w:hyperlink>
        </w:p>
        <w:p>
          <w:pPr>
            <w:pStyle w:val="TOC3"/>
            <w:numPr>
              <w:ilvl w:val="2"/>
              <w:numId w:val="4"/>
            </w:numPr>
            <w:tabs>
              <w:tab w:pos="1028" w:val="left" w:leader="none"/>
              <w:tab w:pos="8590" w:val="right" w:leader="hyphen"/>
            </w:tabs>
            <w:spacing w:line="240" w:lineRule="auto" w:before="277" w:after="0"/>
            <w:ind w:left="1028" w:right="0" w:hanging="720"/>
            <w:jc w:val="left"/>
          </w:pPr>
          <w:hyperlink w:history="true" w:anchor="_TOC_250016">
            <w:r>
              <w:rPr/>
              <w:t>Duty</w:t>
            </w:r>
            <w:r>
              <w:rPr>
                <w:spacing w:val="-10"/>
              </w:rPr>
              <w:t> </w:t>
            </w:r>
            <w:r>
              <w:rPr/>
              <w:t>to</w:t>
            </w:r>
            <w:r>
              <w:rPr>
                <w:spacing w:val="6"/>
              </w:rPr>
              <w:t> </w:t>
            </w:r>
            <w:r>
              <w:rPr/>
              <w:t>Avoid</w:t>
            </w:r>
            <w:r>
              <w:rPr>
                <w:spacing w:val="1"/>
              </w:rPr>
              <w:t> </w:t>
            </w:r>
            <w:r>
              <w:rPr/>
              <w:t>Conflicts</w:t>
            </w:r>
            <w:r>
              <w:rPr>
                <w:spacing w:val="-1"/>
              </w:rPr>
              <w:t> </w:t>
            </w:r>
            <w:r>
              <w:rPr/>
              <w:t>of</w:t>
            </w:r>
            <w:r>
              <w:rPr>
                <w:spacing w:val="-3"/>
              </w:rPr>
              <w:t> </w:t>
            </w:r>
            <w:r>
              <w:rPr>
                <w:spacing w:val="-2"/>
              </w:rPr>
              <w:t>Interest</w:t>
            </w:r>
            <w:r>
              <w:rPr/>
              <w:tab/>
            </w:r>
            <w:r>
              <w:rPr>
                <w:spacing w:val="-5"/>
              </w:rPr>
              <w:t>166</w:t>
            </w:r>
          </w:hyperlink>
        </w:p>
        <w:p>
          <w:pPr>
            <w:pStyle w:val="TOC3"/>
            <w:numPr>
              <w:ilvl w:val="2"/>
              <w:numId w:val="4"/>
            </w:numPr>
            <w:tabs>
              <w:tab w:pos="1028" w:val="left" w:leader="none"/>
              <w:tab w:pos="8590" w:val="right" w:leader="hyphen"/>
            </w:tabs>
            <w:spacing w:line="240" w:lineRule="auto" w:before="276" w:after="0"/>
            <w:ind w:left="1028" w:right="0" w:hanging="720"/>
            <w:jc w:val="left"/>
          </w:pPr>
          <w:hyperlink w:history="true" w:anchor="_TOC_250015">
            <w:r>
              <w:rPr/>
              <w:t>Duty</w:t>
            </w:r>
            <w:r>
              <w:rPr>
                <w:spacing w:val="-11"/>
              </w:rPr>
              <w:t> </w:t>
            </w:r>
            <w:r>
              <w:rPr/>
              <w:t>not</w:t>
            </w:r>
            <w:r>
              <w:rPr>
                <w:spacing w:val="-1"/>
              </w:rPr>
              <w:t> </w:t>
            </w:r>
            <w:r>
              <w:rPr/>
              <w:t>to</w:t>
            </w:r>
            <w:r>
              <w:rPr>
                <w:spacing w:val="-1"/>
              </w:rPr>
              <w:t> </w:t>
            </w:r>
            <w:r>
              <w:rPr/>
              <w:t>Accept</w:t>
            </w:r>
            <w:r>
              <w:rPr>
                <w:spacing w:val="3"/>
              </w:rPr>
              <w:t> </w:t>
            </w:r>
            <w:r>
              <w:rPr/>
              <w:t>Benefits</w:t>
            </w:r>
            <w:r>
              <w:rPr>
                <w:spacing w:val="1"/>
              </w:rPr>
              <w:t> </w:t>
            </w:r>
            <w:r>
              <w:rPr/>
              <w:t>from</w:t>
            </w:r>
            <w:r>
              <w:rPr>
                <w:spacing w:val="-9"/>
              </w:rPr>
              <w:t> </w:t>
            </w:r>
            <w:r>
              <w:rPr/>
              <w:t>Third</w:t>
            </w:r>
            <w:r>
              <w:rPr>
                <w:spacing w:val="-1"/>
              </w:rPr>
              <w:t> </w:t>
            </w:r>
            <w:r>
              <w:rPr>
                <w:spacing w:val="-2"/>
              </w:rPr>
              <w:t>Parties</w:t>
            </w:r>
            <w:r>
              <w:rPr/>
              <w:tab/>
            </w:r>
            <w:r>
              <w:rPr>
                <w:spacing w:val="-5"/>
              </w:rPr>
              <w:t>188</w:t>
            </w:r>
          </w:hyperlink>
        </w:p>
        <w:p>
          <w:pPr>
            <w:pStyle w:val="TOC3"/>
            <w:numPr>
              <w:ilvl w:val="2"/>
              <w:numId w:val="4"/>
            </w:numPr>
            <w:tabs>
              <w:tab w:pos="792" w:val="left" w:leader="none"/>
              <w:tab w:pos="8590" w:val="right" w:leader="hyphen"/>
            </w:tabs>
            <w:spacing w:line="240" w:lineRule="auto" w:before="276" w:after="0"/>
            <w:ind w:left="792" w:right="0" w:hanging="484"/>
            <w:jc w:val="left"/>
          </w:pPr>
          <w:hyperlink w:history="true" w:anchor="_TOC_250014">
            <w:r>
              <w:rPr/>
              <w:t>Duty</w:t>
            </w:r>
            <w:r>
              <w:rPr>
                <w:spacing w:val="-13"/>
              </w:rPr>
              <w:t> </w:t>
            </w:r>
            <w:r>
              <w:rPr/>
              <w:t>to</w:t>
            </w:r>
            <w:r>
              <w:rPr>
                <w:spacing w:val="3"/>
              </w:rPr>
              <w:t> </w:t>
            </w:r>
            <w:r>
              <w:rPr/>
              <w:t>Declare</w:t>
            </w:r>
            <w:r>
              <w:rPr>
                <w:spacing w:val="-2"/>
              </w:rPr>
              <w:t> </w:t>
            </w:r>
            <w:r>
              <w:rPr/>
              <w:t>Interest</w:t>
            </w:r>
            <w:r>
              <w:rPr>
                <w:spacing w:val="3"/>
              </w:rPr>
              <w:t> </w:t>
            </w:r>
            <w:r>
              <w:rPr/>
              <w:t>in</w:t>
            </w:r>
            <w:r>
              <w:rPr>
                <w:spacing w:val="-6"/>
              </w:rPr>
              <w:t> </w:t>
            </w:r>
            <w:r>
              <w:rPr/>
              <w:t>Proposed</w:t>
            </w:r>
            <w:r>
              <w:rPr>
                <w:spacing w:val="-2"/>
              </w:rPr>
              <w:t> </w:t>
            </w:r>
            <w:r>
              <w:rPr/>
              <w:t>Transaction</w:t>
            </w:r>
            <w:r>
              <w:rPr>
                <w:spacing w:val="-6"/>
              </w:rPr>
              <w:t> </w:t>
            </w:r>
            <w:r>
              <w:rPr/>
              <w:t>or </w:t>
            </w:r>
            <w:r>
              <w:rPr>
                <w:spacing w:val="-2"/>
              </w:rPr>
              <w:t>Arrangement</w:t>
            </w:r>
            <w:r>
              <w:rPr/>
              <w:tab/>
            </w:r>
            <w:r>
              <w:rPr>
                <w:spacing w:val="-5"/>
              </w:rPr>
              <w:t>194</w:t>
            </w:r>
          </w:hyperlink>
        </w:p>
        <w:p>
          <w:pPr>
            <w:pStyle w:val="TOC1"/>
          </w:pPr>
          <w:hyperlink w:history="true" w:anchor="_TOC_250013">
            <w:r>
              <w:rPr/>
              <w:t>CHAPTER</w:t>
            </w:r>
            <w:r>
              <w:rPr>
                <w:spacing w:val="-9"/>
              </w:rPr>
              <w:t> </w:t>
            </w:r>
            <w:r>
              <w:rPr>
                <w:spacing w:val="-4"/>
              </w:rPr>
              <w:t>FIVE</w:t>
            </w:r>
          </w:hyperlink>
        </w:p>
        <w:p>
          <w:pPr>
            <w:pStyle w:val="TOC2"/>
            <w:tabs>
              <w:tab w:pos="8590" w:val="right" w:leader="hyphen"/>
            </w:tabs>
            <w:spacing w:line="275" w:lineRule="exact"/>
          </w:pPr>
          <w:r>
            <w:rPr/>
            <w:t>Comparative</w:t>
          </w:r>
          <w:r>
            <w:rPr>
              <w:spacing w:val="-2"/>
            </w:rPr>
            <w:t> Evaluation</w:t>
          </w:r>
          <w:r>
            <w:rPr/>
            <w:tab/>
          </w:r>
          <w:r>
            <w:rPr>
              <w:spacing w:val="-5"/>
            </w:rPr>
            <w:t>205</w:t>
          </w:r>
        </w:p>
        <w:p>
          <w:pPr>
            <w:pStyle w:val="TOC3"/>
            <w:numPr>
              <w:ilvl w:val="1"/>
              <w:numId w:val="5"/>
            </w:numPr>
            <w:tabs>
              <w:tab w:pos="1028" w:val="left" w:leader="none"/>
              <w:tab w:pos="8590" w:val="right" w:leader="none"/>
            </w:tabs>
            <w:spacing w:line="240" w:lineRule="auto" w:before="271" w:after="0"/>
            <w:ind w:left="1028" w:right="0" w:hanging="720"/>
            <w:jc w:val="left"/>
          </w:pPr>
          <w:r>
            <w:rPr/>
            <mc:AlternateContent>
              <mc:Choice Requires="wps">
                <w:drawing>
                  <wp:anchor distT="0" distB="0" distL="0" distR="0" allowOverlap="1" layoutInCell="1" locked="0" behindDoc="1" simplePos="0" relativeHeight="485099520">
                    <wp:simplePos x="0" y="0"/>
                    <wp:positionH relativeFrom="page">
                      <wp:posOffset>2469769</wp:posOffset>
                    </wp:positionH>
                    <wp:positionV relativeFrom="paragraph">
                      <wp:posOffset>280402</wp:posOffset>
                    </wp:positionV>
                    <wp:extent cx="3701415" cy="1270"/>
                    <wp:effectExtent l="0" t="0" r="0" b="0"/>
                    <wp:wrapNone/>
                    <wp:docPr id="39" name="Graphic 39"/>
                    <wp:cNvGraphicFramePr>
                      <a:graphicFrameLocks/>
                    </wp:cNvGraphicFramePr>
                    <a:graphic>
                      <a:graphicData uri="http://schemas.microsoft.com/office/word/2010/wordprocessingShape">
                        <wps:wsp>
                          <wps:cNvPr id="39" name="Graphic 39"/>
                          <wps:cNvSpPr/>
                          <wps:spPr>
                            <a:xfrm>
                              <a:off x="0" y="0"/>
                              <a:ext cx="3701415" cy="1270"/>
                            </a:xfrm>
                            <a:custGeom>
                              <a:avLst/>
                              <a:gdLst/>
                              <a:ahLst/>
                              <a:cxnLst/>
                              <a:rect l="l" t="t" r="r" b="b"/>
                              <a:pathLst>
                                <a:path w="3701415" h="0">
                                  <a:moveTo>
                                    <a:pt x="0" y="0"/>
                                  </a:moveTo>
                                  <a:lnTo>
                                    <a:pt x="3701121"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6960" from="194.470001pt,22.078945pt" to="485.896873pt,22.078945pt" stroked="true" strokeweight=".885563pt" strokecolor="#000000">
                    <v:stroke dashstyle="shortdash"/>
                    <w10:wrap type="none"/>
                  </v:line>
                </w:pict>
              </mc:Fallback>
            </mc:AlternateContent>
          </w:r>
          <w:r>
            <w:rPr>
              <w:spacing w:val="-2"/>
            </w:rPr>
            <w:t>Introduction</w:t>
          </w:r>
          <w:r>
            <w:rPr/>
            <w:tab/>
          </w:r>
          <w:r>
            <w:rPr>
              <w:spacing w:val="-5"/>
            </w:rPr>
            <w:t>205</w:t>
          </w:r>
        </w:p>
        <w:p>
          <w:pPr>
            <w:pStyle w:val="TOC3"/>
            <w:numPr>
              <w:ilvl w:val="1"/>
              <w:numId w:val="5"/>
            </w:numPr>
            <w:tabs>
              <w:tab w:pos="1028" w:val="left" w:leader="none"/>
              <w:tab w:pos="8590" w:val="right" w:leader="none"/>
            </w:tabs>
            <w:spacing w:line="240" w:lineRule="auto" w:before="277" w:after="0"/>
            <w:ind w:left="1028" w:right="0" w:hanging="720"/>
            <w:jc w:val="left"/>
          </w:pPr>
          <w:r>
            <w:rPr/>
            <mc:AlternateContent>
              <mc:Choice Requires="wps">
                <w:drawing>
                  <wp:anchor distT="0" distB="0" distL="0" distR="0" allowOverlap="1" layoutInCell="1" locked="0" behindDoc="1" simplePos="0" relativeHeight="485100032">
                    <wp:simplePos x="0" y="0"/>
                    <wp:positionH relativeFrom="page">
                      <wp:posOffset>2982214</wp:posOffset>
                    </wp:positionH>
                    <wp:positionV relativeFrom="paragraph">
                      <wp:posOffset>283973</wp:posOffset>
                    </wp:positionV>
                    <wp:extent cx="3251835" cy="1270"/>
                    <wp:effectExtent l="0" t="0" r="0" b="0"/>
                    <wp:wrapNone/>
                    <wp:docPr id="40" name="Graphic 40"/>
                    <wp:cNvGraphicFramePr>
                      <a:graphicFrameLocks/>
                    </wp:cNvGraphicFramePr>
                    <a:graphic>
                      <a:graphicData uri="http://schemas.microsoft.com/office/word/2010/wordprocessingShape">
                        <wps:wsp>
                          <wps:cNvPr id="40" name="Graphic 40"/>
                          <wps:cNvSpPr/>
                          <wps:spPr>
                            <a:xfrm>
                              <a:off x="0" y="0"/>
                              <a:ext cx="3251835" cy="1270"/>
                            </a:xfrm>
                            <a:custGeom>
                              <a:avLst/>
                              <a:gdLst/>
                              <a:ahLst/>
                              <a:cxnLst/>
                              <a:rect l="l" t="t" r="r" b="b"/>
                              <a:pathLst>
                                <a:path w="3251835" h="0">
                                  <a:moveTo>
                                    <a:pt x="0" y="0"/>
                                  </a:moveTo>
                                  <a:lnTo>
                                    <a:pt x="3251588"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6448" from="234.820007pt,22.360123pt" to="490.850572pt,22.360123pt" stroked="true" strokeweight=".885563pt" strokecolor="#000000">
                    <v:stroke dashstyle="shortdash"/>
                    <w10:wrap type="none"/>
                  </v:line>
                </w:pict>
              </mc:Fallback>
            </mc:AlternateContent>
          </w:r>
          <w:hyperlink w:history="true" w:anchor="_TOC_250012">
            <w:r>
              <w:rPr/>
              <w:t>General</w:t>
            </w:r>
            <w:r>
              <w:rPr>
                <w:spacing w:val="-7"/>
              </w:rPr>
              <w:t> </w:t>
            </w:r>
            <w:r>
              <w:rPr>
                <w:spacing w:val="-2"/>
              </w:rPr>
              <w:t>Observation</w:t>
            </w:r>
            <w:r>
              <w:rPr/>
              <w:tab/>
            </w:r>
            <w:r>
              <w:rPr>
                <w:spacing w:val="-5"/>
              </w:rPr>
              <w:t>205</w:t>
            </w:r>
          </w:hyperlink>
        </w:p>
        <w:p>
          <w:pPr>
            <w:pStyle w:val="TOC3"/>
            <w:numPr>
              <w:ilvl w:val="1"/>
              <w:numId w:val="5"/>
            </w:numPr>
            <w:tabs>
              <w:tab w:pos="1028" w:val="left" w:leader="none"/>
              <w:tab w:pos="859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100544">
                    <wp:simplePos x="0" y="0"/>
                    <wp:positionH relativeFrom="page">
                      <wp:posOffset>3101085</wp:posOffset>
                    </wp:positionH>
                    <wp:positionV relativeFrom="paragraph">
                      <wp:posOffset>283353</wp:posOffset>
                    </wp:positionV>
                    <wp:extent cx="3144520" cy="1270"/>
                    <wp:effectExtent l="0" t="0" r="0" b="0"/>
                    <wp:wrapNone/>
                    <wp:docPr id="41" name="Graphic 41"/>
                    <wp:cNvGraphicFramePr>
                      <a:graphicFrameLocks/>
                    </wp:cNvGraphicFramePr>
                    <a:graphic>
                      <a:graphicData uri="http://schemas.microsoft.com/office/word/2010/wordprocessingShape">
                        <wps:wsp>
                          <wps:cNvPr id="41" name="Graphic 41"/>
                          <wps:cNvSpPr/>
                          <wps:spPr>
                            <a:xfrm>
                              <a:off x="0" y="0"/>
                              <a:ext cx="3144520" cy="1270"/>
                            </a:xfrm>
                            <a:custGeom>
                              <a:avLst/>
                              <a:gdLst/>
                              <a:ahLst/>
                              <a:cxnLst/>
                              <a:rect l="l" t="t" r="r" b="b"/>
                              <a:pathLst>
                                <a:path w="3144520" h="0">
                                  <a:moveTo>
                                    <a:pt x="0" y="0"/>
                                  </a:moveTo>
                                  <a:lnTo>
                                    <a:pt x="3144390"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5936" from="244.179993pt,22.31127pt" to="491.769829pt,22.31127pt" stroked="true" strokeweight=".885563pt" strokecolor="#000000">
                    <v:stroke dashstyle="shortdash"/>
                    <w10:wrap type="none"/>
                  </v:line>
                </w:pict>
              </mc:Fallback>
            </mc:AlternateContent>
          </w:r>
          <w:hyperlink w:history="true" w:anchor="_TOC_250011">
            <w:r>
              <w:rPr/>
              <w:t>Comparative</w:t>
            </w:r>
            <w:r>
              <w:rPr>
                <w:spacing w:val="-4"/>
              </w:rPr>
              <w:t> </w:t>
            </w:r>
            <w:r>
              <w:rPr>
                <w:spacing w:val="-2"/>
              </w:rPr>
              <w:t>Analyses</w:t>
            </w:r>
            <w:r>
              <w:rPr/>
              <w:tab/>
            </w:r>
            <w:r>
              <w:rPr>
                <w:spacing w:val="-5"/>
              </w:rPr>
              <w:t>209</w:t>
            </w:r>
          </w:hyperlink>
        </w:p>
        <w:p>
          <w:pPr>
            <w:pStyle w:val="TOC3"/>
            <w:numPr>
              <w:ilvl w:val="2"/>
              <w:numId w:val="5"/>
            </w:numPr>
            <w:tabs>
              <w:tab w:pos="1028" w:val="left" w:leader="none"/>
              <w:tab w:pos="859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101056">
                    <wp:simplePos x="0" y="0"/>
                    <wp:positionH relativeFrom="page">
                      <wp:posOffset>3387597</wp:posOffset>
                    </wp:positionH>
                    <wp:positionV relativeFrom="paragraph">
                      <wp:posOffset>283368</wp:posOffset>
                    </wp:positionV>
                    <wp:extent cx="2837815" cy="1270"/>
                    <wp:effectExtent l="0" t="0" r="0" b="0"/>
                    <wp:wrapNone/>
                    <wp:docPr id="42" name="Graphic 42"/>
                    <wp:cNvGraphicFramePr>
                      <a:graphicFrameLocks/>
                    </wp:cNvGraphicFramePr>
                    <a:graphic>
                      <a:graphicData uri="http://schemas.microsoft.com/office/word/2010/wordprocessingShape">
                        <wps:wsp>
                          <wps:cNvPr id="42" name="Graphic 42"/>
                          <wps:cNvSpPr/>
                          <wps:spPr>
                            <a:xfrm>
                              <a:off x="0" y="0"/>
                              <a:ext cx="2837815" cy="1270"/>
                            </a:xfrm>
                            <a:custGeom>
                              <a:avLst/>
                              <a:gdLst/>
                              <a:ahLst/>
                              <a:cxnLst/>
                              <a:rect l="l" t="t" r="r" b="b"/>
                              <a:pathLst>
                                <a:path w="2837815" h="0">
                                  <a:moveTo>
                                    <a:pt x="0" y="0"/>
                                  </a:moveTo>
                                  <a:lnTo>
                                    <a:pt x="2837297"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5424" from="266.739990pt,22.312447pt" to="490.149261pt,22.312447pt" stroked="true" strokeweight=".885563pt" strokecolor="#000000">
                    <v:stroke dashstyle="shortdash"/>
                    <w10:wrap type="none"/>
                  </v:line>
                </w:pict>
              </mc:Fallback>
            </mc:AlternateContent>
          </w:r>
          <w:hyperlink w:history="true" w:anchor="_TOC_250010">
            <w:r>
              <w:rPr/>
              <w:t>Duty</w:t>
            </w:r>
            <w:r>
              <w:rPr>
                <w:spacing w:val="-11"/>
              </w:rPr>
              <w:t> </w:t>
            </w:r>
            <w:r>
              <w:rPr/>
              <w:t>to</w:t>
            </w:r>
            <w:r>
              <w:rPr>
                <w:spacing w:val="3"/>
              </w:rPr>
              <w:t> </w:t>
            </w:r>
            <w:r>
              <w:rPr/>
              <w:t>Act</w:t>
            </w:r>
            <w:r>
              <w:rPr>
                <w:spacing w:val="3"/>
              </w:rPr>
              <w:t> </w:t>
            </w:r>
            <w:r>
              <w:rPr/>
              <w:t>Within</w:t>
            </w:r>
            <w:r>
              <w:rPr>
                <w:spacing w:val="-6"/>
              </w:rPr>
              <w:t> </w:t>
            </w:r>
            <w:r>
              <w:rPr>
                <w:spacing w:val="-2"/>
              </w:rPr>
              <w:t>Powers</w:t>
            </w:r>
            <w:r>
              <w:rPr/>
              <w:tab/>
            </w:r>
            <w:r>
              <w:rPr>
                <w:spacing w:val="-5"/>
              </w:rPr>
              <w:t>210</w:t>
            </w:r>
          </w:hyperlink>
        </w:p>
        <w:p>
          <w:pPr>
            <w:pStyle w:val="TOC3"/>
            <w:numPr>
              <w:ilvl w:val="2"/>
              <w:numId w:val="5"/>
            </w:numPr>
            <w:tabs>
              <w:tab w:pos="1028" w:val="left" w:leader="none"/>
              <w:tab w:pos="8590" w:val="right" w:leader="hyphen"/>
            </w:tabs>
            <w:spacing w:line="240" w:lineRule="auto" w:before="276" w:after="0"/>
            <w:ind w:left="1028" w:right="0" w:hanging="720"/>
            <w:jc w:val="left"/>
          </w:pPr>
          <w:hyperlink w:history="true" w:anchor="_TOC_250009">
            <w:r>
              <w:rPr/>
              <w:t>Duty</w:t>
            </w:r>
            <w:r>
              <w:rPr>
                <w:spacing w:val="-8"/>
              </w:rPr>
              <w:t> </w:t>
            </w:r>
            <w:r>
              <w:rPr/>
              <w:t>to</w:t>
            </w:r>
            <w:r>
              <w:rPr>
                <w:spacing w:val="7"/>
              </w:rPr>
              <w:t> </w:t>
            </w:r>
            <w:r>
              <w:rPr/>
              <w:t>Promote</w:t>
            </w:r>
            <w:r>
              <w:rPr>
                <w:spacing w:val="-4"/>
              </w:rPr>
              <w:t> </w:t>
            </w:r>
            <w:r>
              <w:rPr/>
              <w:t>the</w:t>
            </w:r>
            <w:r>
              <w:rPr>
                <w:spacing w:val="1"/>
              </w:rPr>
              <w:t> </w:t>
            </w:r>
            <w:r>
              <w:rPr/>
              <w:t>Success of</w:t>
            </w:r>
            <w:r>
              <w:rPr>
                <w:spacing w:val="-6"/>
              </w:rPr>
              <w:t> </w:t>
            </w:r>
            <w:r>
              <w:rPr/>
              <w:t>the</w:t>
            </w:r>
            <w:r>
              <w:rPr>
                <w:spacing w:val="1"/>
              </w:rPr>
              <w:t> </w:t>
            </w:r>
            <w:r>
              <w:rPr>
                <w:spacing w:val="-2"/>
              </w:rPr>
              <w:t>Company</w:t>
            </w:r>
            <w:r>
              <w:rPr/>
              <w:tab/>
            </w:r>
            <w:r>
              <w:rPr>
                <w:spacing w:val="-5"/>
              </w:rPr>
              <w:t>213</w:t>
            </w:r>
          </w:hyperlink>
        </w:p>
        <w:p>
          <w:pPr>
            <w:pStyle w:val="TOC3"/>
            <w:numPr>
              <w:ilvl w:val="2"/>
              <w:numId w:val="5"/>
            </w:numPr>
            <w:tabs>
              <w:tab w:pos="1028" w:val="left" w:leader="none"/>
              <w:tab w:pos="8590" w:val="right" w:leader="hyphen"/>
            </w:tabs>
            <w:spacing w:line="240" w:lineRule="auto" w:before="276" w:after="0"/>
            <w:ind w:left="1028" w:right="0" w:hanging="720"/>
            <w:jc w:val="left"/>
          </w:pPr>
          <w:hyperlink w:history="true" w:anchor="_TOC_250008">
            <w:r>
              <w:rPr/>
              <w:t>Duty</w:t>
            </w:r>
            <w:r>
              <w:rPr>
                <w:spacing w:val="-11"/>
              </w:rPr>
              <w:t> </w:t>
            </w:r>
            <w:r>
              <w:rPr/>
              <w:t>to Exercise</w:t>
            </w:r>
            <w:r>
              <w:rPr>
                <w:spacing w:val="-2"/>
              </w:rPr>
              <w:t> </w:t>
            </w:r>
            <w:r>
              <w:rPr/>
              <w:t>Independent</w:t>
            </w:r>
            <w:r>
              <w:rPr>
                <w:spacing w:val="5"/>
              </w:rPr>
              <w:t> </w:t>
            </w:r>
            <w:r>
              <w:rPr>
                <w:spacing w:val="-2"/>
              </w:rPr>
              <w:t>Judgment</w:t>
            </w:r>
            <w:r>
              <w:rPr/>
              <w:tab/>
            </w:r>
            <w:r>
              <w:rPr>
                <w:spacing w:val="-5"/>
              </w:rPr>
              <w:t>225</w:t>
            </w:r>
          </w:hyperlink>
        </w:p>
        <w:p>
          <w:pPr>
            <w:pStyle w:val="TOC3"/>
            <w:numPr>
              <w:ilvl w:val="2"/>
              <w:numId w:val="5"/>
            </w:numPr>
            <w:tabs>
              <w:tab w:pos="1028" w:val="left" w:leader="none"/>
              <w:tab w:pos="8590" w:val="right" w:leader="hyphen"/>
            </w:tabs>
            <w:spacing w:line="240" w:lineRule="auto" w:before="276" w:after="0"/>
            <w:ind w:left="1028" w:right="0" w:hanging="720"/>
            <w:jc w:val="left"/>
          </w:pPr>
          <w:hyperlink w:history="true" w:anchor="_TOC_250007">
            <w:r>
              <w:rPr/>
              <w:t>Duty</w:t>
            </w:r>
            <w:r>
              <w:rPr>
                <w:spacing w:val="-11"/>
              </w:rPr>
              <w:t> </w:t>
            </w:r>
            <w:r>
              <w:rPr/>
              <w:t>to</w:t>
            </w:r>
            <w:r>
              <w:rPr>
                <w:spacing w:val="-1"/>
              </w:rPr>
              <w:t> </w:t>
            </w:r>
            <w:r>
              <w:rPr/>
              <w:t>Exercise</w:t>
            </w:r>
            <w:r>
              <w:rPr>
                <w:spacing w:val="-2"/>
              </w:rPr>
              <w:t> </w:t>
            </w:r>
            <w:r>
              <w:rPr/>
              <w:t>Reasonable</w:t>
            </w:r>
            <w:r>
              <w:rPr>
                <w:spacing w:val="-2"/>
              </w:rPr>
              <w:t> </w:t>
            </w:r>
            <w:r>
              <w:rPr/>
              <w:t>Care,</w:t>
            </w:r>
            <w:r>
              <w:rPr>
                <w:spacing w:val="1"/>
              </w:rPr>
              <w:t> </w:t>
            </w:r>
            <w:r>
              <w:rPr/>
              <w:t>Skill</w:t>
            </w:r>
            <w:r>
              <w:rPr>
                <w:spacing w:val="-5"/>
              </w:rPr>
              <w:t> </w:t>
            </w:r>
            <w:r>
              <w:rPr/>
              <w:t>and</w:t>
            </w:r>
            <w:r>
              <w:rPr>
                <w:spacing w:val="-1"/>
              </w:rPr>
              <w:t> </w:t>
            </w:r>
            <w:r>
              <w:rPr>
                <w:spacing w:val="-2"/>
              </w:rPr>
              <w:t>Diligence</w:t>
            </w:r>
            <w:r>
              <w:rPr/>
              <w:tab/>
            </w:r>
            <w:r>
              <w:rPr>
                <w:spacing w:val="-5"/>
              </w:rPr>
              <w:t>227</w:t>
            </w:r>
          </w:hyperlink>
        </w:p>
        <w:p>
          <w:pPr>
            <w:pStyle w:val="TOC3"/>
            <w:numPr>
              <w:ilvl w:val="2"/>
              <w:numId w:val="5"/>
            </w:numPr>
            <w:tabs>
              <w:tab w:pos="1028" w:val="left" w:leader="none"/>
              <w:tab w:pos="8590" w:val="right" w:leader="hyphen"/>
            </w:tabs>
            <w:spacing w:line="240" w:lineRule="auto" w:before="277" w:after="0"/>
            <w:ind w:left="1028" w:right="0" w:hanging="720"/>
            <w:jc w:val="left"/>
          </w:pPr>
          <w:hyperlink w:history="true" w:anchor="_TOC_250006">
            <w:r>
              <w:rPr/>
              <w:t>Duty</w:t>
            </w:r>
            <w:r>
              <w:rPr>
                <w:spacing w:val="-9"/>
              </w:rPr>
              <w:t> </w:t>
            </w:r>
            <w:r>
              <w:rPr/>
              <w:t>to</w:t>
            </w:r>
            <w:r>
              <w:rPr>
                <w:spacing w:val="6"/>
              </w:rPr>
              <w:t> </w:t>
            </w:r>
            <w:r>
              <w:rPr/>
              <w:t>Avoid</w:t>
            </w:r>
            <w:r>
              <w:rPr>
                <w:spacing w:val="1"/>
              </w:rPr>
              <w:t> </w:t>
            </w:r>
            <w:r>
              <w:rPr/>
              <w:t>Conflicts</w:t>
            </w:r>
            <w:r>
              <w:rPr>
                <w:spacing w:val="-1"/>
              </w:rPr>
              <w:t> </w:t>
            </w:r>
            <w:r>
              <w:rPr/>
              <w:t>of</w:t>
            </w:r>
            <w:r>
              <w:rPr>
                <w:spacing w:val="-6"/>
              </w:rPr>
              <w:t> </w:t>
            </w:r>
            <w:r>
              <w:rPr>
                <w:spacing w:val="-2"/>
              </w:rPr>
              <w:t>Interest</w:t>
            </w:r>
            <w:r>
              <w:rPr/>
              <w:tab/>
            </w:r>
            <w:r>
              <w:rPr>
                <w:spacing w:val="-5"/>
              </w:rPr>
              <w:t>231</w:t>
            </w:r>
          </w:hyperlink>
        </w:p>
        <w:p>
          <w:pPr>
            <w:pStyle w:val="TOC3"/>
            <w:numPr>
              <w:ilvl w:val="2"/>
              <w:numId w:val="5"/>
            </w:numPr>
            <w:tabs>
              <w:tab w:pos="1028" w:val="left" w:leader="none"/>
              <w:tab w:pos="8528" w:val="right" w:leader="hyphen"/>
            </w:tabs>
            <w:spacing w:line="240" w:lineRule="auto" w:before="276" w:after="0"/>
            <w:ind w:left="1028" w:right="0" w:hanging="720"/>
            <w:jc w:val="left"/>
          </w:pPr>
          <w:hyperlink w:history="true" w:anchor="_TOC_250005">
            <w:r>
              <w:rPr/>
              <w:t>Duty</w:t>
            </w:r>
            <w:r>
              <w:rPr>
                <w:spacing w:val="-11"/>
              </w:rPr>
              <w:t> </w:t>
            </w:r>
            <w:r>
              <w:rPr/>
              <w:t>Not to</w:t>
            </w:r>
            <w:r>
              <w:rPr>
                <w:spacing w:val="-1"/>
              </w:rPr>
              <w:t> </w:t>
            </w:r>
            <w:r>
              <w:rPr/>
              <w:t>Accept</w:t>
            </w:r>
            <w:r>
              <w:rPr>
                <w:spacing w:val="4"/>
              </w:rPr>
              <w:t> </w:t>
            </w:r>
            <w:r>
              <w:rPr/>
              <w:t>Benefits</w:t>
            </w:r>
            <w:r>
              <w:rPr>
                <w:spacing w:val="1"/>
              </w:rPr>
              <w:t> </w:t>
            </w:r>
            <w:r>
              <w:rPr/>
              <w:t>from</w:t>
            </w:r>
            <w:r>
              <w:rPr>
                <w:spacing w:val="-9"/>
              </w:rPr>
              <w:t> </w:t>
            </w:r>
            <w:r>
              <w:rPr/>
              <w:t>Third </w:t>
            </w:r>
            <w:r>
              <w:rPr>
                <w:spacing w:val="-2"/>
              </w:rPr>
              <w:t>Parties</w:t>
            </w:r>
            <w:r>
              <w:rPr/>
              <w:tab/>
            </w:r>
            <w:r>
              <w:rPr>
                <w:spacing w:val="-5"/>
              </w:rPr>
              <w:t>237</w:t>
            </w:r>
          </w:hyperlink>
        </w:p>
        <w:p>
          <w:pPr>
            <w:pStyle w:val="TOC3"/>
            <w:numPr>
              <w:ilvl w:val="2"/>
              <w:numId w:val="5"/>
            </w:numPr>
            <w:tabs>
              <w:tab w:pos="1028" w:val="left" w:leader="none"/>
              <w:tab w:pos="8590" w:val="right" w:leader="hyphen"/>
            </w:tabs>
            <w:spacing w:line="240" w:lineRule="auto" w:before="276" w:after="0"/>
            <w:ind w:left="1028" w:right="0" w:hanging="720"/>
            <w:jc w:val="left"/>
          </w:pPr>
          <w:r>
            <w:rPr/>
            <w:t>Duty</w:t>
          </w:r>
          <w:r>
            <w:rPr>
              <w:spacing w:val="-13"/>
            </w:rPr>
            <w:t> </w:t>
          </w:r>
          <w:r>
            <w:rPr/>
            <w:t>to</w:t>
          </w:r>
          <w:r>
            <w:rPr>
              <w:spacing w:val="4"/>
            </w:rPr>
            <w:t> </w:t>
          </w:r>
          <w:r>
            <w:rPr/>
            <w:t>Declare</w:t>
          </w:r>
          <w:r>
            <w:rPr>
              <w:spacing w:val="-2"/>
            </w:rPr>
            <w:t> </w:t>
          </w:r>
          <w:r>
            <w:rPr/>
            <w:t>Interest</w:t>
          </w:r>
          <w:r>
            <w:rPr>
              <w:spacing w:val="7"/>
            </w:rPr>
            <w:t> </w:t>
          </w:r>
          <w:r>
            <w:rPr/>
            <w:t>in</w:t>
          </w:r>
          <w:r>
            <w:rPr>
              <w:spacing w:val="-6"/>
            </w:rPr>
            <w:t> </w:t>
          </w:r>
          <w:r>
            <w:rPr/>
            <w:t>Proposed</w:t>
          </w:r>
          <w:r>
            <w:rPr>
              <w:spacing w:val="-6"/>
            </w:rPr>
            <w:t> </w:t>
          </w:r>
          <w:r>
            <w:rPr/>
            <w:t>or</w:t>
          </w:r>
          <w:r>
            <w:rPr>
              <w:spacing w:val="-3"/>
            </w:rPr>
            <w:t> </w:t>
          </w:r>
          <w:r>
            <w:rPr/>
            <w:t>Existing</w:t>
          </w:r>
          <w:r>
            <w:rPr>
              <w:spacing w:val="-1"/>
            </w:rPr>
            <w:t> </w:t>
          </w:r>
          <w:r>
            <w:rPr>
              <w:spacing w:val="-2"/>
            </w:rPr>
            <w:t>Transaction</w:t>
          </w:r>
          <w:r>
            <w:rPr/>
            <w:tab/>
          </w:r>
          <w:r>
            <w:rPr>
              <w:spacing w:val="-5"/>
            </w:rPr>
            <w:t>241</w:t>
          </w:r>
        </w:p>
        <w:p>
          <w:pPr>
            <w:pStyle w:val="TOC1"/>
            <w:spacing w:line="240" w:lineRule="auto"/>
          </w:pPr>
          <w:hyperlink w:history="true" w:anchor="_TOC_250004">
            <w:r>
              <w:rPr/>
              <w:t>CHAPTER</w:t>
            </w:r>
            <w:r>
              <w:rPr>
                <w:spacing w:val="-9"/>
              </w:rPr>
              <w:t> </w:t>
            </w:r>
            <w:r>
              <w:rPr>
                <w:spacing w:val="-5"/>
              </w:rPr>
              <w:t>SIX</w:t>
            </w:r>
          </w:hyperlink>
        </w:p>
        <w:p>
          <w:pPr>
            <w:pStyle w:val="TOC2"/>
            <w:tabs>
              <w:tab w:pos="8590" w:val="right" w:leader="hyphen"/>
            </w:tabs>
            <w:spacing w:before="2"/>
          </w:pPr>
          <w:r>
            <w:rPr/>
            <w:t>Conclusion,</w:t>
          </w:r>
          <w:r>
            <w:rPr>
              <w:spacing w:val="1"/>
            </w:rPr>
            <w:t> </w:t>
          </w:r>
          <w:r>
            <w:rPr/>
            <w:t>Findings</w:t>
          </w:r>
          <w:r>
            <w:rPr>
              <w:spacing w:val="-3"/>
            </w:rPr>
            <w:t> </w:t>
          </w:r>
          <w:r>
            <w:rPr/>
            <w:t>and </w:t>
          </w:r>
          <w:r>
            <w:rPr>
              <w:spacing w:val="-2"/>
            </w:rPr>
            <w:t>Recommendations</w:t>
          </w:r>
          <w:r>
            <w:rPr/>
            <w:tab/>
          </w:r>
          <w:r>
            <w:rPr>
              <w:spacing w:val="-5"/>
            </w:rPr>
            <w:t>248</w:t>
          </w:r>
        </w:p>
        <w:p>
          <w:pPr>
            <w:pStyle w:val="TOC3"/>
            <w:numPr>
              <w:ilvl w:val="1"/>
              <w:numId w:val="6"/>
            </w:numPr>
            <w:tabs>
              <w:tab w:pos="1028" w:val="left" w:leader="none"/>
              <w:tab w:pos="8590" w:val="right" w:leader="none"/>
            </w:tabs>
            <w:spacing w:line="240" w:lineRule="auto" w:before="272" w:after="0"/>
            <w:ind w:left="1028" w:right="0" w:hanging="720"/>
            <w:jc w:val="left"/>
          </w:pPr>
          <w:r>
            <w:rPr/>
            <mc:AlternateContent>
              <mc:Choice Requires="wps">
                <w:drawing>
                  <wp:anchor distT="0" distB="0" distL="0" distR="0" allowOverlap="1" layoutInCell="1" locked="0" behindDoc="1" simplePos="0" relativeHeight="485101568">
                    <wp:simplePos x="0" y="0"/>
                    <wp:positionH relativeFrom="page">
                      <wp:posOffset>2308225</wp:posOffset>
                    </wp:positionH>
                    <wp:positionV relativeFrom="paragraph">
                      <wp:posOffset>280834</wp:posOffset>
                    </wp:positionV>
                    <wp:extent cx="3910965" cy="1270"/>
                    <wp:effectExtent l="0" t="0" r="0" b="0"/>
                    <wp:wrapNone/>
                    <wp:docPr id="43" name="Graphic 43"/>
                    <wp:cNvGraphicFramePr>
                      <a:graphicFrameLocks/>
                    </wp:cNvGraphicFramePr>
                    <a:graphic>
                      <a:graphicData uri="http://schemas.microsoft.com/office/word/2010/wordprocessingShape">
                        <wps:wsp>
                          <wps:cNvPr id="43" name="Graphic 43"/>
                          <wps:cNvSpPr/>
                          <wps:spPr>
                            <a:xfrm>
                              <a:off x="0" y="0"/>
                              <a:ext cx="3910965" cy="1270"/>
                            </a:xfrm>
                            <a:custGeom>
                              <a:avLst/>
                              <a:gdLst/>
                              <a:ahLst/>
                              <a:cxnLst/>
                              <a:rect l="l" t="t" r="r" b="b"/>
                              <a:pathLst>
                                <a:path w="3910965" h="0">
                                  <a:moveTo>
                                    <a:pt x="0" y="0"/>
                                  </a:moveTo>
                                  <a:lnTo>
                                    <a:pt x="3910744"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4912" from="181.75pt,22.112988pt" to="489.682636pt,22.112988pt" stroked="true" strokeweight=".885563pt" strokecolor="#000000">
                    <v:stroke dashstyle="dash"/>
                    <w10:wrap type="none"/>
                  </v:line>
                </w:pict>
              </mc:Fallback>
            </mc:AlternateContent>
          </w:r>
          <w:hyperlink w:history="true" w:anchor="_TOC_250003">
            <w:r>
              <w:rPr>
                <w:spacing w:val="-2"/>
              </w:rPr>
              <w:t>Summary</w:t>
            </w:r>
            <w:r>
              <w:rPr/>
              <w:tab/>
            </w:r>
            <w:r>
              <w:rPr>
                <w:spacing w:val="-5"/>
              </w:rPr>
              <w:t>248</w:t>
            </w:r>
          </w:hyperlink>
        </w:p>
        <w:p>
          <w:pPr>
            <w:pStyle w:val="TOC3"/>
            <w:numPr>
              <w:ilvl w:val="1"/>
              <w:numId w:val="6"/>
            </w:numPr>
            <w:tabs>
              <w:tab w:pos="1028" w:val="left" w:leader="none"/>
              <w:tab w:pos="859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102080">
                    <wp:simplePos x="0" y="0"/>
                    <wp:positionH relativeFrom="page">
                      <wp:posOffset>2411857</wp:posOffset>
                    </wp:positionH>
                    <wp:positionV relativeFrom="paragraph">
                      <wp:posOffset>283643</wp:posOffset>
                    </wp:positionV>
                    <wp:extent cx="3810000" cy="1270"/>
                    <wp:effectExtent l="0" t="0" r="0" b="0"/>
                    <wp:wrapNone/>
                    <wp:docPr id="44" name="Graphic 44"/>
                    <wp:cNvGraphicFramePr>
                      <a:graphicFrameLocks/>
                    </wp:cNvGraphicFramePr>
                    <a:graphic>
                      <a:graphicData uri="http://schemas.microsoft.com/office/word/2010/wordprocessingShape">
                        <wps:wsp>
                          <wps:cNvPr id="44" name="Graphic 44"/>
                          <wps:cNvSpPr/>
                          <wps:spPr>
                            <a:xfrm>
                              <a:off x="0" y="0"/>
                              <a:ext cx="3810000" cy="1270"/>
                            </a:xfrm>
                            <a:custGeom>
                              <a:avLst/>
                              <a:gdLst/>
                              <a:ahLst/>
                              <a:cxnLst/>
                              <a:rect l="l" t="t" r="r" b="b"/>
                              <a:pathLst>
                                <a:path w="3810000" h="0">
                                  <a:moveTo>
                                    <a:pt x="0" y="0"/>
                                  </a:moveTo>
                                  <a:lnTo>
                                    <a:pt x="3809603"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4400" from="189.910004pt,22.334169pt" to="489.878757pt,22.334169pt" stroked="true" strokeweight=".885563pt" strokecolor="#000000">
                    <v:stroke dashstyle="shortdash"/>
                    <w10:wrap type="none"/>
                  </v:line>
                </w:pict>
              </mc:Fallback>
            </mc:AlternateContent>
          </w:r>
          <w:hyperlink w:history="true" w:anchor="_TOC_250002">
            <w:r>
              <w:rPr>
                <w:spacing w:val="-2"/>
              </w:rPr>
              <w:t>Conclusion</w:t>
            </w:r>
            <w:r>
              <w:rPr/>
              <w:tab/>
            </w:r>
            <w:r>
              <w:rPr>
                <w:spacing w:val="-5"/>
              </w:rPr>
              <w:t>249</w:t>
            </w:r>
          </w:hyperlink>
        </w:p>
        <w:p>
          <w:pPr>
            <w:pStyle w:val="TOC3"/>
            <w:numPr>
              <w:ilvl w:val="1"/>
              <w:numId w:val="6"/>
            </w:numPr>
            <w:tabs>
              <w:tab w:pos="1028" w:val="left" w:leader="none"/>
              <w:tab w:pos="859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102592">
                    <wp:simplePos x="0" y="0"/>
                    <wp:positionH relativeFrom="page">
                      <wp:posOffset>2250313</wp:posOffset>
                    </wp:positionH>
                    <wp:positionV relativeFrom="paragraph">
                      <wp:posOffset>283658</wp:posOffset>
                    </wp:positionV>
                    <wp:extent cx="4011295" cy="1270"/>
                    <wp:effectExtent l="0" t="0" r="0" b="0"/>
                    <wp:wrapNone/>
                    <wp:docPr id="45" name="Graphic 45"/>
                    <wp:cNvGraphicFramePr>
                      <a:graphicFrameLocks/>
                    </wp:cNvGraphicFramePr>
                    <a:graphic>
                      <a:graphicData uri="http://schemas.microsoft.com/office/word/2010/wordprocessingShape">
                        <wps:wsp>
                          <wps:cNvPr id="45" name="Graphic 45"/>
                          <wps:cNvSpPr/>
                          <wps:spPr>
                            <a:xfrm>
                              <a:off x="0" y="0"/>
                              <a:ext cx="4011295" cy="1270"/>
                            </a:xfrm>
                            <a:custGeom>
                              <a:avLst/>
                              <a:gdLst/>
                              <a:ahLst/>
                              <a:cxnLst/>
                              <a:rect l="l" t="t" r="r" b="b"/>
                              <a:pathLst>
                                <a:path w="4011295" h="0">
                                  <a:moveTo>
                                    <a:pt x="0" y="0"/>
                                  </a:moveTo>
                                  <a:lnTo>
                                    <a:pt x="4010878"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3888" from="177.190002pt,22.335333pt" to="493.007203pt,22.335333pt" stroked="true" strokeweight=".885563pt" strokecolor="#000000">
                    <v:stroke dashstyle="shortdash"/>
                    <w10:wrap type="none"/>
                  </v:line>
                </w:pict>
              </mc:Fallback>
            </mc:AlternateContent>
          </w:r>
          <w:hyperlink w:history="true" w:anchor="_TOC_250001">
            <w:r>
              <w:rPr>
                <w:spacing w:val="-2"/>
              </w:rPr>
              <w:t>Findings</w:t>
            </w:r>
            <w:r>
              <w:rPr/>
              <w:tab/>
            </w:r>
            <w:r>
              <w:rPr>
                <w:spacing w:val="-5"/>
              </w:rPr>
              <w:t>249</w:t>
            </w:r>
          </w:hyperlink>
        </w:p>
        <w:p>
          <w:pPr>
            <w:pStyle w:val="TOC3"/>
            <w:numPr>
              <w:ilvl w:val="1"/>
              <w:numId w:val="6"/>
            </w:numPr>
            <w:tabs>
              <w:tab w:pos="1028" w:val="left" w:leader="none"/>
              <w:tab w:pos="8590" w:val="right" w:leader="none"/>
            </w:tabs>
            <w:spacing w:line="240" w:lineRule="auto" w:before="276" w:after="0"/>
            <w:ind w:left="1028" w:right="0" w:hanging="720"/>
            <w:jc w:val="left"/>
          </w:pPr>
          <w:r>
            <w:rPr/>
            <mc:AlternateContent>
              <mc:Choice Requires="wps">
                <w:drawing>
                  <wp:anchor distT="0" distB="0" distL="0" distR="0" allowOverlap="1" layoutInCell="1" locked="0" behindDoc="1" simplePos="0" relativeHeight="485103104">
                    <wp:simplePos x="0" y="0"/>
                    <wp:positionH relativeFrom="page">
                      <wp:posOffset>2851150</wp:posOffset>
                    </wp:positionH>
                    <wp:positionV relativeFrom="paragraph">
                      <wp:posOffset>283673</wp:posOffset>
                    </wp:positionV>
                    <wp:extent cx="3401695" cy="1270"/>
                    <wp:effectExtent l="0" t="0" r="0" b="0"/>
                    <wp:wrapNone/>
                    <wp:docPr id="46" name="Graphic 46"/>
                    <wp:cNvGraphicFramePr>
                      <a:graphicFrameLocks/>
                    </wp:cNvGraphicFramePr>
                    <a:graphic>
                      <a:graphicData uri="http://schemas.microsoft.com/office/word/2010/wordprocessingShape">
                        <wps:wsp>
                          <wps:cNvPr id="46" name="Graphic 46"/>
                          <wps:cNvSpPr/>
                          <wps:spPr>
                            <a:xfrm>
                              <a:off x="0" y="0"/>
                              <a:ext cx="3401695" cy="1270"/>
                            </a:xfrm>
                            <a:custGeom>
                              <a:avLst/>
                              <a:gdLst/>
                              <a:ahLst/>
                              <a:cxnLst/>
                              <a:rect l="l" t="t" r="r" b="b"/>
                              <a:pathLst>
                                <a:path w="3401695" h="0">
                                  <a:moveTo>
                                    <a:pt x="0" y="0"/>
                                  </a:moveTo>
                                  <a:lnTo>
                                    <a:pt x="3401498"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3376" from="224.5pt,22.33651pt" to="492.334541pt,22.33651pt" stroked="true" strokeweight=".885563pt" strokecolor="#000000">
                    <v:stroke dashstyle="shortdash"/>
                    <w10:wrap type="none"/>
                  </v:line>
                </w:pict>
              </mc:Fallback>
            </mc:AlternateContent>
          </w:r>
          <w:hyperlink w:history="true" w:anchor="_TOC_250000">
            <w:r>
              <w:rPr>
                <w:spacing w:val="-2"/>
              </w:rPr>
              <w:t>Recommendations</w:t>
            </w:r>
            <w:r>
              <w:rPr/>
              <w:tab/>
            </w:r>
            <w:r>
              <w:rPr>
                <w:spacing w:val="-5"/>
              </w:rPr>
              <w:t>253</w:t>
            </w:r>
          </w:hyperlink>
        </w:p>
        <w:p>
          <w:pPr>
            <w:pStyle w:val="TOC3"/>
            <w:tabs>
              <w:tab w:pos="8590" w:val="right" w:leader="none"/>
            </w:tabs>
            <w:spacing w:before="138"/>
            <w:ind w:left="308" w:firstLine="0"/>
          </w:pPr>
          <w:r>
            <w:rPr/>
            <mc:AlternateContent>
              <mc:Choice Requires="wps">
                <w:drawing>
                  <wp:anchor distT="0" distB="0" distL="0" distR="0" allowOverlap="1" layoutInCell="1" locked="0" behindDoc="1" simplePos="0" relativeHeight="485103616">
                    <wp:simplePos x="0" y="0"/>
                    <wp:positionH relativeFrom="page">
                      <wp:posOffset>2061336</wp:posOffset>
                    </wp:positionH>
                    <wp:positionV relativeFrom="paragraph">
                      <wp:posOffset>195677</wp:posOffset>
                    </wp:positionV>
                    <wp:extent cx="4218940" cy="1270"/>
                    <wp:effectExtent l="0" t="0" r="0" b="0"/>
                    <wp:wrapNone/>
                    <wp:docPr id="47" name="Graphic 47"/>
                    <wp:cNvGraphicFramePr>
                      <a:graphicFrameLocks/>
                    </wp:cNvGraphicFramePr>
                    <a:graphic>
                      <a:graphicData uri="http://schemas.microsoft.com/office/word/2010/wordprocessingShape">
                        <wps:wsp>
                          <wps:cNvPr id="47" name="Graphic 47"/>
                          <wps:cNvSpPr/>
                          <wps:spPr>
                            <a:xfrm>
                              <a:off x="0" y="0"/>
                              <a:ext cx="4218940" cy="1270"/>
                            </a:xfrm>
                            <a:custGeom>
                              <a:avLst/>
                              <a:gdLst/>
                              <a:ahLst/>
                              <a:cxnLst/>
                              <a:rect l="l" t="t" r="r" b="b"/>
                              <a:pathLst>
                                <a:path w="4218940" h="0">
                                  <a:moveTo>
                                    <a:pt x="0" y="0"/>
                                  </a:moveTo>
                                  <a:lnTo>
                                    <a:pt x="4218592"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2864" from="162.309998pt,15.407681pt" to="494.482633pt,15.407681pt" stroked="true" strokeweight=".885563pt" strokecolor="#000000">
                    <v:stroke dashstyle="dash"/>
                    <w10:wrap type="none"/>
                  </v:line>
                </w:pict>
              </mc:Fallback>
            </mc:AlternateContent>
          </w:r>
          <w:r>
            <w:rPr>
              <w:spacing w:val="-2"/>
            </w:rPr>
            <w:t>Bibliography</w:t>
          </w:r>
          <w:r>
            <w:rPr/>
            <w:tab/>
          </w:r>
          <w:r>
            <w:rPr>
              <w:spacing w:val="-5"/>
            </w:rPr>
            <w:t>256</w:t>
          </w:r>
        </w:p>
        <w:p>
          <w:pPr>
            <w:pStyle w:val="TOC3"/>
            <w:tabs>
              <w:tab w:pos="8590" w:val="right" w:leader="none"/>
            </w:tabs>
            <w:ind w:left="308" w:firstLine="0"/>
          </w:pPr>
          <w:r>
            <w:rPr/>
            <mc:AlternateContent>
              <mc:Choice Requires="wps">
                <w:drawing>
                  <wp:anchor distT="0" distB="0" distL="0" distR="0" allowOverlap="1" layoutInCell="1" locked="0" behindDoc="1" simplePos="0" relativeHeight="485104128">
                    <wp:simplePos x="0" y="0"/>
                    <wp:positionH relativeFrom="page">
                      <wp:posOffset>2009520</wp:posOffset>
                    </wp:positionH>
                    <wp:positionV relativeFrom="paragraph">
                      <wp:posOffset>283322</wp:posOffset>
                    </wp:positionV>
                    <wp:extent cx="4267835" cy="1270"/>
                    <wp:effectExtent l="0" t="0" r="0" b="0"/>
                    <wp:wrapNone/>
                    <wp:docPr id="48" name="Graphic 48"/>
                    <wp:cNvGraphicFramePr>
                      <a:graphicFrameLocks/>
                    </wp:cNvGraphicFramePr>
                    <a:graphic>
                      <a:graphicData uri="http://schemas.microsoft.com/office/word/2010/wordprocessingShape">
                        <wps:wsp>
                          <wps:cNvPr id="48" name="Graphic 48"/>
                          <wps:cNvSpPr/>
                          <wps:spPr>
                            <a:xfrm>
                              <a:off x="0" y="0"/>
                              <a:ext cx="4267835" cy="1270"/>
                            </a:xfrm>
                            <a:custGeom>
                              <a:avLst/>
                              <a:gdLst/>
                              <a:ahLst/>
                              <a:cxnLst/>
                              <a:rect l="l" t="t" r="r" b="b"/>
                              <a:pathLst>
                                <a:path w="4267835" h="0">
                                  <a:moveTo>
                                    <a:pt x="0" y="0"/>
                                  </a:moveTo>
                                  <a:lnTo>
                                    <a:pt x="4267360"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2352" from="158.229996pt,22.308851pt" to="494.242631pt,22.308851pt" stroked="true" strokeweight=".885563pt" strokecolor="#000000">
                    <v:stroke dashstyle="shortdash"/>
                    <w10:wrap type="none"/>
                  </v:line>
                </w:pict>
              </mc:Fallback>
            </mc:AlternateContent>
          </w:r>
          <w:r>
            <w:rPr/>
            <w:t>Appendix</w:t>
          </w:r>
          <w:r>
            <w:rPr>
              <w:spacing w:val="-3"/>
            </w:rPr>
            <w:t> </w:t>
          </w:r>
          <w:r>
            <w:rPr>
              <w:spacing w:val="-10"/>
            </w:rPr>
            <w:t>A</w:t>
          </w:r>
          <w:r>
            <w:rPr/>
            <w:tab/>
          </w:r>
          <w:r>
            <w:rPr>
              <w:spacing w:val="-5"/>
            </w:rPr>
            <w:t>266</w:t>
          </w:r>
        </w:p>
        <w:p>
          <w:pPr>
            <w:pStyle w:val="TOC3"/>
            <w:tabs>
              <w:tab w:pos="8590" w:val="right" w:leader="none"/>
            </w:tabs>
            <w:ind w:left="308" w:firstLine="0"/>
          </w:pPr>
          <w:r>
            <w:rPr/>
            <mc:AlternateContent>
              <mc:Choice Requires="wps">
                <w:drawing>
                  <wp:anchor distT="0" distB="0" distL="0" distR="0" allowOverlap="1" layoutInCell="1" locked="0" behindDoc="1" simplePos="0" relativeHeight="485104640">
                    <wp:simplePos x="0" y="0"/>
                    <wp:positionH relativeFrom="page">
                      <wp:posOffset>2000376</wp:posOffset>
                    </wp:positionH>
                    <wp:positionV relativeFrom="paragraph">
                      <wp:posOffset>283286</wp:posOffset>
                    </wp:positionV>
                    <wp:extent cx="4269740" cy="1270"/>
                    <wp:effectExtent l="0" t="0" r="0" b="0"/>
                    <wp:wrapNone/>
                    <wp:docPr id="49" name="Graphic 49"/>
                    <wp:cNvGraphicFramePr>
                      <a:graphicFrameLocks/>
                    </wp:cNvGraphicFramePr>
                    <a:graphic>
                      <a:graphicData uri="http://schemas.microsoft.com/office/word/2010/wordprocessingShape">
                        <wps:wsp>
                          <wps:cNvPr id="49" name="Graphic 49"/>
                          <wps:cNvSpPr/>
                          <wps:spPr>
                            <a:xfrm>
                              <a:off x="0" y="0"/>
                              <a:ext cx="4269740" cy="1270"/>
                            </a:xfrm>
                            <a:custGeom>
                              <a:avLst/>
                              <a:gdLst/>
                              <a:ahLst/>
                              <a:cxnLst/>
                              <a:rect l="l" t="t" r="r" b="b"/>
                              <a:pathLst>
                                <a:path w="4269740" h="0">
                                  <a:moveTo>
                                    <a:pt x="0" y="0"/>
                                  </a:moveTo>
                                  <a:lnTo>
                                    <a:pt x="4269547" y="0"/>
                                  </a:lnTo>
                                </a:path>
                              </a:pathLst>
                            </a:custGeom>
                            <a:ln w="11246">
                              <a:solidFill>
                                <a:srgbClr val="000000"/>
                              </a:solidFill>
                              <a:prstDash val="sysDash"/>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8211840" from="157.509995pt,22.306023pt" to="493.694842pt,22.306023pt" stroked="true" strokeweight=".885563pt" strokecolor="#000000">
                    <v:stroke dashstyle="shortdash"/>
                    <w10:wrap type="none"/>
                  </v:line>
                </w:pict>
              </mc:Fallback>
            </mc:AlternateContent>
          </w:r>
          <w:r>
            <w:rPr/>
            <w:t>Appendix</w:t>
          </w:r>
          <w:r>
            <w:rPr>
              <w:spacing w:val="-7"/>
            </w:rPr>
            <w:t> </w:t>
          </w:r>
          <w:r>
            <w:rPr>
              <w:spacing w:val="-10"/>
            </w:rPr>
            <w:t>B</w:t>
          </w:r>
          <w:r>
            <w:rPr/>
            <w:tab/>
          </w:r>
          <w:r>
            <w:rPr>
              <w:spacing w:val="-5"/>
            </w:rPr>
            <w:t>270</w:t>
          </w:r>
        </w:p>
      </w:sdtContent>
    </w:sdt>
    <w:p>
      <w:pPr>
        <w:spacing w:after="0"/>
        <w:sectPr>
          <w:type w:val="continuous"/>
          <w:pgSz w:w="11910" w:h="16840"/>
          <w:pgMar w:header="0" w:footer="998" w:top="1340" w:bottom="1474" w:left="1680" w:right="1180"/>
        </w:sectPr>
      </w:pPr>
    </w:p>
    <w:p>
      <w:pPr>
        <w:pStyle w:val="Heading2"/>
        <w:spacing w:before="680"/>
        <w:ind w:left="308" w:firstLine="0"/>
        <w:jc w:val="left"/>
      </w:pPr>
      <w:r>
        <w:rPr/>
        <w:t>Appendix</w:t>
      </w:r>
      <w:r>
        <w:rPr>
          <w:spacing w:val="-3"/>
        </w:rPr>
        <w:t> </w:t>
      </w:r>
      <w:r>
        <w:rPr>
          <w:spacing w:val="-10"/>
        </w:rPr>
        <w:t>A</w:t>
      </w:r>
    </w:p>
    <w:p>
      <w:pPr>
        <w:pStyle w:val="BodyText"/>
        <w:spacing w:before="88"/>
        <w:rPr>
          <w:rFonts w:ascii="Arial Black"/>
        </w:rPr>
      </w:pPr>
      <w:r>
        <w:rPr/>
        <w:br w:type="column"/>
      </w:r>
      <w:r>
        <w:rPr>
          <w:rFonts w:ascii="Arial Black"/>
        </w:rPr>
        <w:t>LIST</w:t>
      </w:r>
      <w:r>
        <w:rPr>
          <w:rFonts w:ascii="Arial Black"/>
          <w:spacing w:val="-3"/>
        </w:rPr>
        <w:t> </w:t>
      </w:r>
      <w:r>
        <w:rPr>
          <w:rFonts w:ascii="Arial Black"/>
        </w:rPr>
        <w:t>OF</w:t>
      </w:r>
      <w:r>
        <w:rPr>
          <w:rFonts w:ascii="Arial Black"/>
          <w:spacing w:val="-3"/>
        </w:rPr>
        <w:t> </w:t>
      </w:r>
      <w:r>
        <w:rPr>
          <w:rFonts w:ascii="Arial Black"/>
          <w:spacing w:val="-2"/>
        </w:rPr>
        <w:t>APPENDICES</w:t>
      </w:r>
    </w:p>
    <w:p>
      <w:pPr>
        <w:spacing w:after="0"/>
        <w:rPr>
          <w:rFonts w:ascii="Arial Black"/>
        </w:rPr>
        <w:sectPr>
          <w:pgSz w:w="11910" w:h="16840"/>
          <w:pgMar w:header="0" w:footer="998" w:top="1300" w:bottom="1180" w:left="1680" w:right="1180"/>
          <w:cols w:num="2" w:equalWidth="0">
            <w:col w:w="1582" w:space="1251"/>
            <w:col w:w="6217"/>
          </w:cols>
        </w:sectPr>
      </w:pPr>
    </w:p>
    <w:p>
      <w:pPr>
        <w:pStyle w:val="BodyText"/>
        <w:spacing w:before="37"/>
      </w:pPr>
      <w:r>
        <w:rPr/>
        <w:t>Sections</w:t>
      </w:r>
      <w:r>
        <w:rPr>
          <w:spacing w:val="-3"/>
        </w:rPr>
        <w:t> </w:t>
      </w:r>
      <w:r>
        <w:rPr/>
        <w:t>179-180 of</w:t>
      </w:r>
      <w:r>
        <w:rPr>
          <w:spacing w:val="-8"/>
        </w:rPr>
        <w:t> </w:t>
      </w:r>
      <w:r>
        <w:rPr/>
        <w:t>the</w:t>
      </w:r>
      <w:r>
        <w:rPr>
          <w:spacing w:val="-1"/>
        </w:rPr>
        <w:t> </w:t>
      </w:r>
      <w:r>
        <w:rPr/>
        <w:t>UK</w:t>
      </w:r>
      <w:r>
        <w:rPr>
          <w:spacing w:val="-6"/>
        </w:rPr>
        <w:t> </w:t>
      </w:r>
      <w:r>
        <w:rPr/>
        <w:t>Companies</w:t>
      </w:r>
      <w:r>
        <w:rPr>
          <w:spacing w:val="2"/>
        </w:rPr>
        <w:t> </w:t>
      </w:r>
      <w:r>
        <w:rPr/>
        <w:t>Act</w:t>
      </w:r>
      <w:r>
        <w:rPr>
          <w:spacing w:val="5"/>
        </w:rPr>
        <w:t> </w:t>
      </w:r>
      <w:r>
        <w:rPr>
          <w:spacing w:val="-4"/>
        </w:rPr>
        <w:t>2006.</w:t>
      </w:r>
    </w:p>
    <w:p>
      <w:pPr>
        <w:pStyle w:val="BodyText"/>
        <w:spacing w:before="86"/>
        <w:ind w:left="0"/>
      </w:pPr>
    </w:p>
    <w:p>
      <w:pPr>
        <w:pStyle w:val="Heading2"/>
        <w:ind w:left="308" w:firstLine="0"/>
        <w:jc w:val="left"/>
      </w:pPr>
      <w:r>
        <w:rPr/>
        <w:t>Appendix</w:t>
      </w:r>
      <w:r>
        <w:rPr>
          <w:spacing w:val="-3"/>
        </w:rPr>
        <w:t> </w:t>
      </w:r>
      <w:r>
        <w:rPr>
          <w:spacing w:val="-10"/>
        </w:rPr>
        <w:t>B</w:t>
      </w:r>
    </w:p>
    <w:p>
      <w:pPr>
        <w:pStyle w:val="BodyText"/>
        <w:spacing w:line="480" w:lineRule="auto" w:before="36"/>
        <w:ind w:right="255"/>
      </w:pPr>
      <w:r>
        <w:rPr/>
        <w:t>A</w:t>
      </w:r>
      <w:r>
        <w:rPr>
          <w:spacing w:val="80"/>
        </w:rPr>
        <w:t> </w:t>
      </w:r>
      <w:r>
        <w:rPr/>
        <w:t>Comprehensive</w:t>
      </w:r>
      <w:r>
        <w:rPr>
          <w:spacing w:val="80"/>
        </w:rPr>
        <w:t> </w:t>
      </w:r>
      <w:r>
        <w:rPr/>
        <w:t>Draft</w:t>
      </w:r>
      <w:r>
        <w:rPr>
          <w:spacing w:val="80"/>
          <w:w w:val="150"/>
        </w:rPr>
        <w:t> </w:t>
      </w:r>
      <w:r>
        <w:rPr/>
        <w:t>Proposal</w:t>
      </w:r>
      <w:r>
        <w:rPr>
          <w:spacing w:val="80"/>
        </w:rPr>
        <w:t> </w:t>
      </w:r>
      <w:r>
        <w:rPr/>
        <w:t>of</w:t>
      </w:r>
      <w:r>
        <w:rPr>
          <w:spacing w:val="80"/>
        </w:rPr>
        <w:t> </w:t>
      </w:r>
      <w:r>
        <w:rPr/>
        <w:t>a</w:t>
      </w:r>
      <w:r>
        <w:rPr>
          <w:spacing w:val="80"/>
          <w:w w:val="150"/>
        </w:rPr>
        <w:t> </w:t>
      </w:r>
      <w:r>
        <w:rPr/>
        <w:t>Statement</w:t>
      </w:r>
      <w:r>
        <w:rPr>
          <w:spacing w:val="80"/>
          <w:w w:val="150"/>
        </w:rPr>
        <w:t> </w:t>
      </w:r>
      <w:r>
        <w:rPr/>
        <w:t>of</w:t>
      </w:r>
      <w:r>
        <w:rPr>
          <w:spacing w:val="80"/>
        </w:rPr>
        <w:t> </w:t>
      </w:r>
      <w:r>
        <w:rPr/>
        <w:t>Directors‘</w:t>
      </w:r>
      <w:r>
        <w:rPr>
          <w:spacing w:val="80"/>
        </w:rPr>
        <w:t> </w:t>
      </w:r>
      <w:r>
        <w:rPr/>
        <w:t>Duties</w:t>
      </w:r>
      <w:r>
        <w:rPr>
          <w:spacing w:val="80"/>
        </w:rPr>
        <w:t> </w:t>
      </w:r>
      <w:r>
        <w:rPr/>
        <w:t>for</w:t>
      </w:r>
      <w:r>
        <w:rPr>
          <w:spacing w:val="80"/>
        </w:rPr>
        <w:t> </w:t>
      </w:r>
      <w:r>
        <w:rPr/>
        <w:t>the Amendment of the Companies and Allied Matters Act 1990.</w:t>
      </w:r>
    </w:p>
    <w:p>
      <w:pPr>
        <w:spacing w:after="0" w:line="480" w:lineRule="auto"/>
        <w:sectPr>
          <w:type w:val="continuous"/>
          <w:pgSz w:w="11910" w:h="16840"/>
          <w:pgMar w:header="0" w:footer="998" w:top="1320" w:bottom="280" w:left="1680" w:right="1180"/>
        </w:sectPr>
      </w:pPr>
    </w:p>
    <w:p>
      <w:pPr>
        <w:pStyle w:val="BodyText"/>
        <w:ind w:left="0"/>
      </w:pPr>
    </w:p>
    <w:p>
      <w:pPr>
        <w:pStyle w:val="BodyText"/>
        <w:spacing w:before="128"/>
        <w:ind w:left="0"/>
      </w:pPr>
    </w:p>
    <w:p>
      <w:pPr>
        <w:pStyle w:val="Heading2"/>
        <w:ind w:left="308" w:firstLine="0"/>
        <w:jc w:val="left"/>
      </w:pPr>
      <w:r>
        <w:rPr>
          <w:spacing w:val="-4"/>
        </w:rPr>
        <w:t>Local</w:t>
      </w:r>
    </w:p>
    <w:p>
      <w:pPr>
        <w:pStyle w:val="BodyText"/>
        <w:spacing w:before="88"/>
        <w:rPr>
          <w:rFonts w:ascii="Arial Black"/>
        </w:rPr>
      </w:pPr>
      <w:r>
        <w:rPr/>
        <w:br w:type="column"/>
      </w:r>
      <w:r>
        <w:rPr>
          <w:rFonts w:ascii="Arial Black"/>
        </w:rPr>
        <w:t>LIST</w:t>
      </w:r>
      <w:r>
        <w:rPr>
          <w:rFonts w:ascii="Arial Black"/>
          <w:spacing w:val="-3"/>
        </w:rPr>
        <w:t> </w:t>
      </w:r>
      <w:r>
        <w:rPr>
          <w:rFonts w:ascii="Arial Black"/>
        </w:rPr>
        <w:t>OF</w:t>
      </w:r>
      <w:r>
        <w:rPr>
          <w:rFonts w:ascii="Arial Black"/>
          <w:spacing w:val="-3"/>
        </w:rPr>
        <w:t> </w:t>
      </w:r>
      <w:r>
        <w:rPr>
          <w:rFonts w:ascii="Arial Black"/>
          <w:spacing w:val="-2"/>
        </w:rPr>
        <w:t>STATUTES</w:t>
      </w:r>
    </w:p>
    <w:p>
      <w:pPr>
        <w:spacing w:after="0"/>
        <w:rPr>
          <w:rFonts w:ascii="Arial Black"/>
        </w:rPr>
        <w:sectPr>
          <w:pgSz w:w="11910" w:h="16840"/>
          <w:pgMar w:header="0" w:footer="998" w:top="1300" w:bottom="1180" w:left="1680" w:right="1180"/>
          <w:cols w:num="2" w:equalWidth="0">
            <w:col w:w="919" w:space="2058"/>
            <w:col w:w="6073"/>
          </w:cols>
        </w:sectPr>
      </w:pPr>
    </w:p>
    <w:p>
      <w:pPr>
        <w:pStyle w:val="BodyText"/>
        <w:spacing w:line="480" w:lineRule="auto" w:before="37"/>
        <w:ind w:right="3796"/>
      </w:pPr>
      <w:r>
        <w:rPr/>
        <w:t>Banks</w:t>
      </w:r>
      <w:r>
        <w:rPr>
          <w:spacing w:val="-7"/>
        </w:rPr>
        <w:t> </w:t>
      </w:r>
      <w:r>
        <w:rPr/>
        <w:t>and</w:t>
      </w:r>
      <w:r>
        <w:rPr>
          <w:spacing w:val="-5"/>
        </w:rPr>
        <w:t> </w:t>
      </w:r>
      <w:r>
        <w:rPr/>
        <w:t>Other</w:t>
      </w:r>
      <w:r>
        <w:rPr>
          <w:spacing w:val="-5"/>
        </w:rPr>
        <w:t> </w:t>
      </w:r>
      <w:r>
        <w:rPr/>
        <w:t>Financial</w:t>
      </w:r>
      <w:r>
        <w:rPr>
          <w:spacing w:val="-13"/>
        </w:rPr>
        <w:t> </w:t>
      </w:r>
      <w:r>
        <w:rPr/>
        <w:t>Institutions</w:t>
      </w:r>
      <w:r>
        <w:rPr>
          <w:spacing w:val="-4"/>
        </w:rPr>
        <w:t> </w:t>
      </w:r>
      <w:r>
        <w:rPr/>
        <w:t>Act 1991 Companies and Allied Matters Act 1990 Companies Decree 1968</w:t>
      </w:r>
    </w:p>
    <w:p>
      <w:pPr>
        <w:pStyle w:val="BodyText"/>
      </w:pPr>
      <w:r>
        <w:rPr/>
        <w:t>Criminal</w:t>
      </w:r>
      <w:r>
        <w:rPr>
          <w:spacing w:val="-7"/>
        </w:rPr>
        <w:t> </w:t>
      </w:r>
      <w:r>
        <w:rPr>
          <w:spacing w:val="-4"/>
        </w:rPr>
        <w:t>Code</w:t>
      </w:r>
    </w:p>
    <w:p>
      <w:pPr>
        <w:pStyle w:val="BodyText"/>
        <w:ind w:left="0"/>
      </w:pPr>
    </w:p>
    <w:p>
      <w:pPr>
        <w:pStyle w:val="BodyText"/>
      </w:pPr>
      <w:r>
        <w:rPr/>
        <w:t>Failed</w:t>
      </w:r>
      <w:r>
        <w:rPr>
          <w:spacing w:val="-4"/>
        </w:rPr>
        <w:t> </w:t>
      </w:r>
      <w:r>
        <w:rPr/>
        <w:t>Banks</w:t>
      </w:r>
      <w:r>
        <w:rPr>
          <w:spacing w:val="-3"/>
        </w:rPr>
        <w:t> </w:t>
      </w:r>
      <w:r>
        <w:rPr/>
        <w:t>(Recovery</w:t>
      </w:r>
      <w:r>
        <w:rPr>
          <w:spacing w:val="-6"/>
        </w:rPr>
        <w:t> </w:t>
      </w:r>
      <w:r>
        <w:rPr/>
        <w:t>of</w:t>
      </w:r>
      <w:r>
        <w:rPr>
          <w:spacing w:val="-8"/>
        </w:rPr>
        <w:t> </w:t>
      </w:r>
      <w:r>
        <w:rPr/>
        <w:t>Debts) and</w:t>
      </w:r>
      <w:r>
        <w:rPr>
          <w:spacing w:val="-2"/>
        </w:rPr>
        <w:t> </w:t>
      </w:r>
      <w:r>
        <w:rPr/>
        <w:t>Financial</w:t>
      </w:r>
      <w:r>
        <w:rPr>
          <w:spacing w:val="-5"/>
        </w:rPr>
        <w:t> </w:t>
      </w:r>
      <w:r>
        <w:rPr/>
        <w:t>Malpractices in</w:t>
      </w:r>
      <w:r>
        <w:rPr>
          <w:spacing w:val="-6"/>
        </w:rPr>
        <w:t> </w:t>
      </w:r>
      <w:r>
        <w:rPr/>
        <w:t>Banks</w:t>
      </w:r>
      <w:r>
        <w:rPr>
          <w:spacing w:val="-3"/>
        </w:rPr>
        <w:t> </w:t>
      </w:r>
      <w:r>
        <w:rPr/>
        <w:t>Act</w:t>
      </w:r>
      <w:r>
        <w:rPr>
          <w:spacing w:val="15"/>
        </w:rPr>
        <w:t> </w:t>
      </w:r>
      <w:r>
        <w:rPr>
          <w:spacing w:val="-4"/>
        </w:rPr>
        <w:t>1994</w:t>
      </w:r>
    </w:p>
    <w:p>
      <w:pPr>
        <w:pStyle w:val="BodyText"/>
        <w:spacing w:before="202"/>
        <w:ind w:left="0"/>
      </w:pPr>
    </w:p>
    <w:p>
      <w:pPr>
        <w:pStyle w:val="Heading2"/>
        <w:ind w:left="308" w:firstLine="0"/>
        <w:jc w:val="left"/>
      </w:pPr>
      <w:r>
        <w:rPr>
          <w:spacing w:val="-2"/>
        </w:rPr>
        <w:t>Foreign</w:t>
      </w:r>
    </w:p>
    <w:p>
      <w:pPr>
        <w:pStyle w:val="BodyText"/>
        <w:spacing w:line="480" w:lineRule="auto" w:before="41"/>
        <w:ind w:right="3796"/>
      </w:pPr>
      <w:r>
        <w:rPr/>
        <w:t>Australia</w:t>
      </w:r>
      <w:r>
        <w:rPr>
          <w:spacing w:val="-8"/>
        </w:rPr>
        <w:t> </w:t>
      </w:r>
      <w:r>
        <w:rPr/>
        <w:t>Corporations</w:t>
      </w:r>
      <w:r>
        <w:rPr>
          <w:spacing w:val="-9"/>
        </w:rPr>
        <w:t> </w:t>
      </w:r>
      <w:r>
        <w:rPr/>
        <w:t>Act</w:t>
      </w:r>
      <w:r>
        <w:rPr>
          <w:spacing w:val="-3"/>
        </w:rPr>
        <w:t> </w:t>
      </w:r>
      <w:r>
        <w:rPr/>
        <w:t>2001</w:t>
      </w:r>
      <w:r>
        <w:rPr>
          <w:spacing w:val="-12"/>
        </w:rPr>
        <w:t> </w:t>
      </w:r>
      <w:r>
        <w:rPr/>
        <w:t>(as</w:t>
      </w:r>
      <w:r>
        <w:rPr>
          <w:spacing w:val="-9"/>
        </w:rPr>
        <w:t> </w:t>
      </w:r>
      <w:r>
        <w:rPr/>
        <w:t>amended) Bribery Act 2010 (UK)</w:t>
      </w:r>
    </w:p>
    <w:p>
      <w:pPr>
        <w:pStyle w:val="BodyText"/>
      </w:pPr>
      <w:r>
        <w:rPr/>
        <w:t>Canada</w:t>
      </w:r>
      <w:r>
        <w:rPr>
          <w:spacing w:val="-3"/>
        </w:rPr>
        <w:t> </w:t>
      </w:r>
      <w:r>
        <w:rPr/>
        <w:t>Business</w:t>
      </w:r>
      <w:r>
        <w:rPr>
          <w:spacing w:val="-4"/>
        </w:rPr>
        <w:t> </w:t>
      </w:r>
      <w:r>
        <w:rPr/>
        <w:t>Corporations</w:t>
      </w:r>
      <w:r>
        <w:rPr>
          <w:spacing w:val="-3"/>
        </w:rPr>
        <w:t> </w:t>
      </w:r>
      <w:r>
        <w:rPr/>
        <w:t>Act</w:t>
      </w:r>
      <w:r>
        <w:rPr>
          <w:spacing w:val="3"/>
        </w:rPr>
        <w:t> </w:t>
      </w:r>
      <w:r>
        <w:rPr>
          <w:spacing w:val="-4"/>
        </w:rPr>
        <w:t>1985</w:t>
      </w:r>
    </w:p>
    <w:p>
      <w:pPr>
        <w:pStyle w:val="BodyText"/>
        <w:ind w:left="0"/>
      </w:pPr>
    </w:p>
    <w:p>
      <w:pPr>
        <w:pStyle w:val="BodyText"/>
        <w:spacing w:line="480" w:lineRule="auto" w:before="1"/>
        <w:ind w:right="3563"/>
      </w:pPr>
      <w:r>
        <w:rPr/>
        <w:t>Company</w:t>
      </w:r>
      <w:r>
        <w:rPr>
          <w:spacing w:val="-12"/>
        </w:rPr>
        <w:t> </w:t>
      </w:r>
      <w:r>
        <w:rPr/>
        <w:t>Directors</w:t>
      </w:r>
      <w:r>
        <w:rPr>
          <w:spacing w:val="-9"/>
        </w:rPr>
        <w:t> </w:t>
      </w:r>
      <w:r>
        <w:rPr/>
        <w:t>Disqualification</w:t>
      </w:r>
      <w:r>
        <w:rPr>
          <w:spacing w:val="-12"/>
        </w:rPr>
        <w:t> </w:t>
      </w:r>
      <w:r>
        <w:rPr/>
        <w:t>Act</w:t>
      </w:r>
      <w:r>
        <w:rPr>
          <w:spacing w:val="-3"/>
        </w:rPr>
        <w:t> </w:t>
      </w:r>
      <w:r>
        <w:rPr/>
        <w:t>1986</w:t>
      </w:r>
      <w:r>
        <w:rPr>
          <w:spacing w:val="-2"/>
        </w:rPr>
        <w:t> </w:t>
      </w:r>
      <w:r>
        <w:rPr/>
        <w:t>(UK) Hong Kong Companies Ordinance 2012</w:t>
      </w:r>
    </w:p>
    <w:p>
      <w:pPr>
        <w:pStyle w:val="BodyText"/>
      </w:pPr>
      <w:r>
        <w:rPr/>
        <w:t>Insolvency</w:t>
      </w:r>
      <w:r>
        <w:rPr>
          <w:spacing w:val="-3"/>
        </w:rPr>
        <w:t> </w:t>
      </w:r>
      <w:r>
        <w:rPr/>
        <w:t>Act</w:t>
      </w:r>
      <w:r>
        <w:rPr>
          <w:spacing w:val="2"/>
        </w:rPr>
        <w:t> </w:t>
      </w:r>
      <w:r>
        <w:rPr/>
        <w:t>2000 </w:t>
      </w:r>
      <w:r>
        <w:rPr>
          <w:spacing w:val="-4"/>
        </w:rPr>
        <w:t>(UK)</w:t>
      </w:r>
    </w:p>
    <w:p>
      <w:pPr>
        <w:pStyle w:val="BodyText"/>
        <w:ind w:left="0"/>
      </w:pPr>
    </w:p>
    <w:p>
      <w:pPr>
        <w:pStyle w:val="BodyText"/>
        <w:spacing w:line="475" w:lineRule="auto"/>
        <w:ind w:right="5009"/>
      </w:pPr>
      <w:r>
        <w:rPr/>
        <w:t>South</w:t>
      </w:r>
      <w:r>
        <w:rPr>
          <w:spacing w:val="-12"/>
        </w:rPr>
        <w:t> </w:t>
      </w:r>
      <w:r>
        <w:rPr/>
        <w:t>African</w:t>
      </w:r>
      <w:r>
        <w:rPr>
          <w:spacing w:val="-12"/>
        </w:rPr>
        <w:t> </w:t>
      </w:r>
      <w:r>
        <w:rPr/>
        <w:t>Companies</w:t>
      </w:r>
      <w:r>
        <w:rPr>
          <w:spacing w:val="-6"/>
        </w:rPr>
        <w:t> </w:t>
      </w:r>
      <w:r>
        <w:rPr/>
        <w:t>Act</w:t>
      </w:r>
      <w:r>
        <w:rPr>
          <w:spacing w:val="-4"/>
        </w:rPr>
        <w:t> </w:t>
      </w:r>
      <w:r>
        <w:rPr/>
        <w:t>2008 UK Companies Act 2006</w:t>
      </w:r>
    </w:p>
    <w:p>
      <w:pPr>
        <w:pStyle w:val="BodyText"/>
        <w:spacing w:before="7"/>
      </w:pPr>
      <w:r>
        <w:rPr/>
        <w:t>United</w:t>
      </w:r>
      <w:r>
        <w:rPr>
          <w:spacing w:val="-1"/>
        </w:rPr>
        <w:t> </w:t>
      </w:r>
      <w:r>
        <w:rPr/>
        <w:t>States</w:t>
      </w:r>
      <w:r>
        <w:rPr>
          <w:spacing w:val="-2"/>
        </w:rPr>
        <w:t> </w:t>
      </w:r>
      <w:r>
        <w:rPr/>
        <w:t>Model</w:t>
      </w:r>
      <w:r>
        <w:rPr>
          <w:spacing w:val="-9"/>
        </w:rPr>
        <w:t> </w:t>
      </w:r>
      <w:r>
        <w:rPr/>
        <w:t>Business</w:t>
      </w:r>
      <w:r>
        <w:rPr>
          <w:spacing w:val="-2"/>
        </w:rPr>
        <w:t> </w:t>
      </w:r>
      <w:r>
        <w:rPr/>
        <w:t>Corporation </w:t>
      </w:r>
      <w:r>
        <w:rPr>
          <w:spacing w:val="-5"/>
        </w:rPr>
        <w:t>Act</w:t>
      </w:r>
    </w:p>
    <w:p>
      <w:pPr>
        <w:spacing w:after="0"/>
        <w:sectPr>
          <w:type w:val="continuous"/>
          <w:pgSz w:w="11910" w:h="16840"/>
          <w:pgMar w:header="0" w:footer="998" w:top="1320" w:bottom="280" w:left="1680" w:right="1180"/>
        </w:sectPr>
      </w:pPr>
    </w:p>
    <w:p>
      <w:pPr>
        <w:pStyle w:val="BodyText"/>
        <w:spacing w:before="88"/>
        <w:ind w:left="80"/>
        <w:jc w:val="center"/>
        <w:rPr>
          <w:rFonts w:ascii="Arial Black"/>
        </w:rPr>
      </w:pPr>
      <w:r>
        <w:rPr>
          <w:rFonts w:ascii="Arial Black"/>
        </w:rPr>
        <w:t>TABLE OF</w:t>
      </w:r>
      <w:r>
        <w:rPr>
          <w:rFonts w:ascii="Arial Black"/>
          <w:spacing w:val="-1"/>
        </w:rPr>
        <w:t> </w:t>
      </w:r>
      <w:r>
        <w:rPr>
          <w:rFonts w:ascii="Arial Black"/>
          <w:spacing w:val="-2"/>
        </w:rPr>
        <w:t>CASES</w:t>
      </w:r>
    </w:p>
    <w:p>
      <w:pPr>
        <w:pStyle w:val="BodyText"/>
        <w:spacing w:before="232"/>
        <w:ind w:left="0"/>
        <w:rPr>
          <w:rFonts w:ascii="Arial Black"/>
        </w:rPr>
      </w:pPr>
    </w:p>
    <w:p>
      <w:pPr>
        <w:pStyle w:val="Heading2"/>
        <w:spacing w:before="1"/>
        <w:ind w:left="308" w:firstLine="0"/>
        <w:jc w:val="left"/>
      </w:pPr>
      <w:r>
        <w:rPr>
          <w:spacing w:val="-4"/>
        </w:rPr>
        <w:t>Local</w:t>
      </w:r>
    </w:p>
    <w:p>
      <w:pPr>
        <w:pStyle w:val="BodyText"/>
        <w:spacing w:before="36"/>
      </w:pPr>
      <w:r>
        <w:rPr/>
        <w:t>Adebayo</w:t>
      </w:r>
      <w:r>
        <w:rPr>
          <w:spacing w:val="-1"/>
        </w:rPr>
        <w:t> </w:t>
      </w:r>
      <w:r>
        <w:rPr/>
        <w:t>vs.</w:t>
      </w:r>
      <w:r>
        <w:rPr>
          <w:spacing w:val="-6"/>
        </w:rPr>
        <w:t> </w:t>
      </w:r>
      <w:r>
        <w:rPr>
          <w:spacing w:val="-2"/>
        </w:rPr>
        <w:t>Johnson</w:t>
      </w:r>
    </w:p>
    <w:p>
      <w:pPr>
        <w:pStyle w:val="BodyText"/>
        <w:tabs>
          <w:tab w:pos="7496" w:val="left" w:leader="dot"/>
        </w:tabs>
        <w:spacing w:before="40"/>
        <w:ind w:left="1028"/>
      </w:pPr>
      <w:r>
        <w:rPr/>
        <w:t>(1969)</w:t>
      </w:r>
      <w:r>
        <w:rPr>
          <w:spacing w:val="1"/>
        </w:rPr>
        <w:t> </w:t>
      </w:r>
      <w:r>
        <w:rPr/>
        <w:t>All</w:t>
      </w:r>
      <w:r>
        <w:rPr>
          <w:spacing w:val="-9"/>
        </w:rPr>
        <w:t> </w:t>
      </w:r>
      <w:r>
        <w:rPr/>
        <w:t>NLR,</w:t>
      </w:r>
      <w:r>
        <w:rPr>
          <w:spacing w:val="3"/>
        </w:rPr>
        <w:t> </w:t>
      </w:r>
      <w:r>
        <w:rPr>
          <w:spacing w:val="-4"/>
        </w:rPr>
        <w:t>171.</w:t>
      </w:r>
      <w:r>
        <w:rPr/>
        <w:tab/>
        <w:t>43,</w:t>
      </w:r>
      <w:r>
        <w:rPr>
          <w:spacing w:val="-2"/>
        </w:rPr>
        <w:t> </w:t>
      </w:r>
      <w:r>
        <w:rPr/>
        <w:t>59,</w:t>
      </w:r>
      <w:r>
        <w:rPr>
          <w:spacing w:val="1"/>
        </w:rPr>
        <w:t> </w:t>
      </w:r>
      <w:r>
        <w:rPr/>
        <w:t>63,</w:t>
      </w:r>
      <w:r>
        <w:rPr>
          <w:spacing w:val="1"/>
        </w:rPr>
        <w:t> </w:t>
      </w:r>
      <w:r>
        <w:rPr>
          <w:spacing w:val="-5"/>
        </w:rPr>
        <w:t>95</w:t>
      </w:r>
    </w:p>
    <w:p>
      <w:pPr>
        <w:pStyle w:val="BodyText"/>
        <w:spacing w:before="41"/>
      </w:pPr>
      <w:r>
        <w:rPr/>
        <w:t>Artra</w:t>
      </w:r>
      <w:r>
        <w:rPr>
          <w:spacing w:val="-6"/>
        </w:rPr>
        <w:t> </w:t>
      </w:r>
      <w:r>
        <w:rPr/>
        <w:t>Industries</w:t>
      </w:r>
      <w:r>
        <w:rPr>
          <w:spacing w:val="-4"/>
        </w:rPr>
        <w:t> </w:t>
      </w:r>
      <w:r>
        <w:rPr/>
        <w:t>Nig. Ltd.</w:t>
      </w:r>
      <w:r>
        <w:rPr>
          <w:spacing w:val="-5"/>
        </w:rPr>
        <w:t> </w:t>
      </w:r>
      <w:r>
        <w:rPr/>
        <w:t>vs. Nigerian</w:t>
      </w:r>
      <w:r>
        <w:rPr>
          <w:spacing w:val="-7"/>
        </w:rPr>
        <w:t> </w:t>
      </w:r>
      <w:r>
        <w:rPr/>
        <w:t>Bank</w:t>
      </w:r>
      <w:r>
        <w:rPr>
          <w:spacing w:val="2"/>
        </w:rPr>
        <w:t> </w:t>
      </w:r>
      <w:r>
        <w:rPr/>
        <w:t>for</w:t>
      </w:r>
      <w:r>
        <w:rPr>
          <w:spacing w:val="-1"/>
        </w:rPr>
        <w:t> </w:t>
      </w:r>
      <w:r>
        <w:rPr/>
        <w:t>Commerce</w:t>
      </w:r>
      <w:r>
        <w:rPr>
          <w:spacing w:val="-3"/>
        </w:rPr>
        <w:t> </w:t>
      </w:r>
      <w:r>
        <w:rPr/>
        <w:t>and</w:t>
      </w:r>
      <w:r>
        <w:rPr>
          <w:spacing w:val="-2"/>
        </w:rPr>
        <w:t> Industry</w:t>
      </w:r>
    </w:p>
    <w:p>
      <w:pPr>
        <w:pStyle w:val="BodyText"/>
        <w:tabs>
          <w:tab w:pos="8709" w:val="right" w:leader="dot"/>
        </w:tabs>
        <w:spacing w:before="41"/>
        <w:ind w:left="1028"/>
      </w:pPr>
      <w:r>
        <w:rPr/>
        <w:t>(1998)</w:t>
      </w:r>
      <w:r>
        <w:rPr>
          <w:spacing w:val="-1"/>
        </w:rPr>
        <w:t> </w:t>
      </w:r>
      <w:r>
        <w:rPr/>
        <w:t>3</w:t>
      </w:r>
      <w:r>
        <w:rPr>
          <w:spacing w:val="-4"/>
        </w:rPr>
        <w:t> </w:t>
      </w:r>
      <w:r>
        <w:rPr/>
        <w:t>SCNJ,</w:t>
      </w:r>
      <w:r>
        <w:rPr>
          <w:spacing w:val="3"/>
        </w:rPr>
        <w:t> </w:t>
      </w:r>
      <w:r>
        <w:rPr>
          <w:spacing w:val="-5"/>
        </w:rPr>
        <w:t>97</w:t>
      </w:r>
      <w:r>
        <w:rPr/>
        <w:tab/>
      </w:r>
      <w:r>
        <w:rPr>
          <w:spacing w:val="-5"/>
        </w:rPr>
        <w:t>94</w:t>
      </w:r>
    </w:p>
    <w:p>
      <w:pPr>
        <w:pStyle w:val="BodyText"/>
        <w:spacing w:before="41"/>
      </w:pPr>
      <w:r>
        <w:rPr/>
        <w:t>Baffa</w:t>
      </w:r>
      <w:r>
        <w:rPr>
          <w:spacing w:val="-2"/>
        </w:rPr>
        <w:t> </w:t>
      </w:r>
      <w:r>
        <w:rPr/>
        <w:t>vs.</w:t>
      </w:r>
      <w:r>
        <w:rPr>
          <w:spacing w:val="-3"/>
        </w:rPr>
        <w:t> </w:t>
      </w:r>
      <w:r>
        <w:rPr>
          <w:spacing w:val="-2"/>
        </w:rPr>
        <w:t>Odili</w:t>
      </w:r>
    </w:p>
    <w:p>
      <w:pPr>
        <w:pStyle w:val="BodyText"/>
        <w:tabs>
          <w:tab w:pos="8178" w:val="left" w:leader="dot"/>
        </w:tabs>
        <w:spacing w:before="46"/>
        <w:ind w:left="1028"/>
      </w:pPr>
      <w:r>
        <w:rPr/>
        <w:t>(2001)</w:t>
      </w:r>
      <w:r>
        <w:rPr>
          <w:spacing w:val="-1"/>
        </w:rPr>
        <w:t> </w:t>
      </w:r>
      <w:r>
        <w:rPr/>
        <w:t>15</w:t>
      </w:r>
      <w:r>
        <w:rPr>
          <w:spacing w:val="-3"/>
        </w:rPr>
        <w:t> </w:t>
      </w:r>
      <w:r>
        <w:rPr/>
        <w:t>NWLR</w:t>
      </w:r>
      <w:r>
        <w:rPr>
          <w:spacing w:val="-1"/>
        </w:rPr>
        <w:t> </w:t>
      </w:r>
      <w:r>
        <w:rPr/>
        <w:t>(pt.</w:t>
      </w:r>
      <w:r>
        <w:rPr>
          <w:spacing w:val="-3"/>
        </w:rPr>
        <w:t> </w:t>
      </w:r>
      <w:r>
        <w:rPr/>
        <w:t>737)</w:t>
      </w:r>
      <w:r>
        <w:rPr>
          <w:spacing w:val="2"/>
        </w:rPr>
        <w:t> </w:t>
      </w:r>
      <w:r>
        <w:rPr/>
        <w:t>at</w:t>
      </w:r>
      <w:r>
        <w:rPr>
          <w:spacing w:val="1"/>
        </w:rPr>
        <w:t> </w:t>
      </w:r>
      <w:r>
        <w:rPr/>
        <w:t>p.</w:t>
      </w:r>
      <w:r>
        <w:rPr>
          <w:spacing w:val="-2"/>
        </w:rPr>
        <w:t> </w:t>
      </w:r>
      <w:r>
        <w:rPr>
          <w:spacing w:val="-5"/>
        </w:rPr>
        <w:t>709</w:t>
      </w:r>
      <w:r>
        <w:rPr/>
        <w:tab/>
        <w:t>23, </w:t>
      </w:r>
      <w:r>
        <w:rPr>
          <w:spacing w:val="-5"/>
        </w:rPr>
        <w:t>35</w:t>
      </w:r>
    </w:p>
    <w:p>
      <w:pPr>
        <w:pStyle w:val="BodyText"/>
        <w:spacing w:before="41"/>
      </w:pPr>
      <w:r>
        <w:rPr/>
        <w:t>Ladejobi</w:t>
      </w:r>
      <w:r>
        <w:rPr>
          <w:spacing w:val="-7"/>
        </w:rPr>
        <w:t> </w:t>
      </w:r>
      <w:r>
        <w:rPr/>
        <w:t>vs.</w:t>
      </w:r>
      <w:r>
        <w:rPr>
          <w:spacing w:val="1"/>
        </w:rPr>
        <w:t> </w:t>
      </w:r>
      <w:r>
        <w:rPr/>
        <w:t>Odutola</w:t>
      </w:r>
      <w:r>
        <w:rPr>
          <w:spacing w:val="-3"/>
        </w:rPr>
        <w:t> </w:t>
      </w:r>
      <w:r>
        <w:rPr/>
        <w:t>Holdings</w:t>
      </w:r>
      <w:r>
        <w:rPr>
          <w:spacing w:val="-3"/>
        </w:rPr>
        <w:t> </w:t>
      </w:r>
      <w:r>
        <w:rPr>
          <w:spacing w:val="-4"/>
        </w:rPr>
        <w:t>Ltd.</w:t>
      </w:r>
    </w:p>
    <w:p>
      <w:pPr>
        <w:pStyle w:val="BodyText"/>
        <w:tabs>
          <w:tab w:pos="8052" w:val="left" w:leader="dot"/>
        </w:tabs>
        <w:spacing w:before="41"/>
        <w:ind w:left="1028"/>
      </w:pPr>
      <w:r>
        <w:rPr/>
        <w:t>(2002)</w:t>
      </w:r>
      <w:r>
        <w:rPr>
          <w:spacing w:val="1"/>
        </w:rPr>
        <w:t> </w:t>
      </w:r>
      <w:r>
        <w:rPr/>
        <w:t>3</w:t>
      </w:r>
      <w:r>
        <w:rPr>
          <w:spacing w:val="-4"/>
        </w:rPr>
        <w:t> </w:t>
      </w:r>
      <w:r>
        <w:rPr/>
        <w:t>NWLR</w:t>
      </w:r>
      <w:r>
        <w:rPr>
          <w:spacing w:val="-1"/>
        </w:rPr>
        <w:t> </w:t>
      </w:r>
      <w:r>
        <w:rPr/>
        <w:t>(Pt.753)</w:t>
      </w:r>
      <w:r>
        <w:rPr>
          <w:spacing w:val="2"/>
        </w:rPr>
        <w:t> </w:t>
      </w:r>
      <w:r>
        <w:rPr/>
        <w:t>121</w:t>
      </w:r>
      <w:r>
        <w:rPr>
          <w:spacing w:val="-4"/>
        </w:rPr>
        <w:t> </w:t>
      </w:r>
      <w:r>
        <w:rPr>
          <w:spacing w:val="-5"/>
        </w:rPr>
        <w:t>C.A</w:t>
      </w:r>
      <w:r>
        <w:rPr/>
        <w:tab/>
        <w:t>20,</w:t>
      </w:r>
      <w:r>
        <w:rPr>
          <w:spacing w:val="-3"/>
        </w:rPr>
        <w:t> </w:t>
      </w:r>
      <w:r>
        <w:rPr>
          <w:spacing w:val="-5"/>
        </w:rPr>
        <w:t>218</w:t>
      </w:r>
    </w:p>
    <w:p>
      <w:pPr>
        <w:pStyle w:val="BodyText"/>
        <w:spacing w:before="40"/>
      </w:pPr>
      <w:r>
        <w:rPr/>
        <w:t>Longe</w:t>
      </w:r>
      <w:r>
        <w:rPr>
          <w:spacing w:val="-3"/>
        </w:rPr>
        <w:t> </w:t>
      </w:r>
      <w:r>
        <w:rPr/>
        <w:t>vs.</w:t>
      </w:r>
      <w:r>
        <w:rPr>
          <w:spacing w:val="-1"/>
        </w:rPr>
        <w:t> </w:t>
      </w:r>
      <w:r>
        <w:rPr/>
        <w:t>First</w:t>
      </w:r>
      <w:r>
        <w:rPr>
          <w:spacing w:val="3"/>
        </w:rPr>
        <w:t> </w:t>
      </w:r>
      <w:r>
        <w:rPr/>
        <w:t>Bank</w:t>
      </w:r>
      <w:r>
        <w:rPr>
          <w:spacing w:val="-2"/>
        </w:rPr>
        <w:t> </w:t>
      </w:r>
      <w:r>
        <w:rPr/>
        <w:t>of</w:t>
      </w:r>
      <w:r>
        <w:rPr>
          <w:spacing w:val="-10"/>
        </w:rPr>
        <w:t> </w:t>
      </w:r>
      <w:r>
        <w:rPr/>
        <w:t>Nigeria</w:t>
      </w:r>
      <w:r>
        <w:rPr>
          <w:spacing w:val="-2"/>
        </w:rPr>
        <w:t> </w:t>
      </w:r>
      <w:r>
        <w:rPr>
          <w:spacing w:val="-4"/>
        </w:rPr>
        <w:t>Plc.</w:t>
      </w:r>
    </w:p>
    <w:p>
      <w:pPr>
        <w:pStyle w:val="BodyText"/>
        <w:spacing w:before="41"/>
        <w:ind w:left="1028"/>
      </w:pPr>
      <w:r>
        <w:rPr/>
        <w:t>(2006)</w:t>
      </w:r>
      <w:r>
        <w:rPr>
          <w:spacing w:val="2"/>
        </w:rPr>
        <w:t> </w:t>
      </w:r>
      <w:r>
        <w:rPr/>
        <w:t>3</w:t>
      </w:r>
      <w:r>
        <w:rPr>
          <w:spacing w:val="-4"/>
        </w:rPr>
        <w:t> </w:t>
      </w:r>
      <w:r>
        <w:rPr/>
        <w:t>NWLR</w:t>
      </w:r>
      <w:r>
        <w:rPr>
          <w:spacing w:val="-1"/>
        </w:rPr>
        <w:t> </w:t>
      </w:r>
      <w:r>
        <w:rPr/>
        <w:t>(pt.</w:t>
      </w:r>
      <w:r>
        <w:rPr>
          <w:spacing w:val="-2"/>
        </w:rPr>
        <w:t> </w:t>
      </w:r>
      <w:r>
        <w:rPr/>
        <w:t>967)</w:t>
      </w:r>
      <w:r>
        <w:rPr>
          <w:spacing w:val="2"/>
        </w:rPr>
        <w:t> </w:t>
      </w:r>
      <w:r>
        <w:rPr/>
        <w:t>228;</w:t>
      </w:r>
      <w:r>
        <w:rPr>
          <w:spacing w:val="-4"/>
        </w:rPr>
        <w:t> </w:t>
      </w:r>
      <w:r>
        <w:rPr/>
        <w:t>(2010)</w:t>
      </w:r>
      <w:r>
        <w:rPr>
          <w:spacing w:val="2"/>
        </w:rPr>
        <w:t> </w:t>
      </w:r>
      <w:r>
        <w:rPr/>
        <w:t>All</w:t>
      </w:r>
      <w:r>
        <w:rPr>
          <w:spacing w:val="-3"/>
        </w:rPr>
        <w:t> </w:t>
      </w:r>
      <w:r>
        <w:rPr/>
        <w:t>FWLR</w:t>
      </w:r>
      <w:r>
        <w:rPr>
          <w:spacing w:val="4"/>
        </w:rPr>
        <w:t> </w:t>
      </w:r>
      <w:r>
        <w:rPr/>
        <w:t>258.</w:t>
      </w:r>
      <w:r>
        <w:rPr>
          <w:spacing w:val="66"/>
        </w:rPr>
        <w:t> </w:t>
      </w:r>
      <w:r>
        <w:rPr/>
        <w:t>4,</w:t>
      </w:r>
      <w:r>
        <w:rPr>
          <w:spacing w:val="-2"/>
        </w:rPr>
        <w:t> </w:t>
      </w:r>
      <w:r>
        <w:rPr/>
        <w:t>20,</w:t>
      </w:r>
      <w:r>
        <w:rPr>
          <w:spacing w:val="-1"/>
        </w:rPr>
        <w:t> </w:t>
      </w:r>
      <w:r>
        <w:rPr/>
        <w:t>23,</w:t>
      </w:r>
      <w:r>
        <w:rPr>
          <w:spacing w:val="-2"/>
        </w:rPr>
        <w:t> </w:t>
      </w:r>
      <w:r>
        <w:rPr/>
        <w:t>32,</w:t>
      </w:r>
      <w:r>
        <w:rPr>
          <w:spacing w:val="-2"/>
        </w:rPr>
        <w:t> </w:t>
      </w:r>
      <w:r>
        <w:rPr/>
        <w:t>36,</w:t>
      </w:r>
      <w:r>
        <w:rPr>
          <w:spacing w:val="-2"/>
        </w:rPr>
        <w:t> </w:t>
      </w:r>
      <w:r>
        <w:rPr/>
        <w:t>41, </w:t>
      </w:r>
      <w:r>
        <w:rPr>
          <w:spacing w:val="-5"/>
        </w:rPr>
        <w:t>66</w:t>
      </w:r>
    </w:p>
    <w:p>
      <w:pPr>
        <w:pStyle w:val="BodyText"/>
        <w:spacing w:before="42"/>
      </w:pPr>
      <w:r>
        <w:rPr/>
        <w:t>Nasr</w:t>
      </w:r>
      <w:r>
        <w:rPr>
          <w:spacing w:val="-5"/>
        </w:rPr>
        <w:t> </w:t>
      </w:r>
      <w:r>
        <w:rPr/>
        <w:t>vs.</w:t>
      </w:r>
      <w:r>
        <w:rPr>
          <w:spacing w:val="-2"/>
        </w:rPr>
        <w:t> </w:t>
      </w:r>
      <w:r>
        <w:rPr/>
        <w:t>Berini</w:t>
      </w:r>
      <w:r>
        <w:rPr>
          <w:spacing w:val="-8"/>
        </w:rPr>
        <w:t> </w:t>
      </w:r>
      <w:r>
        <w:rPr/>
        <w:t>(Beirut-Riyadh)</w:t>
      </w:r>
      <w:r>
        <w:rPr>
          <w:spacing w:val="-2"/>
        </w:rPr>
        <w:t> </w:t>
      </w:r>
      <w:r>
        <w:rPr/>
        <w:t>Bank</w:t>
      </w:r>
      <w:r>
        <w:rPr>
          <w:spacing w:val="-4"/>
        </w:rPr>
        <w:t> </w:t>
      </w:r>
      <w:r>
        <w:rPr/>
        <w:t>(Nigeria)</w:t>
      </w:r>
      <w:r>
        <w:rPr>
          <w:spacing w:val="-2"/>
        </w:rPr>
        <w:t> </w:t>
      </w:r>
      <w:r>
        <w:rPr>
          <w:spacing w:val="-4"/>
        </w:rPr>
        <w:t>Ltd.</w:t>
      </w:r>
    </w:p>
    <w:p>
      <w:pPr>
        <w:pStyle w:val="BodyText"/>
        <w:tabs>
          <w:tab w:pos="8821" w:val="right" w:leader="dot"/>
        </w:tabs>
        <w:spacing w:before="40"/>
        <w:ind w:left="1028"/>
      </w:pPr>
      <w:r>
        <w:rPr/>
        <w:t>(1968)</w:t>
      </w:r>
      <w:r>
        <w:rPr>
          <w:spacing w:val="1"/>
        </w:rPr>
        <w:t> </w:t>
      </w:r>
      <w:r>
        <w:rPr/>
        <w:t>1</w:t>
      </w:r>
      <w:r>
        <w:rPr>
          <w:spacing w:val="-4"/>
        </w:rPr>
        <w:t> </w:t>
      </w:r>
      <w:r>
        <w:rPr/>
        <w:t>All</w:t>
      </w:r>
      <w:r>
        <w:rPr>
          <w:spacing w:val="-4"/>
        </w:rPr>
        <w:t> </w:t>
      </w:r>
      <w:r>
        <w:rPr/>
        <w:t>NLR,</w:t>
      </w:r>
      <w:r>
        <w:rPr>
          <w:spacing w:val="3"/>
        </w:rPr>
        <w:t> </w:t>
      </w:r>
      <w:r>
        <w:rPr>
          <w:spacing w:val="-4"/>
        </w:rPr>
        <w:t>274.</w:t>
      </w:r>
      <w:r>
        <w:rPr/>
        <w:tab/>
      </w:r>
      <w:r>
        <w:rPr>
          <w:spacing w:val="-5"/>
        </w:rPr>
        <w:t>112</w:t>
      </w:r>
    </w:p>
    <w:p>
      <w:pPr>
        <w:pStyle w:val="BodyText"/>
        <w:spacing w:before="41"/>
      </w:pPr>
      <w:r>
        <w:rPr/>
        <w:t>NIB</w:t>
      </w:r>
      <w:r>
        <w:rPr>
          <w:spacing w:val="-6"/>
        </w:rPr>
        <w:t> </w:t>
      </w:r>
      <w:r>
        <w:rPr/>
        <w:t>Investment W/A</w:t>
      </w:r>
      <w:r>
        <w:rPr>
          <w:spacing w:val="-3"/>
        </w:rPr>
        <w:t> </w:t>
      </w:r>
      <w:r>
        <w:rPr/>
        <w:t>vs.</w:t>
      </w:r>
      <w:r>
        <w:rPr>
          <w:spacing w:val="-2"/>
        </w:rPr>
        <w:t> Omisore</w:t>
      </w:r>
    </w:p>
    <w:p>
      <w:pPr>
        <w:pStyle w:val="BodyText"/>
        <w:tabs>
          <w:tab w:pos="8782" w:val="right" w:leader="dot"/>
        </w:tabs>
        <w:spacing w:before="46"/>
        <w:ind w:left="1028"/>
      </w:pPr>
      <w:r>
        <w:rPr/>
        <w:t>(2006)</w:t>
      </w:r>
      <w:r>
        <w:rPr>
          <w:spacing w:val="-1"/>
        </w:rPr>
        <w:t> </w:t>
      </w:r>
      <w:r>
        <w:rPr/>
        <w:t>4</w:t>
      </w:r>
      <w:r>
        <w:rPr>
          <w:spacing w:val="-5"/>
        </w:rPr>
        <w:t> </w:t>
      </w:r>
      <w:r>
        <w:rPr/>
        <w:t>NWLR</w:t>
      </w:r>
      <w:r>
        <w:rPr>
          <w:spacing w:val="-2"/>
        </w:rPr>
        <w:t> </w:t>
      </w:r>
      <w:r>
        <w:rPr/>
        <w:t>(pt.</w:t>
      </w:r>
      <w:r>
        <w:rPr>
          <w:spacing w:val="-2"/>
        </w:rPr>
        <w:t> </w:t>
      </w:r>
      <w:r>
        <w:rPr/>
        <w:t>969)</w:t>
      </w:r>
      <w:r>
        <w:rPr>
          <w:spacing w:val="1"/>
        </w:rPr>
        <w:t> </w:t>
      </w:r>
      <w:r>
        <w:rPr/>
        <w:t>172</w:t>
      </w:r>
      <w:r>
        <w:rPr>
          <w:spacing w:val="-5"/>
        </w:rPr>
        <w:t> </w:t>
      </w:r>
      <w:r>
        <w:rPr/>
        <w:t>at</w:t>
      </w:r>
      <w:r>
        <w:rPr>
          <w:spacing w:val="5"/>
        </w:rPr>
        <w:t> </w:t>
      </w:r>
      <w:r>
        <w:rPr/>
        <w:t>p.</w:t>
      </w:r>
      <w:r>
        <w:rPr>
          <w:spacing w:val="3"/>
        </w:rPr>
        <w:t> </w:t>
      </w:r>
      <w:r>
        <w:rPr>
          <w:spacing w:val="-5"/>
        </w:rPr>
        <w:t>199</w:t>
      </w:r>
      <w:r>
        <w:rPr/>
        <w:tab/>
      </w:r>
      <w:r>
        <w:rPr>
          <w:spacing w:val="-5"/>
        </w:rPr>
        <w:t>26</w:t>
      </w:r>
    </w:p>
    <w:p>
      <w:pPr>
        <w:pStyle w:val="BodyText"/>
        <w:spacing w:before="41"/>
      </w:pPr>
      <w:r>
        <w:rPr/>
        <w:t>Okeowo</w:t>
      </w:r>
      <w:r>
        <w:rPr>
          <w:spacing w:val="-1"/>
        </w:rPr>
        <w:t> </w:t>
      </w:r>
      <w:r>
        <w:rPr/>
        <w:t>vs.</w:t>
      </w:r>
      <w:r>
        <w:rPr>
          <w:spacing w:val="-1"/>
        </w:rPr>
        <w:t> </w:t>
      </w:r>
      <w:r>
        <w:rPr>
          <w:spacing w:val="-2"/>
        </w:rPr>
        <w:t>Migliore</w:t>
      </w:r>
    </w:p>
    <w:p>
      <w:pPr>
        <w:pStyle w:val="BodyText"/>
        <w:tabs>
          <w:tab w:pos="7726" w:val="left" w:leader="dot"/>
        </w:tabs>
        <w:spacing w:before="41"/>
        <w:ind w:left="1028"/>
      </w:pPr>
      <w:r>
        <w:rPr/>
        <w:t>(1979)</w:t>
      </w:r>
      <w:r>
        <w:rPr>
          <w:spacing w:val="2"/>
        </w:rPr>
        <w:t> </w:t>
      </w:r>
      <w:r>
        <w:rPr/>
        <w:t>11</w:t>
      </w:r>
      <w:r>
        <w:rPr>
          <w:spacing w:val="-3"/>
        </w:rPr>
        <w:t> </w:t>
      </w:r>
      <w:r>
        <w:rPr/>
        <w:t>SC,</w:t>
      </w:r>
      <w:r>
        <w:rPr>
          <w:spacing w:val="-1"/>
        </w:rPr>
        <w:t> </w:t>
      </w:r>
      <w:r>
        <w:rPr/>
        <w:t>p.</w:t>
      </w:r>
      <w:r>
        <w:rPr>
          <w:spacing w:val="-1"/>
        </w:rPr>
        <w:t> </w:t>
      </w:r>
      <w:r>
        <w:rPr>
          <w:spacing w:val="-4"/>
        </w:rPr>
        <w:t>113.</w:t>
      </w:r>
      <w:r>
        <w:rPr/>
        <w:tab/>
        <w:t>42,</w:t>
      </w:r>
      <w:r>
        <w:rPr>
          <w:spacing w:val="-3"/>
        </w:rPr>
        <w:t> </w:t>
      </w:r>
      <w:r>
        <w:rPr/>
        <w:t>66,</w:t>
      </w:r>
      <w:r>
        <w:rPr>
          <w:spacing w:val="-1"/>
        </w:rPr>
        <w:t> </w:t>
      </w:r>
      <w:r>
        <w:rPr>
          <w:spacing w:val="-5"/>
        </w:rPr>
        <w:t>119</w:t>
      </w:r>
    </w:p>
    <w:p>
      <w:pPr>
        <w:pStyle w:val="BodyText"/>
        <w:spacing w:before="41"/>
      </w:pPr>
      <w:r>
        <w:rPr/>
        <w:t>Olufosoye</w:t>
      </w:r>
      <w:r>
        <w:rPr>
          <w:spacing w:val="-3"/>
        </w:rPr>
        <w:t> </w:t>
      </w:r>
      <w:r>
        <w:rPr/>
        <w:t>vs.</w:t>
      </w:r>
      <w:r>
        <w:rPr>
          <w:spacing w:val="-4"/>
        </w:rPr>
        <w:t> </w:t>
      </w:r>
      <w:r>
        <w:rPr>
          <w:spacing w:val="-2"/>
        </w:rPr>
        <w:t>Fakorede</w:t>
      </w:r>
    </w:p>
    <w:p>
      <w:pPr>
        <w:pStyle w:val="BodyText"/>
        <w:tabs>
          <w:tab w:pos="8801" w:val="right" w:leader="dot"/>
        </w:tabs>
        <w:spacing w:before="41"/>
        <w:ind w:left="1028"/>
      </w:pPr>
      <w:r>
        <w:rPr/>
        <w:t>(1993)</w:t>
      </w:r>
      <w:r>
        <w:rPr>
          <w:spacing w:val="1"/>
        </w:rPr>
        <w:t> </w:t>
      </w:r>
      <w:r>
        <w:rPr/>
        <w:t>1</w:t>
      </w:r>
      <w:r>
        <w:rPr>
          <w:spacing w:val="-5"/>
        </w:rPr>
        <w:t> </w:t>
      </w:r>
      <w:r>
        <w:rPr/>
        <w:t>NWLR</w:t>
      </w:r>
      <w:r>
        <w:rPr>
          <w:spacing w:val="-1"/>
        </w:rPr>
        <w:t> </w:t>
      </w:r>
      <w:r>
        <w:rPr/>
        <w:t>pt.</w:t>
      </w:r>
      <w:r>
        <w:rPr>
          <w:spacing w:val="2"/>
        </w:rPr>
        <w:t> </w:t>
      </w:r>
      <w:r>
        <w:rPr/>
        <w:t>272</w:t>
      </w:r>
      <w:r>
        <w:rPr>
          <w:spacing w:val="-5"/>
        </w:rPr>
        <w:t> </w:t>
      </w:r>
      <w:r>
        <w:rPr/>
        <w:t>at</w:t>
      </w:r>
      <w:r>
        <w:rPr>
          <w:spacing w:val="6"/>
        </w:rPr>
        <w:t> </w:t>
      </w:r>
      <w:r>
        <w:rPr>
          <w:spacing w:val="-5"/>
        </w:rPr>
        <w:t>747</w:t>
      </w:r>
      <w:r>
        <w:rPr/>
        <w:tab/>
      </w:r>
      <w:r>
        <w:rPr>
          <w:spacing w:val="-5"/>
        </w:rPr>
        <w:t>23</w:t>
      </w:r>
    </w:p>
    <w:p>
      <w:pPr>
        <w:pStyle w:val="BodyText"/>
        <w:spacing w:before="40"/>
      </w:pPr>
      <w:r>
        <w:rPr/>
        <w:t>Sotuminu vs.</w:t>
      </w:r>
      <w:r>
        <w:rPr>
          <w:spacing w:val="-2"/>
        </w:rPr>
        <w:t> </w:t>
      </w:r>
      <w:r>
        <w:rPr/>
        <w:t>Ocean</w:t>
      </w:r>
      <w:r>
        <w:rPr>
          <w:spacing w:val="-8"/>
        </w:rPr>
        <w:t> </w:t>
      </w:r>
      <w:r>
        <w:rPr/>
        <w:t>Steamship</w:t>
      </w:r>
      <w:r>
        <w:rPr>
          <w:spacing w:val="-3"/>
        </w:rPr>
        <w:t> </w:t>
      </w:r>
      <w:r>
        <w:rPr/>
        <w:t>(Nig.</w:t>
      </w:r>
      <w:r>
        <w:rPr>
          <w:spacing w:val="-1"/>
        </w:rPr>
        <w:t> </w:t>
      </w:r>
      <w:r>
        <w:rPr>
          <w:spacing w:val="-4"/>
        </w:rPr>
        <w:t>Ltd.)</w:t>
      </w:r>
    </w:p>
    <w:p>
      <w:pPr>
        <w:pStyle w:val="BodyText"/>
        <w:tabs>
          <w:tab w:pos="8801" w:val="right" w:leader="dot"/>
        </w:tabs>
        <w:spacing w:before="41"/>
        <w:ind w:left="1028"/>
      </w:pPr>
      <w:r>
        <w:rPr/>
        <w:t>(1987)</w:t>
      </w:r>
      <w:r>
        <w:rPr>
          <w:spacing w:val="1"/>
        </w:rPr>
        <w:t> </w:t>
      </w:r>
      <w:r>
        <w:rPr/>
        <w:t>4</w:t>
      </w:r>
      <w:r>
        <w:rPr>
          <w:spacing w:val="-4"/>
        </w:rPr>
        <w:t> </w:t>
      </w:r>
      <w:r>
        <w:rPr/>
        <w:t>NWLR</w:t>
      </w:r>
      <w:r>
        <w:rPr>
          <w:spacing w:val="-2"/>
        </w:rPr>
        <w:t> </w:t>
      </w:r>
      <w:r>
        <w:rPr/>
        <w:t>(Pt.66)</w:t>
      </w:r>
      <w:r>
        <w:rPr>
          <w:spacing w:val="2"/>
        </w:rPr>
        <w:t> </w:t>
      </w:r>
      <w:r>
        <w:rPr>
          <w:spacing w:val="-5"/>
        </w:rPr>
        <w:t>691</w:t>
      </w:r>
      <w:r>
        <w:rPr/>
        <w:tab/>
      </w:r>
      <w:r>
        <w:rPr>
          <w:spacing w:val="-5"/>
        </w:rPr>
        <w:t>47</w:t>
      </w:r>
    </w:p>
    <w:p>
      <w:pPr>
        <w:pStyle w:val="BodyText"/>
        <w:spacing w:before="41"/>
      </w:pPr>
      <w:r>
        <w:rPr/>
        <w:t>Trenco. Nig.</w:t>
      </w:r>
      <w:r>
        <w:rPr>
          <w:spacing w:val="1"/>
        </w:rPr>
        <w:t> </w:t>
      </w:r>
      <w:r>
        <w:rPr/>
        <w:t>Ltd. vs.</w:t>
      </w:r>
      <w:r>
        <w:rPr>
          <w:spacing w:val="1"/>
        </w:rPr>
        <w:t> </w:t>
      </w:r>
      <w:r>
        <w:rPr/>
        <w:t>African</w:t>
      </w:r>
      <w:r>
        <w:rPr>
          <w:spacing w:val="-6"/>
        </w:rPr>
        <w:t> </w:t>
      </w:r>
      <w:r>
        <w:rPr/>
        <w:t>Real</w:t>
      </w:r>
      <w:r>
        <w:rPr>
          <w:spacing w:val="-6"/>
        </w:rPr>
        <w:t> </w:t>
      </w:r>
      <w:r>
        <w:rPr/>
        <w:t>Estate</w:t>
      </w:r>
      <w:r>
        <w:rPr>
          <w:spacing w:val="-7"/>
        </w:rPr>
        <w:t> </w:t>
      </w:r>
      <w:r>
        <w:rPr/>
        <w:t>and</w:t>
      </w:r>
      <w:r>
        <w:rPr>
          <w:spacing w:val="-2"/>
        </w:rPr>
        <w:t> </w:t>
      </w:r>
      <w:r>
        <w:rPr/>
        <w:t>Investment</w:t>
      </w:r>
      <w:r>
        <w:rPr>
          <w:spacing w:val="4"/>
        </w:rPr>
        <w:t> </w:t>
      </w:r>
      <w:r>
        <w:rPr/>
        <w:t>Co.</w:t>
      </w:r>
      <w:r>
        <w:rPr>
          <w:spacing w:val="-4"/>
        </w:rPr>
        <w:t> Ltd.</w:t>
      </w:r>
    </w:p>
    <w:p>
      <w:pPr>
        <w:pStyle w:val="BodyText"/>
        <w:tabs>
          <w:tab w:pos="8710" w:val="right" w:leader="dot"/>
        </w:tabs>
        <w:spacing w:before="41"/>
        <w:ind w:left="1028"/>
      </w:pPr>
      <w:r>
        <w:rPr/>
        <w:t>(1978)</w:t>
      </w:r>
      <w:r>
        <w:rPr>
          <w:spacing w:val="1"/>
        </w:rPr>
        <w:t> </w:t>
      </w:r>
      <w:r>
        <w:rPr/>
        <w:t>All</w:t>
      </w:r>
      <w:r>
        <w:rPr>
          <w:spacing w:val="-7"/>
        </w:rPr>
        <w:t> </w:t>
      </w:r>
      <w:r>
        <w:rPr/>
        <w:t>NLR,</w:t>
      </w:r>
      <w:r>
        <w:rPr>
          <w:spacing w:val="3"/>
        </w:rPr>
        <w:t> </w:t>
      </w:r>
      <w:r>
        <w:rPr/>
        <w:t>124;</w:t>
      </w:r>
      <w:r>
        <w:rPr>
          <w:spacing w:val="-4"/>
        </w:rPr>
        <w:t> </w:t>
      </w:r>
      <w:r>
        <w:rPr/>
        <w:t>(1978)</w:t>
      </w:r>
      <w:r>
        <w:rPr>
          <w:spacing w:val="2"/>
        </w:rPr>
        <w:t> </w:t>
      </w:r>
      <w:r>
        <w:rPr/>
        <w:t>NSCC</w:t>
      </w:r>
      <w:r>
        <w:rPr>
          <w:spacing w:val="-1"/>
        </w:rPr>
        <w:t> </w:t>
      </w:r>
      <w:r>
        <w:rPr>
          <w:spacing w:val="-4"/>
        </w:rPr>
        <w:t>220.</w:t>
      </w:r>
      <w:r>
        <w:rPr/>
        <w:tab/>
      </w:r>
      <w:r>
        <w:rPr>
          <w:spacing w:val="-5"/>
        </w:rPr>
        <w:t>42</w:t>
      </w:r>
    </w:p>
    <w:p>
      <w:pPr>
        <w:pStyle w:val="BodyText"/>
        <w:spacing w:before="46"/>
      </w:pPr>
      <w:r>
        <w:rPr/>
        <w:t>Virgin</w:t>
      </w:r>
      <w:r>
        <w:rPr>
          <w:spacing w:val="-9"/>
        </w:rPr>
        <w:t> </w:t>
      </w:r>
      <w:r>
        <w:rPr/>
        <w:t>Tech.</w:t>
      </w:r>
      <w:r>
        <w:rPr>
          <w:spacing w:val="-1"/>
        </w:rPr>
        <w:t> </w:t>
      </w:r>
      <w:r>
        <w:rPr/>
        <w:t>Ltd.</w:t>
      </w:r>
      <w:r>
        <w:rPr>
          <w:spacing w:val="-5"/>
        </w:rPr>
        <w:t> </w:t>
      </w:r>
      <w:r>
        <w:rPr/>
        <w:t>vs. Mohammed</w:t>
      </w:r>
      <w:r>
        <w:rPr>
          <w:spacing w:val="-1"/>
        </w:rPr>
        <w:t> </w:t>
      </w:r>
      <w:r>
        <w:rPr/>
        <w:t>and</w:t>
      </w:r>
      <w:r>
        <w:rPr>
          <w:spacing w:val="-2"/>
        </w:rPr>
        <w:t> </w:t>
      </w:r>
      <w:r>
        <w:rPr/>
        <w:t>Bank</w:t>
      </w:r>
      <w:r>
        <w:rPr>
          <w:spacing w:val="-2"/>
        </w:rPr>
        <w:t> </w:t>
      </w:r>
      <w:r>
        <w:rPr>
          <w:spacing w:val="-5"/>
        </w:rPr>
        <w:t>PHB</w:t>
      </w:r>
    </w:p>
    <w:p>
      <w:pPr>
        <w:pStyle w:val="BodyText"/>
        <w:tabs>
          <w:tab w:pos="8053" w:val="left" w:leader="dot"/>
        </w:tabs>
        <w:spacing w:before="41"/>
        <w:ind w:left="1028"/>
      </w:pPr>
      <w:r>
        <w:rPr/>
        <w:t>(2009)</w:t>
      </w:r>
      <w:r>
        <w:rPr>
          <w:spacing w:val="-1"/>
        </w:rPr>
        <w:t> </w:t>
      </w:r>
      <w:r>
        <w:rPr/>
        <w:t>11</w:t>
      </w:r>
      <w:r>
        <w:rPr>
          <w:spacing w:val="-4"/>
        </w:rPr>
        <w:t> </w:t>
      </w:r>
      <w:r>
        <w:rPr/>
        <w:t>NWLR</w:t>
      </w:r>
      <w:r>
        <w:rPr>
          <w:spacing w:val="-1"/>
        </w:rPr>
        <w:t> </w:t>
      </w:r>
      <w:r>
        <w:rPr/>
        <w:t>(Pt.1151)</w:t>
      </w:r>
      <w:r>
        <w:rPr>
          <w:spacing w:val="2"/>
        </w:rPr>
        <w:t> </w:t>
      </w:r>
      <w:r>
        <w:rPr/>
        <w:t>136</w:t>
      </w:r>
      <w:r>
        <w:rPr>
          <w:spacing w:val="-4"/>
        </w:rPr>
        <w:t> </w:t>
      </w:r>
      <w:r>
        <w:rPr>
          <w:spacing w:val="-5"/>
        </w:rPr>
        <w:t>C.A</w:t>
      </w:r>
      <w:r>
        <w:rPr/>
        <w:tab/>
        <w:t>47,</w:t>
      </w:r>
      <w:r>
        <w:rPr>
          <w:spacing w:val="-3"/>
        </w:rPr>
        <w:t> </w:t>
      </w:r>
      <w:r>
        <w:rPr>
          <w:spacing w:val="-5"/>
        </w:rPr>
        <w:t>104</w:t>
      </w:r>
    </w:p>
    <w:p>
      <w:pPr>
        <w:pStyle w:val="BodyText"/>
        <w:spacing w:before="41"/>
      </w:pPr>
      <w:r>
        <w:rPr/>
        <w:t>Yalaju-Amaye</w:t>
      </w:r>
      <w:r>
        <w:rPr>
          <w:spacing w:val="-1"/>
        </w:rPr>
        <w:t> </w:t>
      </w:r>
      <w:r>
        <w:rPr/>
        <w:t>vs.</w:t>
      </w:r>
      <w:r>
        <w:rPr>
          <w:spacing w:val="-2"/>
        </w:rPr>
        <w:t> </w:t>
      </w:r>
      <w:r>
        <w:rPr/>
        <w:t>Associated</w:t>
      </w:r>
      <w:r>
        <w:rPr>
          <w:spacing w:val="-3"/>
        </w:rPr>
        <w:t> </w:t>
      </w:r>
      <w:r>
        <w:rPr/>
        <w:t>Registered</w:t>
      </w:r>
      <w:r>
        <w:rPr>
          <w:spacing w:val="-4"/>
        </w:rPr>
        <w:t> </w:t>
      </w:r>
      <w:r>
        <w:rPr/>
        <w:t>Engineering</w:t>
      </w:r>
      <w:r>
        <w:rPr>
          <w:spacing w:val="-4"/>
        </w:rPr>
        <w:t> </w:t>
      </w:r>
      <w:r>
        <w:rPr/>
        <w:t>Contractors</w:t>
      </w:r>
      <w:r>
        <w:rPr>
          <w:spacing w:val="-5"/>
        </w:rPr>
        <w:t> </w:t>
      </w:r>
      <w:r>
        <w:rPr>
          <w:spacing w:val="-4"/>
        </w:rPr>
        <w:t>Ltd.</w:t>
      </w:r>
    </w:p>
    <w:p>
      <w:pPr>
        <w:pStyle w:val="BodyText"/>
        <w:tabs>
          <w:tab w:pos="8821" w:val="right" w:leader="dot"/>
        </w:tabs>
        <w:spacing w:before="40"/>
        <w:ind w:left="1028"/>
      </w:pPr>
      <w:r>
        <w:rPr/>
        <w:t>(1978)</w:t>
      </w:r>
      <w:r>
        <w:rPr>
          <w:spacing w:val="1"/>
        </w:rPr>
        <w:t> </w:t>
      </w:r>
      <w:r>
        <w:rPr/>
        <w:t>All</w:t>
      </w:r>
      <w:r>
        <w:rPr>
          <w:spacing w:val="-9"/>
        </w:rPr>
        <w:t> </w:t>
      </w:r>
      <w:r>
        <w:rPr/>
        <w:t>NLR,</w:t>
      </w:r>
      <w:r>
        <w:rPr>
          <w:spacing w:val="3"/>
        </w:rPr>
        <w:t> </w:t>
      </w:r>
      <w:r>
        <w:rPr>
          <w:spacing w:val="-4"/>
        </w:rPr>
        <w:t>124.</w:t>
      </w:r>
      <w:r>
        <w:rPr/>
        <w:tab/>
      </w:r>
      <w:r>
        <w:rPr>
          <w:spacing w:val="-5"/>
        </w:rPr>
        <w:t>36</w:t>
      </w:r>
    </w:p>
    <w:p>
      <w:pPr>
        <w:pStyle w:val="BodyText"/>
        <w:spacing w:before="42"/>
      </w:pPr>
      <w:r>
        <w:rPr/>
        <w:t>Yusufu</w:t>
      </w:r>
      <w:r>
        <w:rPr>
          <w:spacing w:val="-2"/>
        </w:rPr>
        <w:t> </w:t>
      </w:r>
      <w:r>
        <w:rPr/>
        <w:t>vs.</w:t>
      </w:r>
      <w:r>
        <w:rPr>
          <w:spacing w:val="-3"/>
        </w:rPr>
        <w:t> </w:t>
      </w:r>
      <w:r>
        <w:rPr/>
        <w:t>Kupper</w:t>
      </w:r>
      <w:r>
        <w:rPr>
          <w:spacing w:val="-4"/>
        </w:rPr>
        <w:t> </w:t>
      </w:r>
      <w:r>
        <w:rPr>
          <w:spacing w:val="-2"/>
        </w:rPr>
        <w:t>International</w:t>
      </w:r>
    </w:p>
    <w:p>
      <w:pPr>
        <w:pStyle w:val="BodyText"/>
        <w:tabs>
          <w:tab w:pos="8787" w:val="right" w:leader="dot"/>
        </w:tabs>
        <w:spacing w:before="41"/>
        <w:ind w:left="1028"/>
      </w:pPr>
      <w:r>
        <w:rPr/>
        <w:t>(1996) 5</w:t>
      </w:r>
      <w:r>
        <w:rPr>
          <w:spacing w:val="-4"/>
        </w:rPr>
        <w:t> </w:t>
      </w:r>
      <w:r>
        <w:rPr/>
        <w:t>NWLR (pt.</w:t>
      </w:r>
      <w:r>
        <w:rPr>
          <w:spacing w:val="-2"/>
        </w:rPr>
        <w:t> </w:t>
      </w:r>
      <w:r>
        <w:rPr/>
        <w:t>446)</w:t>
      </w:r>
      <w:r>
        <w:rPr>
          <w:spacing w:val="3"/>
        </w:rPr>
        <w:t> </w:t>
      </w:r>
      <w:r>
        <w:rPr>
          <w:spacing w:val="-5"/>
        </w:rPr>
        <w:t>17</w:t>
      </w:r>
      <w:r>
        <w:rPr/>
        <w:tab/>
      </w:r>
      <w:r>
        <w:rPr>
          <w:spacing w:val="-5"/>
        </w:rPr>
        <w:t>42</w:t>
      </w:r>
    </w:p>
    <w:p>
      <w:pPr>
        <w:pStyle w:val="Heading2"/>
        <w:spacing w:before="362"/>
        <w:ind w:left="308" w:firstLine="0"/>
        <w:jc w:val="left"/>
      </w:pPr>
      <w:r>
        <w:rPr>
          <w:spacing w:val="-2"/>
        </w:rPr>
        <w:t>Foreign</w:t>
      </w:r>
    </w:p>
    <w:p>
      <w:pPr>
        <w:pStyle w:val="BodyText"/>
        <w:spacing w:before="41"/>
      </w:pPr>
      <w:r>
        <w:rPr/>
        <w:t>Aas</w:t>
      </w:r>
      <w:r>
        <w:rPr>
          <w:spacing w:val="-3"/>
        </w:rPr>
        <w:t> </w:t>
      </w:r>
      <w:r>
        <w:rPr/>
        <w:t>vs.</w:t>
      </w:r>
      <w:r>
        <w:rPr>
          <w:spacing w:val="1"/>
        </w:rPr>
        <w:t> </w:t>
      </w:r>
      <w:r>
        <w:rPr>
          <w:spacing w:val="-2"/>
        </w:rPr>
        <w:t>Benham</w:t>
      </w:r>
    </w:p>
    <w:p>
      <w:pPr>
        <w:pStyle w:val="BodyText"/>
        <w:tabs>
          <w:tab w:pos="8792" w:val="right" w:leader="dot"/>
        </w:tabs>
        <w:spacing w:before="41"/>
        <w:ind w:left="1028"/>
      </w:pPr>
      <w:r>
        <w:rPr/>
        <w:t>(1891) 2</w:t>
      </w:r>
      <w:r>
        <w:rPr>
          <w:spacing w:val="-4"/>
        </w:rPr>
        <w:t> </w:t>
      </w:r>
      <w:r>
        <w:rPr/>
        <w:t>Ch.</w:t>
      </w:r>
      <w:r>
        <w:rPr>
          <w:spacing w:val="2"/>
        </w:rPr>
        <w:t> </w:t>
      </w:r>
      <w:r>
        <w:rPr>
          <w:spacing w:val="-4"/>
        </w:rPr>
        <w:t>244.</w:t>
      </w:r>
      <w:r>
        <w:rPr/>
        <w:tab/>
      </w:r>
      <w:r>
        <w:rPr>
          <w:spacing w:val="-5"/>
        </w:rPr>
        <w:t>175</w:t>
      </w:r>
    </w:p>
    <w:p>
      <w:pPr>
        <w:pStyle w:val="BodyText"/>
        <w:spacing w:before="41"/>
      </w:pPr>
      <w:r>
        <w:rPr/>
        <w:t>Abbey</w:t>
      </w:r>
      <w:r>
        <w:rPr>
          <w:spacing w:val="-5"/>
        </w:rPr>
        <w:t> </w:t>
      </w:r>
      <w:r>
        <w:rPr/>
        <w:t>Forwarding</w:t>
      </w:r>
      <w:r>
        <w:rPr>
          <w:spacing w:val="-3"/>
        </w:rPr>
        <w:t> </w:t>
      </w:r>
      <w:r>
        <w:rPr/>
        <w:t>Limited</w:t>
      </w:r>
      <w:r>
        <w:rPr>
          <w:spacing w:val="-2"/>
        </w:rPr>
        <w:t> </w:t>
      </w:r>
      <w:r>
        <w:rPr/>
        <w:t>(in</w:t>
      </w:r>
      <w:r>
        <w:rPr>
          <w:spacing w:val="-3"/>
        </w:rPr>
        <w:t> </w:t>
      </w:r>
      <w:r>
        <w:rPr/>
        <w:t>liquidation)</w:t>
      </w:r>
      <w:r>
        <w:rPr>
          <w:spacing w:val="-2"/>
        </w:rPr>
        <w:t> </w:t>
      </w:r>
      <w:r>
        <w:rPr/>
        <w:t>vs. </w:t>
      </w:r>
      <w:r>
        <w:rPr>
          <w:spacing w:val="-4"/>
        </w:rPr>
        <w:t>Hone</w:t>
      </w:r>
    </w:p>
    <w:p>
      <w:pPr>
        <w:pStyle w:val="BodyText"/>
        <w:tabs>
          <w:tab w:pos="7616" w:val="left" w:leader="dot"/>
        </w:tabs>
        <w:spacing w:before="41"/>
        <w:ind w:left="1028"/>
      </w:pPr>
      <w:r>
        <w:rPr/>
        <w:t>(2010)</w:t>
      </w:r>
      <w:r>
        <w:rPr>
          <w:spacing w:val="-5"/>
        </w:rPr>
        <w:t> </w:t>
      </w:r>
      <w:r>
        <w:rPr/>
        <w:t>EWHC</w:t>
      </w:r>
      <w:r>
        <w:rPr>
          <w:spacing w:val="-1"/>
        </w:rPr>
        <w:t> </w:t>
      </w:r>
      <w:r>
        <w:rPr/>
        <w:t>2029</w:t>
      </w:r>
      <w:r>
        <w:rPr>
          <w:spacing w:val="1"/>
        </w:rPr>
        <w:t> </w:t>
      </w:r>
      <w:r>
        <w:rPr>
          <w:spacing w:val="-4"/>
        </w:rPr>
        <w:t>(Ch)</w:t>
      </w:r>
      <w:r>
        <w:rPr/>
        <w:tab/>
        <w:t>62,</w:t>
      </w:r>
      <w:r>
        <w:rPr>
          <w:spacing w:val="-3"/>
        </w:rPr>
        <w:t> </w:t>
      </w:r>
      <w:r>
        <w:rPr/>
        <w:t>162,</w:t>
      </w:r>
      <w:r>
        <w:rPr>
          <w:spacing w:val="-1"/>
        </w:rPr>
        <w:t> </w:t>
      </w:r>
      <w:r>
        <w:rPr>
          <w:spacing w:val="-5"/>
        </w:rPr>
        <w:t>228</w:t>
      </w:r>
    </w:p>
    <w:p>
      <w:pPr>
        <w:pStyle w:val="BodyText"/>
        <w:spacing w:before="41"/>
      </w:pPr>
      <w:r>
        <w:rPr/>
        <w:t>Aberdeen</w:t>
      </w:r>
      <w:r>
        <w:rPr>
          <w:spacing w:val="-5"/>
        </w:rPr>
        <w:t> </w:t>
      </w:r>
      <w:r>
        <w:rPr/>
        <w:t>Railway</w:t>
      </w:r>
      <w:r>
        <w:rPr>
          <w:spacing w:val="-5"/>
        </w:rPr>
        <w:t> </w:t>
      </w:r>
      <w:r>
        <w:rPr/>
        <w:t>Co.</w:t>
      </w:r>
      <w:r>
        <w:rPr>
          <w:spacing w:val="2"/>
        </w:rPr>
        <w:t> </w:t>
      </w:r>
      <w:r>
        <w:rPr/>
        <w:t>vs.</w:t>
      </w:r>
      <w:r>
        <w:rPr>
          <w:spacing w:val="3"/>
        </w:rPr>
        <w:t> </w:t>
      </w:r>
      <w:r>
        <w:rPr>
          <w:spacing w:val="-2"/>
        </w:rPr>
        <w:t>Blaikie</w:t>
      </w:r>
    </w:p>
    <w:p>
      <w:pPr>
        <w:pStyle w:val="BodyText"/>
        <w:spacing w:before="40"/>
        <w:ind w:left="1028"/>
      </w:pPr>
      <w:r>
        <w:rPr/>
        <w:t>(1854)</w:t>
      </w:r>
      <w:r>
        <w:rPr>
          <w:spacing w:val="21"/>
        </w:rPr>
        <w:t> </w:t>
      </w:r>
      <w:r>
        <w:rPr/>
        <w:t>1</w:t>
      </w:r>
      <w:r>
        <w:rPr>
          <w:spacing w:val="21"/>
        </w:rPr>
        <w:t> </w:t>
      </w:r>
      <w:r>
        <w:rPr/>
        <w:t>Macq</w:t>
      </w:r>
      <w:r>
        <w:rPr>
          <w:spacing w:val="21"/>
        </w:rPr>
        <w:t> </w:t>
      </w:r>
      <w:r>
        <w:rPr/>
        <w:t>461,</w:t>
      </w:r>
      <w:r>
        <w:rPr>
          <w:spacing w:val="23"/>
        </w:rPr>
        <w:t> </w:t>
      </w:r>
      <w:r>
        <w:rPr/>
        <w:t>(1843-60)</w:t>
      </w:r>
      <w:r>
        <w:rPr>
          <w:spacing w:val="22"/>
        </w:rPr>
        <w:t> </w:t>
      </w:r>
      <w:r>
        <w:rPr/>
        <w:t>All</w:t>
      </w:r>
      <w:r>
        <w:rPr>
          <w:spacing w:val="17"/>
        </w:rPr>
        <w:t> </w:t>
      </w:r>
      <w:r>
        <w:rPr/>
        <w:t>ER</w:t>
      </w:r>
      <w:r>
        <w:rPr>
          <w:spacing w:val="24"/>
        </w:rPr>
        <w:t> </w:t>
      </w:r>
      <w:r>
        <w:rPr/>
        <w:t>Rep</w:t>
      </w:r>
      <w:r>
        <w:rPr>
          <w:spacing w:val="20"/>
        </w:rPr>
        <w:t> </w:t>
      </w:r>
      <w:r>
        <w:rPr/>
        <w:t>249.</w:t>
      </w:r>
      <w:r>
        <w:rPr>
          <w:spacing w:val="31"/>
        </w:rPr>
        <w:t> </w:t>
      </w:r>
      <w:r>
        <w:rPr/>
        <w:t>118,</w:t>
      </w:r>
      <w:r>
        <w:rPr>
          <w:spacing w:val="23"/>
        </w:rPr>
        <w:t> </w:t>
      </w:r>
      <w:r>
        <w:rPr/>
        <w:t>134,</w:t>
      </w:r>
      <w:r>
        <w:rPr>
          <w:spacing w:val="23"/>
        </w:rPr>
        <w:t> </w:t>
      </w:r>
      <w:r>
        <w:rPr/>
        <w:t>167,</w:t>
      </w:r>
      <w:r>
        <w:rPr>
          <w:spacing w:val="23"/>
        </w:rPr>
        <w:t> </w:t>
      </w:r>
      <w:r>
        <w:rPr/>
        <w:t>168,</w:t>
      </w:r>
      <w:r>
        <w:rPr>
          <w:spacing w:val="23"/>
        </w:rPr>
        <w:t> </w:t>
      </w:r>
      <w:r>
        <w:rPr/>
        <w:t>195,</w:t>
      </w:r>
      <w:r>
        <w:rPr>
          <w:spacing w:val="23"/>
        </w:rPr>
        <w:t> </w:t>
      </w:r>
      <w:r>
        <w:rPr>
          <w:spacing w:val="-4"/>
        </w:rPr>
        <w:t>197,</w:t>
      </w:r>
    </w:p>
    <w:p>
      <w:pPr>
        <w:pStyle w:val="BodyText"/>
        <w:spacing w:before="42"/>
        <w:ind w:left="6790"/>
      </w:pPr>
      <w:r>
        <w:rPr/>
        <w:t>232,</w:t>
      </w:r>
      <w:r>
        <w:rPr>
          <w:spacing w:val="1"/>
        </w:rPr>
        <w:t> </w:t>
      </w:r>
      <w:r>
        <w:rPr/>
        <w:t>241,</w:t>
      </w:r>
      <w:r>
        <w:rPr>
          <w:spacing w:val="2"/>
        </w:rPr>
        <w:t> </w:t>
      </w:r>
      <w:r>
        <w:rPr>
          <w:spacing w:val="-5"/>
        </w:rPr>
        <w:t>242</w:t>
      </w:r>
    </w:p>
    <w:p>
      <w:pPr>
        <w:pStyle w:val="BodyText"/>
        <w:spacing w:before="41"/>
      </w:pPr>
      <w:r>
        <w:rPr/>
        <w:t>Allen</w:t>
      </w:r>
      <w:r>
        <w:rPr>
          <w:spacing w:val="-5"/>
        </w:rPr>
        <w:t> </w:t>
      </w:r>
      <w:r>
        <w:rPr/>
        <w:t>vs.</w:t>
      </w:r>
      <w:r>
        <w:rPr>
          <w:spacing w:val="-1"/>
        </w:rPr>
        <w:t> </w:t>
      </w:r>
      <w:r>
        <w:rPr>
          <w:spacing w:val="-4"/>
        </w:rPr>
        <w:t>Hyatt</w:t>
      </w:r>
    </w:p>
    <w:p>
      <w:pPr>
        <w:pStyle w:val="BodyText"/>
        <w:tabs>
          <w:tab w:pos="8062" w:val="left" w:leader="dot"/>
        </w:tabs>
        <w:spacing w:before="40"/>
        <w:ind w:left="1028"/>
      </w:pPr>
      <w:r>
        <w:rPr/>
        <w:t>(1914) 30</w:t>
      </w:r>
      <w:r>
        <w:rPr>
          <w:spacing w:val="-4"/>
        </w:rPr>
        <w:t> </w:t>
      </w:r>
      <w:r>
        <w:rPr/>
        <w:t>T.L.R.</w:t>
      </w:r>
      <w:r>
        <w:rPr>
          <w:spacing w:val="1"/>
        </w:rPr>
        <w:t> </w:t>
      </w:r>
      <w:r>
        <w:rPr/>
        <w:t>444,</w:t>
      </w:r>
      <w:r>
        <w:rPr>
          <w:spacing w:val="-2"/>
        </w:rPr>
        <w:t> </w:t>
      </w:r>
      <w:r>
        <w:rPr>
          <w:spacing w:val="-5"/>
        </w:rPr>
        <w:t>PC</w:t>
      </w:r>
      <w:r>
        <w:rPr/>
        <w:tab/>
        <w:t>71,</w:t>
      </w:r>
      <w:r>
        <w:rPr>
          <w:spacing w:val="-3"/>
        </w:rPr>
        <w:t> </w:t>
      </w:r>
      <w:r>
        <w:rPr>
          <w:spacing w:val="-5"/>
        </w:rPr>
        <w:t>127</w:t>
      </w:r>
    </w:p>
    <w:p>
      <w:pPr>
        <w:pStyle w:val="BodyText"/>
        <w:spacing w:before="46"/>
      </w:pPr>
      <w:r>
        <w:rPr/>
        <w:t>Attorney-General</w:t>
      </w:r>
      <w:r>
        <w:rPr>
          <w:spacing w:val="-7"/>
        </w:rPr>
        <w:t> </w:t>
      </w:r>
      <w:r>
        <w:rPr/>
        <w:t>for</w:t>
      </w:r>
      <w:r>
        <w:rPr>
          <w:spacing w:val="-2"/>
        </w:rPr>
        <w:t> </w:t>
      </w:r>
      <w:r>
        <w:rPr/>
        <w:t>Hong</w:t>
      </w:r>
      <w:r>
        <w:rPr>
          <w:spacing w:val="-2"/>
        </w:rPr>
        <w:t> </w:t>
      </w:r>
      <w:r>
        <w:rPr/>
        <w:t>Kong</w:t>
      </w:r>
      <w:r>
        <w:rPr>
          <w:spacing w:val="-2"/>
        </w:rPr>
        <w:t> </w:t>
      </w:r>
      <w:r>
        <w:rPr/>
        <w:t>vs. </w:t>
      </w:r>
      <w:r>
        <w:rPr>
          <w:spacing w:val="-4"/>
        </w:rPr>
        <w:t>Reid</w:t>
      </w:r>
    </w:p>
    <w:p>
      <w:pPr>
        <w:spacing w:after="0"/>
        <w:sectPr>
          <w:pgSz w:w="11910" w:h="16840"/>
          <w:pgMar w:header="0" w:footer="998" w:top="1300" w:bottom="1180" w:left="1680" w:right="1180"/>
        </w:sectPr>
      </w:pPr>
    </w:p>
    <w:p>
      <w:pPr>
        <w:pStyle w:val="BodyText"/>
        <w:tabs>
          <w:tab w:pos="8427" w:val="left" w:leader="dot"/>
        </w:tabs>
        <w:spacing w:before="65"/>
        <w:ind w:left="1028"/>
      </w:pPr>
      <w:r>
        <w:rPr/>
        <w:t>(1994)</w:t>
      </w:r>
      <w:r>
        <w:rPr>
          <w:spacing w:val="1"/>
        </w:rPr>
        <w:t> </w:t>
      </w:r>
      <w:r>
        <w:rPr/>
        <w:t>1</w:t>
      </w:r>
      <w:r>
        <w:rPr>
          <w:spacing w:val="-5"/>
        </w:rPr>
        <w:t> </w:t>
      </w:r>
      <w:r>
        <w:rPr/>
        <w:t>AC</w:t>
      </w:r>
      <w:r>
        <w:rPr>
          <w:spacing w:val="-1"/>
        </w:rPr>
        <w:t> </w:t>
      </w:r>
      <w:r>
        <w:rPr>
          <w:spacing w:val="-4"/>
        </w:rPr>
        <w:t>324.</w:t>
      </w:r>
      <w:r>
        <w:rPr/>
        <w:tab/>
      </w:r>
      <w:r>
        <w:rPr>
          <w:spacing w:val="-5"/>
        </w:rPr>
        <w:t>191</w:t>
      </w:r>
    </w:p>
    <w:p>
      <w:pPr>
        <w:pStyle w:val="BodyText"/>
        <w:spacing w:before="41"/>
      </w:pPr>
      <w:r>
        <w:rPr/>
        <w:t>Aubanel</w:t>
      </w:r>
      <w:r>
        <w:rPr>
          <w:spacing w:val="-9"/>
        </w:rPr>
        <w:t> </w:t>
      </w:r>
      <w:r>
        <w:rPr/>
        <w:t>and</w:t>
      </w:r>
      <w:r>
        <w:rPr>
          <w:spacing w:val="3"/>
        </w:rPr>
        <w:t> </w:t>
      </w:r>
      <w:r>
        <w:rPr/>
        <w:t>Alabaster</w:t>
      </w:r>
      <w:r>
        <w:rPr>
          <w:spacing w:val="-1"/>
        </w:rPr>
        <w:t> </w:t>
      </w:r>
      <w:r>
        <w:rPr/>
        <w:t>Ltd.</w:t>
      </w:r>
      <w:r>
        <w:rPr>
          <w:spacing w:val="-4"/>
        </w:rPr>
        <w:t> </w:t>
      </w:r>
      <w:r>
        <w:rPr/>
        <w:t>vs.</w:t>
      </w:r>
      <w:r>
        <w:rPr>
          <w:spacing w:val="1"/>
        </w:rPr>
        <w:t> </w:t>
      </w:r>
      <w:r>
        <w:rPr>
          <w:spacing w:val="-2"/>
        </w:rPr>
        <w:t>Aubanel</w:t>
      </w:r>
    </w:p>
    <w:p>
      <w:pPr>
        <w:pStyle w:val="BodyText"/>
        <w:tabs>
          <w:tab w:pos="8427" w:val="left" w:leader="dot"/>
        </w:tabs>
        <w:spacing w:before="40"/>
        <w:ind w:left="1028"/>
      </w:pPr>
      <w:r>
        <w:rPr/>
        <w:t>(1949) 66</w:t>
      </w:r>
      <w:r>
        <w:rPr>
          <w:spacing w:val="-3"/>
        </w:rPr>
        <w:t> </w:t>
      </w:r>
      <w:r>
        <w:rPr/>
        <w:t>RPC </w:t>
      </w:r>
      <w:r>
        <w:rPr>
          <w:spacing w:val="-4"/>
        </w:rPr>
        <w:t>343.</w:t>
      </w:r>
      <w:r>
        <w:rPr/>
        <w:tab/>
      </w:r>
      <w:r>
        <w:rPr>
          <w:spacing w:val="-5"/>
        </w:rPr>
        <w:t>173</w:t>
      </w:r>
    </w:p>
    <w:p>
      <w:pPr>
        <w:pStyle w:val="BodyText"/>
        <w:spacing w:before="42"/>
      </w:pPr>
      <w:r>
        <w:rPr/>
        <w:t>Australian</w:t>
      </w:r>
      <w:r>
        <w:rPr>
          <w:spacing w:val="-6"/>
        </w:rPr>
        <w:t> </w:t>
      </w:r>
      <w:r>
        <w:rPr/>
        <w:t>Innovation</w:t>
      </w:r>
      <w:r>
        <w:rPr>
          <w:spacing w:val="-5"/>
        </w:rPr>
        <w:t> </w:t>
      </w:r>
      <w:r>
        <w:rPr/>
        <w:t>Ltd.</w:t>
      </w:r>
      <w:r>
        <w:rPr>
          <w:spacing w:val="2"/>
        </w:rPr>
        <w:t> </w:t>
      </w:r>
      <w:r>
        <w:rPr/>
        <w:t>vs.</w:t>
      </w:r>
      <w:r>
        <w:rPr>
          <w:spacing w:val="2"/>
        </w:rPr>
        <w:t> </w:t>
      </w:r>
      <w:r>
        <w:rPr/>
        <w:t>Paul</w:t>
      </w:r>
      <w:r>
        <w:rPr>
          <w:spacing w:val="-9"/>
        </w:rPr>
        <w:t> </w:t>
      </w:r>
      <w:r>
        <w:rPr/>
        <w:t>Andre</w:t>
      </w:r>
      <w:r>
        <w:rPr>
          <w:spacing w:val="-1"/>
        </w:rPr>
        <w:t> </w:t>
      </w:r>
      <w:r>
        <w:rPr>
          <w:spacing w:val="-2"/>
        </w:rPr>
        <w:t>Petrovsky</w:t>
      </w:r>
    </w:p>
    <w:p>
      <w:pPr>
        <w:pStyle w:val="BodyText"/>
        <w:tabs>
          <w:tab w:pos="8432" w:val="left" w:leader="dot"/>
        </w:tabs>
        <w:spacing w:before="41"/>
        <w:ind w:left="1028"/>
      </w:pPr>
      <w:r>
        <w:rPr/>
        <w:t>(1996) 14</w:t>
      </w:r>
      <w:r>
        <w:rPr>
          <w:spacing w:val="-4"/>
        </w:rPr>
        <w:t> </w:t>
      </w:r>
      <w:r>
        <w:rPr/>
        <w:t>ACLC</w:t>
      </w:r>
      <w:r>
        <w:rPr>
          <w:spacing w:val="-2"/>
        </w:rPr>
        <w:t> 1357.</w:t>
      </w:r>
      <w:r>
        <w:rPr/>
        <w:tab/>
      </w:r>
      <w:r>
        <w:rPr>
          <w:spacing w:val="-5"/>
        </w:rPr>
        <w:t>165</w:t>
      </w:r>
    </w:p>
    <w:p>
      <w:pPr>
        <w:pStyle w:val="BodyText"/>
        <w:spacing w:before="45"/>
      </w:pPr>
      <w:r>
        <w:rPr/>
        <w:t>Automatic</w:t>
      </w:r>
      <w:r>
        <w:rPr>
          <w:spacing w:val="-6"/>
        </w:rPr>
        <w:t> </w:t>
      </w:r>
      <w:r>
        <w:rPr/>
        <w:t>Self-Cleansing</w:t>
      </w:r>
      <w:r>
        <w:rPr>
          <w:spacing w:val="-2"/>
        </w:rPr>
        <w:t> </w:t>
      </w:r>
      <w:r>
        <w:rPr/>
        <w:t>Filter</w:t>
      </w:r>
      <w:r>
        <w:rPr>
          <w:spacing w:val="-2"/>
        </w:rPr>
        <w:t> </w:t>
      </w:r>
      <w:r>
        <w:rPr/>
        <w:t>Syndicate</w:t>
      </w:r>
      <w:r>
        <w:rPr>
          <w:spacing w:val="-3"/>
        </w:rPr>
        <w:t> </w:t>
      </w:r>
      <w:r>
        <w:rPr/>
        <w:t>Co.</w:t>
      </w:r>
      <w:r>
        <w:rPr>
          <w:spacing w:val="-1"/>
        </w:rPr>
        <w:t> </w:t>
      </w:r>
      <w:r>
        <w:rPr/>
        <w:t>Ltd</w:t>
      </w:r>
      <w:r>
        <w:rPr>
          <w:spacing w:val="-7"/>
        </w:rPr>
        <w:t> </w:t>
      </w:r>
      <w:r>
        <w:rPr/>
        <w:t>vs. </w:t>
      </w:r>
      <w:r>
        <w:rPr>
          <w:spacing w:val="-2"/>
        </w:rPr>
        <w:t>Cuninghame</w:t>
      </w:r>
    </w:p>
    <w:p>
      <w:pPr>
        <w:pStyle w:val="BodyText"/>
        <w:tabs>
          <w:tab w:pos="8552" w:val="left" w:leader="dot"/>
        </w:tabs>
        <w:spacing w:before="41"/>
        <w:ind w:left="1028"/>
      </w:pPr>
      <w:r>
        <w:rPr/>
        <w:t>(1906) 2</w:t>
      </w:r>
      <w:r>
        <w:rPr>
          <w:spacing w:val="-4"/>
        </w:rPr>
        <w:t> </w:t>
      </w:r>
      <w:r>
        <w:rPr/>
        <w:t>Ch.</w:t>
      </w:r>
      <w:r>
        <w:rPr>
          <w:spacing w:val="2"/>
        </w:rPr>
        <w:t> </w:t>
      </w:r>
      <w:r>
        <w:rPr>
          <w:spacing w:val="-5"/>
        </w:rPr>
        <w:t>34</w:t>
      </w:r>
      <w:r>
        <w:rPr/>
        <w:tab/>
      </w:r>
      <w:r>
        <w:rPr>
          <w:spacing w:val="-5"/>
        </w:rPr>
        <w:t>48</w:t>
      </w:r>
    </w:p>
    <w:p>
      <w:pPr>
        <w:pStyle w:val="BodyText"/>
        <w:spacing w:before="41"/>
      </w:pPr>
      <w:r>
        <w:rPr/>
        <w:t>Barron</w:t>
      </w:r>
      <w:r>
        <w:rPr>
          <w:spacing w:val="-5"/>
        </w:rPr>
        <w:t> </w:t>
      </w:r>
      <w:r>
        <w:rPr/>
        <w:t>vs.</w:t>
      </w:r>
      <w:r>
        <w:rPr>
          <w:spacing w:val="2"/>
        </w:rPr>
        <w:t> </w:t>
      </w:r>
      <w:r>
        <w:rPr>
          <w:spacing w:val="-2"/>
        </w:rPr>
        <w:t>Potter</w:t>
      </w:r>
    </w:p>
    <w:p>
      <w:pPr>
        <w:pStyle w:val="BodyText"/>
        <w:tabs>
          <w:tab w:pos="8551" w:val="left" w:leader="dot"/>
        </w:tabs>
        <w:spacing w:before="41"/>
        <w:ind w:left="1028"/>
      </w:pPr>
      <w:r>
        <w:rPr/>
        <w:t>(1914) 1</w:t>
      </w:r>
      <w:r>
        <w:rPr>
          <w:spacing w:val="-4"/>
        </w:rPr>
        <w:t> </w:t>
      </w:r>
      <w:r>
        <w:rPr/>
        <w:t>Ch.</w:t>
      </w:r>
      <w:r>
        <w:rPr>
          <w:spacing w:val="2"/>
        </w:rPr>
        <w:t> </w:t>
      </w:r>
      <w:r>
        <w:rPr>
          <w:spacing w:val="-4"/>
        </w:rPr>
        <w:t>895.</w:t>
      </w:r>
      <w:r>
        <w:rPr/>
        <w:tab/>
      </w:r>
      <w:r>
        <w:rPr>
          <w:spacing w:val="-7"/>
        </w:rPr>
        <w:t>49</w:t>
      </w:r>
    </w:p>
    <w:p>
      <w:pPr>
        <w:pStyle w:val="BodyText"/>
        <w:spacing w:before="41"/>
      </w:pPr>
      <w:r>
        <w:rPr/>
        <w:t>Bell</w:t>
      </w:r>
      <w:r>
        <w:rPr>
          <w:spacing w:val="-2"/>
        </w:rPr>
        <w:t> </w:t>
      </w:r>
      <w:r>
        <w:rPr/>
        <w:t>vs. Lever</w:t>
      </w:r>
      <w:r>
        <w:rPr>
          <w:spacing w:val="-1"/>
        </w:rPr>
        <w:t> </w:t>
      </w:r>
      <w:r>
        <w:rPr/>
        <w:t>Bros</w:t>
      </w:r>
      <w:r>
        <w:rPr>
          <w:spacing w:val="-3"/>
        </w:rPr>
        <w:t> </w:t>
      </w:r>
      <w:r>
        <w:rPr>
          <w:spacing w:val="-4"/>
        </w:rPr>
        <w:t>Ltd.</w:t>
      </w:r>
    </w:p>
    <w:p>
      <w:pPr>
        <w:pStyle w:val="BodyText"/>
        <w:tabs>
          <w:tab w:pos="7947" w:val="left" w:leader="dot"/>
        </w:tabs>
        <w:spacing w:before="41"/>
        <w:ind w:left="1028"/>
      </w:pPr>
      <w:r>
        <w:rPr/>
        <w:t>(1932) AC</w:t>
      </w:r>
      <w:r>
        <w:rPr>
          <w:spacing w:val="-2"/>
        </w:rPr>
        <w:t> </w:t>
      </w:r>
      <w:r>
        <w:rPr>
          <w:spacing w:val="-4"/>
        </w:rPr>
        <w:t>161.</w:t>
      </w:r>
      <w:r>
        <w:rPr/>
        <w:tab/>
        <w:t>117,</w:t>
      </w:r>
      <w:r>
        <w:rPr>
          <w:spacing w:val="-3"/>
        </w:rPr>
        <w:t> </w:t>
      </w:r>
      <w:r>
        <w:rPr>
          <w:spacing w:val="-5"/>
        </w:rPr>
        <w:t>172</w:t>
      </w:r>
    </w:p>
    <w:p>
      <w:pPr>
        <w:pStyle w:val="BodyText"/>
        <w:spacing w:before="41"/>
      </w:pPr>
      <w:r>
        <w:rPr/>
        <w:t>Benson</w:t>
      </w:r>
      <w:r>
        <w:rPr>
          <w:spacing w:val="-6"/>
        </w:rPr>
        <w:t> </w:t>
      </w:r>
      <w:r>
        <w:rPr/>
        <w:t>vs.</w:t>
      </w:r>
      <w:r>
        <w:rPr>
          <w:spacing w:val="2"/>
        </w:rPr>
        <w:t> </w:t>
      </w:r>
      <w:r>
        <w:rPr>
          <w:spacing w:val="-2"/>
        </w:rPr>
        <w:t>Heathorn</w:t>
      </w:r>
    </w:p>
    <w:p>
      <w:pPr>
        <w:pStyle w:val="BodyText"/>
        <w:tabs>
          <w:tab w:pos="7975" w:val="left" w:leader="dot"/>
        </w:tabs>
        <w:spacing w:before="41"/>
        <w:ind w:left="1028"/>
      </w:pPr>
      <w:r>
        <w:rPr/>
        <w:t>(1842)</w:t>
      </w:r>
      <w:r>
        <w:rPr>
          <w:spacing w:val="2"/>
        </w:rPr>
        <w:t> </w:t>
      </w:r>
      <w:r>
        <w:rPr/>
        <w:t>1</w:t>
      </w:r>
      <w:r>
        <w:rPr>
          <w:spacing w:val="-3"/>
        </w:rPr>
        <w:t> </w:t>
      </w:r>
      <w:r>
        <w:rPr/>
        <w:t>Y.</w:t>
      </w:r>
      <w:r>
        <w:rPr>
          <w:spacing w:val="-1"/>
        </w:rPr>
        <w:t> </w:t>
      </w:r>
      <w:r>
        <w:rPr/>
        <w:t>&amp;</w:t>
      </w:r>
      <w:r>
        <w:rPr>
          <w:spacing w:val="-3"/>
        </w:rPr>
        <w:t> </w:t>
      </w:r>
      <w:r>
        <w:rPr/>
        <w:t>C.C.C.</w:t>
      </w:r>
      <w:r>
        <w:rPr>
          <w:spacing w:val="4"/>
        </w:rPr>
        <w:t> </w:t>
      </w:r>
      <w:r>
        <w:rPr>
          <w:spacing w:val="-5"/>
        </w:rPr>
        <w:t>326</w:t>
      </w:r>
      <w:r>
        <w:rPr/>
        <w:tab/>
        <w:t>179,</w:t>
      </w:r>
      <w:r>
        <w:rPr>
          <w:spacing w:val="-3"/>
        </w:rPr>
        <w:t> </w:t>
      </w:r>
      <w:r>
        <w:rPr>
          <w:spacing w:val="-5"/>
        </w:rPr>
        <w:t>234</w:t>
      </w:r>
    </w:p>
    <w:p>
      <w:pPr>
        <w:pStyle w:val="BodyText"/>
        <w:spacing w:before="45"/>
      </w:pPr>
      <w:r>
        <w:rPr/>
        <w:t>Bhullar</w:t>
      </w:r>
      <w:r>
        <w:rPr>
          <w:spacing w:val="-3"/>
        </w:rPr>
        <w:t> </w:t>
      </w:r>
      <w:r>
        <w:rPr/>
        <w:t>vs.</w:t>
      </w:r>
      <w:r>
        <w:rPr>
          <w:spacing w:val="-1"/>
        </w:rPr>
        <w:t> </w:t>
      </w:r>
      <w:r>
        <w:rPr>
          <w:spacing w:val="-2"/>
        </w:rPr>
        <w:t>Bhullar</w:t>
      </w:r>
    </w:p>
    <w:p>
      <w:pPr>
        <w:pStyle w:val="BodyText"/>
        <w:tabs>
          <w:tab w:pos="8437" w:val="left" w:leader="dot"/>
        </w:tabs>
        <w:spacing w:before="42"/>
        <w:ind w:left="1028"/>
      </w:pPr>
      <w:r>
        <w:rPr/>
        <w:t>(2003)</w:t>
      </w:r>
      <w:r>
        <w:rPr>
          <w:spacing w:val="-3"/>
        </w:rPr>
        <w:t> </w:t>
      </w:r>
      <w:r>
        <w:rPr/>
        <w:t>EWCA</w:t>
      </w:r>
      <w:r>
        <w:rPr>
          <w:spacing w:val="-6"/>
        </w:rPr>
        <w:t> </w:t>
      </w:r>
      <w:r>
        <w:rPr/>
        <w:t>Civ.</w:t>
      </w:r>
      <w:r>
        <w:rPr>
          <w:spacing w:val="2"/>
        </w:rPr>
        <w:t> </w:t>
      </w:r>
      <w:r>
        <w:rPr/>
        <w:t>424;</w:t>
      </w:r>
      <w:r>
        <w:rPr>
          <w:spacing w:val="-4"/>
        </w:rPr>
        <w:t> </w:t>
      </w:r>
      <w:r>
        <w:rPr/>
        <w:t>(2003)</w:t>
      </w:r>
      <w:r>
        <w:rPr>
          <w:spacing w:val="1"/>
        </w:rPr>
        <w:t> </w:t>
      </w:r>
      <w:r>
        <w:rPr/>
        <w:t>2</w:t>
      </w:r>
      <w:r>
        <w:rPr>
          <w:spacing w:val="-5"/>
        </w:rPr>
        <w:t> </w:t>
      </w:r>
      <w:r>
        <w:rPr/>
        <w:t>BCLC</w:t>
      </w:r>
      <w:r>
        <w:rPr>
          <w:spacing w:val="-1"/>
        </w:rPr>
        <w:t> </w:t>
      </w:r>
      <w:r>
        <w:rPr>
          <w:spacing w:val="-4"/>
        </w:rPr>
        <w:t>241.</w:t>
      </w:r>
      <w:r>
        <w:rPr/>
        <w:tab/>
      </w:r>
      <w:r>
        <w:rPr>
          <w:spacing w:val="-5"/>
        </w:rPr>
        <w:t>171</w:t>
      </w:r>
    </w:p>
    <w:p>
      <w:pPr>
        <w:pStyle w:val="BodyText"/>
        <w:spacing w:before="40"/>
      </w:pPr>
      <w:r>
        <w:rPr/>
        <w:t>Boardman</w:t>
      </w:r>
      <w:r>
        <w:rPr>
          <w:spacing w:val="-4"/>
        </w:rPr>
        <w:t> </w:t>
      </w:r>
      <w:r>
        <w:rPr/>
        <w:t>vs.</w:t>
      </w:r>
      <w:r>
        <w:rPr>
          <w:spacing w:val="-2"/>
        </w:rPr>
        <w:t> Phipps</w:t>
      </w:r>
    </w:p>
    <w:p>
      <w:pPr>
        <w:pStyle w:val="BodyText"/>
        <w:tabs>
          <w:tab w:pos="6506" w:val="left" w:leader="dot"/>
        </w:tabs>
        <w:spacing w:before="41"/>
        <w:ind w:left="1028"/>
      </w:pPr>
      <w:r>
        <w:rPr/>
        <w:t>(1967) 2</w:t>
      </w:r>
      <w:r>
        <w:rPr>
          <w:spacing w:val="-5"/>
        </w:rPr>
        <w:t> </w:t>
      </w:r>
      <w:r>
        <w:rPr/>
        <w:t>AC</w:t>
      </w:r>
      <w:r>
        <w:rPr>
          <w:spacing w:val="-1"/>
        </w:rPr>
        <w:t> </w:t>
      </w:r>
      <w:r>
        <w:rPr>
          <w:spacing w:val="-5"/>
        </w:rPr>
        <w:t>47.</w:t>
      </w:r>
      <w:r>
        <w:rPr/>
        <w:tab/>
        <w:t>167,</w:t>
      </w:r>
      <w:r>
        <w:rPr>
          <w:spacing w:val="-3"/>
        </w:rPr>
        <w:t> </w:t>
      </w:r>
      <w:r>
        <w:rPr/>
        <w:t>169,</w:t>
      </w:r>
      <w:r>
        <w:rPr>
          <w:spacing w:val="-1"/>
        </w:rPr>
        <w:t> </w:t>
      </w:r>
      <w:r>
        <w:rPr/>
        <w:t>171,</w:t>
      </w:r>
      <w:r>
        <w:rPr>
          <w:spacing w:val="-1"/>
        </w:rPr>
        <w:t> </w:t>
      </w:r>
      <w:r>
        <w:rPr/>
        <w:t>173,</w:t>
      </w:r>
      <w:r>
        <w:rPr>
          <w:spacing w:val="-1"/>
        </w:rPr>
        <w:t> </w:t>
      </w:r>
      <w:r>
        <w:rPr>
          <w:spacing w:val="-5"/>
        </w:rPr>
        <w:t>197</w:t>
      </w:r>
    </w:p>
    <w:p>
      <w:pPr>
        <w:pStyle w:val="BodyText"/>
        <w:spacing w:before="41"/>
      </w:pPr>
      <w:r>
        <w:rPr/>
        <w:t>Bolton</w:t>
      </w:r>
      <w:r>
        <w:rPr>
          <w:spacing w:val="-6"/>
        </w:rPr>
        <w:t> </w:t>
      </w:r>
      <w:r>
        <w:rPr/>
        <w:t>(Engineering)</w:t>
      </w:r>
      <w:r>
        <w:rPr>
          <w:spacing w:val="1"/>
        </w:rPr>
        <w:t> </w:t>
      </w:r>
      <w:r>
        <w:rPr/>
        <w:t>Co.</w:t>
      </w:r>
      <w:r>
        <w:rPr>
          <w:spacing w:val="-3"/>
        </w:rPr>
        <w:t> </w:t>
      </w:r>
      <w:r>
        <w:rPr/>
        <w:t>Ltd.</w:t>
      </w:r>
      <w:r>
        <w:rPr>
          <w:spacing w:val="-4"/>
        </w:rPr>
        <w:t> </w:t>
      </w:r>
      <w:r>
        <w:rPr/>
        <w:t>vs.</w:t>
      </w:r>
      <w:r>
        <w:rPr>
          <w:spacing w:val="2"/>
        </w:rPr>
        <w:t> </w:t>
      </w:r>
      <w:r>
        <w:rPr/>
        <w:t>Graham</w:t>
      </w:r>
      <w:r>
        <w:rPr>
          <w:spacing w:val="-5"/>
        </w:rPr>
        <w:t> </w:t>
      </w:r>
      <w:r>
        <w:rPr/>
        <w:t>&amp;</w:t>
      </w:r>
      <w:r>
        <w:rPr>
          <w:spacing w:val="-5"/>
        </w:rPr>
        <w:t> </w:t>
      </w:r>
      <w:r>
        <w:rPr>
          <w:spacing w:val="-4"/>
        </w:rPr>
        <w:t>Sons</w:t>
      </w:r>
    </w:p>
    <w:p>
      <w:pPr>
        <w:pStyle w:val="BodyText"/>
        <w:tabs>
          <w:tab w:pos="8005" w:val="left" w:leader="dot"/>
        </w:tabs>
        <w:spacing w:before="41"/>
        <w:ind w:left="1028"/>
      </w:pPr>
      <w:r>
        <w:rPr/>
        <w:t>(1957)</w:t>
      </w:r>
      <w:r>
        <w:rPr>
          <w:spacing w:val="3"/>
        </w:rPr>
        <w:t> </w:t>
      </w:r>
      <w:r>
        <w:rPr/>
        <w:t>1</w:t>
      </w:r>
      <w:r>
        <w:rPr>
          <w:spacing w:val="-3"/>
        </w:rPr>
        <w:t> </w:t>
      </w:r>
      <w:r>
        <w:rPr/>
        <w:t>Q.B.</w:t>
      </w:r>
      <w:r>
        <w:rPr>
          <w:spacing w:val="-1"/>
        </w:rPr>
        <w:t> </w:t>
      </w:r>
      <w:r>
        <w:rPr>
          <w:spacing w:val="-4"/>
        </w:rPr>
        <w:t>159.</w:t>
      </w:r>
      <w:r>
        <w:rPr/>
        <w:tab/>
        <w:t>20,</w:t>
      </w:r>
      <w:r>
        <w:rPr>
          <w:spacing w:val="-3"/>
        </w:rPr>
        <w:t> </w:t>
      </w:r>
      <w:r>
        <w:rPr>
          <w:spacing w:val="-5"/>
        </w:rPr>
        <w:t>166</w:t>
      </w:r>
    </w:p>
    <w:p>
      <w:pPr>
        <w:pStyle w:val="BodyText"/>
        <w:spacing w:before="41"/>
      </w:pPr>
      <w:r>
        <w:rPr/>
        <w:t>Boston</w:t>
      </w:r>
      <w:r>
        <w:rPr>
          <w:spacing w:val="-6"/>
        </w:rPr>
        <w:t> </w:t>
      </w:r>
      <w:r>
        <w:rPr/>
        <w:t>Deep Sea</w:t>
      </w:r>
      <w:r>
        <w:rPr>
          <w:spacing w:val="-2"/>
        </w:rPr>
        <w:t> </w:t>
      </w:r>
      <w:r>
        <w:rPr/>
        <w:t>Fishing and</w:t>
      </w:r>
      <w:r>
        <w:rPr>
          <w:spacing w:val="-1"/>
        </w:rPr>
        <w:t> </w:t>
      </w:r>
      <w:r>
        <w:rPr/>
        <w:t>Ice</w:t>
      </w:r>
      <w:r>
        <w:rPr>
          <w:spacing w:val="-1"/>
        </w:rPr>
        <w:t> </w:t>
      </w:r>
      <w:r>
        <w:rPr/>
        <w:t>Co.</w:t>
      </w:r>
      <w:r>
        <w:rPr>
          <w:spacing w:val="1"/>
        </w:rPr>
        <w:t> </w:t>
      </w:r>
      <w:r>
        <w:rPr/>
        <w:t>vs.</w:t>
      </w:r>
      <w:r>
        <w:rPr>
          <w:spacing w:val="2"/>
        </w:rPr>
        <w:t> </w:t>
      </w:r>
      <w:r>
        <w:rPr>
          <w:spacing w:val="-2"/>
        </w:rPr>
        <w:t>Ansell</w:t>
      </w:r>
    </w:p>
    <w:p>
      <w:pPr>
        <w:pStyle w:val="BodyText"/>
        <w:tabs>
          <w:tab w:pos="7962" w:val="left" w:leader="dot"/>
        </w:tabs>
        <w:spacing w:before="41"/>
        <w:ind w:left="1028"/>
      </w:pPr>
      <w:r>
        <w:rPr/>
        <w:t>(1888)</w:t>
      </w:r>
      <w:r>
        <w:rPr>
          <w:spacing w:val="1"/>
        </w:rPr>
        <w:t> </w:t>
      </w:r>
      <w:r>
        <w:rPr/>
        <w:t>39</w:t>
      </w:r>
      <w:r>
        <w:rPr>
          <w:spacing w:val="-4"/>
        </w:rPr>
        <w:t> </w:t>
      </w:r>
      <w:r>
        <w:rPr/>
        <w:t>Ch.</w:t>
      </w:r>
      <w:r>
        <w:rPr>
          <w:spacing w:val="3"/>
        </w:rPr>
        <w:t> </w:t>
      </w:r>
      <w:r>
        <w:rPr/>
        <w:t>D.</w:t>
      </w:r>
      <w:r>
        <w:rPr>
          <w:spacing w:val="2"/>
        </w:rPr>
        <w:t> </w:t>
      </w:r>
      <w:r>
        <w:rPr/>
        <w:t>339</w:t>
      </w:r>
      <w:r>
        <w:rPr>
          <w:spacing w:val="-4"/>
        </w:rPr>
        <w:t> (CA)</w:t>
      </w:r>
      <w:r>
        <w:rPr/>
        <w:tab/>
        <w:t>108,</w:t>
      </w:r>
      <w:r>
        <w:rPr>
          <w:spacing w:val="-3"/>
        </w:rPr>
        <w:t> </w:t>
      </w:r>
      <w:r>
        <w:rPr>
          <w:spacing w:val="-5"/>
        </w:rPr>
        <w:t>122</w:t>
      </w:r>
    </w:p>
    <w:p>
      <w:pPr>
        <w:pStyle w:val="BodyText"/>
        <w:tabs>
          <w:tab w:pos="7467" w:val="left" w:leader="dot"/>
        </w:tabs>
        <w:spacing w:line="280" w:lineRule="auto" w:before="41"/>
        <w:ind w:left="1028" w:right="255" w:hanging="721"/>
      </w:pPr>
      <w:r>
        <w:rPr/>
        <w:t>Boulting vs. Association</w:t>
      </w:r>
      <w:r>
        <w:rPr>
          <w:spacing w:val="-1"/>
        </w:rPr>
        <w:t> </w:t>
      </w:r>
      <w:r>
        <w:rPr/>
        <w:t>of</w:t>
      </w:r>
      <w:r>
        <w:rPr>
          <w:spacing w:val="-7"/>
        </w:rPr>
        <w:t> </w:t>
      </w:r>
      <w:r>
        <w:rPr/>
        <w:t>Cinematograph,</w:t>
      </w:r>
      <w:r>
        <w:rPr>
          <w:spacing w:val="-2"/>
        </w:rPr>
        <w:t> </w:t>
      </w:r>
      <w:r>
        <w:rPr/>
        <w:t>Television &amp;</w:t>
      </w:r>
      <w:r>
        <w:rPr>
          <w:spacing w:val="-3"/>
        </w:rPr>
        <w:t> </w:t>
      </w:r>
      <w:r>
        <w:rPr/>
        <w:t>Allied Technicians (ACTAT) (1963)</w:t>
      </w:r>
      <w:r>
        <w:rPr>
          <w:spacing w:val="3"/>
        </w:rPr>
        <w:t> </w:t>
      </w:r>
      <w:r>
        <w:rPr/>
        <w:t>1</w:t>
      </w:r>
      <w:r>
        <w:rPr>
          <w:spacing w:val="-3"/>
        </w:rPr>
        <w:t> </w:t>
      </w:r>
      <w:r>
        <w:rPr/>
        <w:t>All</w:t>
      </w:r>
      <w:r>
        <w:rPr>
          <w:spacing w:val="-3"/>
        </w:rPr>
        <w:t> </w:t>
      </w:r>
      <w:r>
        <w:rPr/>
        <w:t>ER 716;</w:t>
      </w:r>
      <w:r>
        <w:rPr>
          <w:spacing w:val="-3"/>
        </w:rPr>
        <w:t> </w:t>
      </w:r>
      <w:r>
        <w:rPr/>
        <w:t>(1963)</w:t>
      </w:r>
      <w:r>
        <w:rPr>
          <w:spacing w:val="3"/>
        </w:rPr>
        <w:t> </w:t>
      </w:r>
      <w:r>
        <w:rPr/>
        <w:t>2</w:t>
      </w:r>
      <w:r>
        <w:rPr>
          <w:spacing w:val="2"/>
        </w:rPr>
        <w:t> </w:t>
      </w:r>
      <w:r>
        <w:rPr/>
        <w:t>QB </w:t>
      </w:r>
      <w:r>
        <w:rPr>
          <w:spacing w:val="-5"/>
        </w:rPr>
        <w:t>606</w:t>
      </w:r>
      <w:r>
        <w:rPr/>
        <w:tab/>
        <w:t>153,</w:t>
      </w:r>
      <w:r>
        <w:rPr>
          <w:spacing w:val="-3"/>
        </w:rPr>
        <w:t> </w:t>
      </w:r>
      <w:r>
        <w:rPr/>
        <w:t>156,</w:t>
      </w:r>
      <w:r>
        <w:rPr>
          <w:spacing w:val="-1"/>
        </w:rPr>
        <w:t> </w:t>
      </w:r>
      <w:r>
        <w:rPr>
          <w:spacing w:val="-5"/>
        </w:rPr>
        <w:t>197</w:t>
      </w:r>
    </w:p>
    <w:p>
      <w:pPr>
        <w:pStyle w:val="BodyText"/>
        <w:spacing w:line="269" w:lineRule="exact"/>
      </w:pPr>
      <w:r>
        <w:rPr/>
        <w:t>Brady</w:t>
      </w:r>
      <w:r>
        <w:rPr>
          <w:spacing w:val="-8"/>
        </w:rPr>
        <w:t> </w:t>
      </w:r>
      <w:r>
        <w:rPr/>
        <w:t>vs.</w:t>
      </w:r>
      <w:r>
        <w:rPr>
          <w:spacing w:val="2"/>
        </w:rPr>
        <w:t> </w:t>
      </w:r>
      <w:r>
        <w:rPr>
          <w:spacing w:val="-4"/>
        </w:rPr>
        <w:t>Brady</w:t>
      </w:r>
    </w:p>
    <w:p>
      <w:pPr>
        <w:pStyle w:val="BodyText"/>
        <w:tabs>
          <w:tab w:pos="7702" w:val="left" w:leader="dot"/>
        </w:tabs>
        <w:spacing w:before="41"/>
        <w:ind w:left="1028"/>
      </w:pPr>
      <w:r>
        <w:rPr/>
        <w:t>(1988)</w:t>
      </w:r>
      <w:r>
        <w:rPr>
          <w:spacing w:val="-1"/>
        </w:rPr>
        <w:t> </w:t>
      </w:r>
      <w:r>
        <w:rPr/>
        <w:t>B.C.L.C.</w:t>
      </w:r>
      <w:r>
        <w:rPr>
          <w:spacing w:val="1"/>
        </w:rPr>
        <w:t> </w:t>
      </w:r>
      <w:r>
        <w:rPr>
          <w:spacing w:val="-5"/>
        </w:rPr>
        <w:t>20</w:t>
      </w:r>
      <w:r>
        <w:rPr/>
        <w:tab/>
        <w:t>75,</w:t>
      </w:r>
      <w:r>
        <w:rPr>
          <w:spacing w:val="-3"/>
        </w:rPr>
        <w:t> </w:t>
      </w:r>
      <w:r>
        <w:rPr/>
        <w:t>90,</w:t>
      </w:r>
      <w:r>
        <w:rPr>
          <w:spacing w:val="-1"/>
        </w:rPr>
        <w:t> </w:t>
      </w:r>
      <w:r>
        <w:rPr>
          <w:spacing w:val="-5"/>
        </w:rPr>
        <w:t>218</w:t>
      </w:r>
    </w:p>
    <w:p>
      <w:pPr>
        <w:pStyle w:val="BodyText"/>
        <w:spacing w:before="41"/>
      </w:pPr>
      <w:r>
        <w:rPr/>
        <w:t>Bray</w:t>
      </w:r>
      <w:r>
        <w:rPr>
          <w:spacing w:val="-6"/>
        </w:rPr>
        <w:t> </w:t>
      </w:r>
      <w:r>
        <w:rPr/>
        <w:t>vs.</w:t>
      </w:r>
      <w:r>
        <w:rPr>
          <w:spacing w:val="2"/>
        </w:rPr>
        <w:t> </w:t>
      </w:r>
      <w:r>
        <w:rPr>
          <w:spacing w:val="-4"/>
        </w:rPr>
        <w:t>Ford</w:t>
      </w:r>
    </w:p>
    <w:p>
      <w:pPr>
        <w:pStyle w:val="BodyText"/>
        <w:tabs>
          <w:tab w:pos="7486" w:val="left" w:leader="dot"/>
        </w:tabs>
        <w:spacing w:before="41"/>
        <w:ind w:left="1028"/>
      </w:pPr>
      <w:r>
        <w:rPr/>
        <w:t>(1896)</w:t>
      </w:r>
      <w:r>
        <w:rPr>
          <w:spacing w:val="-1"/>
        </w:rPr>
        <w:t> </w:t>
      </w:r>
      <w:r>
        <w:rPr/>
        <w:t>A.C.</w:t>
      </w:r>
      <w:r>
        <w:rPr>
          <w:spacing w:val="1"/>
        </w:rPr>
        <w:t> </w:t>
      </w:r>
      <w:r>
        <w:rPr/>
        <w:t>44,</w:t>
      </w:r>
      <w:r>
        <w:rPr>
          <w:spacing w:val="1"/>
        </w:rPr>
        <w:t> </w:t>
      </w:r>
      <w:r>
        <w:rPr>
          <w:spacing w:val="-5"/>
        </w:rPr>
        <w:t>HL</w:t>
      </w:r>
      <w:r>
        <w:rPr/>
        <w:tab/>
        <w:t>166,</w:t>
      </w:r>
      <w:r>
        <w:rPr>
          <w:spacing w:val="-3"/>
        </w:rPr>
        <w:t> </w:t>
      </w:r>
      <w:r>
        <w:rPr/>
        <w:t>167,</w:t>
      </w:r>
      <w:r>
        <w:rPr>
          <w:spacing w:val="-1"/>
        </w:rPr>
        <w:t> </w:t>
      </w:r>
      <w:r>
        <w:rPr>
          <w:spacing w:val="-5"/>
        </w:rPr>
        <w:t>170</w:t>
      </w:r>
    </w:p>
    <w:p>
      <w:pPr>
        <w:pStyle w:val="BodyText"/>
        <w:spacing w:before="40"/>
      </w:pPr>
      <w:r>
        <w:rPr/>
        <w:t>Briess</w:t>
      </w:r>
      <w:r>
        <w:rPr>
          <w:spacing w:val="-5"/>
        </w:rPr>
        <w:t> </w:t>
      </w:r>
      <w:r>
        <w:rPr/>
        <w:t>vs. </w:t>
      </w:r>
      <w:r>
        <w:rPr>
          <w:spacing w:val="-2"/>
        </w:rPr>
        <w:t>Woolley</w:t>
      </w:r>
    </w:p>
    <w:p>
      <w:pPr>
        <w:pStyle w:val="BodyText"/>
        <w:tabs>
          <w:tab w:pos="8047" w:val="left" w:leader="dot"/>
        </w:tabs>
        <w:spacing w:before="41"/>
        <w:ind w:left="1028"/>
      </w:pPr>
      <w:r>
        <w:rPr/>
        <w:t>(1954)</w:t>
      </w:r>
      <w:r>
        <w:rPr>
          <w:spacing w:val="2"/>
        </w:rPr>
        <w:t> </w:t>
      </w:r>
      <w:r>
        <w:rPr/>
        <w:t>1</w:t>
      </w:r>
      <w:r>
        <w:rPr>
          <w:spacing w:val="-4"/>
        </w:rPr>
        <w:t> </w:t>
      </w:r>
      <w:r>
        <w:rPr/>
        <w:t>All</w:t>
      </w:r>
      <w:r>
        <w:rPr>
          <w:spacing w:val="-4"/>
        </w:rPr>
        <w:t> </w:t>
      </w:r>
      <w:r>
        <w:rPr/>
        <w:t>ER </w:t>
      </w:r>
      <w:r>
        <w:rPr>
          <w:spacing w:val="-4"/>
        </w:rPr>
        <w:t>909.</w:t>
      </w:r>
      <w:r>
        <w:rPr/>
        <w:tab/>
        <w:t>71,</w:t>
      </w:r>
      <w:r>
        <w:rPr>
          <w:spacing w:val="-3"/>
        </w:rPr>
        <w:t> </w:t>
      </w:r>
      <w:r>
        <w:rPr>
          <w:spacing w:val="-5"/>
        </w:rPr>
        <w:t>127</w:t>
      </w:r>
    </w:p>
    <w:p>
      <w:pPr>
        <w:pStyle w:val="BodyText"/>
        <w:spacing w:before="42"/>
      </w:pPr>
      <w:r>
        <w:rPr/>
        <w:t>Bristol</w:t>
      </w:r>
      <w:r>
        <w:rPr>
          <w:spacing w:val="-11"/>
        </w:rPr>
        <w:t> </w:t>
      </w:r>
      <w:r>
        <w:rPr/>
        <w:t>and</w:t>
      </w:r>
      <w:r>
        <w:rPr>
          <w:spacing w:val="-1"/>
        </w:rPr>
        <w:t> </w:t>
      </w:r>
      <w:r>
        <w:rPr/>
        <w:t>West</w:t>
      </w:r>
      <w:r>
        <w:rPr>
          <w:spacing w:val="5"/>
        </w:rPr>
        <w:t> </w:t>
      </w:r>
      <w:r>
        <w:rPr/>
        <w:t>Building Society</w:t>
      </w:r>
      <w:r>
        <w:rPr>
          <w:spacing w:val="-10"/>
        </w:rPr>
        <w:t> </w:t>
      </w:r>
      <w:r>
        <w:rPr/>
        <w:t>vs.</w:t>
      </w:r>
      <w:r>
        <w:rPr>
          <w:spacing w:val="2"/>
        </w:rPr>
        <w:t> </w:t>
      </w:r>
      <w:r>
        <w:rPr>
          <w:spacing w:val="-2"/>
        </w:rPr>
        <w:t>Mothew</w:t>
      </w:r>
    </w:p>
    <w:p>
      <w:pPr>
        <w:pStyle w:val="BodyText"/>
        <w:tabs>
          <w:tab w:pos="7112" w:val="left" w:leader="dot"/>
        </w:tabs>
        <w:spacing w:before="45"/>
        <w:ind w:left="1028"/>
      </w:pPr>
      <w:r>
        <w:rPr/>
        <w:t>(1998) Ch.</w:t>
      </w:r>
      <w:r>
        <w:rPr>
          <w:spacing w:val="1"/>
        </w:rPr>
        <w:t> </w:t>
      </w:r>
      <w:r>
        <w:rPr>
          <w:spacing w:val="-7"/>
        </w:rPr>
        <w:t>1.</w:t>
      </w:r>
      <w:r>
        <w:rPr/>
        <w:tab/>
        <w:t>66,</w:t>
      </w:r>
      <w:r>
        <w:rPr>
          <w:spacing w:val="-3"/>
        </w:rPr>
        <w:t> </w:t>
      </w:r>
      <w:r>
        <w:rPr/>
        <w:t>117,</w:t>
      </w:r>
      <w:r>
        <w:rPr>
          <w:spacing w:val="-1"/>
        </w:rPr>
        <w:t> </w:t>
      </w:r>
      <w:r>
        <w:rPr/>
        <w:t>172,</w:t>
      </w:r>
      <w:r>
        <w:rPr>
          <w:spacing w:val="-1"/>
        </w:rPr>
        <w:t> </w:t>
      </w:r>
      <w:r>
        <w:rPr>
          <w:spacing w:val="-5"/>
        </w:rPr>
        <w:t>173</w:t>
      </w:r>
    </w:p>
    <w:p>
      <w:pPr>
        <w:pStyle w:val="BodyText"/>
        <w:spacing w:before="41"/>
      </w:pPr>
      <w:r>
        <w:rPr/>
        <w:t>British</w:t>
      </w:r>
      <w:r>
        <w:rPr>
          <w:spacing w:val="-6"/>
        </w:rPr>
        <w:t> </w:t>
      </w:r>
      <w:r>
        <w:rPr/>
        <w:t>Syphon</w:t>
      </w:r>
      <w:r>
        <w:rPr>
          <w:spacing w:val="-5"/>
        </w:rPr>
        <w:t> </w:t>
      </w:r>
      <w:r>
        <w:rPr/>
        <w:t>Co.</w:t>
      </w:r>
      <w:r>
        <w:rPr>
          <w:spacing w:val="2"/>
        </w:rPr>
        <w:t> </w:t>
      </w:r>
      <w:r>
        <w:rPr/>
        <w:t>Ltd.</w:t>
      </w:r>
      <w:r>
        <w:rPr>
          <w:spacing w:val="1"/>
        </w:rPr>
        <w:t> </w:t>
      </w:r>
      <w:r>
        <w:rPr/>
        <w:t>vs.</w:t>
      </w:r>
      <w:r>
        <w:rPr>
          <w:spacing w:val="2"/>
        </w:rPr>
        <w:t> </w:t>
      </w:r>
      <w:r>
        <w:rPr>
          <w:spacing w:val="-2"/>
        </w:rPr>
        <w:t>Homewood</w:t>
      </w:r>
    </w:p>
    <w:p>
      <w:pPr>
        <w:pStyle w:val="BodyText"/>
        <w:tabs>
          <w:tab w:pos="8446" w:val="left" w:leader="dot"/>
        </w:tabs>
        <w:spacing w:before="41"/>
        <w:ind w:left="1028"/>
      </w:pPr>
      <w:r>
        <w:rPr/>
        <w:t>(1956)</w:t>
      </w:r>
      <w:r>
        <w:rPr>
          <w:spacing w:val="-2"/>
        </w:rPr>
        <w:t> </w:t>
      </w:r>
      <w:r>
        <w:rPr/>
        <w:t>1</w:t>
      </w:r>
      <w:r>
        <w:rPr>
          <w:spacing w:val="-6"/>
        </w:rPr>
        <w:t> </w:t>
      </w:r>
      <w:r>
        <w:rPr/>
        <w:t>WLR</w:t>
      </w:r>
      <w:r>
        <w:rPr>
          <w:spacing w:val="-2"/>
        </w:rPr>
        <w:t> 1190.</w:t>
      </w:r>
      <w:r>
        <w:rPr/>
        <w:tab/>
      </w:r>
      <w:r>
        <w:rPr>
          <w:spacing w:val="-5"/>
        </w:rPr>
        <w:t>174</w:t>
      </w:r>
    </w:p>
    <w:p>
      <w:pPr>
        <w:pStyle w:val="BodyText"/>
        <w:spacing w:before="41"/>
      </w:pPr>
      <w:r>
        <w:rPr/>
        <w:t>Cabra</w:t>
      </w:r>
      <w:r>
        <w:rPr>
          <w:spacing w:val="-3"/>
        </w:rPr>
        <w:t> </w:t>
      </w:r>
      <w:r>
        <w:rPr/>
        <w:t>Estates</w:t>
      </w:r>
      <w:r>
        <w:rPr>
          <w:spacing w:val="-4"/>
        </w:rPr>
        <w:t> </w:t>
      </w:r>
      <w:r>
        <w:rPr/>
        <w:t>Plc. vs. Fulham</w:t>
      </w:r>
      <w:r>
        <w:rPr>
          <w:spacing w:val="-6"/>
        </w:rPr>
        <w:t> </w:t>
      </w:r>
      <w:r>
        <w:rPr/>
        <w:t>Football</w:t>
      </w:r>
      <w:r>
        <w:rPr>
          <w:spacing w:val="-6"/>
        </w:rPr>
        <w:t> </w:t>
      </w:r>
      <w:r>
        <w:rPr>
          <w:spacing w:val="-4"/>
        </w:rPr>
        <w:t>Club</w:t>
      </w:r>
    </w:p>
    <w:p>
      <w:pPr>
        <w:pStyle w:val="BodyText"/>
        <w:tabs>
          <w:tab w:pos="7976" w:val="left" w:leader="dot"/>
        </w:tabs>
        <w:spacing w:before="41"/>
        <w:ind w:left="1028"/>
      </w:pPr>
      <w:r>
        <w:rPr/>
        <w:t>(1994)</w:t>
      </w:r>
      <w:r>
        <w:rPr>
          <w:spacing w:val="-1"/>
        </w:rPr>
        <w:t> </w:t>
      </w:r>
      <w:r>
        <w:rPr/>
        <w:t>1</w:t>
      </w:r>
      <w:r>
        <w:rPr>
          <w:spacing w:val="-4"/>
        </w:rPr>
        <w:t> </w:t>
      </w:r>
      <w:r>
        <w:rPr/>
        <w:t>BCLC</w:t>
      </w:r>
      <w:r>
        <w:rPr>
          <w:spacing w:val="-2"/>
        </w:rPr>
        <w:t> </w:t>
      </w:r>
      <w:r>
        <w:rPr/>
        <w:t>363,</w:t>
      </w:r>
      <w:r>
        <w:rPr>
          <w:spacing w:val="3"/>
        </w:rPr>
        <w:t> </w:t>
      </w:r>
      <w:r>
        <w:rPr>
          <w:spacing w:val="-5"/>
        </w:rPr>
        <w:t>CA</w:t>
      </w:r>
      <w:r>
        <w:rPr/>
        <w:tab/>
        <w:t>155,</w:t>
      </w:r>
      <w:r>
        <w:rPr>
          <w:spacing w:val="-3"/>
        </w:rPr>
        <w:t> </w:t>
      </w:r>
      <w:r>
        <w:rPr>
          <w:spacing w:val="-5"/>
        </w:rPr>
        <w:t>225</w:t>
      </w:r>
    </w:p>
    <w:p>
      <w:pPr>
        <w:pStyle w:val="BodyText"/>
        <w:spacing w:before="41"/>
      </w:pPr>
      <w:r>
        <w:rPr/>
        <w:t>Canada</w:t>
      </w:r>
      <w:r>
        <w:rPr>
          <w:spacing w:val="-1"/>
        </w:rPr>
        <w:t> </w:t>
      </w:r>
      <w:r>
        <w:rPr/>
        <w:t>Safeway</w:t>
      </w:r>
      <w:r>
        <w:rPr>
          <w:spacing w:val="-5"/>
        </w:rPr>
        <w:t> </w:t>
      </w:r>
      <w:r>
        <w:rPr/>
        <w:t>Ltd.</w:t>
      </w:r>
      <w:r>
        <w:rPr>
          <w:spacing w:val="-3"/>
        </w:rPr>
        <w:t> </w:t>
      </w:r>
      <w:r>
        <w:rPr/>
        <w:t>vs.</w:t>
      </w:r>
      <w:r>
        <w:rPr>
          <w:spacing w:val="3"/>
        </w:rPr>
        <w:t> </w:t>
      </w:r>
      <w:r>
        <w:rPr>
          <w:spacing w:val="-2"/>
        </w:rPr>
        <w:t>Thompson</w:t>
      </w:r>
    </w:p>
    <w:p>
      <w:pPr>
        <w:pStyle w:val="BodyText"/>
        <w:tabs>
          <w:tab w:pos="8456" w:val="left" w:leader="dot"/>
        </w:tabs>
        <w:spacing w:before="41"/>
        <w:ind w:left="1028"/>
      </w:pPr>
      <w:r>
        <w:rPr/>
        <w:t>(1951)</w:t>
      </w:r>
      <w:r>
        <w:rPr>
          <w:spacing w:val="-1"/>
        </w:rPr>
        <w:t> </w:t>
      </w:r>
      <w:r>
        <w:rPr/>
        <w:t>3</w:t>
      </w:r>
      <w:r>
        <w:rPr>
          <w:spacing w:val="-3"/>
        </w:rPr>
        <w:t> </w:t>
      </w:r>
      <w:r>
        <w:rPr/>
        <w:t>DLR</w:t>
      </w:r>
      <w:r>
        <w:rPr>
          <w:spacing w:val="-1"/>
        </w:rPr>
        <w:t> </w:t>
      </w:r>
      <w:r>
        <w:rPr>
          <w:spacing w:val="-4"/>
        </w:rPr>
        <w:t>295.</w:t>
      </w:r>
      <w:r>
        <w:rPr/>
        <w:tab/>
      </w:r>
      <w:r>
        <w:rPr>
          <w:spacing w:val="-5"/>
        </w:rPr>
        <w:t>174</w:t>
      </w:r>
    </w:p>
    <w:p>
      <w:pPr>
        <w:pStyle w:val="BodyText"/>
        <w:spacing w:line="276" w:lineRule="auto" w:before="40"/>
      </w:pPr>
      <w:r>
        <w:rPr/>
        <w:t>Cayne</w:t>
      </w:r>
      <w:r>
        <w:rPr>
          <w:spacing w:val="29"/>
        </w:rPr>
        <w:t> </w:t>
      </w:r>
      <w:r>
        <w:rPr/>
        <w:t>vs. Global Natural Resources Plc. (unreported) Chancery</w:t>
      </w:r>
      <w:r>
        <w:rPr>
          <w:spacing w:val="29"/>
        </w:rPr>
        <w:t> </w:t>
      </w:r>
      <w:r>
        <w:rPr/>
        <w:t>Division of the High</w:t>
      </w:r>
      <w:r>
        <w:rPr>
          <w:spacing w:val="40"/>
        </w:rPr>
        <w:t> </w:t>
      </w:r>
      <w:r>
        <w:rPr/>
        <w:t>Court of Justice, 12</w:t>
      </w:r>
      <w:r>
        <w:rPr>
          <w:vertAlign w:val="superscript"/>
        </w:rPr>
        <w:t>th</w:t>
      </w:r>
      <w:r>
        <w:rPr>
          <w:vertAlign w:val="baseline"/>
        </w:rPr>
        <w:t> August, 1982; Appeal</w:t>
      </w:r>
    </w:p>
    <w:p>
      <w:pPr>
        <w:pStyle w:val="BodyText"/>
        <w:tabs>
          <w:tab w:pos="8048" w:val="left" w:leader="dot"/>
        </w:tabs>
        <w:spacing w:before="4"/>
        <w:ind w:left="1028"/>
      </w:pPr>
      <w:r>
        <w:rPr/>
        <w:t>(1984)</w:t>
      </w:r>
      <w:r>
        <w:rPr>
          <w:spacing w:val="2"/>
        </w:rPr>
        <w:t> </w:t>
      </w:r>
      <w:r>
        <w:rPr/>
        <w:t>1</w:t>
      </w:r>
      <w:r>
        <w:rPr>
          <w:spacing w:val="-4"/>
        </w:rPr>
        <w:t> </w:t>
      </w:r>
      <w:r>
        <w:rPr/>
        <w:t>All</w:t>
      </w:r>
      <w:r>
        <w:rPr>
          <w:spacing w:val="-4"/>
        </w:rPr>
        <w:t> </w:t>
      </w:r>
      <w:r>
        <w:rPr/>
        <w:t>ER </w:t>
      </w:r>
      <w:r>
        <w:rPr>
          <w:spacing w:val="-4"/>
        </w:rPr>
        <w:t>225.</w:t>
      </w:r>
      <w:r>
        <w:rPr/>
        <w:tab/>
        <w:t>98,</w:t>
      </w:r>
      <w:r>
        <w:rPr>
          <w:spacing w:val="-3"/>
        </w:rPr>
        <w:t> </w:t>
      </w:r>
      <w:r>
        <w:rPr>
          <w:spacing w:val="-5"/>
        </w:rPr>
        <w:t>101</w:t>
      </w:r>
    </w:p>
    <w:p>
      <w:pPr>
        <w:pStyle w:val="BodyText"/>
        <w:spacing w:before="42"/>
      </w:pPr>
      <w:r>
        <w:rPr/>
        <w:t>Charterbridge</w:t>
      </w:r>
      <w:r>
        <w:rPr>
          <w:spacing w:val="-4"/>
        </w:rPr>
        <w:t> </w:t>
      </w:r>
      <w:r>
        <w:rPr/>
        <w:t>Corporation</w:t>
      </w:r>
      <w:r>
        <w:rPr>
          <w:spacing w:val="-7"/>
        </w:rPr>
        <w:t> </w:t>
      </w:r>
      <w:r>
        <w:rPr/>
        <w:t>Ltd.</w:t>
      </w:r>
      <w:r>
        <w:rPr>
          <w:spacing w:val="-1"/>
        </w:rPr>
        <w:t> </w:t>
      </w:r>
      <w:r>
        <w:rPr/>
        <w:t>vs. Lloyds</w:t>
      </w:r>
      <w:r>
        <w:rPr>
          <w:spacing w:val="-4"/>
        </w:rPr>
        <w:t> Bank</w:t>
      </w:r>
    </w:p>
    <w:p>
      <w:pPr>
        <w:pStyle w:val="BodyText"/>
        <w:tabs>
          <w:tab w:pos="8552" w:val="left" w:leader="dot"/>
        </w:tabs>
        <w:spacing w:before="40"/>
        <w:ind w:left="1028"/>
      </w:pPr>
      <w:r>
        <w:rPr/>
        <w:t>(1970) Ch</w:t>
      </w:r>
      <w:r>
        <w:rPr>
          <w:spacing w:val="-3"/>
        </w:rPr>
        <w:t> </w:t>
      </w:r>
      <w:r>
        <w:rPr>
          <w:spacing w:val="-5"/>
        </w:rPr>
        <w:t>62.</w:t>
      </w:r>
      <w:r>
        <w:rPr/>
        <w:tab/>
      </w:r>
      <w:r>
        <w:rPr>
          <w:spacing w:val="-5"/>
        </w:rPr>
        <w:t>97</w:t>
      </w:r>
    </w:p>
    <w:p>
      <w:pPr>
        <w:pStyle w:val="BodyText"/>
        <w:spacing w:before="41"/>
      </w:pPr>
      <w:r>
        <w:rPr/>
        <w:t>Christie</w:t>
      </w:r>
      <w:r>
        <w:rPr>
          <w:spacing w:val="1"/>
        </w:rPr>
        <w:t> </w:t>
      </w:r>
      <w:r>
        <w:rPr/>
        <w:t>&amp;</w:t>
      </w:r>
      <w:r>
        <w:rPr>
          <w:spacing w:val="-7"/>
        </w:rPr>
        <w:t> </w:t>
      </w:r>
      <w:r>
        <w:rPr/>
        <w:t>Co. Ltd. vs. </w:t>
      </w:r>
      <w:r>
        <w:rPr>
          <w:spacing w:val="-2"/>
        </w:rPr>
        <w:t>Greer</w:t>
      </w:r>
    </w:p>
    <w:p>
      <w:pPr>
        <w:pStyle w:val="BodyText"/>
        <w:tabs>
          <w:tab w:pos="8403" w:val="left" w:leader="dot"/>
        </w:tabs>
        <w:spacing w:before="41"/>
        <w:ind w:left="1028"/>
      </w:pPr>
      <w:r>
        <w:rPr/>
        <w:t>(1981) 4</w:t>
      </w:r>
      <w:r>
        <w:rPr>
          <w:spacing w:val="-4"/>
        </w:rPr>
        <w:t> </w:t>
      </w:r>
      <w:r>
        <w:rPr/>
        <w:t>WWR</w:t>
      </w:r>
      <w:r>
        <w:rPr>
          <w:spacing w:val="-1"/>
        </w:rPr>
        <w:t> </w:t>
      </w:r>
      <w:r>
        <w:rPr>
          <w:spacing w:val="-5"/>
        </w:rPr>
        <w:t>34.</w:t>
      </w:r>
      <w:r>
        <w:rPr/>
        <w:tab/>
      </w:r>
      <w:r>
        <w:rPr>
          <w:spacing w:val="-5"/>
        </w:rPr>
        <w:t>173</w:t>
      </w:r>
    </w:p>
    <w:p>
      <w:pPr>
        <w:spacing w:after="0"/>
        <w:sectPr>
          <w:pgSz w:w="11910" w:h="16840"/>
          <w:pgMar w:header="0" w:footer="998" w:top="1320" w:bottom="1180" w:left="1680" w:right="1180"/>
        </w:sectPr>
      </w:pPr>
    </w:p>
    <w:p>
      <w:pPr>
        <w:pStyle w:val="BodyText"/>
        <w:spacing w:before="65"/>
      </w:pPr>
      <w:r>
        <w:rPr/>
        <w:t>Clark</w:t>
      </w:r>
      <w:r>
        <w:rPr>
          <w:spacing w:val="-2"/>
        </w:rPr>
        <w:t> </w:t>
      </w:r>
      <w:r>
        <w:rPr/>
        <w:t>vs.</w:t>
      </w:r>
      <w:r>
        <w:rPr>
          <w:spacing w:val="-3"/>
        </w:rPr>
        <w:t> </w:t>
      </w:r>
      <w:r>
        <w:rPr>
          <w:spacing w:val="-2"/>
        </w:rPr>
        <w:t>Workman</w:t>
      </w:r>
    </w:p>
    <w:p>
      <w:pPr>
        <w:pStyle w:val="BodyText"/>
        <w:tabs>
          <w:tab w:pos="8412" w:val="left" w:leader="dot"/>
        </w:tabs>
        <w:spacing w:before="41"/>
        <w:ind w:left="1028"/>
      </w:pPr>
      <w:r>
        <w:rPr/>
        <w:t>(1920) 1</w:t>
      </w:r>
      <w:r>
        <w:rPr>
          <w:spacing w:val="-5"/>
        </w:rPr>
        <w:t> </w:t>
      </w:r>
      <w:r>
        <w:rPr/>
        <w:t>Ir.</w:t>
      </w:r>
      <w:r>
        <w:rPr>
          <w:spacing w:val="2"/>
        </w:rPr>
        <w:t> </w:t>
      </w:r>
      <w:r>
        <w:rPr/>
        <w:t>R.</w:t>
      </w:r>
      <w:r>
        <w:rPr>
          <w:spacing w:val="2"/>
        </w:rPr>
        <w:t> </w:t>
      </w:r>
      <w:r>
        <w:rPr>
          <w:spacing w:val="-5"/>
        </w:rPr>
        <w:t>107</w:t>
      </w:r>
      <w:r>
        <w:rPr/>
        <w:tab/>
      </w:r>
      <w:r>
        <w:rPr>
          <w:spacing w:val="-5"/>
        </w:rPr>
        <w:t>106</w:t>
      </w:r>
    </w:p>
    <w:p>
      <w:pPr>
        <w:pStyle w:val="BodyText"/>
        <w:spacing w:before="40"/>
      </w:pPr>
      <w:r>
        <w:rPr/>
        <w:t>Clemens</w:t>
      </w:r>
      <w:r>
        <w:rPr>
          <w:spacing w:val="-4"/>
        </w:rPr>
        <w:t> </w:t>
      </w:r>
      <w:r>
        <w:rPr/>
        <w:t>vs.</w:t>
      </w:r>
      <w:r>
        <w:rPr>
          <w:spacing w:val="1"/>
        </w:rPr>
        <w:t> </w:t>
      </w:r>
      <w:r>
        <w:rPr/>
        <w:t>Clemens</w:t>
      </w:r>
      <w:r>
        <w:rPr>
          <w:spacing w:val="-3"/>
        </w:rPr>
        <w:t> </w:t>
      </w:r>
      <w:r>
        <w:rPr/>
        <w:t>Bros</w:t>
      </w:r>
      <w:r>
        <w:rPr>
          <w:spacing w:val="-3"/>
        </w:rPr>
        <w:t> </w:t>
      </w:r>
      <w:r>
        <w:rPr>
          <w:spacing w:val="-4"/>
        </w:rPr>
        <w:t>Ltd.</w:t>
      </w:r>
    </w:p>
    <w:p>
      <w:pPr>
        <w:pStyle w:val="BodyText"/>
        <w:tabs>
          <w:tab w:pos="7923" w:val="left" w:leader="dot"/>
        </w:tabs>
        <w:spacing w:before="42"/>
        <w:ind w:left="1028"/>
      </w:pPr>
      <w:r>
        <w:rPr/>
        <w:t>(1976)</w:t>
      </w:r>
      <w:r>
        <w:rPr>
          <w:spacing w:val="2"/>
        </w:rPr>
        <w:t> </w:t>
      </w:r>
      <w:r>
        <w:rPr/>
        <w:t>2</w:t>
      </w:r>
      <w:r>
        <w:rPr>
          <w:spacing w:val="-4"/>
        </w:rPr>
        <w:t> </w:t>
      </w:r>
      <w:r>
        <w:rPr/>
        <w:t>All</w:t>
      </w:r>
      <w:r>
        <w:rPr>
          <w:spacing w:val="-4"/>
        </w:rPr>
        <w:t> </w:t>
      </w:r>
      <w:r>
        <w:rPr/>
        <w:t>ER </w:t>
      </w:r>
      <w:r>
        <w:rPr>
          <w:spacing w:val="-4"/>
        </w:rPr>
        <w:t>268.</w:t>
      </w:r>
      <w:r>
        <w:rPr/>
        <w:tab/>
        <w:t>138,</w:t>
      </w:r>
      <w:r>
        <w:rPr>
          <w:spacing w:val="2"/>
        </w:rPr>
        <w:t> </w:t>
      </w:r>
      <w:r>
        <w:rPr>
          <w:spacing w:val="-5"/>
        </w:rPr>
        <w:t>179</w:t>
      </w:r>
    </w:p>
    <w:p>
      <w:pPr>
        <w:pStyle w:val="BodyText"/>
        <w:spacing w:before="41"/>
      </w:pPr>
      <w:r>
        <w:rPr/>
        <w:t>CMS</w:t>
      </w:r>
      <w:r>
        <w:rPr>
          <w:spacing w:val="-2"/>
        </w:rPr>
        <w:t> </w:t>
      </w:r>
      <w:r>
        <w:rPr/>
        <w:t>Dolphin</w:t>
      </w:r>
      <w:r>
        <w:rPr>
          <w:spacing w:val="-2"/>
        </w:rPr>
        <w:t> </w:t>
      </w:r>
      <w:r>
        <w:rPr/>
        <w:t>Ltd. vs. </w:t>
      </w:r>
      <w:r>
        <w:rPr>
          <w:spacing w:val="-2"/>
        </w:rPr>
        <w:t>Simonet</w:t>
      </w:r>
    </w:p>
    <w:p>
      <w:pPr>
        <w:pStyle w:val="BodyText"/>
        <w:tabs>
          <w:tab w:pos="7937" w:val="left" w:leader="dot"/>
        </w:tabs>
        <w:spacing w:before="45"/>
        <w:ind w:left="1028"/>
      </w:pPr>
      <w:r>
        <w:rPr/>
        <w:t>(2001)</w:t>
      </w:r>
      <w:r>
        <w:rPr>
          <w:spacing w:val="-2"/>
        </w:rPr>
        <w:t> </w:t>
      </w:r>
      <w:r>
        <w:rPr/>
        <w:t>2</w:t>
      </w:r>
      <w:r>
        <w:rPr>
          <w:spacing w:val="-4"/>
        </w:rPr>
        <w:t> </w:t>
      </w:r>
      <w:r>
        <w:rPr/>
        <w:t>BCLC</w:t>
      </w:r>
      <w:r>
        <w:rPr>
          <w:spacing w:val="-2"/>
        </w:rPr>
        <w:t> </w:t>
      </w:r>
      <w:r>
        <w:rPr>
          <w:spacing w:val="-5"/>
        </w:rPr>
        <w:t>704</w:t>
      </w:r>
      <w:r>
        <w:rPr/>
        <w:tab/>
        <w:t>167, </w:t>
      </w:r>
      <w:r>
        <w:rPr>
          <w:spacing w:val="-5"/>
        </w:rPr>
        <w:t>173</w:t>
      </w:r>
    </w:p>
    <w:p>
      <w:pPr>
        <w:pStyle w:val="BodyText"/>
        <w:spacing w:before="41"/>
      </w:pPr>
      <w:r>
        <w:rPr/>
        <w:t>Cobden</w:t>
      </w:r>
      <w:r>
        <w:rPr>
          <w:spacing w:val="-6"/>
        </w:rPr>
        <w:t> </w:t>
      </w:r>
      <w:r>
        <w:rPr/>
        <w:t>Investments</w:t>
      </w:r>
      <w:r>
        <w:rPr>
          <w:spacing w:val="-2"/>
        </w:rPr>
        <w:t> </w:t>
      </w:r>
      <w:r>
        <w:rPr/>
        <w:t>Ltd.</w:t>
      </w:r>
      <w:r>
        <w:rPr>
          <w:spacing w:val="1"/>
        </w:rPr>
        <w:t> </w:t>
      </w:r>
      <w:r>
        <w:rPr/>
        <w:t>vs.</w:t>
      </w:r>
      <w:r>
        <w:rPr>
          <w:spacing w:val="1"/>
        </w:rPr>
        <w:t> </w:t>
      </w:r>
      <w:r>
        <w:rPr/>
        <w:t>RWM</w:t>
      </w:r>
      <w:r>
        <w:rPr>
          <w:spacing w:val="-2"/>
        </w:rPr>
        <w:t> </w:t>
      </w:r>
      <w:r>
        <w:rPr/>
        <w:t>Rangport </w:t>
      </w:r>
      <w:r>
        <w:rPr>
          <w:spacing w:val="-4"/>
        </w:rPr>
        <w:t>Ltd.</w:t>
      </w:r>
    </w:p>
    <w:p>
      <w:pPr>
        <w:pStyle w:val="BodyText"/>
        <w:tabs>
          <w:tab w:pos="7374" w:val="left" w:leader="dot"/>
        </w:tabs>
        <w:spacing w:before="41"/>
        <w:ind w:left="1028"/>
      </w:pPr>
      <w:r>
        <w:rPr/>
        <w:t>(2008)</w:t>
      </w:r>
      <w:r>
        <w:rPr>
          <w:spacing w:val="-5"/>
        </w:rPr>
        <w:t> </w:t>
      </w:r>
      <w:r>
        <w:rPr/>
        <w:t>EWHC</w:t>
      </w:r>
      <w:r>
        <w:rPr>
          <w:spacing w:val="-1"/>
        </w:rPr>
        <w:t> </w:t>
      </w:r>
      <w:r>
        <w:rPr/>
        <w:t>2810,</w:t>
      </w:r>
      <w:r>
        <w:rPr>
          <w:spacing w:val="3"/>
        </w:rPr>
        <w:t> </w:t>
      </w:r>
      <w:r>
        <w:rPr>
          <w:spacing w:val="-4"/>
        </w:rPr>
        <w:t>(Ch)</w:t>
      </w:r>
      <w:r>
        <w:rPr/>
        <w:tab/>
        <w:t>137,</w:t>
      </w:r>
      <w:r>
        <w:rPr>
          <w:spacing w:val="-1"/>
        </w:rPr>
        <w:t> </w:t>
      </w:r>
      <w:r>
        <w:rPr/>
        <w:t>139,</w:t>
      </w:r>
      <w:r>
        <w:rPr>
          <w:spacing w:val="2"/>
        </w:rPr>
        <w:t> </w:t>
      </w:r>
      <w:r>
        <w:rPr>
          <w:spacing w:val="-5"/>
        </w:rPr>
        <w:t>215</w:t>
      </w:r>
    </w:p>
    <w:p>
      <w:pPr>
        <w:pStyle w:val="BodyText"/>
        <w:spacing w:before="41"/>
      </w:pPr>
      <w:r>
        <w:rPr/>
        <w:t>Coleman</w:t>
      </w:r>
      <w:r>
        <w:rPr>
          <w:spacing w:val="-6"/>
        </w:rPr>
        <w:t> </w:t>
      </w:r>
      <w:r>
        <w:rPr/>
        <w:t>Taymar Ltd</w:t>
      </w:r>
      <w:r>
        <w:rPr>
          <w:spacing w:val="-1"/>
        </w:rPr>
        <w:t> </w:t>
      </w:r>
      <w:r>
        <w:rPr/>
        <w:t>vs.</w:t>
      </w:r>
      <w:r>
        <w:rPr>
          <w:spacing w:val="2"/>
        </w:rPr>
        <w:t> </w:t>
      </w:r>
      <w:r>
        <w:rPr>
          <w:spacing w:val="-2"/>
        </w:rPr>
        <w:t>Oakes</w:t>
      </w:r>
    </w:p>
    <w:p>
      <w:pPr>
        <w:pStyle w:val="BodyText"/>
        <w:tabs>
          <w:tab w:pos="8422" w:val="left" w:leader="dot"/>
        </w:tabs>
        <w:spacing w:before="41"/>
        <w:ind w:left="1028"/>
      </w:pPr>
      <w:r>
        <w:rPr/>
        <w:t>(2001)</w:t>
      </w:r>
      <w:r>
        <w:rPr>
          <w:spacing w:val="-2"/>
        </w:rPr>
        <w:t> </w:t>
      </w:r>
      <w:r>
        <w:rPr/>
        <w:t>2</w:t>
      </w:r>
      <w:r>
        <w:rPr>
          <w:spacing w:val="-4"/>
        </w:rPr>
        <w:t> </w:t>
      </w:r>
      <w:r>
        <w:rPr/>
        <w:t>BCLC</w:t>
      </w:r>
      <w:r>
        <w:rPr>
          <w:spacing w:val="-2"/>
        </w:rPr>
        <w:t> </w:t>
      </w:r>
      <w:r>
        <w:rPr>
          <w:spacing w:val="-4"/>
        </w:rPr>
        <w:t>749.</w:t>
      </w:r>
      <w:r>
        <w:rPr/>
        <w:tab/>
      </w:r>
      <w:r>
        <w:rPr>
          <w:spacing w:val="-5"/>
        </w:rPr>
        <w:t>185</w:t>
      </w:r>
    </w:p>
    <w:p>
      <w:pPr>
        <w:pStyle w:val="BodyText"/>
        <w:spacing w:before="41"/>
      </w:pPr>
      <w:r>
        <w:rPr/>
        <w:t>Coleman</w:t>
      </w:r>
      <w:r>
        <w:rPr>
          <w:spacing w:val="-7"/>
        </w:rPr>
        <w:t> </w:t>
      </w:r>
      <w:r>
        <w:rPr/>
        <w:t>vs.</w:t>
      </w:r>
      <w:r>
        <w:rPr>
          <w:spacing w:val="-3"/>
        </w:rPr>
        <w:t> </w:t>
      </w:r>
      <w:r>
        <w:rPr>
          <w:spacing w:val="-4"/>
        </w:rPr>
        <w:t>Myers</w:t>
      </w:r>
    </w:p>
    <w:p>
      <w:pPr>
        <w:pStyle w:val="BodyText"/>
        <w:tabs>
          <w:tab w:pos="8052" w:val="left" w:leader="dot"/>
        </w:tabs>
        <w:spacing w:before="41"/>
        <w:ind w:left="1028"/>
      </w:pPr>
      <w:r>
        <w:rPr/>
        <w:t>(1977)</w:t>
      </w:r>
      <w:r>
        <w:rPr>
          <w:spacing w:val="3"/>
        </w:rPr>
        <w:t> </w:t>
      </w:r>
      <w:r>
        <w:rPr/>
        <w:t>2</w:t>
      </w:r>
      <w:r>
        <w:rPr>
          <w:spacing w:val="-3"/>
        </w:rPr>
        <w:t> </w:t>
      </w:r>
      <w:r>
        <w:rPr/>
        <w:t>N.Z.L.R.</w:t>
      </w:r>
      <w:r>
        <w:rPr>
          <w:spacing w:val="-1"/>
        </w:rPr>
        <w:t> </w:t>
      </w:r>
      <w:r>
        <w:rPr/>
        <w:t>225,</w:t>
      </w:r>
      <w:r>
        <w:rPr>
          <w:spacing w:val="-1"/>
        </w:rPr>
        <w:t> </w:t>
      </w:r>
      <w:r>
        <w:rPr>
          <w:spacing w:val="-4"/>
        </w:rPr>
        <w:t>NZCA</w:t>
      </w:r>
      <w:r>
        <w:rPr/>
        <w:tab/>
        <w:t>71,</w:t>
      </w:r>
      <w:r>
        <w:rPr>
          <w:spacing w:val="-3"/>
        </w:rPr>
        <w:t> </w:t>
      </w:r>
      <w:r>
        <w:rPr>
          <w:spacing w:val="-5"/>
        </w:rPr>
        <w:t>128</w:t>
      </w:r>
    </w:p>
    <w:p>
      <w:pPr>
        <w:pStyle w:val="BodyText"/>
        <w:spacing w:before="41"/>
      </w:pPr>
      <w:r>
        <w:rPr/>
        <w:t>Cook</w:t>
      </w:r>
      <w:r>
        <w:rPr>
          <w:spacing w:val="-1"/>
        </w:rPr>
        <w:t> </w:t>
      </w:r>
      <w:r>
        <w:rPr/>
        <w:t>vs.</w:t>
      </w:r>
      <w:r>
        <w:rPr>
          <w:spacing w:val="1"/>
        </w:rPr>
        <w:t> </w:t>
      </w:r>
      <w:r>
        <w:rPr>
          <w:spacing w:val="-2"/>
        </w:rPr>
        <w:t>Deeks</w:t>
      </w:r>
    </w:p>
    <w:p>
      <w:pPr>
        <w:pStyle w:val="BodyText"/>
        <w:tabs>
          <w:tab w:pos="7946" w:val="left" w:leader="dot"/>
        </w:tabs>
        <w:spacing w:before="45"/>
        <w:ind w:left="1028"/>
      </w:pPr>
      <w:r>
        <w:rPr/>
        <w:t>(1916)</w:t>
      </w:r>
      <w:r>
        <w:rPr>
          <w:spacing w:val="1"/>
        </w:rPr>
        <w:t> </w:t>
      </w:r>
      <w:r>
        <w:rPr/>
        <w:t>1A.C.</w:t>
      </w:r>
      <w:r>
        <w:rPr>
          <w:spacing w:val="3"/>
        </w:rPr>
        <w:t> </w:t>
      </w:r>
      <w:r>
        <w:rPr/>
        <w:t>554</w:t>
      </w:r>
      <w:r>
        <w:rPr>
          <w:spacing w:val="-4"/>
        </w:rPr>
        <w:t> </w:t>
      </w:r>
      <w:r>
        <w:rPr/>
        <w:t>PC</w:t>
      </w:r>
      <w:r>
        <w:rPr>
          <w:spacing w:val="-6"/>
        </w:rPr>
        <w:t> </w:t>
      </w:r>
      <w:r>
        <w:rPr>
          <w:spacing w:val="-2"/>
        </w:rPr>
        <w:t>(Can.)</w:t>
      </w:r>
      <w:r>
        <w:rPr/>
        <w:tab/>
        <w:t>174,</w:t>
      </w:r>
      <w:r>
        <w:rPr>
          <w:spacing w:val="-3"/>
        </w:rPr>
        <w:t> </w:t>
      </w:r>
      <w:r>
        <w:rPr>
          <w:spacing w:val="-5"/>
        </w:rPr>
        <w:t>178</w:t>
      </w:r>
    </w:p>
    <w:p>
      <w:pPr>
        <w:pStyle w:val="BodyText"/>
        <w:spacing w:before="42"/>
      </w:pPr>
      <w:r>
        <w:rPr/>
        <w:t>Costa</w:t>
      </w:r>
      <w:r>
        <w:rPr>
          <w:spacing w:val="-6"/>
        </w:rPr>
        <w:t> </w:t>
      </w:r>
      <w:r>
        <w:rPr/>
        <w:t>Rica Ry</w:t>
      </w:r>
      <w:r>
        <w:rPr>
          <w:spacing w:val="-4"/>
        </w:rPr>
        <w:t> </w:t>
      </w:r>
      <w:r>
        <w:rPr/>
        <w:t>Co.</w:t>
      </w:r>
      <w:r>
        <w:rPr>
          <w:spacing w:val="3"/>
        </w:rPr>
        <w:t> </w:t>
      </w:r>
      <w:r>
        <w:rPr/>
        <w:t>vs.</w:t>
      </w:r>
      <w:r>
        <w:rPr>
          <w:spacing w:val="3"/>
        </w:rPr>
        <w:t> </w:t>
      </w:r>
      <w:r>
        <w:rPr>
          <w:spacing w:val="-2"/>
        </w:rPr>
        <w:t>Forwood</w:t>
      </w:r>
    </w:p>
    <w:p>
      <w:pPr>
        <w:pStyle w:val="BodyText"/>
        <w:tabs>
          <w:tab w:pos="8431" w:val="left" w:leader="dot"/>
        </w:tabs>
        <w:spacing w:before="40"/>
        <w:ind w:left="1028"/>
      </w:pPr>
      <w:r>
        <w:rPr/>
        <w:t>(1901)</w:t>
      </w:r>
      <w:r>
        <w:rPr>
          <w:spacing w:val="2"/>
        </w:rPr>
        <w:t> </w:t>
      </w:r>
      <w:r>
        <w:rPr/>
        <w:t>1</w:t>
      </w:r>
      <w:r>
        <w:rPr>
          <w:spacing w:val="-3"/>
        </w:rPr>
        <w:t> </w:t>
      </w:r>
      <w:r>
        <w:rPr/>
        <w:t>Ch</w:t>
      </w:r>
      <w:r>
        <w:rPr>
          <w:spacing w:val="-3"/>
        </w:rPr>
        <w:t> </w:t>
      </w:r>
      <w:r>
        <w:rPr>
          <w:spacing w:val="-4"/>
        </w:rPr>
        <w:t>746.</w:t>
      </w:r>
      <w:r>
        <w:rPr/>
        <w:tab/>
      </w:r>
      <w:r>
        <w:rPr>
          <w:spacing w:val="-5"/>
        </w:rPr>
        <w:t>169</w:t>
      </w:r>
    </w:p>
    <w:p>
      <w:pPr>
        <w:pStyle w:val="BodyText"/>
        <w:spacing w:before="41"/>
      </w:pPr>
      <w:r>
        <w:rPr/>
        <w:t>Cowan</w:t>
      </w:r>
      <w:r>
        <w:rPr>
          <w:spacing w:val="-8"/>
        </w:rPr>
        <w:t> </w:t>
      </w:r>
      <w:r>
        <w:rPr/>
        <w:t>de</w:t>
      </w:r>
      <w:r>
        <w:rPr>
          <w:spacing w:val="-2"/>
        </w:rPr>
        <w:t> </w:t>
      </w:r>
      <w:r>
        <w:rPr/>
        <w:t>Groot</w:t>
      </w:r>
      <w:r>
        <w:rPr>
          <w:spacing w:val="-1"/>
        </w:rPr>
        <w:t> </w:t>
      </w:r>
      <w:r>
        <w:rPr/>
        <w:t>Properties</w:t>
      </w:r>
      <w:r>
        <w:rPr>
          <w:spacing w:val="-3"/>
        </w:rPr>
        <w:t> </w:t>
      </w:r>
      <w:r>
        <w:rPr/>
        <w:t>Ltd.</w:t>
      </w:r>
      <w:r>
        <w:rPr>
          <w:spacing w:val="1"/>
        </w:rPr>
        <w:t> </w:t>
      </w:r>
      <w:r>
        <w:rPr/>
        <w:t>vs.</w:t>
      </w:r>
      <w:r>
        <w:rPr>
          <w:spacing w:val="1"/>
        </w:rPr>
        <w:t> </w:t>
      </w:r>
      <w:r>
        <w:rPr/>
        <w:t>Eagle</w:t>
      </w:r>
      <w:r>
        <w:rPr>
          <w:spacing w:val="-2"/>
        </w:rPr>
        <w:t> </w:t>
      </w:r>
      <w:r>
        <w:rPr/>
        <w:t>Trust</w:t>
      </w:r>
      <w:r>
        <w:rPr>
          <w:spacing w:val="-1"/>
        </w:rPr>
        <w:t> </w:t>
      </w:r>
      <w:r>
        <w:rPr>
          <w:spacing w:val="-5"/>
        </w:rPr>
        <w:t>Plc</w:t>
      </w:r>
    </w:p>
    <w:p>
      <w:pPr>
        <w:pStyle w:val="BodyText"/>
        <w:tabs>
          <w:tab w:pos="7942" w:val="left" w:leader="dot"/>
        </w:tabs>
        <w:spacing w:before="41"/>
        <w:ind w:left="1028"/>
      </w:pPr>
      <w:r>
        <w:rPr/>
        <w:t>(1991)</w:t>
      </w:r>
      <w:r>
        <w:rPr>
          <w:spacing w:val="-3"/>
        </w:rPr>
        <w:t> </w:t>
      </w:r>
      <w:r>
        <w:rPr/>
        <w:t>BCLC</w:t>
      </w:r>
      <w:r>
        <w:rPr>
          <w:spacing w:val="-2"/>
        </w:rPr>
        <w:t> </w:t>
      </w:r>
      <w:r>
        <w:rPr>
          <w:spacing w:val="-4"/>
        </w:rPr>
        <w:t>1045</w:t>
      </w:r>
      <w:r>
        <w:rPr/>
        <w:tab/>
        <w:t>199,</w:t>
      </w:r>
      <w:r>
        <w:rPr>
          <w:spacing w:val="-3"/>
        </w:rPr>
        <w:t> </w:t>
      </w:r>
      <w:r>
        <w:rPr>
          <w:spacing w:val="-5"/>
        </w:rPr>
        <w:t>245</w:t>
      </w:r>
    </w:p>
    <w:p>
      <w:pPr>
        <w:pStyle w:val="BodyText"/>
        <w:spacing w:before="41"/>
      </w:pPr>
      <w:r>
        <w:rPr/>
        <w:t>Cox</w:t>
      </w:r>
      <w:r>
        <w:rPr>
          <w:spacing w:val="-5"/>
        </w:rPr>
        <w:t> </w:t>
      </w:r>
      <w:r>
        <w:rPr/>
        <w:t>vs.</w:t>
      </w:r>
      <w:r>
        <w:rPr>
          <w:spacing w:val="3"/>
        </w:rPr>
        <w:t> </w:t>
      </w:r>
      <w:r>
        <w:rPr/>
        <w:t>Dublin City</w:t>
      </w:r>
      <w:r>
        <w:rPr>
          <w:spacing w:val="-9"/>
        </w:rPr>
        <w:t> </w:t>
      </w:r>
      <w:r>
        <w:rPr/>
        <w:t>Distillery</w:t>
      </w:r>
      <w:r>
        <w:rPr>
          <w:spacing w:val="-4"/>
        </w:rPr>
        <w:t> </w:t>
      </w:r>
      <w:r>
        <w:rPr/>
        <w:t>(No</w:t>
      </w:r>
      <w:r>
        <w:rPr>
          <w:spacing w:val="5"/>
        </w:rPr>
        <w:t> </w:t>
      </w:r>
      <w:r>
        <w:rPr>
          <w:spacing w:val="-5"/>
        </w:rPr>
        <w:t>2)</w:t>
      </w:r>
    </w:p>
    <w:p>
      <w:pPr>
        <w:pStyle w:val="BodyText"/>
        <w:tabs>
          <w:tab w:pos="8413" w:val="left" w:leader="dot"/>
        </w:tabs>
        <w:spacing w:before="41"/>
        <w:ind w:left="1028"/>
      </w:pPr>
      <w:r>
        <w:rPr/>
        <w:t>(1915)</w:t>
      </w:r>
      <w:r>
        <w:rPr>
          <w:spacing w:val="3"/>
        </w:rPr>
        <w:t> </w:t>
      </w:r>
      <w:r>
        <w:rPr/>
        <w:t>1</w:t>
      </w:r>
      <w:r>
        <w:rPr>
          <w:spacing w:val="-2"/>
        </w:rPr>
        <w:t> </w:t>
      </w:r>
      <w:r>
        <w:rPr/>
        <w:t>Ir</w:t>
      </w:r>
      <w:r>
        <w:rPr>
          <w:spacing w:val="-1"/>
        </w:rPr>
        <w:t> </w:t>
      </w:r>
      <w:r>
        <w:rPr/>
        <w:t>R</w:t>
      </w:r>
      <w:r>
        <w:rPr>
          <w:spacing w:val="1"/>
        </w:rPr>
        <w:t> </w:t>
      </w:r>
      <w:r>
        <w:rPr>
          <w:spacing w:val="-5"/>
        </w:rPr>
        <w:t>145</w:t>
      </w:r>
      <w:r>
        <w:rPr/>
        <w:tab/>
      </w:r>
      <w:r>
        <w:rPr>
          <w:spacing w:val="-5"/>
        </w:rPr>
        <w:t>198</w:t>
      </w:r>
    </w:p>
    <w:p>
      <w:pPr>
        <w:pStyle w:val="BodyText"/>
        <w:spacing w:before="41"/>
      </w:pPr>
      <w:r>
        <w:rPr/>
        <w:t>Cranleigh</w:t>
      </w:r>
      <w:r>
        <w:rPr>
          <w:spacing w:val="-6"/>
        </w:rPr>
        <w:t> </w:t>
      </w:r>
      <w:r>
        <w:rPr/>
        <w:t>Precision</w:t>
      </w:r>
      <w:r>
        <w:rPr>
          <w:spacing w:val="-5"/>
        </w:rPr>
        <w:t> </w:t>
      </w:r>
      <w:r>
        <w:rPr/>
        <w:t>Engineering</w:t>
      </w:r>
      <w:r>
        <w:rPr>
          <w:spacing w:val="-1"/>
        </w:rPr>
        <w:t> </w:t>
      </w:r>
      <w:r>
        <w:rPr/>
        <w:t>Ltd.</w:t>
      </w:r>
      <w:r>
        <w:rPr>
          <w:spacing w:val="-4"/>
        </w:rPr>
        <w:t> </w:t>
      </w:r>
      <w:r>
        <w:rPr/>
        <w:t>vs.</w:t>
      </w:r>
      <w:r>
        <w:rPr>
          <w:spacing w:val="2"/>
        </w:rPr>
        <w:t> </w:t>
      </w:r>
      <w:r>
        <w:rPr>
          <w:spacing w:val="-2"/>
        </w:rPr>
        <w:t>Bryant</w:t>
      </w:r>
    </w:p>
    <w:p>
      <w:pPr>
        <w:pStyle w:val="BodyText"/>
        <w:tabs>
          <w:tab w:pos="8446" w:val="left" w:leader="dot"/>
        </w:tabs>
        <w:spacing w:before="41"/>
        <w:ind w:left="1028"/>
      </w:pPr>
      <w:r>
        <w:rPr/>
        <w:t>(1965)1</w:t>
      </w:r>
      <w:r>
        <w:rPr>
          <w:spacing w:val="-2"/>
        </w:rPr>
        <w:t> </w:t>
      </w:r>
      <w:r>
        <w:rPr/>
        <w:t>WLR</w:t>
      </w:r>
      <w:r>
        <w:rPr>
          <w:spacing w:val="-3"/>
        </w:rPr>
        <w:t> </w:t>
      </w:r>
      <w:r>
        <w:rPr>
          <w:spacing w:val="-2"/>
        </w:rPr>
        <w:t>1293.</w:t>
      </w:r>
      <w:r>
        <w:rPr/>
        <w:tab/>
      </w:r>
      <w:r>
        <w:rPr>
          <w:spacing w:val="-5"/>
        </w:rPr>
        <w:t>174</w:t>
      </w:r>
    </w:p>
    <w:p>
      <w:pPr>
        <w:pStyle w:val="BodyText"/>
        <w:spacing w:before="45"/>
      </w:pPr>
      <w:r>
        <w:rPr/>
        <w:t>Criterion</w:t>
      </w:r>
      <w:r>
        <w:rPr>
          <w:spacing w:val="-7"/>
        </w:rPr>
        <w:t> </w:t>
      </w:r>
      <w:r>
        <w:rPr/>
        <w:t>Properties</w:t>
      </w:r>
      <w:r>
        <w:rPr>
          <w:spacing w:val="-4"/>
        </w:rPr>
        <w:t> </w:t>
      </w:r>
      <w:r>
        <w:rPr/>
        <w:t>Plc. vs. Stratford</w:t>
      </w:r>
      <w:r>
        <w:rPr>
          <w:spacing w:val="-1"/>
        </w:rPr>
        <w:t> </w:t>
      </w:r>
      <w:r>
        <w:rPr/>
        <w:t>UK</w:t>
      </w:r>
      <w:r>
        <w:rPr>
          <w:spacing w:val="-8"/>
        </w:rPr>
        <w:t> </w:t>
      </w:r>
      <w:r>
        <w:rPr/>
        <w:t>Properties</w:t>
      </w:r>
      <w:r>
        <w:rPr>
          <w:spacing w:val="-3"/>
        </w:rPr>
        <w:t> </w:t>
      </w:r>
      <w:r>
        <w:rPr>
          <w:spacing w:val="-5"/>
        </w:rPr>
        <w:t>LLC</w:t>
      </w:r>
    </w:p>
    <w:p>
      <w:pPr>
        <w:pStyle w:val="BodyText"/>
        <w:tabs>
          <w:tab w:pos="8418" w:val="left" w:leader="dot"/>
        </w:tabs>
        <w:spacing w:before="41"/>
        <w:ind w:left="1028"/>
      </w:pPr>
      <w:r>
        <w:rPr/>
        <w:t>(2002)</w:t>
      </w:r>
      <w:r>
        <w:rPr>
          <w:spacing w:val="-2"/>
        </w:rPr>
        <w:t> </w:t>
      </w:r>
      <w:r>
        <w:rPr/>
        <w:t>2</w:t>
      </w:r>
      <w:r>
        <w:rPr>
          <w:spacing w:val="-4"/>
        </w:rPr>
        <w:t> </w:t>
      </w:r>
      <w:r>
        <w:rPr/>
        <w:t>BCLC</w:t>
      </w:r>
      <w:r>
        <w:rPr>
          <w:spacing w:val="-2"/>
        </w:rPr>
        <w:t> </w:t>
      </w:r>
      <w:r>
        <w:rPr>
          <w:spacing w:val="-4"/>
        </w:rPr>
        <w:t>151.</w:t>
      </w:r>
      <w:r>
        <w:rPr/>
        <w:tab/>
      </w:r>
      <w:r>
        <w:rPr>
          <w:spacing w:val="-5"/>
        </w:rPr>
        <w:t>101</w:t>
      </w:r>
    </w:p>
    <w:p>
      <w:pPr>
        <w:pStyle w:val="BodyText"/>
        <w:spacing w:before="41"/>
      </w:pPr>
      <w:r>
        <w:rPr/>
        <w:t>Crown</w:t>
      </w:r>
      <w:r>
        <w:rPr>
          <w:spacing w:val="-8"/>
        </w:rPr>
        <w:t> </w:t>
      </w:r>
      <w:r>
        <w:rPr/>
        <w:t>Dilmun</w:t>
      </w:r>
      <w:r>
        <w:rPr>
          <w:spacing w:val="-1"/>
        </w:rPr>
        <w:t> </w:t>
      </w:r>
      <w:r>
        <w:rPr/>
        <w:t>vs.</w:t>
      </w:r>
      <w:r>
        <w:rPr>
          <w:spacing w:val="1"/>
        </w:rPr>
        <w:t> </w:t>
      </w:r>
      <w:r>
        <w:rPr>
          <w:spacing w:val="-2"/>
        </w:rPr>
        <w:t>Sutton</w:t>
      </w:r>
    </w:p>
    <w:p>
      <w:pPr>
        <w:pStyle w:val="BodyText"/>
        <w:tabs>
          <w:tab w:pos="8421" w:val="left" w:leader="dot"/>
        </w:tabs>
        <w:spacing w:before="41"/>
        <w:ind w:left="1028"/>
      </w:pPr>
      <w:r>
        <w:rPr/>
        <w:t>(2004) 1</w:t>
      </w:r>
      <w:r>
        <w:rPr>
          <w:spacing w:val="-3"/>
        </w:rPr>
        <w:t> </w:t>
      </w:r>
      <w:r>
        <w:rPr/>
        <w:t>B.C.L.C.</w:t>
      </w:r>
      <w:r>
        <w:rPr>
          <w:spacing w:val="60"/>
        </w:rPr>
        <w:t> </w:t>
      </w:r>
      <w:r>
        <w:rPr>
          <w:spacing w:val="-5"/>
        </w:rPr>
        <w:t>468</w:t>
      </w:r>
      <w:r>
        <w:rPr/>
        <w:tab/>
      </w:r>
      <w:r>
        <w:rPr>
          <w:spacing w:val="-5"/>
        </w:rPr>
        <w:t>178</w:t>
      </w:r>
    </w:p>
    <w:p>
      <w:pPr>
        <w:pStyle w:val="BodyText"/>
        <w:spacing w:before="41"/>
      </w:pPr>
      <w:r>
        <w:rPr/>
        <w:t>Dawson</w:t>
      </w:r>
      <w:r>
        <w:rPr>
          <w:spacing w:val="-5"/>
        </w:rPr>
        <w:t> </w:t>
      </w:r>
      <w:r>
        <w:rPr/>
        <w:t>International</w:t>
      </w:r>
      <w:r>
        <w:rPr>
          <w:spacing w:val="-9"/>
        </w:rPr>
        <w:t> </w:t>
      </w:r>
      <w:r>
        <w:rPr/>
        <w:t>Plc.</w:t>
      </w:r>
      <w:r>
        <w:rPr>
          <w:spacing w:val="3"/>
        </w:rPr>
        <w:t> </w:t>
      </w:r>
      <w:r>
        <w:rPr/>
        <w:t>vs.</w:t>
      </w:r>
      <w:r>
        <w:rPr>
          <w:spacing w:val="2"/>
        </w:rPr>
        <w:t> </w:t>
      </w:r>
      <w:r>
        <w:rPr/>
        <w:t>Coats</w:t>
      </w:r>
      <w:r>
        <w:rPr>
          <w:spacing w:val="-2"/>
        </w:rPr>
        <w:t> </w:t>
      </w:r>
      <w:r>
        <w:rPr/>
        <w:t>Patons</w:t>
      </w:r>
      <w:r>
        <w:rPr>
          <w:spacing w:val="-1"/>
        </w:rPr>
        <w:t> </w:t>
      </w:r>
      <w:r>
        <w:rPr>
          <w:spacing w:val="-4"/>
        </w:rPr>
        <w:t>Plc.</w:t>
      </w:r>
    </w:p>
    <w:p>
      <w:pPr>
        <w:pStyle w:val="BodyText"/>
        <w:tabs>
          <w:tab w:pos="8413" w:val="left" w:leader="dot"/>
        </w:tabs>
        <w:spacing w:before="41"/>
        <w:ind w:left="1028"/>
      </w:pPr>
      <w:r>
        <w:rPr/>
        <w:t>(1988)</w:t>
      </w:r>
      <w:r>
        <w:rPr>
          <w:spacing w:val="2"/>
        </w:rPr>
        <w:t> </w:t>
      </w:r>
      <w:r>
        <w:rPr/>
        <w:t>4</w:t>
      </w:r>
      <w:r>
        <w:rPr>
          <w:spacing w:val="-4"/>
        </w:rPr>
        <w:t> </w:t>
      </w:r>
      <w:r>
        <w:rPr/>
        <w:t>B.C.C.</w:t>
      </w:r>
      <w:r>
        <w:rPr>
          <w:spacing w:val="-1"/>
        </w:rPr>
        <w:t> </w:t>
      </w:r>
      <w:r>
        <w:rPr/>
        <w:t>305</w:t>
      </w:r>
      <w:r>
        <w:rPr>
          <w:spacing w:val="1"/>
        </w:rPr>
        <w:t> </w:t>
      </w:r>
      <w:r>
        <w:rPr/>
        <w:t>CS</w:t>
      </w:r>
      <w:r>
        <w:rPr>
          <w:spacing w:val="-2"/>
        </w:rPr>
        <w:t> </w:t>
      </w:r>
      <w:r>
        <w:rPr>
          <w:spacing w:val="-4"/>
        </w:rPr>
        <w:t>(OH)</w:t>
      </w:r>
      <w:r>
        <w:rPr/>
        <w:tab/>
      </w:r>
      <w:r>
        <w:rPr>
          <w:spacing w:val="-5"/>
        </w:rPr>
        <w:t>156</w:t>
      </w:r>
    </w:p>
    <w:p>
      <w:pPr>
        <w:pStyle w:val="BodyText"/>
        <w:spacing w:before="41"/>
      </w:pPr>
      <w:r>
        <w:rPr/>
        <w:t>Dodge</w:t>
      </w:r>
      <w:r>
        <w:rPr>
          <w:spacing w:val="-3"/>
        </w:rPr>
        <w:t> </w:t>
      </w:r>
      <w:r>
        <w:rPr/>
        <w:t>vs.</w:t>
      </w:r>
      <w:r>
        <w:rPr>
          <w:spacing w:val="2"/>
        </w:rPr>
        <w:t> </w:t>
      </w:r>
      <w:r>
        <w:rPr/>
        <w:t>Ford</w:t>
      </w:r>
      <w:r>
        <w:rPr>
          <w:spacing w:val="-4"/>
        </w:rPr>
        <w:t> </w:t>
      </w:r>
      <w:r>
        <w:rPr/>
        <w:t>Motor</w:t>
      </w:r>
      <w:r>
        <w:rPr>
          <w:spacing w:val="3"/>
        </w:rPr>
        <w:t> </w:t>
      </w:r>
      <w:r>
        <w:rPr>
          <w:spacing w:val="-5"/>
        </w:rPr>
        <w:t>Co.</w:t>
      </w:r>
    </w:p>
    <w:p>
      <w:pPr>
        <w:pStyle w:val="BodyText"/>
        <w:tabs>
          <w:tab w:pos="7592" w:val="left" w:leader="dot"/>
        </w:tabs>
        <w:spacing w:before="41"/>
        <w:ind w:left="1028"/>
      </w:pPr>
      <w:r>
        <w:rPr/>
        <w:t>(1919)</w:t>
      </w:r>
      <w:r>
        <w:rPr>
          <w:spacing w:val="1"/>
        </w:rPr>
        <w:t> </w:t>
      </w:r>
      <w:r>
        <w:rPr/>
        <w:t>170</w:t>
      </w:r>
      <w:r>
        <w:rPr>
          <w:spacing w:val="-4"/>
        </w:rPr>
        <w:t> </w:t>
      </w:r>
      <w:r>
        <w:rPr/>
        <w:t>N.W.</w:t>
      </w:r>
      <w:r>
        <w:rPr>
          <w:spacing w:val="3"/>
        </w:rPr>
        <w:t> </w:t>
      </w:r>
      <w:r>
        <w:rPr>
          <w:spacing w:val="-4"/>
        </w:rPr>
        <w:t>668.</w:t>
      </w:r>
      <w:r>
        <w:rPr/>
        <w:tab/>
        <w:t>77,</w:t>
      </w:r>
      <w:r>
        <w:rPr>
          <w:spacing w:val="-3"/>
        </w:rPr>
        <w:t> </w:t>
      </w:r>
      <w:r>
        <w:rPr/>
        <w:t>78,</w:t>
      </w:r>
      <w:r>
        <w:rPr>
          <w:spacing w:val="-1"/>
        </w:rPr>
        <w:t> </w:t>
      </w:r>
      <w:r>
        <w:rPr>
          <w:spacing w:val="-5"/>
        </w:rPr>
        <w:t>104</w:t>
      </w:r>
    </w:p>
    <w:p>
      <w:pPr>
        <w:pStyle w:val="BodyText"/>
        <w:spacing w:before="46"/>
      </w:pPr>
      <w:r>
        <w:rPr/>
        <w:t>Dorchester</w:t>
      </w:r>
      <w:r>
        <w:rPr>
          <w:spacing w:val="-1"/>
        </w:rPr>
        <w:t> </w:t>
      </w:r>
      <w:r>
        <w:rPr/>
        <w:t>Finance</w:t>
      </w:r>
      <w:r>
        <w:rPr>
          <w:spacing w:val="-3"/>
        </w:rPr>
        <w:t> </w:t>
      </w:r>
      <w:r>
        <w:rPr/>
        <w:t>Co.</w:t>
      </w:r>
      <w:r>
        <w:rPr>
          <w:spacing w:val="1"/>
        </w:rPr>
        <w:t> </w:t>
      </w:r>
      <w:r>
        <w:rPr/>
        <w:t>Ltd</w:t>
      </w:r>
      <w:r>
        <w:rPr>
          <w:spacing w:val="-2"/>
        </w:rPr>
        <w:t> </w:t>
      </w:r>
      <w:r>
        <w:rPr/>
        <w:t>vs.</w:t>
      </w:r>
      <w:r>
        <w:rPr>
          <w:spacing w:val="1"/>
        </w:rPr>
        <w:t> </w:t>
      </w:r>
      <w:r>
        <w:rPr>
          <w:spacing w:val="-2"/>
        </w:rPr>
        <w:t>Stebbing</w:t>
      </w:r>
    </w:p>
    <w:p>
      <w:pPr>
        <w:pStyle w:val="BodyText"/>
        <w:tabs>
          <w:tab w:pos="7942" w:val="left" w:leader="dot"/>
        </w:tabs>
        <w:spacing w:before="41"/>
        <w:ind w:left="1028"/>
      </w:pPr>
      <w:r>
        <w:rPr/>
        <w:t>(1989)</w:t>
      </w:r>
      <w:r>
        <w:rPr>
          <w:spacing w:val="-3"/>
        </w:rPr>
        <w:t> </w:t>
      </w:r>
      <w:r>
        <w:rPr/>
        <w:t>BCLC</w:t>
      </w:r>
      <w:r>
        <w:rPr>
          <w:spacing w:val="-1"/>
        </w:rPr>
        <w:t> </w:t>
      </w:r>
      <w:r>
        <w:rPr>
          <w:spacing w:val="-4"/>
        </w:rPr>
        <w:t>498.</w:t>
      </w:r>
      <w:r>
        <w:rPr/>
        <w:tab/>
        <w:t>158,</w:t>
      </w:r>
      <w:r>
        <w:rPr>
          <w:spacing w:val="-3"/>
        </w:rPr>
        <w:t> </w:t>
      </w:r>
      <w:r>
        <w:rPr>
          <w:spacing w:val="-5"/>
        </w:rPr>
        <w:t>227</w:t>
      </w:r>
    </w:p>
    <w:p>
      <w:pPr>
        <w:pStyle w:val="BodyText"/>
        <w:spacing w:before="40"/>
      </w:pPr>
      <w:r>
        <w:rPr/>
        <w:t>Durfee</w:t>
      </w:r>
      <w:r>
        <w:rPr>
          <w:spacing w:val="-4"/>
        </w:rPr>
        <w:t> </w:t>
      </w:r>
      <w:r>
        <w:rPr/>
        <w:t>vs.</w:t>
      </w:r>
      <w:r>
        <w:rPr>
          <w:spacing w:val="-1"/>
        </w:rPr>
        <w:t> </w:t>
      </w:r>
      <w:r>
        <w:rPr/>
        <w:t>Durfee</w:t>
      </w:r>
      <w:r>
        <w:rPr>
          <w:spacing w:val="-3"/>
        </w:rPr>
        <w:t> </w:t>
      </w:r>
      <w:r>
        <w:rPr/>
        <w:t>and</w:t>
      </w:r>
      <w:r>
        <w:rPr>
          <w:spacing w:val="-3"/>
        </w:rPr>
        <w:t> </w:t>
      </w:r>
      <w:r>
        <w:rPr/>
        <w:t>Canning</w:t>
      </w:r>
      <w:r>
        <w:rPr>
          <w:spacing w:val="-2"/>
        </w:rPr>
        <w:t> </w:t>
      </w:r>
      <w:r>
        <w:rPr>
          <w:spacing w:val="-4"/>
        </w:rPr>
        <w:t>Inc.</w:t>
      </w:r>
    </w:p>
    <w:p>
      <w:pPr>
        <w:pStyle w:val="BodyText"/>
        <w:tabs>
          <w:tab w:pos="8413" w:val="left" w:leader="dot"/>
        </w:tabs>
        <w:spacing w:before="41"/>
        <w:ind w:left="1028"/>
      </w:pPr>
      <w:r>
        <w:rPr/>
        <w:t>(1948)</w:t>
      </w:r>
      <w:r>
        <w:rPr>
          <w:spacing w:val="2"/>
        </w:rPr>
        <w:t> </w:t>
      </w:r>
      <w:r>
        <w:rPr/>
        <w:t>80</w:t>
      </w:r>
      <w:r>
        <w:rPr>
          <w:spacing w:val="-3"/>
        </w:rPr>
        <w:t> </w:t>
      </w:r>
      <w:r>
        <w:rPr/>
        <w:t>N.E.</w:t>
      </w:r>
      <w:r>
        <w:rPr>
          <w:spacing w:val="-1"/>
        </w:rPr>
        <w:t> </w:t>
      </w:r>
      <w:r>
        <w:rPr/>
        <w:t>2d.</w:t>
      </w:r>
      <w:r>
        <w:rPr>
          <w:spacing w:val="-1"/>
        </w:rPr>
        <w:t> </w:t>
      </w:r>
      <w:r>
        <w:rPr>
          <w:spacing w:val="-4"/>
        </w:rPr>
        <w:t>522.</w:t>
      </w:r>
      <w:r>
        <w:rPr/>
        <w:tab/>
      </w:r>
      <w:r>
        <w:rPr>
          <w:spacing w:val="-5"/>
        </w:rPr>
        <w:t>175</w:t>
      </w:r>
    </w:p>
    <w:p>
      <w:pPr>
        <w:pStyle w:val="BodyText"/>
        <w:spacing w:before="41"/>
      </w:pPr>
      <w:r>
        <w:rPr/>
        <w:t>Estmaco</w:t>
      </w:r>
      <w:r>
        <w:rPr>
          <w:spacing w:val="1"/>
        </w:rPr>
        <w:t> </w:t>
      </w:r>
      <w:r>
        <w:rPr/>
        <w:t>Ltd.</w:t>
      </w:r>
      <w:r>
        <w:rPr>
          <w:spacing w:val="-5"/>
        </w:rPr>
        <w:t> </w:t>
      </w:r>
      <w:r>
        <w:rPr/>
        <w:t>vs. Greater</w:t>
      </w:r>
      <w:r>
        <w:rPr>
          <w:spacing w:val="-2"/>
        </w:rPr>
        <w:t> </w:t>
      </w:r>
      <w:r>
        <w:rPr/>
        <w:t>London</w:t>
      </w:r>
      <w:r>
        <w:rPr>
          <w:spacing w:val="-6"/>
        </w:rPr>
        <w:t> </w:t>
      </w:r>
      <w:r>
        <w:rPr>
          <w:spacing w:val="-2"/>
        </w:rPr>
        <w:t>Council</w:t>
      </w:r>
    </w:p>
    <w:p>
      <w:pPr>
        <w:pStyle w:val="BodyText"/>
        <w:tabs>
          <w:tab w:pos="7923" w:val="left" w:leader="dot"/>
        </w:tabs>
        <w:spacing w:before="41"/>
        <w:ind w:left="1028"/>
      </w:pPr>
      <w:r>
        <w:rPr/>
        <w:t>(1982)</w:t>
      </w:r>
      <w:r>
        <w:rPr>
          <w:spacing w:val="2"/>
        </w:rPr>
        <w:t> </w:t>
      </w:r>
      <w:r>
        <w:rPr/>
        <w:t>1</w:t>
      </w:r>
      <w:r>
        <w:rPr>
          <w:spacing w:val="-4"/>
        </w:rPr>
        <w:t> </w:t>
      </w:r>
      <w:r>
        <w:rPr/>
        <w:t>All</w:t>
      </w:r>
      <w:r>
        <w:rPr>
          <w:spacing w:val="-4"/>
        </w:rPr>
        <w:t> </w:t>
      </w:r>
      <w:r>
        <w:rPr/>
        <w:t>ER </w:t>
      </w:r>
      <w:r>
        <w:rPr>
          <w:spacing w:val="-4"/>
        </w:rPr>
        <w:t>437.</w:t>
      </w:r>
      <w:r>
        <w:rPr/>
        <w:tab/>
        <w:t>179,</w:t>
      </w:r>
      <w:r>
        <w:rPr>
          <w:spacing w:val="2"/>
        </w:rPr>
        <w:t> </w:t>
      </w:r>
      <w:r>
        <w:rPr>
          <w:spacing w:val="-5"/>
        </w:rPr>
        <w:t>234</w:t>
      </w:r>
    </w:p>
    <w:p>
      <w:pPr>
        <w:pStyle w:val="BodyText"/>
        <w:spacing w:before="41"/>
      </w:pPr>
      <w:r>
        <w:rPr/>
        <w:t>Extrasure</w:t>
      </w:r>
      <w:r>
        <w:rPr>
          <w:spacing w:val="-1"/>
        </w:rPr>
        <w:t> </w:t>
      </w:r>
      <w:r>
        <w:rPr/>
        <w:t>Travel</w:t>
      </w:r>
      <w:r>
        <w:rPr>
          <w:spacing w:val="-9"/>
        </w:rPr>
        <w:t> </w:t>
      </w:r>
      <w:r>
        <w:rPr/>
        <w:t>Insurances</w:t>
      </w:r>
      <w:r>
        <w:rPr>
          <w:spacing w:val="-1"/>
        </w:rPr>
        <w:t> </w:t>
      </w:r>
      <w:r>
        <w:rPr/>
        <w:t>Ltd.</w:t>
      </w:r>
      <w:r>
        <w:rPr>
          <w:spacing w:val="2"/>
        </w:rPr>
        <w:t> </w:t>
      </w:r>
      <w:r>
        <w:rPr/>
        <w:t>vs.</w:t>
      </w:r>
      <w:r>
        <w:rPr>
          <w:spacing w:val="3"/>
        </w:rPr>
        <w:t> </w:t>
      </w:r>
      <w:r>
        <w:rPr>
          <w:spacing w:val="-2"/>
        </w:rPr>
        <w:t>Scattergood</w:t>
      </w:r>
    </w:p>
    <w:p>
      <w:pPr>
        <w:pStyle w:val="BodyText"/>
        <w:tabs>
          <w:tab w:pos="7933" w:val="left" w:leader="dot"/>
        </w:tabs>
        <w:spacing w:before="41"/>
        <w:ind w:left="1028"/>
      </w:pPr>
      <w:r>
        <w:rPr/>
        <w:t>(2003)</w:t>
      </w:r>
      <w:r>
        <w:rPr>
          <w:spacing w:val="-2"/>
        </w:rPr>
        <w:t> </w:t>
      </w:r>
      <w:r>
        <w:rPr/>
        <w:t>1</w:t>
      </w:r>
      <w:r>
        <w:rPr>
          <w:spacing w:val="-5"/>
        </w:rPr>
        <w:t> </w:t>
      </w:r>
      <w:r>
        <w:rPr/>
        <w:t>BCLC</w:t>
      </w:r>
      <w:r>
        <w:rPr>
          <w:spacing w:val="-2"/>
        </w:rPr>
        <w:t> </w:t>
      </w:r>
      <w:r>
        <w:rPr/>
        <w:t>598,</w:t>
      </w:r>
      <w:r>
        <w:rPr>
          <w:spacing w:val="1"/>
        </w:rPr>
        <w:t> </w:t>
      </w:r>
      <w:r>
        <w:rPr/>
        <w:t>at</w:t>
      </w:r>
      <w:r>
        <w:rPr>
          <w:spacing w:val="5"/>
        </w:rPr>
        <w:t> </w:t>
      </w:r>
      <w:r>
        <w:rPr>
          <w:spacing w:val="-5"/>
        </w:rPr>
        <w:t>90</w:t>
      </w:r>
      <w:r>
        <w:rPr/>
        <w:tab/>
        <w:t>138,</w:t>
      </w:r>
      <w:r>
        <w:rPr>
          <w:spacing w:val="-3"/>
        </w:rPr>
        <w:t> </w:t>
      </w:r>
      <w:r>
        <w:rPr>
          <w:spacing w:val="-5"/>
        </w:rPr>
        <w:t>140</w:t>
      </w:r>
    </w:p>
    <w:p>
      <w:pPr>
        <w:pStyle w:val="BodyText"/>
        <w:spacing w:before="41"/>
      </w:pPr>
      <w:r>
        <w:rPr/>
        <w:t>Ferguson</w:t>
      </w:r>
      <w:r>
        <w:rPr>
          <w:spacing w:val="-3"/>
        </w:rPr>
        <w:t> </w:t>
      </w:r>
      <w:r>
        <w:rPr/>
        <w:t>vs.</w:t>
      </w:r>
      <w:r>
        <w:rPr>
          <w:spacing w:val="-1"/>
        </w:rPr>
        <w:t> </w:t>
      </w:r>
      <w:r>
        <w:rPr>
          <w:spacing w:val="-2"/>
        </w:rPr>
        <w:t>Wilson</w:t>
      </w:r>
    </w:p>
    <w:p>
      <w:pPr>
        <w:pStyle w:val="BodyText"/>
        <w:tabs>
          <w:tab w:pos="8552" w:val="left" w:leader="dot"/>
        </w:tabs>
        <w:spacing w:before="45"/>
        <w:ind w:left="1028"/>
      </w:pPr>
      <w:r>
        <w:rPr/>
        <w:t>(1866)</w:t>
      </w:r>
      <w:r>
        <w:rPr>
          <w:spacing w:val="1"/>
        </w:rPr>
        <w:t> </w:t>
      </w:r>
      <w:r>
        <w:rPr/>
        <w:t>LR.</w:t>
      </w:r>
      <w:r>
        <w:rPr>
          <w:spacing w:val="2"/>
        </w:rPr>
        <w:t> </w:t>
      </w:r>
      <w:r>
        <w:rPr/>
        <w:t>2</w:t>
      </w:r>
      <w:r>
        <w:rPr>
          <w:spacing w:val="-4"/>
        </w:rPr>
        <w:t> </w:t>
      </w:r>
      <w:r>
        <w:rPr/>
        <w:t>CH.</w:t>
      </w:r>
      <w:r>
        <w:rPr>
          <w:spacing w:val="2"/>
        </w:rPr>
        <w:t> </w:t>
      </w:r>
      <w:r>
        <w:rPr>
          <w:spacing w:val="-5"/>
        </w:rPr>
        <w:t>77</w:t>
      </w:r>
      <w:r>
        <w:rPr/>
        <w:tab/>
      </w:r>
      <w:r>
        <w:rPr>
          <w:spacing w:val="-5"/>
        </w:rPr>
        <w:t>43</w:t>
      </w:r>
    </w:p>
    <w:p>
      <w:pPr>
        <w:pStyle w:val="BodyText"/>
        <w:spacing w:before="42"/>
      </w:pPr>
      <w:r>
        <w:rPr/>
        <w:t>Foster</w:t>
      </w:r>
      <w:r>
        <w:rPr>
          <w:spacing w:val="-5"/>
        </w:rPr>
        <w:t> </w:t>
      </w:r>
      <w:r>
        <w:rPr/>
        <w:t>vs.</w:t>
      </w:r>
      <w:r>
        <w:rPr>
          <w:spacing w:val="1"/>
        </w:rPr>
        <w:t> </w:t>
      </w:r>
      <w:r>
        <w:rPr>
          <w:spacing w:val="-2"/>
        </w:rPr>
        <w:t>Bryant</w:t>
      </w:r>
    </w:p>
    <w:p>
      <w:pPr>
        <w:pStyle w:val="BodyText"/>
        <w:tabs>
          <w:tab w:pos="7448" w:val="left" w:leader="dot"/>
        </w:tabs>
        <w:spacing w:before="41"/>
        <w:ind w:left="1028"/>
      </w:pPr>
      <w:r>
        <w:rPr/>
        <w:t>(2007)</w:t>
      </w:r>
      <w:r>
        <w:rPr>
          <w:spacing w:val="-1"/>
        </w:rPr>
        <w:t> </w:t>
      </w:r>
      <w:r>
        <w:rPr/>
        <w:t>Bus</w:t>
      </w:r>
      <w:r>
        <w:rPr>
          <w:spacing w:val="-1"/>
        </w:rPr>
        <w:t> </w:t>
      </w:r>
      <w:r>
        <w:rPr/>
        <w:t>LR</w:t>
      </w:r>
      <w:r>
        <w:rPr>
          <w:spacing w:val="-1"/>
        </w:rPr>
        <w:t> </w:t>
      </w:r>
      <w:r>
        <w:rPr>
          <w:spacing w:val="-2"/>
        </w:rPr>
        <w:t>1565.</w:t>
      </w:r>
      <w:r>
        <w:rPr/>
        <w:tab/>
        <w:t>173,</w:t>
      </w:r>
      <w:r>
        <w:rPr>
          <w:spacing w:val="-1"/>
        </w:rPr>
        <w:t> </w:t>
      </w:r>
      <w:r>
        <w:rPr/>
        <w:t>183,</w:t>
      </w:r>
      <w:r>
        <w:rPr>
          <w:spacing w:val="2"/>
        </w:rPr>
        <w:t> </w:t>
      </w:r>
      <w:r>
        <w:rPr>
          <w:spacing w:val="-5"/>
        </w:rPr>
        <w:t>234</w:t>
      </w:r>
    </w:p>
    <w:p>
      <w:pPr>
        <w:pStyle w:val="BodyText"/>
        <w:spacing w:before="40"/>
      </w:pPr>
      <w:r>
        <w:rPr/>
        <w:t>Foster</w:t>
      </w:r>
      <w:r>
        <w:rPr>
          <w:spacing w:val="-5"/>
        </w:rPr>
        <w:t> </w:t>
      </w:r>
      <w:r>
        <w:rPr/>
        <w:t>vs.</w:t>
      </w:r>
      <w:r>
        <w:rPr>
          <w:spacing w:val="1"/>
        </w:rPr>
        <w:t> </w:t>
      </w:r>
      <w:r>
        <w:rPr>
          <w:spacing w:val="-2"/>
        </w:rPr>
        <w:t>Foster</w:t>
      </w:r>
    </w:p>
    <w:p>
      <w:pPr>
        <w:pStyle w:val="BodyText"/>
        <w:tabs>
          <w:tab w:pos="8552" w:val="left" w:leader="dot"/>
        </w:tabs>
        <w:spacing w:before="41"/>
        <w:ind w:left="1028"/>
      </w:pPr>
      <w:r>
        <w:rPr/>
        <w:t>(1916)</w:t>
      </w:r>
      <w:r>
        <w:rPr>
          <w:spacing w:val="2"/>
        </w:rPr>
        <w:t> </w:t>
      </w:r>
      <w:r>
        <w:rPr/>
        <w:t>1</w:t>
      </w:r>
      <w:r>
        <w:rPr>
          <w:spacing w:val="-3"/>
        </w:rPr>
        <w:t> </w:t>
      </w:r>
      <w:r>
        <w:rPr/>
        <w:t>Ch</w:t>
      </w:r>
      <w:r>
        <w:rPr>
          <w:spacing w:val="-3"/>
        </w:rPr>
        <w:t> </w:t>
      </w:r>
      <w:r>
        <w:rPr>
          <w:spacing w:val="-4"/>
        </w:rPr>
        <w:t>532.</w:t>
      </w:r>
      <w:r>
        <w:rPr/>
        <w:tab/>
      </w:r>
      <w:r>
        <w:rPr>
          <w:spacing w:val="-5"/>
        </w:rPr>
        <w:t>49</w:t>
      </w:r>
    </w:p>
    <w:p>
      <w:pPr>
        <w:spacing w:after="0"/>
        <w:sectPr>
          <w:pgSz w:w="11910" w:h="16840"/>
          <w:pgMar w:header="0" w:footer="998" w:top="1320" w:bottom="1180" w:left="1680" w:right="1180"/>
        </w:sectPr>
      </w:pPr>
    </w:p>
    <w:p>
      <w:pPr>
        <w:pStyle w:val="BodyText"/>
        <w:spacing w:before="65"/>
      </w:pPr>
      <w:r>
        <w:rPr/>
        <w:t>Gaiman</w:t>
      </w:r>
      <w:r>
        <w:rPr>
          <w:spacing w:val="-5"/>
        </w:rPr>
        <w:t> </w:t>
      </w:r>
      <w:r>
        <w:rPr/>
        <w:t>vs.</w:t>
      </w:r>
      <w:r>
        <w:rPr>
          <w:spacing w:val="-1"/>
        </w:rPr>
        <w:t> </w:t>
      </w:r>
      <w:r>
        <w:rPr/>
        <w:t>National</w:t>
      </w:r>
      <w:r>
        <w:rPr>
          <w:spacing w:val="-3"/>
        </w:rPr>
        <w:t> </w:t>
      </w:r>
      <w:r>
        <w:rPr/>
        <w:t>Association</w:t>
      </w:r>
      <w:r>
        <w:rPr>
          <w:spacing w:val="-3"/>
        </w:rPr>
        <w:t> </w:t>
      </w:r>
      <w:r>
        <w:rPr/>
        <w:t>for</w:t>
      </w:r>
      <w:r>
        <w:rPr>
          <w:spacing w:val="-2"/>
        </w:rPr>
        <w:t> </w:t>
      </w:r>
      <w:r>
        <w:rPr/>
        <w:t>Mental</w:t>
      </w:r>
      <w:r>
        <w:rPr>
          <w:spacing w:val="-11"/>
        </w:rPr>
        <w:t> </w:t>
      </w:r>
      <w:r>
        <w:rPr>
          <w:spacing w:val="-2"/>
        </w:rPr>
        <w:t>Health</w:t>
      </w:r>
    </w:p>
    <w:p>
      <w:pPr>
        <w:pStyle w:val="BodyText"/>
        <w:tabs>
          <w:tab w:pos="7587" w:val="left" w:leader="dot"/>
        </w:tabs>
        <w:spacing w:before="41"/>
        <w:ind w:left="1028"/>
      </w:pPr>
      <w:r>
        <w:rPr/>
        <w:t>(1971)</w:t>
      </w:r>
      <w:r>
        <w:rPr>
          <w:spacing w:val="-3"/>
        </w:rPr>
        <w:t> </w:t>
      </w:r>
      <w:r>
        <w:rPr/>
        <w:t>Ch. at</w:t>
      </w:r>
      <w:r>
        <w:rPr>
          <w:spacing w:val="3"/>
        </w:rPr>
        <w:t> </w:t>
      </w:r>
      <w:r>
        <w:rPr>
          <w:spacing w:val="-5"/>
        </w:rPr>
        <w:t>330</w:t>
      </w:r>
      <w:r>
        <w:rPr/>
        <w:tab/>
        <w:t>90,</w:t>
      </w:r>
      <w:r>
        <w:rPr>
          <w:spacing w:val="-3"/>
        </w:rPr>
        <w:t> </w:t>
      </w:r>
      <w:r>
        <w:rPr/>
        <w:t>134,</w:t>
      </w:r>
      <w:r>
        <w:rPr>
          <w:spacing w:val="-1"/>
        </w:rPr>
        <w:t> </w:t>
      </w:r>
      <w:r>
        <w:rPr>
          <w:spacing w:val="-5"/>
        </w:rPr>
        <w:t>218</w:t>
      </w:r>
    </w:p>
    <w:p>
      <w:pPr>
        <w:pStyle w:val="BodyText"/>
        <w:spacing w:before="40"/>
      </w:pPr>
      <w:r>
        <w:rPr/>
        <w:t>Gething</w:t>
      </w:r>
      <w:r>
        <w:rPr>
          <w:spacing w:val="-2"/>
        </w:rPr>
        <w:t> </w:t>
      </w:r>
      <w:r>
        <w:rPr/>
        <w:t>vs.</w:t>
      </w:r>
      <w:r>
        <w:rPr>
          <w:spacing w:val="-3"/>
        </w:rPr>
        <w:t> </w:t>
      </w:r>
      <w:r>
        <w:rPr>
          <w:spacing w:val="-2"/>
        </w:rPr>
        <w:t>Kilner</w:t>
      </w:r>
    </w:p>
    <w:p>
      <w:pPr>
        <w:pStyle w:val="BodyText"/>
        <w:tabs>
          <w:tab w:pos="8082" w:val="left" w:leader="dot"/>
        </w:tabs>
        <w:spacing w:before="42"/>
        <w:ind w:left="1028"/>
      </w:pPr>
      <w:r>
        <w:rPr/>
        <w:t>(1972)</w:t>
      </w:r>
      <w:r>
        <w:rPr>
          <w:spacing w:val="-1"/>
        </w:rPr>
        <w:t> </w:t>
      </w:r>
      <w:r>
        <w:rPr/>
        <w:t>1</w:t>
      </w:r>
      <w:r>
        <w:rPr>
          <w:spacing w:val="-6"/>
        </w:rPr>
        <w:t> </w:t>
      </w:r>
      <w:r>
        <w:rPr/>
        <w:t>WLR,</w:t>
      </w:r>
      <w:r>
        <w:rPr>
          <w:spacing w:val="1"/>
        </w:rPr>
        <w:t> </w:t>
      </w:r>
      <w:r>
        <w:rPr>
          <w:spacing w:val="-4"/>
        </w:rPr>
        <w:t>337.</w:t>
      </w:r>
      <w:r>
        <w:rPr/>
        <w:tab/>
        <w:t>70,</w:t>
      </w:r>
      <w:r>
        <w:rPr>
          <w:spacing w:val="2"/>
        </w:rPr>
        <w:t> </w:t>
      </w:r>
      <w:r>
        <w:rPr>
          <w:spacing w:val="-5"/>
        </w:rPr>
        <w:t>129</w:t>
      </w:r>
    </w:p>
    <w:p>
      <w:pPr>
        <w:pStyle w:val="BodyText"/>
        <w:spacing w:before="41"/>
      </w:pPr>
      <w:r>
        <w:rPr/>
        <w:t>Gray</w:t>
      </w:r>
      <w:r>
        <w:rPr>
          <w:spacing w:val="-13"/>
        </w:rPr>
        <w:t> </w:t>
      </w:r>
      <w:r>
        <w:rPr/>
        <w:t>vs.</w:t>
      </w:r>
      <w:r>
        <w:rPr>
          <w:spacing w:val="1"/>
        </w:rPr>
        <w:t> </w:t>
      </w:r>
      <w:r>
        <w:rPr/>
        <w:t>New</w:t>
      </w:r>
      <w:r>
        <w:rPr>
          <w:spacing w:val="-1"/>
        </w:rPr>
        <w:t> </w:t>
      </w:r>
      <w:r>
        <w:rPr/>
        <w:t>Augarita</w:t>
      </w:r>
      <w:r>
        <w:rPr>
          <w:spacing w:val="-2"/>
        </w:rPr>
        <w:t> </w:t>
      </w:r>
      <w:r>
        <w:rPr/>
        <w:t>Porcupine</w:t>
      </w:r>
      <w:r>
        <w:rPr>
          <w:spacing w:val="-2"/>
        </w:rPr>
        <w:t> </w:t>
      </w:r>
      <w:r>
        <w:rPr/>
        <w:t>Mines</w:t>
      </w:r>
      <w:r>
        <w:rPr>
          <w:spacing w:val="-2"/>
        </w:rPr>
        <w:t> </w:t>
      </w:r>
      <w:r>
        <w:rPr>
          <w:spacing w:val="-5"/>
        </w:rPr>
        <w:t>Ltd</w:t>
      </w:r>
    </w:p>
    <w:p>
      <w:pPr>
        <w:pStyle w:val="BodyText"/>
        <w:tabs>
          <w:tab w:pos="8816" w:val="right" w:leader="dot"/>
        </w:tabs>
        <w:spacing w:before="45"/>
        <w:ind w:left="1028"/>
      </w:pPr>
      <w:r>
        <w:rPr/>
        <w:t>(1952)</w:t>
      </w:r>
      <w:r>
        <w:rPr>
          <w:spacing w:val="-1"/>
        </w:rPr>
        <w:t> </w:t>
      </w:r>
      <w:r>
        <w:rPr/>
        <w:t>3</w:t>
      </w:r>
      <w:r>
        <w:rPr>
          <w:spacing w:val="-3"/>
        </w:rPr>
        <w:t> </w:t>
      </w:r>
      <w:r>
        <w:rPr/>
        <w:t>DLR</w:t>
      </w:r>
      <w:r>
        <w:rPr>
          <w:spacing w:val="-1"/>
        </w:rPr>
        <w:t> </w:t>
      </w:r>
      <w:r>
        <w:rPr>
          <w:spacing w:val="-5"/>
        </w:rPr>
        <w:t>1.</w:t>
      </w:r>
      <w:r>
        <w:rPr/>
        <w:tab/>
      </w:r>
      <w:r>
        <w:rPr>
          <w:spacing w:val="-5"/>
        </w:rPr>
        <w:t>198</w:t>
      </w:r>
    </w:p>
    <w:p>
      <w:pPr>
        <w:pStyle w:val="BodyText"/>
        <w:spacing w:before="41"/>
      </w:pPr>
      <w:r>
        <w:rPr/>
        <w:t>Green</w:t>
      </w:r>
      <w:r>
        <w:rPr>
          <w:spacing w:val="-3"/>
        </w:rPr>
        <w:t> </w:t>
      </w:r>
      <w:r>
        <w:rPr/>
        <w:t>&amp;</w:t>
      </w:r>
      <w:r>
        <w:rPr>
          <w:spacing w:val="-7"/>
        </w:rPr>
        <w:t> </w:t>
      </w:r>
      <w:r>
        <w:rPr/>
        <w:t>Clara</w:t>
      </w:r>
      <w:r>
        <w:rPr>
          <w:spacing w:val="-3"/>
        </w:rPr>
        <w:t> </w:t>
      </w:r>
      <w:r>
        <w:rPr/>
        <w:t>Pty.</w:t>
      </w:r>
      <w:r>
        <w:rPr>
          <w:spacing w:val="-1"/>
        </w:rPr>
        <w:t> </w:t>
      </w:r>
      <w:r>
        <w:rPr/>
        <w:t>Ltd. vs. Bestobell</w:t>
      </w:r>
      <w:r>
        <w:rPr>
          <w:spacing w:val="-7"/>
        </w:rPr>
        <w:t> </w:t>
      </w:r>
      <w:r>
        <w:rPr/>
        <w:t>Industries</w:t>
      </w:r>
      <w:r>
        <w:rPr>
          <w:spacing w:val="-5"/>
        </w:rPr>
        <w:t> </w:t>
      </w:r>
      <w:r>
        <w:rPr/>
        <w:t>Pty.</w:t>
      </w:r>
      <w:r>
        <w:rPr>
          <w:spacing w:val="5"/>
        </w:rPr>
        <w:t> </w:t>
      </w:r>
      <w:r>
        <w:rPr>
          <w:spacing w:val="-4"/>
        </w:rPr>
        <w:t>Ltd.</w:t>
      </w:r>
    </w:p>
    <w:p>
      <w:pPr>
        <w:pStyle w:val="BodyText"/>
        <w:tabs>
          <w:tab w:pos="8773" w:val="right" w:leader="dot"/>
        </w:tabs>
        <w:spacing w:before="41"/>
        <w:ind w:left="1028"/>
      </w:pPr>
      <w:r>
        <w:rPr/>
        <w:t>(1982)</w:t>
      </w:r>
      <w:r>
        <w:rPr>
          <w:spacing w:val="-3"/>
        </w:rPr>
        <w:t> </w:t>
      </w:r>
      <w:r>
        <w:rPr/>
        <w:t>WAR</w:t>
      </w:r>
      <w:r>
        <w:rPr>
          <w:spacing w:val="-5"/>
        </w:rPr>
        <w:t> 1.</w:t>
      </w:r>
      <w:r>
        <w:rPr/>
        <w:tab/>
      </w:r>
      <w:r>
        <w:rPr>
          <w:spacing w:val="-5"/>
        </w:rPr>
        <w:t>169</w:t>
      </w:r>
    </w:p>
    <w:p>
      <w:pPr>
        <w:pStyle w:val="BodyText"/>
        <w:spacing w:before="41"/>
      </w:pPr>
      <w:r>
        <w:rPr/>
        <w:t>Gregson</w:t>
      </w:r>
      <w:r>
        <w:rPr>
          <w:spacing w:val="-7"/>
        </w:rPr>
        <w:t> </w:t>
      </w:r>
      <w:r>
        <w:rPr/>
        <w:t>vs.</w:t>
      </w:r>
      <w:r>
        <w:rPr>
          <w:spacing w:val="1"/>
        </w:rPr>
        <w:t> </w:t>
      </w:r>
      <w:r>
        <w:rPr/>
        <w:t>HAE</w:t>
      </w:r>
      <w:r>
        <w:rPr>
          <w:spacing w:val="1"/>
        </w:rPr>
        <w:t> </w:t>
      </w:r>
      <w:r>
        <w:rPr/>
        <w:t>Trustee</w:t>
      </w:r>
      <w:r>
        <w:rPr>
          <w:spacing w:val="-3"/>
        </w:rPr>
        <w:t> </w:t>
      </w:r>
      <w:r>
        <w:rPr/>
        <w:t>Ltd</w:t>
      </w:r>
      <w:r>
        <w:rPr>
          <w:spacing w:val="-1"/>
        </w:rPr>
        <w:t> </w:t>
      </w:r>
      <w:r>
        <w:rPr/>
        <w:t>and</w:t>
      </w:r>
      <w:r>
        <w:rPr>
          <w:spacing w:val="-1"/>
        </w:rPr>
        <w:t> </w:t>
      </w:r>
      <w:r>
        <w:rPr>
          <w:spacing w:val="-2"/>
        </w:rPr>
        <w:t>Others</w:t>
      </w:r>
    </w:p>
    <w:p>
      <w:pPr>
        <w:pStyle w:val="BodyText"/>
        <w:tabs>
          <w:tab w:pos="8797" w:val="right" w:leader="dot"/>
        </w:tabs>
        <w:spacing w:before="41"/>
        <w:ind w:left="1028"/>
      </w:pPr>
      <w:r>
        <w:rPr/>
        <w:t>(2008)</w:t>
      </w:r>
      <w:r>
        <w:rPr>
          <w:spacing w:val="-3"/>
        </w:rPr>
        <w:t> </w:t>
      </w:r>
      <w:r>
        <w:rPr/>
        <w:t>EWHC</w:t>
      </w:r>
      <w:r>
        <w:rPr>
          <w:spacing w:val="-2"/>
        </w:rPr>
        <w:t> 1006.</w:t>
      </w:r>
      <w:r>
        <w:rPr/>
        <w:tab/>
      </w:r>
      <w:r>
        <w:rPr>
          <w:spacing w:val="-5"/>
        </w:rPr>
        <w:t>160</w:t>
      </w:r>
    </w:p>
    <w:p>
      <w:pPr>
        <w:pStyle w:val="BodyText"/>
        <w:spacing w:before="41"/>
      </w:pPr>
      <w:r>
        <w:rPr/>
        <w:t>Harlowe‘s</w:t>
      </w:r>
      <w:r>
        <w:rPr>
          <w:spacing w:val="-6"/>
        </w:rPr>
        <w:t> </w:t>
      </w:r>
      <w:r>
        <w:rPr/>
        <w:t>Nominees</w:t>
      </w:r>
      <w:r>
        <w:rPr>
          <w:spacing w:val="-3"/>
        </w:rPr>
        <w:t> </w:t>
      </w:r>
      <w:r>
        <w:rPr/>
        <w:t>Pty</w:t>
      </w:r>
      <w:r>
        <w:rPr>
          <w:spacing w:val="-10"/>
        </w:rPr>
        <w:t> </w:t>
      </w:r>
      <w:r>
        <w:rPr/>
        <w:t>Ltd.</w:t>
      </w:r>
      <w:r>
        <w:rPr>
          <w:spacing w:val="2"/>
        </w:rPr>
        <w:t> </w:t>
      </w:r>
      <w:r>
        <w:rPr/>
        <w:t>vs.</w:t>
      </w:r>
      <w:r>
        <w:rPr>
          <w:spacing w:val="2"/>
        </w:rPr>
        <w:t> </w:t>
      </w:r>
      <w:r>
        <w:rPr/>
        <w:t>Woodside</w:t>
      </w:r>
      <w:r>
        <w:rPr>
          <w:spacing w:val="-2"/>
        </w:rPr>
        <w:t> </w:t>
      </w:r>
      <w:r>
        <w:rPr/>
        <w:t>(Lakes</w:t>
      </w:r>
      <w:r>
        <w:rPr>
          <w:spacing w:val="-2"/>
        </w:rPr>
        <w:t> </w:t>
      </w:r>
      <w:r>
        <w:rPr/>
        <w:t>Engrance)</w:t>
      </w:r>
      <w:r>
        <w:rPr>
          <w:spacing w:val="1"/>
        </w:rPr>
        <w:t> </w:t>
      </w:r>
      <w:r>
        <w:rPr/>
        <w:t>Oil</w:t>
      </w:r>
      <w:r>
        <w:rPr>
          <w:spacing w:val="-5"/>
        </w:rPr>
        <w:t> </w:t>
      </w:r>
      <w:r>
        <w:rPr/>
        <w:t>Co.</w:t>
      </w:r>
      <w:r>
        <w:rPr>
          <w:spacing w:val="2"/>
        </w:rPr>
        <w:t> </w:t>
      </w:r>
      <w:r>
        <w:rPr>
          <w:spacing w:val="-5"/>
        </w:rPr>
        <w:t>NL</w:t>
      </w:r>
    </w:p>
    <w:p>
      <w:pPr>
        <w:pStyle w:val="BodyText"/>
        <w:tabs>
          <w:tab w:pos="7899" w:val="left" w:leader="dot"/>
        </w:tabs>
        <w:spacing w:before="41"/>
        <w:ind w:left="1028"/>
      </w:pPr>
      <w:r>
        <w:rPr/>
        <w:t>(1968)</w:t>
      </w:r>
      <w:r>
        <w:rPr>
          <w:spacing w:val="1"/>
        </w:rPr>
        <w:t> </w:t>
      </w:r>
      <w:r>
        <w:rPr/>
        <w:t>121</w:t>
      </w:r>
      <w:r>
        <w:rPr>
          <w:spacing w:val="-4"/>
        </w:rPr>
        <w:t> </w:t>
      </w:r>
      <w:r>
        <w:rPr/>
        <w:t>CLR</w:t>
      </w:r>
      <w:r>
        <w:rPr>
          <w:spacing w:val="-1"/>
        </w:rPr>
        <w:t> </w:t>
      </w:r>
      <w:r>
        <w:rPr>
          <w:spacing w:val="-4"/>
        </w:rPr>
        <w:t>483.</w:t>
      </w:r>
      <w:r>
        <w:rPr/>
        <w:tab/>
        <w:t>101, </w:t>
      </w:r>
      <w:r>
        <w:rPr>
          <w:spacing w:val="-5"/>
        </w:rPr>
        <w:t>199</w:t>
      </w:r>
    </w:p>
    <w:p>
      <w:pPr>
        <w:pStyle w:val="BodyText"/>
        <w:spacing w:before="41"/>
      </w:pPr>
      <w:r>
        <w:rPr/>
        <w:t>Hogg</w:t>
      </w:r>
      <w:r>
        <w:rPr>
          <w:spacing w:val="-5"/>
        </w:rPr>
        <w:t> </w:t>
      </w:r>
      <w:r>
        <w:rPr/>
        <w:t>vs. Cramphorn</w:t>
      </w:r>
      <w:r>
        <w:rPr>
          <w:spacing w:val="-6"/>
        </w:rPr>
        <w:t> </w:t>
      </w:r>
      <w:r>
        <w:rPr>
          <w:spacing w:val="-4"/>
        </w:rPr>
        <w:t>Ltd.</w:t>
      </w:r>
    </w:p>
    <w:p>
      <w:pPr>
        <w:pStyle w:val="BodyText"/>
        <w:tabs>
          <w:tab w:pos="8072" w:val="left" w:leader="dot"/>
        </w:tabs>
        <w:spacing w:before="45"/>
        <w:ind w:left="1028"/>
      </w:pPr>
      <w:r>
        <w:rPr/>
        <w:t>(1967) Ch.</w:t>
      </w:r>
      <w:r>
        <w:rPr>
          <w:spacing w:val="1"/>
        </w:rPr>
        <w:t> </w:t>
      </w:r>
      <w:r>
        <w:rPr>
          <w:spacing w:val="-4"/>
        </w:rPr>
        <w:t>254.</w:t>
      </w:r>
      <w:r>
        <w:rPr/>
        <w:tab/>
        <w:t>98,</w:t>
      </w:r>
      <w:r>
        <w:rPr>
          <w:spacing w:val="-3"/>
        </w:rPr>
        <w:t> </w:t>
      </w:r>
      <w:r>
        <w:rPr>
          <w:spacing w:val="-5"/>
        </w:rPr>
        <w:t>101</w:t>
      </w:r>
    </w:p>
    <w:p>
      <w:pPr>
        <w:pStyle w:val="BodyText"/>
        <w:spacing w:before="42"/>
      </w:pPr>
      <w:r>
        <w:rPr/>
        <w:t>Howard</w:t>
      </w:r>
      <w:r>
        <w:rPr>
          <w:spacing w:val="-7"/>
        </w:rPr>
        <w:t> </w:t>
      </w:r>
      <w:r>
        <w:rPr/>
        <w:t>Smith</w:t>
      </w:r>
      <w:r>
        <w:rPr>
          <w:spacing w:val="-5"/>
        </w:rPr>
        <w:t> </w:t>
      </w:r>
      <w:r>
        <w:rPr/>
        <w:t>Ltd.</w:t>
      </w:r>
      <w:r>
        <w:rPr>
          <w:spacing w:val="2"/>
        </w:rPr>
        <w:t> </w:t>
      </w:r>
      <w:r>
        <w:rPr/>
        <w:t>vs.</w:t>
      </w:r>
      <w:r>
        <w:rPr>
          <w:spacing w:val="2"/>
        </w:rPr>
        <w:t> </w:t>
      </w:r>
      <w:r>
        <w:rPr/>
        <w:t>Ampol</w:t>
      </w:r>
      <w:r>
        <w:rPr>
          <w:spacing w:val="-9"/>
        </w:rPr>
        <w:t> </w:t>
      </w:r>
      <w:r>
        <w:rPr/>
        <w:t>Petroleum</w:t>
      </w:r>
      <w:r>
        <w:rPr>
          <w:spacing w:val="-4"/>
        </w:rPr>
        <w:t> Ltd.</w:t>
      </w:r>
    </w:p>
    <w:p>
      <w:pPr>
        <w:pStyle w:val="BodyText"/>
        <w:tabs>
          <w:tab w:pos="7649" w:val="left" w:leader="dot"/>
        </w:tabs>
        <w:spacing w:before="40"/>
        <w:ind w:left="1028"/>
      </w:pPr>
      <w:r>
        <w:rPr/>
        <w:t>(1974) A.C.</w:t>
      </w:r>
      <w:r>
        <w:rPr>
          <w:spacing w:val="2"/>
        </w:rPr>
        <w:t> </w:t>
      </w:r>
      <w:r>
        <w:rPr>
          <w:spacing w:val="-5"/>
        </w:rPr>
        <w:t>821</w:t>
      </w:r>
      <w:r>
        <w:rPr/>
        <w:tab/>
        <w:t>94,</w:t>
      </w:r>
      <w:r>
        <w:rPr>
          <w:spacing w:val="-3"/>
        </w:rPr>
        <w:t> </w:t>
      </w:r>
      <w:r>
        <w:rPr/>
        <w:t>99,</w:t>
      </w:r>
      <w:r>
        <w:rPr>
          <w:spacing w:val="-1"/>
        </w:rPr>
        <w:t> </w:t>
      </w:r>
      <w:r>
        <w:rPr>
          <w:spacing w:val="-5"/>
        </w:rPr>
        <w:t>132</w:t>
      </w:r>
    </w:p>
    <w:p>
      <w:pPr>
        <w:pStyle w:val="BodyText"/>
        <w:spacing w:before="41"/>
      </w:pPr>
      <w:r>
        <w:rPr/>
        <w:t>Hutton</w:t>
      </w:r>
      <w:r>
        <w:rPr>
          <w:spacing w:val="-6"/>
        </w:rPr>
        <w:t> </w:t>
      </w:r>
      <w:r>
        <w:rPr/>
        <w:t>vs.</w:t>
      </w:r>
      <w:r>
        <w:rPr>
          <w:spacing w:val="1"/>
        </w:rPr>
        <w:t> </w:t>
      </w:r>
      <w:r>
        <w:rPr/>
        <w:t>West</w:t>
      </w:r>
      <w:r>
        <w:rPr>
          <w:spacing w:val="4"/>
        </w:rPr>
        <w:t> </w:t>
      </w:r>
      <w:r>
        <w:rPr/>
        <w:t>Cork </w:t>
      </w:r>
      <w:r>
        <w:rPr>
          <w:spacing w:val="-2"/>
        </w:rPr>
        <w:t>Railway</w:t>
      </w:r>
    </w:p>
    <w:p>
      <w:pPr>
        <w:pStyle w:val="BodyText"/>
        <w:tabs>
          <w:tab w:pos="7582" w:val="left" w:leader="dot"/>
        </w:tabs>
        <w:spacing w:before="41"/>
        <w:ind w:left="1028"/>
      </w:pPr>
      <w:r>
        <w:rPr/>
        <w:t>(1883) 23</w:t>
      </w:r>
      <w:r>
        <w:rPr>
          <w:spacing w:val="-5"/>
        </w:rPr>
        <w:t> </w:t>
      </w:r>
      <w:r>
        <w:rPr/>
        <w:t>Ch.</w:t>
      </w:r>
      <w:r>
        <w:rPr>
          <w:spacing w:val="1"/>
        </w:rPr>
        <w:t> </w:t>
      </w:r>
      <w:r>
        <w:rPr/>
        <w:t>D.</w:t>
      </w:r>
      <w:r>
        <w:rPr>
          <w:spacing w:val="1"/>
        </w:rPr>
        <w:t> </w:t>
      </w:r>
      <w:r>
        <w:rPr/>
        <w:t>at </w:t>
      </w:r>
      <w:r>
        <w:rPr>
          <w:spacing w:val="-5"/>
        </w:rPr>
        <w:t>673</w:t>
      </w:r>
      <w:r>
        <w:rPr/>
        <w:tab/>
        <w:t>84,</w:t>
      </w:r>
      <w:r>
        <w:rPr>
          <w:spacing w:val="-3"/>
        </w:rPr>
        <w:t> </w:t>
      </w:r>
      <w:r>
        <w:rPr/>
        <w:t>103,</w:t>
      </w:r>
      <w:r>
        <w:rPr>
          <w:spacing w:val="-1"/>
        </w:rPr>
        <w:t> </w:t>
      </w:r>
      <w:r>
        <w:rPr>
          <w:spacing w:val="-5"/>
        </w:rPr>
        <w:t>144</w:t>
      </w:r>
    </w:p>
    <w:p>
      <w:pPr>
        <w:pStyle w:val="BodyText"/>
        <w:spacing w:before="41"/>
      </w:pPr>
      <w:r>
        <w:rPr/>
        <w:t>Imperial</w:t>
      </w:r>
      <w:r>
        <w:rPr>
          <w:spacing w:val="-9"/>
        </w:rPr>
        <w:t> </w:t>
      </w:r>
      <w:r>
        <w:rPr/>
        <w:t>Mercantile</w:t>
      </w:r>
      <w:r>
        <w:rPr>
          <w:spacing w:val="-4"/>
        </w:rPr>
        <w:t> </w:t>
      </w:r>
      <w:r>
        <w:rPr/>
        <w:t>Credit Association</w:t>
      </w:r>
      <w:r>
        <w:rPr>
          <w:spacing w:val="-4"/>
        </w:rPr>
        <w:t> </w:t>
      </w:r>
      <w:r>
        <w:rPr/>
        <w:t>vs.</w:t>
      </w:r>
      <w:r>
        <w:rPr>
          <w:spacing w:val="-1"/>
        </w:rPr>
        <w:t> </w:t>
      </w:r>
      <w:r>
        <w:rPr>
          <w:spacing w:val="-2"/>
        </w:rPr>
        <w:t>Coleman</w:t>
      </w:r>
    </w:p>
    <w:p>
      <w:pPr>
        <w:pStyle w:val="BodyText"/>
        <w:tabs>
          <w:tab w:pos="7455" w:val="left" w:leader="dot"/>
        </w:tabs>
        <w:spacing w:before="41"/>
        <w:ind w:left="1028"/>
      </w:pPr>
      <w:r>
        <w:rPr/>
        <w:t>(1873)</w:t>
      </w:r>
      <w:r>
        <w:rPr>
          <w:spacing w:val="2"/>
        </w:rPr>
        <w:t> </w:t>
      </w:r>
      <w:r>
        <w:rPr/>
        <w:t>LR 6</w:t>
      </w:r>
      <w:r>
        <w:rPr>
          <w:spacing w:val="1"/>
        </w:rPr>
        <w:t> </w:t>
      </w:r>
      <w:r>
        <w:rPr/>
        <w:t>HL</w:t>
      </w:r>
      <w:r>
        <w:rPr>
          <w:spacing w:val="-1"/>
        </w:rPr>
        <w:t> </w:t>
      </w:r>
      <w:r>
        <w:rPr>
          <w:spacing w:val="-5"/>
        </w:rPr>
        <w:t>189</w:t>
      </w:r>
      <w:r>
        <w:rPr/>
        <w:tab/>
        <w:t>179,</w:t>
      </w:r>
      <w:r>
        <w:rPr>
          <w:spacing w:val="-1"/>
        </w:rPr>
        <w:t> </w:t>
      </w:r>
      <w:r>
        <w:rPr/>
        <w:t>197,</w:t>
      </w:r>
      <w:r>
        <w:rPr>
          <w:spacing w:val="2"/>
        </w:rPr>
        <w:t> </w:t>
      </w:r>
      <w:r>
        <w:rPr>
          <w:spacing w:val="-5"/>
        </w:rPr>
        <w:t>234</w:t>
      </w:r>
    </w:p>
    <w:p>
      <w:pPr>
        <w:pStyle w:val="BodyText"/>
        <w:spacing w:before="41"/>
      </w:pPr>
      <w:r>
        <w:rPr/>
        <w:t>In</w:t>
      </w:r>
      <w:r>
        <w:rPr>
          <w:spacing w:val="-7"/>
        </w:rPr>
        <w:t> </w:t>
      </w:r>
      <w:r>
        <w:rPr/>
        <w:t>Plus</w:t>
      </w:r>
      <w:r>
        <w:rPr>
          <w:spacing w:val="-2"/>
        </w:rPr>
        <w:t> </w:t>
      </w:r>
      <w:r>
        <w:rPr/>
        <w:t>Group Ltd.</w:t>
      </w:r>
      <w:r>
        <w:rPr>
          <w:spacing w:val="-3"/>
        </w:rPr>
        <w:t> </w:t>
      </w:r>
      <w:r>
        <w:rPr/>
        <w:t>vs.</w:t>
      </w:r>
      <w:r>
        <w:rPr>
          <w:spacing w:val="3"/>
        </w:rPr>
        <w:t> </w:t>
      </w:r>
      <w:r>
        <w:rPr>
          <w:spacing w:val="-4"/>
        </w:rPr>
        <w:t>Pyke</w:t>
      </w:r>
    </w:p>
    <w:p>
      <w:pPr>
        <w:pStyle w:val="BodyText"/>
        <w:tabs>
          <w:tab w:pos="8773" w:val="right" w:leader="dot"/>
        </w:tabs>
        <w:spacing w:before="41"/>
        <w:ind w:left="1028"/>
      </w:pPr>
      <w:r>
        <w:rPr/>
        <w:t>(2002)</w:t>
      </w:r>
      <w:r>
        <w:rPr>
          <w:spacing w:val="-6"/>
        </w:rPr>
        <w:t> </w:t>
      </w:r>
      <w:r>
        <w:rPr/>
        <w:t>EWCA</w:t>
      </w:r>
      <w:r>
        <w:rPr>
          <w:spacing w:val="-6"/>
        </w:rPr>
        <w:t> </w:t>
      </w:r>
      <w:r>
        <w:rPr/>
        <w:t>Civ.</w:t>
      </w:r>
      <w:r>
        <w:rPr>
          <w:spacing w:val="1"/>
        </w:rPr>
        <w:t> </w:t>
      </w:r>
      <w:r>
        <w:rPr/>
        <w:t>370;</w:t>
      </w:r>
      <w:r>
        <w:rPr>
          <w:spacing w:val="-5"/>
        </w:rPr>
        <w:t> </w:t>
      </w:r>
      <w:r>
        <w:rPr/>
        <w:t>(2002) B.C.L.C.</w:t>
      </w:r>
      <w:r>
        <w:rPr>
          <w:spacing w:val="1"/>
        </w:rPr>
        <w:t> </w:t>
      </w:r>
      <w:r>
        <w:rPr/>
        <w:t>201,</w:t>
      </w:r>
      <w:r>
        <w:rPr>
          <w:spacing w:val="2"/>
        </w:rPr>
        <w:t> </w:t>
      </w:r>
      <w:r>
        <w:rPr>
          <w:spacing w:val="-5"/>
        </w:rPr>
        <w:t>CA</w:t>
      </w:r>
      <w:r>
        <w:rPr/>
        <w:tab/>
      </w:r>
      <w:r>
        <w:rPr>
          <w:spacing w:val="-5"/>
        </w:rPr>
        <w:t>172</w:t>
      </w:r>
    </w:p>
    <w:p>
      <w:pPr>
        <w:pStyle w:val="BodyText"/>
        <w:spacing w:before="45"/>
      </w:pPr>
      <w:r>
        <w:rPr/>
        <w:t>Industrial</w:t>
      </w:r>
      <w:r>
        <w:rPr>
          <w:spacing w:val="-11"/>
        </w:rPr>
        <w:t> </w:t>
      </w:r>
      <w:r>
        <w:rPr/>
        <w:t>Development</w:t>
      </w:r>
      <w:r>
        <w:rPr>
          <w:spacing w:val="2"/>
        </w:rPr>
        <w:t> </w:t>
      </w:r>
      <w:r>
        <w:rPr/>
        <w:t>Consultants</w:t>
      </w:r>
      <w:r>
        <w:rPr>
          <w:spacing w:val="-4"/>
        </w:rPr>
        <w:t> </w:t>
      </w:r>
      <w:r>
        <w:rPr/>
        <w:t>vs. </w:t>
      </w:r>
      <w:r>
        <w:rPr>
          <w:spacing w:val="-2"/>
        </w:rPr>
        <w:t>Cooley</w:t>
      </w:r>
    </w:p>
    <w:p>
      <w:pPr>
        <w:pStyle w:val="BodyText"/>
        <w:tabs>
          <w:tab w:pos="6425" w:val="left" w:leader="dot"/>
        </w:tabs>
        <w:spacing w:before="41"/>
        <w:ind w:left="1028"/>
      </w:pPr>
      <w:r>
        <w:rPr/>
        <w:t>(1972)</w:t>
      </w:r>
      <w:r>
        <w:rPr>
          <w:spacing w:val="2"/>
        </w:rPr>
        <w:t> </w:t>
      </w:r>
      <w:r>
        <w:rPr/>
        <w:t>2</w:t>
      </w:r>
      <w:r>
        <w:rPr>
          <w:spacing w:val="-4"/>
        </w:rPr>
        <w:t> </w:t>
      </w:r>
      <w:r>
        <w:rPr/>
        <w:t>All</w:t>
      </w:r>
      <w:r>
        <w:rPr>
          <w:spacing w:val="-4"/>
        </w:rPr>
        <w:t> </w:t>
      </w:r>
      <w:r>
        <w:rPr/>
        <w:t>ER,</w:t>
      </w:r>
      <w:r>
        <w:rPr>
          <w:spacing w:val="5"/>
        </w:rPr>
        <w:t> </w:t>
      </w:r>
      <w:r>
        <w:rPr>
          <w:spacing w:val="-4"/>
        </w:rPr>
        <w:t>162.</w:t>
      </w:r>
      <w:r>
        <w:rPr/>
        <w:tab/>
        <w:t>113,</w:t>
      </w:r>
      <w:r>
        <w:rPr>
          <w:spacing w:val="-3"/>
        </w:rPr>
        <w:t> </w:t>
      </w:r>
      <w:r>
        <w:rPr/>
        <w:t>116,</w:t>
      </w:r>
      <w:r>
        <w:rPr>
          <w:spacing w:val="-1"/>
        </w:rPr>
        <w:t> </w:t>
      </w:r>
      <w:r>
        <w:rPr/>
        <w:t>169,</w:t>
      </w:r>
      <w:r>
        <w:rPr>
          <w:spacing w:val="-1"/>
        </w:rPr>
        <w:t> </w:t>
      </w:r>
      <w:r>
        <w:rPr/>
        <w:t>178,</w:t>
      </w:r>
      <w:r>
        <w:rPr>
          <w:spacing w:val="-1"/>
        </w:rPr>
        <w:t> </w:t>
      </w:r>
      <w:r>
        <w:rPr>
          <w:spacing w:val="-5"/>
        </w:rPr>
        <w:t>183</w:t>
      </w:r>
    </w:p>
    <w:p>
      <w:pPr>
        <w:pStyle w:val="BodyText"/>
        <w:spacing w:before="41"/>
      </w:pPr>
      <w:r>
        <w:rPr/>
        <w:t>Irving</w:t>
      </w:r>
      <w:r>
        <w:rPr>
          <w:spacing w:val="-3"/>
        </w:rPr>
        <w:t> </w:t>
      </w:r>
      <w:r>
        <w:rPr/>
        <w:t>Trust</w:t>
      </w:r>
      <w:r>
        <w:rPr>
          <w:spacing w:val="2"/>
        </w:rPr>
        <w:t> </w:t>
      </w:r>
      <w:r>
        <w:rPr/>
        <w:t>Co.</w:t>
      </w:r>
      <w:r>
        <w:rPr>
          <w:spacing w:val="-5"/>
        </w:rPr>
        <w:t> </w:t>
      </w:r>
      <w:r>
        <w:rPr/>
        <w:t>vs. </w:t>
      </w:r>
      <w:r>
        <w:rPr>
          <w:spacing w:val="-2"/>
        </w:rPr>
        <w:t>Deutsche</w:t>
      </w:r>
    </w:p>
    <w:p>
      <w:pPr>
        <w:pStyle w:val="BodyText"/>
        <w:tabs>
          <w:tab w:pos="7923" w:val="left" w:leader="dot"/>
        </w:tabs>
        <w:spacing w:before="41"/>
        <w:ind w:left="1028"/>
      </w:pPr>
      <w:r>
        <w:rPr/>
        <w:t>(1934)</w:t>
      </w:r>
      <w:r>
        <w:rPr>
          <w:spacing w:val="1"/>
        </w:rPr>
        <w:t> </w:t>
      </w:r>
      <w:r>
        <w:rPr/>
        <w:t>73</w:t>
      </w:r>
      <w:r>
        <w:rPr>
          <w:spacing w:val="-3"/>
        </w:rPr>
        <w:t> </w:t>
      </w:r>
      <w:r>
        <w:rPr/>
        <w:t>F</w:t>
      </w:r>
      <w:r>
        <w:rPr>
          <w:spacing w:val="-2"/>
        </w:rPr>
        <w:t> </w:t>
      </w:r>
      <w:r>
        <w:rPr/>
        <w:t>2d.</w:t>
      </w:r>
      <w:r>
        <w:rPr>
          <w:spacing w:val="5"/>
        </w:rPr>
        <w:t> </w:t>
      </w:r>
      <w:r>
        <w:rPr>
          <w:spacing w:val="-5"/>
        </w:rPr>
        <w:t>121</w:t>
      </w:r>
      <w:r>
        <w:rPr/>
        <w:tab/>
        <w:t>116,</w:t>
      </w:r>
      <w:r>
        <w:rPr>
          <w:spacing w:val="-3"/>
        </w:rPr>
        <w:t> </w:t>
      </w:r>
      <w:r>
        <w:rPr>
          <w:spacing w:val="-5"/>
        </w:rPr>
        <w:t>183</w:t>
      </w:r>
    </w:p>
    <w:p>
      <w:pPr>
        <w:pStyle w:val="BodyText"/>
        <w:spacing w:before="41"/>
      </w:pPr>
      <w:r>
        <w:rPr/>
        <w:t>Island</w:t>
      </w:r>
      <w:r>
        <w:rPr>
          <w:spacing w:val="-3"/>
        </w:rPr>
        <w:t> </w:t>
      </w:r>
      <w:r>
        <w:rPr/>
        <w:t>Export</w:t>
      </w:r>
      <w:r>
        <w:rPr>
          <w:spacing w:val="-3"/>
        </w:rPr>
        <w:t> </w:t>
      </w:r>
      <w:r>
        <w:rPr/>
        <w:t>Finance</w:t>
      </w:r>
      <w:r>
        <w:rPr>
          <w:spacing w:val="2"/>
        </w:rPr>
        <w:t> </w:t>
      </w:r>
      <w:r>
        <w:rPr/>
        <w:t>Ltd.</w:t>
      </w:r>
      <w:r>
        <w:rPr>
          <w:spacing w:val="-6"/>
        </w:rPr>
        <w:t> </w:t>
      </w:r>
      <w:r>
        <w:rPr/>
        <w:t>vs. </w:t>
      </w:r>
      <w:r>
        <w:rPr>
          <w:spacing w:val="-2"/>
        </w:rPr>
        <w:t>Umunna</w:t>
      </w:r>
    </w:p>
    <w:p>
      <w:pPr>
        <w:pStyle w:val="BodyText"/>
        <w:tabs>
          <w:tab w:pos="8811" w:val="right" w:leader="dot"/>
        </w:tabs>
        <w:spacing w:before="41"/>
        <w:ind w:left="1028"/>
      </w:pPr>
      <w:r>
        <w:rPr/>
        <w:t>(1986)</w:t>
      </w:r>
      <w:r>
        <w:rPr>
          <w:spacing w:val="1"/>
        </w:rPr>
        <w:t> </w:t>
      </w:r>
      <w:r>
        <w:rPr/>
        <w:t>BCC</w:t>
      </w:r>
      <w:r>
        <w:rPr>
          <w:spacing w:val="-1"/>
        </w:rPr>
        <w:t> </w:t>
      </w:r>
      <w:r>
        <w:rPr>
          <w:spacing w:val="-4"/>
        </w:rPr>
        <w:t>460.</w:t>
      </w:r>
      <w:r>
        <w:rPr/>
        <w:tab/>
      </w:r>
      <w:r>
        <w:rPr>
          <w:spacing w:val="-5"/>
        </w:rPr>
        <w:t>175</w:t>
      </w:r>
    </w:p>
    <w:p>
      <w:pPr>
        <w:pStyle w:val="BodyText"/>
        <w:spacing w:before="41"/>
      </w:pPr>
      <w:r>
        <w:rPr/>
        <w:t>Item</w:t>
      </w:r>
      <w:r>
        <w:rPr>
          <w:spacing w:val="-9"/>
        </w:rPr>
        <w:t> </w:t>
      </w:r>
      <w:r>
        <w:rPr/>
        <w:t>Software (UK)</w:t>
      </w:r>
      <w:r>
        <w:rPr>
          <w:spacing w:val="1"/>
        </w:rPr>
        <w:t> </w:t>
      </w:r>
      <w:r>
        <w:rPr/>
        <w:t>Ltd.</w:t>
      </w:r>
      <w:r>
        <w:rPr>
          <w:spacing w:val="-2"/>
        </w:rPr>
        <w:t> </w:t>
      </w:r>
      <w:r>
        <w:rPr/>
        <w:t>vs.</w:t>
      </w:r>
      <w:r>
        <w:rPr>
          <w:spacing w:val="3"/>
        </w:rPr>
        <w:t> </w:t>
      </w:r>
      <w:r>
        <w:rPr>
          <w:spacing w:val="-2"/>
        </w:rPr>
        <w:t>Fassihi</w:t>
      </w:r>
    </w:p>
    <w:p>
      <w:pPr>
        <w:pStyle w:val="BodyText"/>
        <w:tabs>
          <w:tab w:pos="8778" w:val="right" w:leader="dot"/>
        </w:tabs>
        <w:spacing w:before="41"/>
        <w:ind w:left="1028"/>
      </w:pPr>
      <w:r>
        <w:rPr/>
        <w:t>(2005) 2</w:t>
      </w:r>
      <w:r>
        <w:rPr>
          <w:spacing w:val="-4"/>
        </w:rPr>
        <w:t> </w:t>
      </w:r>
      <w:r>
        <w:rPr/>
        <w:t>B.C.L.C.</w:t>
      </w:r>
      <w:r>
        <w:rPr>
          <w:spacing w:val="-1"/>
        </w:rPr>
        <w:t> </w:t>
      </w:r>
      <w:r>
        <w:rPr>
          <w:spacing w:val="-5"/>
        </w:rPr>
        <w:t>91.</w:t>
      </w:r>
      <w:r>
        <w:rPr/>
        <w:tab/>
      </w:r>
      <w:r>
        <w:rPr>
          <w:spacing w:val="-5"/>
        </w:rPr>
        <w:t>138</w:t>
      </w:r>
    </w:p>
    <w:p>
      <w:pPr>
        <w:pStyle w:val="BodyText"/>
        <w:spacing w:before="46"/>
      </w:pPr>
      <w:r>
        <w:rPr/>
        <w:t>John</w:t>
      </w:r>
      <w:r>
        <w:rPr>
          <w:spacing w:val="-6"/>
        </w:rPr>
        <w:t> </w:t>
      </w:r>
      <w:r>
        <w:rPr/>
        <w:t>Shaw &amp;</w:t>
      </w:r>
      <w:r>
        <w:rPr>
          <w:spacing w:val="-4"/>
        </w:rPr>
        <w:t> </w:t>
      </w:r>
      <w:r>
        <w:rPr/>
        <w:t>Sons</w:t>
      </w:r>
      <w:r>
        <w:rPr>
          <w:spacing w:val="-2"/>
        </w:rPr>
        <w:t> </w:t>
      </w:r>
      <w:r>
        <w:rPr/>
        <w:t>(Salford) Ltd vs.</w:t>
      </w:r>
      <w:r>
        <w:rPr>
          <w:spacing w:val="2"/>
        </w:rPr>
        <w:t> </w:t>
      </w:r>
      <w:r>
        <w:rPr>
          <w:spacing w:val="-4"/>
        </w:rPr>
        <w:t>Shaw</w:t>
      </w:r>
    </w:p>
    <w:p>
      <w:pPr>
        <w:pStyle w:val="BodyText"/>
        <w:tabs>
          <w:tab w:pos="8787" w:val="right" w:leader="dot"/>
        </w:tabs>
        <w:spacing w:before="41"/>
        <w:ind w:left="1028"/>
      </w:pPr>
      <w:r>
        <w:rPr/>
        <w:t>(1935)</w:t>
      </w:r>
      <w:r>
        <w:rPr>
          <w:spacing w:val="4"/>
        </w:rPr>
        <w:t> </w:t>
      </w:r>
      <w:r>
        <w:rPr/>
        <w:t>2</w:t>
      </w:r>
      <w:r>
        <w:rPr>
          <w:spacing w:val="-2"/>
        </w:rPr>
        <w:t> KB113</w:t>
      </w:r>
      <w:r>
        <w:rPr/>
        <w:tab/>
      </w:r>
      <w:r>
        <w:rPr>
          <w:spacing w:val="-5"/>
        </w:rPr>
        <w:t>48</w:t>
      </w:r>
    </w:p>
    <w:p>
      <w:pPr>
        <w:pStyle w:val="BodyText"/>
        <w:spacing w:before="40"/>
      </w:pPr>
      <w:r>
        <w:rPr/>
        <w:t>Keech</w:t>
      </w:r>
      <w:r>
        <w:rPr>
          <w:spacing w:val="-5"/>
        </w:rPr>
        <w:t> </w:t>
      </w:r>
      <w:r>
        <w:rPr/>
        <w:t>vs.</w:t>
      </w:r>
      <w:r>
        <w:rPr>
          <w:spacing w:val="2"/>
        </w:rPr>
        <w:t> </w:t>
      </w:r>
      <w:r>
        <w:rPr>
          <w:spacing w:val="-2"/>
        </w:rPr>
        <w:t>Sandford</w:t>
      </w:r>
    </w:p>
    <w:p>
      <w:pPr>
        <w:pStyle w:val="BodyText"/>
        <w:tabs>
          <w:tab w:pos="7951" w:val="left" w:leader="dot"/>
        </w:tabs>
        <w:spacing w:before="41"/>
        <w:ind w:left="1028"/>
      </w:pPr>
      <w:r>
        <w:rPr/>
        <w:t>(1726)</w:t>
      </w:r>
      <w:r>
        <w:rPr>
          <w:spacing w:val="-1"/>
        </w:rPr>
        <w:t> </w:t>
      </w:r>
      <w:r>
        <w:rPr/>
        <w:t>2</w:t>
      </w:r>
      <w:r>
        <w:rPr>
          <w:spacing w:val="-7"/>
        </w:rPr>
        <w:t> </w:t>
      </w:r>
      <w:r>
        <w:rPr/>
        <w:t>Eq. Cas. Abr.</w:t>
      </w:r>
      <w:r>
        <w:rPr>
          <w:spacing w:val="1"/>
        </w:rPr>
        <w:t> </w:t>
      </w:r>
      <w:r>
        <w:rPr>
          <w:spacing w:val="-4"/>
        </w:rPr>
        <w:t>741.</w:t>
      </w:r>
      <w:r>
        <w:rPr/>
        <w:tab/>
        <w:t>167,</w:t>
      </w:r>
      <w:r>
        <w:rPr>
          <w:spacing w:val="-3"/>
        </w:rPr>
        <w:t> </w:t>
      </w:r>
      <w:r>
        <w:rPr>
          <w:spacing w:val="-5"/>
        </w:rPr>
        <w:t>169</w:t>
      </w:r>
    </w:p>
    <w:p>
      <w:pPr>
        <w:pStyle w:val="BodyText"/>
        <w:spacing w:before="41"/>
      </w:pPr>
      <w:r>
        <w:rPr/>
        <w:t>Kregor</w:t>
      </w:r>
      <w:r>
        <w:rPr>
          <w:spacing w:val="-2"/>
        </w:rPr>
        <w:t> </w:t>
      </w:r>
      <w:r>
        <w:rPr/>
        <w:t>vs. </w:t>
      </w:r>
      <w:r>
        <w:rPr>
          <w:spacing w:val="-2"/>
        </w:rPr>
        <w:t>Hollins</w:t>
      </w:r>
    </w:p>
    <w:p>
      <w:pPr>
        <w:pStyle w:val="BodyText"/>
        <w:tabs>
          <w:tab w:pos="8806" w:val="right" w:leader="dot"/>
        </w:tabs>
        <w:spacing w:before="41"/>
        <w:ind w:left="1028"/>
      </w:pPr>
      <w:r>
        <w:rPr/>
        <w:t>(1913)</w:t>
      </w:r>
      <w:r>
        <w:rPr>
          <w:spacing w:val="2"/>
        </w:rPr>
        <w:t> </w:t>
      </w:r>
      <w:r>
        <w:rPr/>
        <w:t>109</w:t>
      </w:r>
      <w:r>
        <w:rPr>
          <w:spacing w:val="-4"/>
        </w:rPr>
        <w:t> </w:t>
      </w:r>
      <w:r>
        <w:rPr/>
        <w:t>LT</w:t>
      </w:r>
      <w:r>
        <w:rPr>
          <w:spacing w:val="4"/>
        </w:rPr>
        <w:t> </w:t>
      </w:r>
      <w:r>
        <w:rPr>
          <w:spacing w:val="-5"/>
        </w:rPr>
        <w:t>225</w:t>
      </w:r>
      <w:r>
        <w:rPr/>
        <w:tab/>
      </w:r>
      <w:r>
        <w:rPr>
          <w:spacing w:val="-5"/>
        </w:rPr>
        <w:t>153</w:t>
      </w:r>
    </w:p>
    <w:p>
      <w:pPr>
        <w:pStyle w:val="BodyText"/>
        <w:spacing w:before="41"/>
      </w:pPr>
      <w:r>
        <w:rPr/>
        <w:t>Kuwait</w:t>
      </w:r>
      <w:r>
        <w:rPr>
          <w:spacing w:val="7"/>
        </w:rPr>
        <w:t> </w:t>
      </w:r>
      <w:r>
        <w:rPr/>
        <w:t>Asia</w:t>
      </w:r>
      <w:r>
        <w:rPr>
          <w:spacing w:val="-2"/>
        </w:rPr>
        <w:t> </w:t>
      </w:r>
      <w:r>
        <w:rPr/>
        <w:t>Bank</w:t>
      </w:r>
      <w:r>
        <w:rPr>
          <w:spacing w:val="-2"/>
        </w:rPr>
        <w:t> </w:t>
      </w:r>
      <w:r>
        <w:rPr/>
        <w:t>EC</w:t>
      </w:r>
      <w:r>
        <w:rPr>
          <w:spacing w:val="-4"/>
        </w:rPr>
        <w:t> </w:t>
      </w:r>
      <w:r>
        <w:rPr/>
        <w:t>vs. National</w:t>
      </w:r>
      <w:r>
        <w:rPr>
          <w:spacing w:val="-6"/>
        </w:rPr>
        <w:t> </w:t>
      </w:r>
      <w:r>
        <w:rPr/>
        <w:t>Mutual</w:t>
      </w:r>
      <w:r>
        <w:rPr>
          <w:spacing w:val="-10"/>
        </w:rPr>
        <w:t> </w:t>
      </w:r>
      <w:r>
        <w:rPr/>
        <w:t>Life</w:t>
      </w:r>
      <w:r>
        <w:rPr>
          <w:spacing w:val="-3"/>
        </w:rPr>
        <w:t> </w:t>
      </w:r>
      <w:r>
        <w:rPr/>
        <w:t>Nominees</w:t>
      </w:r>
      <w:r>
        <w:rPr>
          <w:spacing w:val="-3"/>
        </w:rPr>
        <w:t> </w:t>
      </w:r>
      <w:r>
        <w:rPr>
          <w:spacing w:val="-4"/>
        </w:rPr>
        <w:t>Ltd.</w:t>
      </w:r>
    </w:p>
    <w:p>
      <w:pPr>
        <w:pStyle w:val="BodyText"/>
        <w:tabs>
          <w:tab w:pos="8713" w:val="right" w:leader="dot"/>
        </w:tabs>
        <w:spacing w:before="41"/>
        <w:ind w:left="1028"/>
      </w:pPr>
      <w:r>
        <w:rPr/>
        <w:t>(1991)</w:t>
      </w:r>
      <w:r>
        <w:rPr>
          <w:spacing w:val="1"/>
        </w:rPr>
        <w:t> </w:t>
      </w:r>
      <w:r>
        <w:rPr/>
        <w:t>1</w:t>
      </w:r>
      <w:r>
        <w:rPr>
          <w:spacing w:val="-4"/>
        </w:rPr>
        <w:t> </w:t>
      </w:r>
      <w:r>
        <w:rPr/>
        <w:t>A.C.</w:t>
      </w:r>
      <w:r>
        <w:rPr>
          <w:spacing w:val="3"/>
        </w:rPr>
        <w:t> </w:t>
      </w:r>
      <w:r>
        <w:rPr/>
        <w:t>187,</w:t>
      </w:r>
      <w:r>
        <w:rPr>
          <w:spacing w:val="-2"/>
        </w:rPr>
        <w:t> </w:t>
      </w:r>
      <w:r>
        <w:rPr>
          <w:spacing w:val="-5"/>
        </w:rPr>
        <w:t>PC</w:t>
      </w:r>
      <w:r>
        <w:rPr/>
        <w:tab/>
      </w:r>
      <w:r>
        <w:rPr>
          <w:spacing w:val="-5"/>
        </w:rPr>
        <w:t>156</w:t>
      </w:r>
    </w:p>
    <w:p>
      <w:pPr>
        <w:pStyle w:val="BodyText"/>
        <w:spacing w:before="41"/>
      </w:pPr>
      <w:r>
        <w:rPr/>
        <w:t>Lagarde</w:t>
      </w:r>
      <w:r>
        <w:rPr>
          <w:spacing w:val="-2"/>
        </w:rPr>
        <w:t> </w:t>
      </w:r>
      <w:r>
        <w:rPr/>
        <w:t>vs.</w:t>
      </w:r>
      <w:r>
        <w:rPr>
          <w:spacing w:val="1"/>
        </w:rPr>
        <w:t> </w:t>
      </w:r>
      <w:r>
        <w:rPr/>
        <w:t>Anniston</w:t>
      </w:r>
      <w:r>
        <w:rPr>
          <w:spacing w:val="-6"/>
        </w:rPr>
        <w:t> </w:t>
      </w:r>
      <w:r>
        <w:rPr/>
        <w:t>Lime</w:t>
      </w:r>
      <w:r>
        <w:rPr>
          <w:spacing w:val="-2"/>
        </w:rPr>
        <w:t> </w:t>
      </w:r>
      <w:r>
        <w:rPr/>
        <w:t>and</w:t>
      </w:r>
      <w:r>
        <w:rPr>
          <w:spacing w:val="-1"/>
        </w:rPr>
        <w:t> </w:t>
      </w:r>
      <w:r>
        <w:rPr/>
        <w:t>Stone</w:t>
      </w:r>
      <w:r>
        <w:rPr>
          <w:spacing w:val="-1"/>
        </w:rPr>
        <w:t> </w:t>
      </w:r>
      <w:r>
        <w:rPr>
          <w:spacing w:val="-5"/>
        </w:rPr>
        <w:t>Co.</w:t>
      </w:r>
    </w:p>
    <w:p>
      <w:pPr>
        <w:pStyle w:val="BodyText"/>
        <w:tabs>
          <w:tab w:pos="8763" w:val="right" w:leader="dot"/>
        </w:tabs>
        <w:spacing w:before="45"/>
        <w:ind w:left="1028"/>
      </w:pPr>
      <w:r>
        <w:rPr/>
        <w:t>(1900)</w:t>
      </w:r>
      <w:r>
        <w:rPr>
          <w:spacing w:val="3"/>
        </w:rPr>
        <w:t> </w:t>
      </w:r>
      <w:r>
        <w:rPr/>
        <w:t>28</w:t>
      </w:r>
      <w:r>
        <w:rPr>
          <w:spacing w:val="-3"/>
        </w:rPr>
        <w:t> </w:t>
      </w:r>
      <w:r>
        <w:rPr/>
        <w:t>So.</w:t>
      </w:r>
      <w:r>
        <w:rPr>
          <w:spacing w:val="-1"/>
        </w:rPr>
        <w:t> </w:t>
      </w:r>
      <w:r>
        <w:rPr/>
        <w:t>199, </w:t>
      </w:r>
      <w:r>
        <w:rPr>
          <w:spacing w:val="-4"/>
        </w:rPr>
        <w:t>201.</w:t>
      </w:r>
      <w:r>
        <w:rPr/>
        <w:tab/>
      </w:r>
      <w:r>
        <w:rPr>
          <w:spacing w:val="-5"/>
        </w:rPr>
        <w:t>175</w:t>
      </w:r>
    </w:p>
    <w:p>
      <w:pPr>
        <w:pStyle w:val="BodyText"/>
        <w:spacing w:before="42"/>
      </w:pPr>
      <w:r>
        <w:rPr/>
        <w:t>Lagunas</w:t>
      </w:r>
      <w:r>
        <w:rPr>
          <w:spacing w:val="-3"/>
        </w:rPr>
        <w:t> </w:t>
      </w:r>
      <w:r>
        <w:rPr/>
        <w:t>Nitrate</w:t>
      </w:r>
      <w:r>
        <w:rPr>
          <w:spacing w:val="-2"/>
        </w:rPr>
        <w:t> </w:t>
      </w:r>
      <w:r>
        <w:rPr/>
        <w:t>Co.</w:t>
      </w:r>
      <w:r>
        <w:rPr>
          <w:spacing w:val="-4"/>
        </w:rPr>
        <w:t> </w:t>
      </w:r>
      <w:r>
        <w:rPr/>
        <w:t>vs. Lagunas</w:t>
      </w:r>
      <w:r>
        <w:rPr>
          <w:spacing w:val="-2"/>
        </w:rPr>
        <w:t> </w:t>
      </w:r>
      <w:r>
        <w:rPr/>
        <w:t>Nitrate</w:t>
      </w:r>
      <w:r>
        <w:rPr>
          <w:spacing w:val="-2"/>
        </w:rPr>
        <w:t> </w:t>
      </w:r>
      <w:r>
        <w:rPr/>
        <w:t>Syndicate</w:t>
      </w:r>
      <w:r>
        <w:rPr>
          <w:spacing w:val="-2"/>
        </w:rPr>
        <w:t> </w:t>
      </w:r>
      <w:r>
        <w:rPr>
          <w:spacing w:val="-4"/>
        </w:rPr>
        <w:t>Ltd.</w:t>
      </w:r>
    </w:p>
    <w:p>
      <w:pPr>
        <w:pStyle w:val="BodyText"/>
        <w:tabs>
          <w:tab w:pos="8792" w:val="right" w:leader="dot"/>
        </w:tabs>
        <w:spacing w:before="41"/>
        <w:ind w:left="1028"/>
      </w:pPr>
      <w:r>
        <w:rPr/>
        <w:t>(1899) 2</w:t>
      </w:r>
      <w:r>
        <w:rPr>
          <w:spacing w:val="-4"/>
        </w:rPr>
        <w:t> </w:t>
      </w:r>
      <w:r>
        <w:rPr/>
        <w:t>Ch.</w:t>
      </w:r>
      <w:r>
        <w:rPr>
          <w:spacing w:val="2"/>
        </w:rPr>
        <w:t> </w:t>
      </w:r>
      <w:r>
        <w:rPr>
          <w:spacing w:val="-4"/>
        </w:rPr>
        <w:t>392.</w:t>
      </w:r>
      <w:r>
        <w:rPr/>
        <w:tab/>
      </w:r>
      <w:r>
        <w:rPr>
          <w:spacing w:val="-5"/>
        </w:rPr>
        <w:t>61</w:t>
      </w:r>
    </w:p>
    <w:p>
      <w:pPr>
        <w:pStyle w:val="BodyText"/>
        <w:spacing w:before="40"/>
      </w:pPr>
      <w:r>
        <w:rPr/>
        <w:t>Land</w:t>
      </w:r>
      <w:r>
        <w:rPr>
          <w:spacing w:val="-1"/>
        </w:rPr>
        <w:t> </w:t>
      </w:r>
      <w:r>
        <w:rPr/>
        <w:t>Credit</w:t>
      </w:r>
      <w:r>
        <w:rPr>
          <w:spacing w:val="5"/>
        </w:rPr>
        <w:t> </w:t>
      </w:r>
      <w:r>
        <w:rPr/>
        <w:t>Co.</w:t>
      </w:r>
      <w:r>
        <w:rPr>
          <w:spacing w:val="-7"/>
        </w:rPr>
        <w:t> </w:t>
      </w:r>
      <w:r>
        <w:rPr/>
        <w:t>of</w:t>
      </w:r>
      <w:r>
        <w:rPr>
          <w:spacing w:val="-8"/>
        </w:rPr>
        <w:t> </w:t>
      </w:r>
      <w:r>
        <w:rPr/>
        <w:t>Ireland vs.</w:t>
      </w:r>
      <w:r>
        <w:rPr>
          <w:spacing w:val="2"/>
        </w:rPr>
        <w:t> </w:t>
      </w:r>
      <w:r>
        <w:rPr>
          <w:spacing w:val="-2"/>
        </w:rPr>
        <w:t>Fermony</w:t>
      </w:r>
    </w:p>
    <w:p>
      <w:pPr>
        <w:pStyle w:val="BodyText"/>
        <w:tabs>
          <w:tab w:pos="8749" w:val="right" w:leader="dot"/>
        </w:tabs>
        <w:spacing w:before="41"/>
        <w:ind w:left="1028"/>
      </w:pPr>
      <w:r>
        <w:rPr/>
        <w:t>(1870)</w:t>
      </w:r>
      <w:r>
        <w:rPr>
          <w:spacing w:val="-2"/>
        </w:rPr>
        <w:t> </w:t>
      </w:r>
      <w:r>
        <w:rPr/>
        <w:t>LR</w:t>
      </w:r>
      <w:r>
        <w:rPr>
          <w:spacing w:val="-2"/>
        </w:rPr>
        <w:t> </w:t>
      </w:r>
      <w:r>
        <w:rPr/>
        <w:t>5 Ch.</w:t>
      </w:r>
      <w:r>
        <w:rPr>
          <w:spacing w:val="1"/>
        </w:rPr>
        <w:t> </w:t>
      </w:r>
      <w:r>
        <w:rPr/>
        <w:t>App.</w:t>
      </w:r>
      <w:r>
        <w:rPr>
          <w:spacing w:val="2"/>
        </w:rPr>
        <w:t> </w:t>
      </w:r>
      <w:r>
        <w:rPr/>
        <w:t>763 at 770-</w:t>
      </w:r>
      <w:r>
        <w:rPr>
          <w:spacing w:val="-5"/>
        </w:rPr>
        <w:t>771</w:t>
      </w:r>
      <w:r>
        <w:rPr/>
        <w:tab/>
      </w:r>
      <w:r>
        <w:rPr>
          <w:spacing w:val="-5"/>
        </w:rPr>
        <w:t>54</w:t>
      </w:r>
    </w:p>
    <w:p>
      <w:pPr>
        <w:spacing w:after="0"/>
        <w:sectPr>
          <w:pgSz w:w="11910" w:h="16840"/>
          <w:pgMar w:header="0" w:footer="998" w:top="1320" w:bottom="1180" w:left="1680" w:right="1180"/>
        </w:sectPr>
      </w:pPr>
    </w:p>
    <w:p>
      <w:pPr>
        <w:pStyle w:val="BodyText"/>
        <w:spacing w:before="65"/>
      </w:pPr>
      <w:r>
        <w:rPr/>
        <w:t>Lexi</w:t>
      </w:r>
      <w:r>
        <w:rPr>
          <w:spacing w:val="-8"/>
        </w:rPr>
        <w:t> </w:t>
      </w:r>
      <w:r>
        <w:rPr/>
        <w:t>Holdings</w:t>
      </w:r>
      <w:r>
        <w:rPr>
          <w:spacing w:val="-1"/>
        </w:rPr>
        <w:t> </w:t>
      </w:r>
      <w:r>
        <w:rPr/>
        <w:t>Plc vs.</w:t>
      </w:r>
      <w:r>
        <w:rPr>
          <w:spacing w:val="3"/>
        </w:rPr>
        <w:t> </w:t>
      </w:r>
      <w:r>
        <w:rPr>
          <w:spacing w:val="-2"/>
        </w:rPr>
        <w:t>Luqman</w:t>
      </w:r>
    </w:p>
    <w:p>
      <w:pPr>
        <w:pStyle w:val="BodyText"/>
        <w:tabs>
          <w:tab w:pos="8427" w:val="left" w:leader="dot"/>
        </w:tabs>
        <w:spacing w:before="41"/>
        <w:ind w:left="1028"/>
      </w:pPr>
      <w:r>
        <w:rPr/>
        <w:t>(2009)</w:t>
      </w:r>
      <w:r>
        <w:rPr>
          <w:spacing w:val="-5"/>
        </w:rPr>
        <w:t> </w:t>
      </w:r>
      <w:r>
        <w:rPr/>
        <w:t>EWCA</w:t>
      </w:r>
      <w:r>
        <w:rPr>
          <w:spacing w:val="-6"/>
        </w:rPr>
        <w:t> </w:t>
      </w:r>
      <w:r>
        <w:rPr/>
        <w:t>Civ</w:t>
      </w:r>
      <w:r>
        <w:rPr>
          <w:spacing w:val="-4"/>
        </w:rPr>
        <w:t> 117.</w:t>
      </w:r>
      <w:r>
        <w:rPr/>
        <w:tab/>
      </w:r>
      <w:r>
        <w:rPr>
          <w:spacing w:val="-5"/>
        </w:rPr>
        <w:t>164</w:t>
      </w:r>
    </w:p>
    <w:p>
      <w:pPr>
        <w:pStyle w:val="BodyText"/>
        <w:tabs>
          <w:tab w:pos="7467" w:val="left" w:leader="dot"/>
        </w:tabs>
        <w:spacing w:line="276" w:lineRule="auto" w:before="40"/>
        <w:ind w:left="1028" w:right="233" w:hanging="721"/>
      </w:pPr>
      <w:r>
        <w:rPr/>
        <w:t>London</w:t>
      </w:r>
      <w:r>
        <w:rPr>
          <w:spacing w:val="40"/>
        </w:rPr>
        <w:t> </w:t>
      </w:r>
      <w:r>
        <w:rPr/>
        <w:t>and</w:t>
      </w:r>
      <w:r>
        <w:rPr>
          <w:spacing w:val="40"/>
        </w:rPr>
        <w:t> </w:t>
      </w:r>
      <w:r>
        <w:rPr/>
        <w:t>Mashonaland</w:t>
      </w:r>
      <w:r>
        <w:rPr>
          <w:spacing w:val="40"/>
        </w:rPr>
        <w:t> </w:t>
      </w:r>
      <w:r>
        <w:rPr/>
        <w:t>Exploration</w:t>
      </w:r>
      <w:r>
        <w:rPr>
          <w:spacing w:val="40"/>
        </w:rPr>
        <w:t> </w:t>
      </w:r>
      <w:r>
        <w:rPr/>
        <w:t>Co.</w:t>
      </w:r>
      <w:r>
        <w:rPr>
          <w:spacing w:val="40"/>
        </w:rPr>
        <w:t> </w:t>
      </w:r>
      <w:r>
        <w:rPr/>
        <w:t>vs.</w:t>
      </w:r>
      <w:r>
        <w:rPr>
          <w:spacing w:val="40"/>
        </w:rPr>
        <w:t> </w:t>
      </w:r>
      <w:r>
        <w:rPr/>
        <w:t>New</w:t>
      </w:r>
      <w:r>
        <w:rPr>
          <w:spacing w:val="40"/>
        </w:rPr>
        <w:t> </w:t>
      </w:r>
      <w:r>
        <w:rPr/>
        <w:t>Mashonaland</w:t>
      </w:r>
      <w:r>
        <w:rPr>
          <w:spacing w:val="40"/>
        </w:rPr>
        <w:t> </w:t>
      </w:r>
      <w:r>
        <w:rPr/>
        <w:t>Exploration</w:t>
      </w:r>
      <w:r>
        <w:rPr>
          <w:spacing w:val="40"/>
        </w:rPr>
        <w:t> </w:t>
      </w:r>
      <w:r>
        <w:rPr/>
        <w:t>Co.</w:t>
      </w:r>
      <w:r>
        <w:rPr>
          <w:spacing w:val="40"/>
        </w:rPr>
        <w:t> </w:t>
      </w:r>
      <w:r>
        <w:rPr/>
        <w:t>(1891) WN</w:t>
      </w:r>
      <w:r>
        <w:rPr>
          <w:spacing w:val="-1"/>
        </w:rPr>
        <w:t> </w:t>
      </w:r>
      <w:r>
        <w:rPr>
          <w:spacing w:val="-4"/>
        </w:rPr>
        <w:t>165.</w:t>
      </w:r>
      <w:r>
        <w:rPr/>
        <w:tab/>
        <w:t>117,</w:t>
      </w:r>
      <w:r>
        <w:rPr>
          <w:spacing w:val="-1"/>
        </w:rPr>
        <w:t> </w:t>
      </w:r>
      <w:r>
        <w:rPr/>
        <w:t>172,</w:t>
      </w:r>
      <w:r>
        <w:rPr>
          <w:spacing w:val="2"/>
        </w:rPr>
        <w:t> </w:t>
      </w:r>
      <w:r>
        <w:rPr>
          <w:spacing w:val="-5"/>
        </w:rPr>
        <w:t>173</w:t>
      </w:r>
    </w:p>
    <w:p>
      <w:pPr>
        <w:pStyle w:val="BodyText"/>
        <w:spacing w:line="275" w:lineRule="exact"/>
      </w:pPr>
      <w:r>
        <w:rPr/>
        <w:t>Lonrho</w:t>
      </w:r>
      <w:r>
        <w:rPr>
          <w:spacing w:val="1"/>
        </w:rPr>
        <w:t> </w:t>
      </w:r>
      <w:r>
        <w:rPr/>
        <w:t>Ltd.</w:t>
      </w:r>
      <w:r>
        <w:rPr>
          <w:spacing w:val="-6"/>
        </w:rPr>
        <w:t> </w:t>
      </w:r>
      <w:r>
        <w:rPr/>
        <w:t>vs. Shell</w:t>
      </w:r>
      <w:r>
        <w:rPr>
          <w:spacing w:val="-7"/>
        </w:rPr>
        <w:t> </w:t>
      </w:r>
      <w:r>
        <w:rPr/>
        <w:t>Petroleum</w:t>
      </w:r>
      <w:r>
        <w:rPr>
          <w:spacing w:val="-7"/>
        </w:rPr>
        <w:t> </w:t>
      </w:r>
      <w:r>
        <w:rPr>
          <w:spacing w:val="-4"/>
        </w:rPr>
        <w:t>Ltd.</w:t>
      </w:r>
    </w:p>
    <w:p>
      <w:pPr>
        <w:pStyle w:val="BodyText"/>
        <w:tabs>
          <w:tab w:pos="8446" w:val="left" w:leader="dot"/>
        </w:tabs>
        <w:spacing w:before="46"/>
        <w:ind w:left="1028"/>
      </w:pPr>
      <w:r>
        <w:rPr/>
        <w:t>(1980)</w:t>
      </w:r>
      <w:r>
        <w:rPr>
          <w:spacing w:val="-2"/>
        </w:rPr>
        <w:t> </w:t>
      </w:r>
      <w:r>
        <w:rPr/>
        <w:t>1</w:t>
      </w:r>
      <w:r>
        <w:rPr>
          <w:spacing w:val="-6"/>
        </w:rPr>
        <w:t> </w:t>
      </w:r>
      <w:r>
        <w:rPr/>
        <w:t>WLR</w:t>
      </w:r>
      <w:r>
        <w:rPr>
          <w:spacing w:val="-2"/>
        </w:rPr>
        <w:t> </w:t>
      </w:r>
      <w:r>
        <w:rPr>
          <w:spacing w:val="-4"/>
        </w:rPr>
        <w:t>627.</w:t>
      </w:r>
      <w:r>
        <w:rPr/>
        <w:tab/>
      </w:r>
      <w:r>
        <w:rPr>
          <w:spacing w:val="-5"/>
        </w:rPr>
        <w:t>146</w:t>
      </w:r>
    </w:p>
    <w:p>
      <w:pPr>
        <w:pStyle w:val="BodyText"/>
        <w:spacing w:before="41"/>
      </w:pPr>
      <w:r>
        <w:rPr/>
        <w:t>Macaura</w:t>
      </w:r>
      <w:r>
        <w:rPr>
          <w:spacing w:val="-2"/>
        </w:rPr>
        <w:t> </w:t>
      </w:r>
      <w:r>
        <w:rPr/>
        <w:t>vs.</w:t>
      </w:r>
      <w:r>
        <w:rPr>
          <w:spacing w:val="1"/>
        </w:rPr>
        <w:t> </w:t>
      </w:r>
      <w:r>
        <w:rPr/>
        <w:t>Northern</w:t>
      </w:r>
      <w:r>
        <w:rPr>
          <w:spacing w:val="-5"/>
        </w:rPr>
        <w:t> </w:t>
      </w:r>
      <w:r>
        <w:rPr>
          <w:spacing w:val="-2"/>
        </w:rPr>
        <w:t>Assurance</w:t>
      </w:r>
    </w:p>
    <w:p>
      <w:pPr>
        <w:pStyle w:val="BodyText"/>
        <w:tabs>
          <w:tab w:pos="8067" w:val="left" w:leader="dot"/>
        </w:tabs>
        <w:spacing w:before="41"/>
        <w:ind w:left="1028"/>
      </w:pPr>
      <w:r>
        <w:rPr/>
        <w:t>(1925) A.C.</w:t>
      </w:r>
      <w:r>
        <w:rPr>
          <w:spacing w:val="2"/>
        </w:rPr>
        <w:t> </w:t>
      </w:r>
      <w:r>
        <w:rPr>
          <w:spacing w:val="-5"/>
        </w:rPr>
        <w:t>619</w:t>
      </w:r>
      <w:r>
        <w:rPr/>
        <w:tab/>
        <w:t>74,</w:t>
      </w:r>
      <w:r>
        <w:rPr>
          <w:spacing w:val="-3"/>
        </w:rPr>
        <w:t> </w:t>
      </w:r>
      <w:r>
        <w:rPr>
          <w:spacing w:val="-5"/>
        </w:rPr>
        <w:t>127</w:t>
      </w:r>
    </w:p>
    <w:p>
      <w:pPr>
        <w:pStyle w:val="BodyText"/>
        <w:spacing w:before="41"/>
      </w:pPr>
      <w:r>
        <w:rPr/>
        <w:t>MacPherson</w:t>
      </w:r>
      <w:r>
        <w:rPr>
          <w:spacing w:val="-7"/>
        </w:rPr>
        <w:t> </w:t>
      </w:r>
      <w:r>
        <w:rPr/>
        <w:t>vs.</w:t>
      </w:r>
      <w:r>
        <w:rPr>
          <w:spacing w:val="1"/>
        </w:rPr>
        <w:t> </w:t>
      </w:r>
      <w:r>
        <w:rPr/>
        <w:t>European</w:t>
      </w:r>
      <w:r>
        <w:rPr>
          <w:spacing w:val="-6"/>
        </w:rPr>
        <w:t> </w:t>
      </w:r>
      <w:r>
        <w:rPr/>
        <w:t>Strategic</w:t>
      </w:r>
      <w:r>
        <w:rPr>
          <w:spacing w:val="-2"/>
        </w:rPr>
        <w:t> </w:t>
      </w:r>
      <w:r>
        <w:rPr/>
        <w:t>Bureau</w:t>
      </w:r>
      <w:r>
        <w:rPr>
          <w:spacing w:val="-1"/>
        </w:rPr>
        <w:t> </w:t>
      </w:r>
      <w:r>
        <w:rPr>
          <w:spacing w:val="-4"/>
        </w:rPr>
        <w:t>Ltd.</w:t>
      </w:r>
    </w:p>
    <w:p>
      <w:pPr>
        <w:pStyle w:val="BodyText"/>
        <w:tabs>
          <w:tab w:pos="8418" w:val="left" w:leader="dot"/>
        </w:tabs>
        <w:spacing w:before="41"/>
        <w:ind w:left="1028"/>
      </w:pPr>
      <w:r>
        <w:rPr/>
        <w:t>(1999) 2</w:t>
      </w:r>
      <w:r>
        <w:rPr>
          <w:spacing w:val="-4"/>
        </w:rPr>
        <w:t> </w:t>
      </w:r>
      <w:r>
        <w:rPr/>
        <w:t>B.C.L.C.</w:t>
      </w:r>
      <w:r>
        <w:rPr>
          <w:spacing w:val="-1"/>
        </w:rPr>
        <w:t> </w:t>
      </w:r>
      <w:r>
        <w:rPr>
          <w:spacing w:val="-4"/>
        </w:rPr>
        <w:t>203.</w:t>
      </w:r>
      <w:r>
        <w:rPr/>
        <w:tab/>
      </w:r>
      <w:r>
        <w:rPr>
          <w:spacing w:val="-5"/>
        </w:rPr>
        <w:t>200</w:t>
      </w:r>
    </w:p>
    <w:p>
      <w:pPr>
        <w:pStyle w:val="BodyText"/>
        <w:spacing w:before="41"/>
      </w:pPr>
      <w:r>
        <w:rPr/>
        <w:t>Mills</w:t>
      </w:r>
      <w:r>
        <w:rPr>
          <w:spacing w:val="-1"/>
        </w:rPr>
        <w:t> </w:t>
      </w:r>
      <w:r>
        <w:rPr/>
        <w:t>vs.</w:t>
      </w:r>
      <w:r>
        <w:rPr>
          <w:spacing w:val="-1"/>
        </w:rPr>
        <w:t> </w:t>
      </w:r>
      <w:r>
        <w:rPr>
          <w:spacing w:val="-2"/>
        </w:rPr>
        <w:t>Mills</w:t>
      </w:r>
    </w:p>
    <w:p>
      <w:pPr>
        <w:pStyle w:val="BodyText"/>
        <w:tabs>
          <w:tab w:pos="8435" w:val="left" w:leader="dot"/>
        </w:tabs>
        <w:spacing w:before="40"/>
        <w:ind w:left="1028"/>
      </w:pPr>
      <w:r>
        <w:rPr/>
        <w:t>(1938)</w:t>
      </w:r>
      <w:r>
        <w:rPr>
          <w:spacing w:val="1"/>
        </w:rPr>
        <w:t> </w:t>
      </w:r>
      <w:r>
        <w:rPr/>
        <w:t>60</w:t>
      </w:r>
      <w:r>
        <w:rPr>
          <w:spacing w:val="-4"/>
        </w:rPr>
        <w:t> </w:t>
      </w:r>
      <w:r>
        <w:rPr/>
        <w:t>CLR</w:t>
      </w:r>
      <w:r>
        <w:rPr>
          <w:spacing w:val="-1"/>
        </w:rPr>
        <w:t> </w:t>
      </w:r>
      <w:r>
        <w:rPr>
          <w:spacing w:val="-4"/>
        </w:rPr>
        <w:t>150.</w:t>
      </w:r>
      <w:r>
        <w:rPr/>
        <w:tab/>
      </w:r>
      <w:r>
        <w:rPr>
          <w:spacing w:val="-5"/>
        </w:rPr>
        <w:t>102</w:t>
      </w:r>
    </w:p>
    <w:p>
      <w:pPr>
        <w:pStyle w:val="BodyText"/>
        <w:spacing w:before="41"/>
      </w:pPr>
      <w:r>
        <w:rPr/>
        <w:t>Neal</w:t>
      </w:r>
      <w:r>
        <w:rPr>
          <w:spacing w:val="-9"/>
        </w:rPr>
        <w:t> </w:t>
      </w:r>
      <w:r>
        <w:rPr/>
        <w:t>vs.</w:t>
      </w:r>
      <w:r>
        <w:rPr>
          <w:spacing w:val="1"/>
        </w:rPr>
        <w:t> </w:t>
      </w:r>
      <w:r>
        <w:rPr>
          <w:spacing w:val="-4"/>
        </w:rPr>
        <w:t>Quin</w:t>
      </w:r>
    </w:p>
    <w:p>
      <w:pPr>
        <w:pStyle w:val="BodyText"/>
        <w:tabs>
          <w:tab w:pos="8369" w:val="left" w:leader="dot"/>
        </w:tabs>
        <w:spacing w:before="46"/>
        <w:ind w:left="1028"/>
      </w:pPr>
      <w:r>
        <w:rPr/>
        <w:t>(1916)</w:t>
      </w:r>
      <w:r>
        <w:rPr>
          <w:spacing w:val="-2"/>
        </w:rPr>
        <w:t> </w:t>
      </w:r>
      <w:r>
        <w:rPr/>
        <w:t>WN</w:t>
      </w:r>
      <w:r>
        <w:rPr>
          <w:spacing w:val="-1"/>
        </w:rPr>
        <w:t> </w:t>
      </w:r>
      <w:r>
        <w:rPr>
          <w:spacing w:val="-4"/>
        </w:rPr>
        <w:t>223.</w:t>
      </w:r>
      <w:r>
        <w:rPr/>
        <w:tab/>
      </w:r>
      <w:r>
        <w:rPr>
          <w:spacing w:val="-5"/>
        </w:rPr>
        <w:t>198</w:t>
      </w:r>
    </w:p>
    <w:p>
      <w:pPr>
        <w:pStyle w:val="BodyText"/>
        <w:spacing w:before="41"/>
      </w:pPr>
      <w:r>
        <w:rPr/>
        <w:t>Newgate</w:t>
      </w:r>
      <w:r>
        <w:rPr>
          <w:spacing w:val="-1"/>
        </w:rPr>
        <w:t> </w:t>
      </w:r>
      <w:r>
        <w:rPr/>
        <w:t>Stud</w:t>
      </w:r>
      <w:r>
        <w:rPr>
          <w:spacing w:val="-4"/>
        </w:rPr>
        <w:t> </w:t>
      </w:r>
      <w:r>
        <w:rPr/>
        <w:t>Co.</w:t>
      </w:r>
      <w:r>
        <w:rPr>
          <w:spacing w:val="2"/>
        </w:rPr>
        <w:t> </w:t>
      </w:r>
      <w:r>
        <w:rPr/>
        <w:t>vs.</w:t>
      </w:r>
      <w:r>
        <w:rPr>
          <w:spacing w:val="3"/>
        </w:rPr>
        <w:t> </w:t>
      </w:r>
      <w:r>
        <w:rPr>
          <w:spacing w:val="-2"/>
        </w:rPr>
        <w:t>Penfold</w:t>
      </w:r>
    </w:p>
    <w:p>
      <w:pPr>
        <w:pStyle w:val="BodyText"/>
        <w:tabs>
          <w:tab w:pos="8417" w:val="left" w:leader="dot"/>
        </w:tabs>
        <w:spacing w:before="41"/>
        <w:ind w:left="1028"/>
      </w:pPr>
      <w:r>
        <w:rPr/>
        <w:t>(2008) 1</w:t>
      </w:r>
      <w:r>
        <w:rPr>
          <w:spacing w:val="-4"/>
        </w:rPr>
        <w:t> </w:t>
      </w:r>
      <w:r>
        <w:rPr/>
        <w:t>B.C.L.C.</w:t>
      </w:r>
      <w:r>
        <w:rPr>
          <w:spacing w:val="-1"/>
        </w:rPr>
        <w:t> </w:t>
      </w:r>
      <w:r>
        <w:rPr>
          <w:spacing w:val="-5"/>
        </w:rPr>
        <w:t>46.</w:t>
      </w:r>
      <w:r>
        <w:rPr/>
        <w:tab/>
      </w:r>
      <w:r>
        <w:rPr>
          <w:spacing w:val="-5"/>
        </w:rPr>
        <w:t>197</w:t>
      </w:r>
    </w:p>
    <w:p>
      <w:pPr>
        <w:pStyle w:val="BodyText"/>
        <w:spacing w:before="41"/>
      </w:pPr>
      <w:r>
        <w:rPr/>
        <w:t>Ngurli</w:t>
      </w:r>
      <w:r>
        <w:rPr>
          <w:spacing w:val="-5"/>
        </w:rPr>
        <w:t> </w:t>
      </w:r>
      <w:r>
        <w:rPr/>
        <w:t>Ltd.</w:t>
      </w:r>
      <w:r>
        <w:rPr>
          <w:spacing w:val="-3"/>
        </w:rPr>
        <w:t> </w:t>
      </w:r>
      <w:r>
        <w:rPr/>
        <w:t>vs.</w:t>
      </w:r>
      <w:r>
        <w:rPr>
          <w:spacing w:val="3"/>
        </w:rPr>
        <w:t> </w:t>
      </w:r>
      <w:r>
        <w:rPr>
          <w:spacing w:val="-2"/>
        </w:rPr>
        <w:t>McCann</w:t>
      </w:r>
    </w:p>
    <w:p>
      <w:pPr>
        <w:pStyle w:val="BodyText"/>
        <w:tabs>
          <w:tab w:pos="8076" w:val="left" w:leader="dot"/>
        </w:tabs>
        <w:spacing w:before="41"/>
        <w:ind w:left="1028"/>
      </w:pPr>
      <w:r>
        <w:rPr/>
        <w:t>(1953)</w:t>
      </w:r>
      <w:r>
        <w:rPr>
          <w:spacing w:val="1"/>
        </w:rPr>
        <w:t> </w:t>
      </w:r>
      <w:r>
        <w:rPr/>
        <w:t>90</w:t>
      </w:r>
      <w:r>
        <w:rPr>
          <w:spacing w:val="-4"/>
        </w:rPr>
        <w:t> </w:t>
      </w:r>
      <w:r>
        <w:rPr/>
        <w:t>CLR</w:t>
      </w:r>
      <w:r>
        <w:rPr>
          <w:spacing w:val="-1"/>
        </w:rPr>
        <w:t> </w:t>
      </w:r>
      <w:r>
        <w:rPr>
          <w:spacing w:val="-4"/>
        </w:rPr>
        <w:t>425.</w:t>
      </w:r>
      <w:r>
        <w:rPr/>
        <w:tab/>
        <w:t>97,</w:t>
      </w:r>
      <w:r>
        <w:rPr>
          <w:spacing w:val="2"/>
        </w:rPr>
        <w:t> </w:t>
      </w:r>
      <w:r>
        <w:rPr>
          <w:spacing w:val="-5"/>
        </w:rPr>
        <w:t>101</w:t>
      </w:r>
    </w:p>
    <w:p>
      <w:pPr>
        <w:pStyle w:val="BodyText"/>
        <w:spacing w:before="41"/>
      </w:pPr>
      <w:r>
        <w:rPr/>
        <w:t>Norman</w:t>
      </w:r>
      <w:r>
        <w:rPr>
          <w:spacing w:val="-5"/>
        </w:rPr>
        <w:t> </w:t>
      </w:r>
      <w:r>
        <w:rPr/>
        <w:t>vs.</w:t>
      </w:r>
      <w:r>
        <w:rPr>
          <w:spacing w:val="2"/>
        </w:rPr>
        <w:t> </w:t>
      </w:r>
      <w:r>
        <w:rPr/>
        <w:t>Theodore </w:t>
      </w:r>
      <w:r>
        <w:rPr>
          <w:spacing w:val="-2"/>
        </w:rPr>
        <w:t>Goddard</w:t>
      </w:r>
    </w:p>
    <w:p>
      <w:pPr>
        <w:pStyle w:val="BodyText"/>
        <w:tabs>
          <w:tab w:pos="7577" w:val="left" w:leader="dot"/>
        </w:tabs>
        <w:spacing w:before="41"/>
        <w:ind w:left="1028"/>
      </w:pPr>
      <w:r>
        <w:rPr/>
        <w:t>(1991)</w:t>
      </w:r>
      <w:r>
        <w:rPr>
          <w:spacing w:val="-3"/>
        </w:rPr>
        <w:t> </w:t>
      </w:r>
      <w:r>
        <w:rPr/>
        <w:t>BCLC</w:t>
      </w:r>
      <w:r>
        <w:rPr>
          <w:spacing w:val="-2"/>
        </w:rPr>
        <w:t> 1028.</w:t>
      </w:r>
      <w:r>
        <w:rPr/>
        <w:tab/>
        <w:t>62,</w:t>
      </w:r>
      <w:r>
        <w:rPr>
          <w:spacing w:val="-1"/>
        </w:rPr>
        <w:t> </w:t>
      </w:r>
      <w:r>
        <w:rPr/>
        <w:t>159,</w:t>
      </w:r>
      <w:r>
        <w:rPr>
          <w:spacing w:val="2"/>
        </w:rPr>
        <w:t> </w:t>
      </w:r>
      <w:r>
        <w:rPr>
          <w:spacing w:val="-5"/>
        </w:rPr>
        <w:t>227</w:t>
      </w:r>
    </w:p>
    <w:p>
      <w:pPr>
        <w:pStyle w:val="BodyText"/>
        <w:spacing w:before="41"/>
      </w:pPr>
      <w:r>
        <w:rPr/>
        <w:t>Northern</w:t>
      </w:r>
      <w:r>
        <w:rPr>
          <w:spacing w:val="-7"/>
        </w:rPr>
        <w:t> </w:t>
      </w:r>
      <w:r>
        <w:rPr/>
        <w:t>Counties</w:t>
      </w:r>
      <w:r>
        <w:rPr>
          <w:spacing w:val="-3"/>
        </w:rPr>
        <w:t> </w:t>
      </w:r>
      <w:r>
        <w:rPr/>
        <w:t>Securities</w:t>
      </w:r>
      <w:r>
        <w:rPr>
          <w:spacing w:val="-3"/>
        </w:rPr>
        <w:t> </w:t>
      </w:r>
      <w:r>
        <w:rPr/>
        <w:t>Ltd. vs.</w:t>
      </w:r>
      <w:r>
        <w:rPr>
          <w:spacing w:val="1"/>
        </w:rPr>
        <w:t> </w:t>
      </w:r>
      <w:r>
        <w:rPr/>
        <w:t>Jackson</w:t>
      </w:r>
      <w:r>
        <w:rPr>
          <w:spacing w:val="-7"/>
        </w:rPr>
        <w:t> </w:t>
      </w:r>
      <w:r>
        <w:rPr/>
        <w:t>and</w:t>
      </w:r>
      <w:r>
        <w:rPr>
          <w:spacing w:val="-1"/>
        </w:rPr>
        <w:t> </w:t>
      </w:r>
      <w:r>
        <w:rPr/>
        <w:t>Steeple</w:t>
      </w:r>
      <w:r>
        <w:rPr>
          <w:spacing w:val="-2"/>
        </w:rPr>
        <w:t> </w:t>
      </w:r>
      <w:r>
        <w:rPr>
          <w:spacing w:val="-4"/>
        </w:rPr>
        <w:t>Ltd.</w:t>
      </w:r>
    </w:p>
    <w:p>
      <w:pPr>
        <w:pStyle w:val="BodyText"/>
        <w:tabs>
          <w:tab w:pos="7909" w:val="left" w:leader="dot"/>
        </w:tabs>
        <w:spacing w:before="40"/>
        <w:ind w:left="1028"/>
      </w:pPr>
      <w:r>
        <w:rPr/>
        <w:t>(1974)</w:t>
      </w:r>
      <w:r>
        <w:rPr>
          <w:spacing w:val="-2"/>
        </w:rPr>
        <w:t> </w:t>
      </w:r>
      <w:r>
        <w:rPr/>
        <w:t>1</w:t>
      </w:r>
      <w:r>
        <w:rPr>
          <w:spacing w:val="-6"/>
        </w:rPr>
        <w:t> </w:t>
      </w:r>
      <w:r>
        <w:rPr/>
        <w:t>WLR</w:t>
      </w:r>
      <w:r>
        <w:rPr>
          <w:spacing w:val="-2"/>
        </w:rPr>
        <w:t> 1133.</w:t>
      </w:r>
      <w:r>
        <w:rPr/>
        <w:tab/>
        <w:t>179,</w:t>
      </w:r>
      <w:r>
        <w:rPr>
          <w:spacing w:val="-3"/>
        </w:rPr>
        <w:t> </w:t>
      </w:r>
      <w:r>
        <w:rPr>
          <w:spacing w:val="-5"/>
        </w:rPr>
        <w:t>232</w:t>
      </w:r>
    </w:p>
    <w:p>
      <w:pPr>
        <w:pStyle w:val="BodyText"/>
        <w:spacing w:before="46"/>
      </w:pPr>
      <w:r>
        <w:rPr/>
        <w:t>North-West</w:t>
      </w:r>
      <w:r>
        <w:rPr>
          <w:spacing w:val="1"/>
        </w:rPr>
        <w:t> </w:t>
      </w:r>
      <w:r>
        <w:rPr/>
        <w:t>Transport</w:t>
      </w:r>
      <w:r>
        <w:rPr>
          <w:spacing w:val="-3"/>
        </w:rPr>
        <w:t> </w:t>
      </w:r>
      <w:r>
        <w:rPr/>
        <w:t>Co.</w:t>
      </w:r>
      <w:r>
        <w:rPr>
          <w:spacing w:val="-2"/>
        </w:rPr>
        <w:t> </w:t>
      </w:r>
      <w:r>
        <w:rPr/>
        <w:t>vs.</w:t>
      </w:r>
      <w:r>
        <w:rPr>
          <w:spacing w:val="-1"/>
        </w:rPr>
        <w:t> </w:t>
      </w:r>
      <w:r>
        <w:rPr>
          <w:spacing w:val="-2"/>
        </w:rPr>
        <w:t>Beatty</w:t>
      </w:r>
    </w:p>
    <w:p>
      <w:pPr>
        <w:pStyle w:val="BodyText"/>
        <w:tabs>
          <w:tab w:pos="5508" w:val="left" w:leader="dot"/>
        </w:tabs>
        <w:spacing w:before="41"/>
        <w:ind w:left="1028"/>
      </w:pPr>
      <w:r>
        <w:rPr/>
        <w:t>(1887) 12</w:t>
      </w:r>
      <w:r>
        <w:rPr>
          <w:spacing w:val="-6"/>
        </w:rPr>
        <w:t> </w:t>
      </w:r>
      <w:r>
        <w:rPr/>
        <w:t>App.</w:t>
      </w:r>
      <w:r>
        <w:rPr>
          <w:spacing w:val="1"/>
        </w:rPr>
        <w:t> </w:t>
      </w:r>
      <w:r>
        <w:rPr/>
        <w:t>Cas.</w:t>
      </w:r>
      <w:r>
        <w:rPr>
          <w:spacing w:val="2"/>
        </w:rPr>
        <w:t> </w:t>
      </w:r>
      <w:r>
        <w:rPr>
          <w:spacing w:val="-5"/>
        </w:rPr>
        <w:t>589</w:t>
      </w:r>
      <w:r>
        <w:rPr/>
        <w:tab/>
        <w:t>118,</w:t>
      </w:r>
      <w:r>
        <w:rPr>
          <w:spacing w:val="-4"/>
        </w:rPr>
        <w:t> </w:t>
      </w:r>
      <w:r>
        <w:rPr/>
        <w:t>179,</w:t>
      </w:r>
      <w:r>
        <w:rPr>
          <w:spacing w:val="-2"/>
        </w:rPr>
        <w:t> </w:t>
      </w:r>
      <w:r>
        <w:rPr/>
        <w:t>196,</w:t>
      </w:r>
      <w:r>
        <w:rPr>
          <w:spacing w:val="-2"/>
        </w:rPr>
        <w:t> </w:t>
      </w:r>
      <w:r>
        <w:rPr/>
        <w:t>197,</w:t>
      </w:r>
      <w:r>
        <w:rPr>
          <w:spacing w:val="-2"/>
        </w:rPr>
        <w:t> </w:t>
      </w:r>
      <w:r>
        <w:rPr/>
        <w:t>234,</w:t>
      </w:r>
      <w:r>
        <w:rPr>
          <w:spacing w:val="-2"/>
        </w:rPr>
        <w:t> </w:t>
      </w:r>
      <w:r>
        <w:rPr/>
        <w:t>241,</w:t>
      </w:r>
      <w:r>
        <w:rPr>
          <w:spacing w:val="-1"/>
        </w:rPr>
        <w:t> </w:t>
      </w:r>
      <w:r>
        <w:rPr>
          <w:spacing w:val="-5"/>
        </w:rPr>
        <w:t>242</w:t>
      </w:r>
    </w:p>
    <w:p>
      <w:pPr>
        <w:pStyle w:val="BodyText"/>
        <w:spacing w:before="41"/>
      </w:pPr>
      <w:r>
        <w:rPr/>
        <w:t>Parke</w:t>
      </w:r>
      <w:r>
        <w:rPr>
          <w:spacing w:val="-3"/>
        </w:rPr>
        <w:t> </w:t>
      </w:r>
      <w:r>
        <w:rPr/>
        <w:t>vs.</w:t>
      </w:r>
      <w:r>
        <w:rPr>
          <w:spacing w:val="2"/>
        </w:rPr>
        <w:t> </w:t>
      </w:r>
      <w:r>
        <w:rPr/>
        <w:t>Daily</w:t>
      </w:r>
      <w:r>
        <w:rPr>
          <w:spacing w:val="-9"/>
        </w:rPr>
        <w:t> </w:t>
      </w:r>
      <w:r>
        <w:rPr/>
        <w:t>News</w:t>
      </w:r>
      <w:r>
        <w:rPr>
          <w:spacing w:val="-2"/>
        </w:rPr>
        <w:t> </w:t>
      </w:r>
      <w:r>
        <w:rPr>
          <w:spacing w:val="-4"/>
        </w:rPr>
        <w:t>Ltd.</w:t>
      </w:r>
    </w:p>
    <w:p>
      <w:pPr>
        <w:pStyle w:val="BodyText"/>
        <w:tabs>
          <w:tab w:pos="6151" w:val="left" w:leader="dot"/>
        </w:tabs>
        <w:spacing w:before="41"/>
        <w:ind w:left="1028"/>
      </w:pPr>
      <w:r>
        <w:rPr/>
        <w:t>(1962) Ch.</w:t>
      </w:r>
      <w:r>
        <w:rPr>
          <w:spacing w:val="1"/>
        </w:rPr>
        <w:t> </w:t>
      </w:r>
      <w:r>
        <w:rPr>
          <w:spacing w:val="-4"/>
        </w:rPr>
        <w:t>927.</w:t>
      </w:r>
      <w:r>
        <w:rPr/>
        <w:tab/>
        <w:t>85,</w:t>
      </w:r>
      <w:r>
        <w:rPr>
          <w:spacing w:val="-3"/>
        </w:rPr>
        <w:t> </w:t>
      </w:r>
      <w:r>
        <w:rPr/>
        <w:t>104,</w:t>
      </w:r>
      <w:r>
        <w:rPr>
          <w:spacing w:val="-1"/>
        </w:rPr>
        <w:t> </w:t>
      </w:r>
      <w:r>
        <w:rPr/>
        <w:t>144,</w:t>
      </w:r>
      <w:r>
        <w:rPr>
          <w:spacing w:val="-1"/>
        </w:rPr>
        <w:t> </w:t>
      </w:r>
      <w:r>
        <w:rPr/>
        <w:t>148,</w:t>
      </w:r>
      <w:r>
        <w:rPr>
          <w:spacing w:val="-1"/>
        </w:rPr>
        <w:t> </w:t>
      </w:r>
      <w:r>
        <w:rPr/>
        <w:t>222,</w:t>
      </w:r>
      <w:r>
        <w:rPr>
          <w:spacing w:val="-1"/>
        </w:rPr>
        <w:t> </w:t>
      </w:r>
      <w:r>
        <w:rPr>
          <w:spacing w:val="-5"/>
        </w:rPr>
        <w:t>231</w:t>
      </w:r>
    </w:p>
    <w:p>
      <w:pPr>
        <w:pStyle w:val="BodyText"/>
        <w:spacing w:before="41"/>
      </w:pPr>
      <w:r>
        <w:rPr/>
        <w:t>Parker</w:t>
      </w:r>
      <w:r>
        <w:rPr>
          <w:spacing w:val="-1"/>
        </w:rPr>
        <w:t> </w:t>
      </w:r>
      <w:r>
        <w:rPr/>
        <w:t>vs. </w:t>
      </w:r>
      <w:r>
        <w:rPr>
          <w:spacing w:val="-2"/>
        </w:rPr>
        <w:t>McKenna</w:t>
      </w:r>
    </w:p>
    <w:p>
      <w:pPr>
        <w:pStyle w:val="BodyText"/>
        <w:tabs>
          <w:tab w:pos="7466" w:val="left" w:leader="dot"/>
        </w:tabs>
        <w:spacing w:before="41"/>
        <w:ind w:left="1028"/>
      </w:pPr>
      <w:r>
        <w:rPr/>
        <w:t>(1874)</w:t>
      </w:r>
      <w:r>
        <w:rPr>
          <w:spacing w:val="1"/>
        </w:rPr>
        <w:t> </w:t>
      </w:r>
      <w:r>
        <w:rPr/>
        <w:t>10</w:t>
      </w:r>
      <w:r>
        <w:rPr>
          <w:spacing w:val="-5"/>
        </w:rPr>
        <w:t> </w:t>
      </w:r>
      <w:r>
        <w:rPr/>
        <w:t>Ch</w:t>
      </w:r>
      <w:r>
        <w:rPr>
          <w:spacing w:val="-5"/>
        </w:rPr>
        <w:t> </w:t>
      </w:r>
      <w:r>
        <w:rPr/>
        <w:t>App</w:t>
      </w:r>
      <w:r>
        <w:rPr>
          <w:spacing w:val="1"/>
        </w:rPr>
        <w:t> </w:t>
      </w:r>
      <w:r>
        <w:rPr>
          <w:spacing w:val="-5"/>
        </w:rPr>
        <w:t>96.</w:t>
      </w:r>
      <w:r>
        <w:rPr/>
        <w:tab/>
        <w:t>118,</w:t>
      </w:r>
      <w:r>
        <w:rPr>
          <w:spacing w:val="-3"/>
        </w:rPr>
        <w:t> </w:t>
      </w:r>
      <w:r>
        <w:rPr/>
        <w:t>169,</w:t>
      </w:r>
      <w:r>
        <w:rPr>
          <w:spacing w:val="-1"/>
        </w:rPr>
        <w:t> </w:t>
      </w:r>
      <w:r>
        <w:rPr>
          <w:spacing w:val="-5"/>
        </w:rPr>
        <w:t>231</w:t>
      </w:r>
    </w:p>
    <w:p>
      <w:pPr>
        <w:pStyle w:val="BodyText"/>
        <w:spacing w:before="40"/>
      </w:pPr>
      <w:r>
        <w:rPr/>
        <w:t>Peninsular</w:t>
      </w:r>
      <w:r>
        <w:rPr>
          <w:spacing w:val="-1"/>
        </w:rPr>
        <w:t> </w:t>
      </w:r>
      <w:r>
        <w:rPr/>
        <w:t>and</w:t>
      </w:r>
      <w:r>
        <w:rPr>
          <w:spacing w:val="1"/>
        </w:rPr>
        <w:t> </w:t>
      </w:r>
      <w:r>
        <w:rPr/>
        <w:t>Oriental</w:t>
      </w:r>
      <w:r>
        <w:rPr>
          <w:spacing w:val="-8"/>
        </w:rPr>
        <w:t> </w:t>
      </w:r>
      <w:r>
        <w:rPr/>
        <w:t>Steam</w:t>
      </w:r>
      <w:r>
        <w:rPr>
          <w:spacing w:val="-8"/>
        </w:rPr>
        <w:t> </w:t>
      </w:r>
      <w:r>
        <w:rPr/>
        <w:t>Navigation</w:t>
      </w:r>
      <w:r>
        <w:rPr>
          <w:spacing w:val="-4"/>
        </w:rPr>
        <w:t> </w:t>
      </w:r>
      <w:r>
        <w:rPr/>
        <w:t>Co.</w:t>
      </w:r>
      <w:r>
        <w:rPr>
          <w:spacing w:val="3"/>
        </w:rPr>
        <w:t> </w:t>
      </w:r>
      <w:r>
        <w:rPr/>
        <w:t>vs.</w:t>
      </w:r>
      <w:r>
        <w:rPr>
          <w:spacing w:val="-2"/>
        </w:rPr>
        <w:t> Johnson</w:t>
      </w:r>
    </w:p>
    <w:p>
      <w:pPr>
        <w:pStyle w:val="BodyText"/>
        <w:tabs>
          <w:tab w:pos="8442" w:val="left" w:leader="dot"/>
        </w:tabs>
        <w:spacing w:before="42"/>
        <w:ind w:left="1028"/>
      </w:pPr>
      <w:r>
        <w:rPr/>
        <w:t>(1938)</w:t>
      </w:r>
      <w:r>
        <w:rPr>
          <w:spacing w:val="1"/>
        </w:rPr>
        <w:t> </w:t>
      </w:r>
      <w:r>
        <w:rPr/>
        <w:t>60</w:t>
      </w:r>
      <w:r>
        <w:rPr>
          <w:spacing w:val="-4"/>
        </w:rPr>
        <w:t> </w:t>
      </w:r>
      <w:r>
        <w:rPr/>
        <w:t>CLR</w:t>
      </w:r>
      <w:r>
        <w:rPr>
          <w:spacing w:val="-1"/>
        </w:rPr>
        <w:t> </w:t>
      </w:r>
      <w:r>
        <w:rPr>
          <w:spacing w:val="-4"/>
        </w:rPr>
        <w:t>189.</w:t>
      </w:r>
      <w:r>
        <w:rPr/>
        <w:tab/>
      </w:r>
      <w:r>
        <w:rPr>
          <w:spacing w:val="-5"/>
        </w:rPr>
        <w:t>197</w:t>
      </w:r>
    </w:p>
    <w:p>
      <w:pPr>
        <w:pStyle w:val="BodyText"/>
        <w:spacing w:before="45"/>
      </w:pPr>
      <w:r>
        <w:rPr/>
        <w:t>Percival</w:t>
      </w:r>
      <w:r>
        <w:rPr>
          <w:spacing w:val="-6"/>
        </w:rPr>
        <w:t> </w:t>
      </w:r>
      <w:r>
        <w:rPr/>
        <w:t>vs.</w:t>
      </w:r>
      <w:r>
        <w:rPr>
          <w:spacing w:val="1"/>
        </w:rPr>
        <w:t> </w:t>
      </w:r>
      <w:r>
        <w:rPr>
          <w:spacing w:val="-2"/>
        </w:rPr>
        <w:t>Wright</w:t>
      </w:r>
    </w:p>
    <w:p>
      <w:pPr>
        <w:pStyle w:val="BodyText"/>
        <w:tabs>
          <w:tab w:pos="7712" w:val="left" w:leader="dot"/>
        </w:tabs>
        <w:spacing w:before="41"/>
        <w:ind w:left="1028"/>
      </w:pPr>
      <w:r>
        <w:rPr/>
        <w:t>(1902) 2</w:t>
      </w:r>
      <w:r>
        <w:rPr>
          <w:spacing w:val="-4"/>
        </w:rPr>
        <w:t> </w:t>
      </w:r>
      <w:r>
        <w:rPr/>
        <w:t>Ch.</w:t>
      </w:r>
      <w:r>
        <w:rPr>
          <w:spacing w:val="2"/>
        </w:rPr>
        <w:t> </w:t>
      </w:r>
      <w:r>
        <w:rPr>
          <w:spacing w:val="-4"/>
        </w:rPr>
        <w:t>421.</w:t>
      </w:r>
      <w:r>
        <w:rPr/>
        <w:tab/>
        <w:t>69,</w:t>
      </w:r>
      <w:r>
        <w:rPr>
          <w:spacing w:val="-3"/>
        </w:rPr>
        <w:t> </w:t>
      </w:r>
      <w:r>
        <w:rPr/>
        <w:t>72,</w:t>
      </w:r>
      <w:r>
        <w:rPr>
          <w:spacing w:val="-1"/>
        </w:rPr>
        <w:t> </w:t>
      </w:r>
      <w:r>
        <w:rPr>
          <w:spacing w:val="-5"/>
        </w:rPr>
        <w:t>127</w:t>
      </w:r>
    </w:p>
    <w:p>
      <w:pPr>
        <w:pStyle w:val="BodyText"/>
        <w:spacing w:before="41"/>
      </w:pPr>
      <w:r>
        <w:rPr/>
        <w:t>Pergamon</w:t>
      </w:r>
      <w:r>
        <w:rPr>
          <w:spacing w:val="-6"/>
        </w:rPr>
        <w:t> </w:t>
      </w:r>
      <w:r>
        <w:rPr/>
        <w:t>Press</w:t>
      </w:r>
      <w:r>
        <w:rPr>
          <w:spacing w:val="-2"/>
        </w:rPr>
        <w:t> </w:t>
      </w:r>
      <w:r>
        <w:rPr/>
        <w:t>Ltd.</w:t>
      </w:r>
      <w:r>
        <w:rPr>
          <w:spacing w:val="2"/>
        </w:rPr>
        <w:t> </w:t>
      </w:r>
      <w:r>
        <w:rPr/>
        <w:t>vs.</w:t>
      </w:r>
      <w:r>
        <w:rPr>
          <w:spacing w:val="2"/>
        </w:rPr>
        <w:t> </w:t>
      </w:r>
      <w:r>
        <w:rPr>
          <w:spacing w:val="-2"/>
        </w:rPr>
        <w:t>Maxwell</w:t>
      </w:r>
    </w:p>
    <w:p>
      <w:pPr>
        <w:pStyle w:val="BodyText"/>
        <w:tabs>
          <w:tab w:pos="8566" w:val="left" w:leader="dot"/>
        </w:tabs>
        <w:spacing w:before="41"/>
        <w:ind w:left="1028"/>
      </w:pPr>
      <w:r>
        <w:rPr/>
        <w:t>(1970)</w:t>
      </w:r>
      <w:r>
        <w:rPr>
          <w:spacing w:val="-2"/>
        </w:rPr>
        <w:t> </w:t>
      </w:r>
      <w:r>
        <w:rPr/>
        <w:t>1</w:t>
      </w:r>
      <w:r>
        <w:rPr>
          <w:spacing w:val="-6"/>
        </w:rPr>
        <w:t> </w:t>
      </w:r>
      <w:r>
        <w:rPr/>
        <w:t>WLR</w:t>
      </w:r>
      <w:r>
        <w:rPr>
          <w:spacing w:val="-2"/>
        </w:rPr>
        <w:t> 1167.</w:t>
      </w:r>
      <w:r>
        <w:rPr/>
        <w:tab/>
      </w:r>
      <w:r>
        <w:rPr>
          <w:spacing w:val="-5"/>
        </w:rPr>
        <w:t>94</w:t>
      </w:r>
    </w:p>
    <w:p>
      <w:pPr>
        <w:pStyle w:val="BodyText"/>
        <w:spacing w:before="41"/>
      </w:pPr>
      <w:r>
        <w:rPr/>
        <w:t>Peskin</w:t>
      </w:r>
      <w:r>
        <w:rPr>
          <w:spacing w:val="-5"/>
        </w:rPr>
        <w:t> </w:t>
      </w:r>
      <w:r>
        <w:rPr/>
        <w:t>vs.</w:t>
      </w:r>
      <w:r>
        <w:rPr>
          <w:spacing w:val="-2"/>
        </w:rPr>
        <w:t> Anderson</w:t>
      </w:r>
    </w:p>
    <w:p>
      <w:pPr>
        <w:pStyle w:val="BodyText"/>
        <w:tabs>
          <w:tab w:pos="8057" w:val="left" w:leader="dot"/>
        </w:tabs>
        <w:spacing w:before="41"/>
        <w:ind w:left="1028"/>
      </w:pPr>
      <w:r>
        <w:rPr/>
        <w:t>(2001)</w:t>
      </w:r>
      <w:r>
        <w:rPr>
          <w:spacing w:val="3"/>
        </w:rPr>
        <w:t> </w:t>
      </w:r>
      <w:r>
        <w:rPr/>
        <w:t>1</w:t>
      </w:r>
      <w:r>
        <w:rPr>
          <w:spacing w:val="-4"/>
        </w:rPr>
        <w:t> </w:t>
      </w:r>
      <w:r>
        <w:rPr/>
        <w:t>B.C.L.C.</w:t>
      </w:r>
      <w:r>
        <w:rPr>
          <w:spacing w:val="-1"/>
        </w:rPr>
        <w:t> </w:t>
      </w:r>
      <w:r>
        <w:rPr>
          <w:spacing w:val="-4"/>
        </w:rPr>
        <w:t>372.</w:t>
      </w:r>
      <w:r>
        <w:rPr/>
        <w:tab/>
        <w:t>72,</w:t>
      </w:r>
      <w:r>
        <w:rPr>
          <w:spacing w:val="-3"/>
        </w:rPr>
        <w:t> </w:t>
      </w:r>
      <w:r>
        <w:rPr>
          <w:spacing w:val="-5"/>
        </w:rPr>
        <w:t>129</w:t>
      </w:r>
    </w:p>
    <w:p>
      <w:pPr>
        <w:pStyle w:val="BodyText"/>
        <w:spacing w:before="41"/>
      </w:pPr>
      <w:r>
        <w:rPr/>
        <w:t>Peso</w:t>
      </w:r>
      <w:r>
        <w:rPr>
          <w:spacing w:val="1"/>
        </w:rPr>
        <w:t> </w:t>
      </w:r>
      <w:r>
        <w:rPr/>
        <w:t>Silver</w:t>
      </w:r>
      <w:r>
        <w:rPr>
          <w:spacing w:val="-1"/>
        </w:rPr>
        <w:t> </w:t>
      </w:r>
      <w:r>
        <w:rPr/>
        <w:t>Mines</w:t>
      </w:r>
      <w:r>
        <w:rPr>
          <w:spacing w:val="-5"/>
        </w:rPr>
        <w:t> </w:t>
      </w:r>
      <w:r>
        <w:rPr/>
        <w:t>Ltd. vs. </w:t>
      </w:r>
      <w:r>
        <w:rPr>
          <w:spacing w:val="-2"/>
        </w:rPr>
        <w:t>Cropper</w:t>
      </w:r>
    </w:p>
    <w:p>
      <w:pPr>
        <w:pStyle w:val="BodyText"/>
        <w:tabs>
          <w:tab w:pos="7472" w:val="left" w:leader="dot"/>
        </w:tabs>
        <w:spacing w:before="41"/>
        <w:ind w:left="1028"/>
      </w:pPr>
      <w:r>
        <w:rPr/>
        <w:t>(1966)</w:t>
      </w:r>
      <w:r>
        <w:rPr>
          <w:spacing w:val="1"/>
        </w:rPr>
        <w:t> </w:t>
      </w:r>
      <w:r>
        <w:rPr/>
        <w:t>58</w:t>
      </w:r>
      <w:r>
        <w:rPr>
          <w:spacing w:val="-3"/>
        </w:rPr>
        <w:t> </w:t>
      </w:r>
      <w:r>
        <w:rPr/>
        <w:t>DLR (2d.)</w:t>
      </w:r>
      <w:r>
        <w:rPr>
          <w:spacing w:val="-1"/>
        </w:rPr>
        <w:t> </w:t>
      </w:r>
      <w:r>
        <w:rPr>
          <w:spacing w:val="-5"/>
        </w:rPr>
        <w:t>1.</w:t>
      </w:r>
      <w:r>
        <w:rPr/>
        <w:tab/>
        <w:t>174,</w:t>
      </w:r>
      <w:r>
        <w:rPr>
          <w:spacing w:val="-3"/>
        </w:rPr>
        <w:t> </w:t>
      </w:r>
      <w:r>
        <w:rPr/>
        <w:t>180,</w:t>
      </w:r>
      <w:r>
        <w:rPr>
          <w:spacing w:val="-1"/>
        </w:rPr>
        <w:t> </w:t>
      </w:r>
      <w:r>
        <w:rPr>
          <w:spacing w:val="-5"/>
        </w:rPr>
        <w:t>234</w:t>
      </w:r>
    </w:p>
    <w:p>
      <w:pPr>
        <w:pStyle w:val="BodyText"/>
        <w:spacing w:before="40"/>
      </w:pPr>
      <w:r>
        <w:rPr/>
        <w:t>Pine</w:t>
      </w:r>
      <w:r>
        <w:rPr>
          <w:spacing w:val="-5"/>
        </w:rPr>
        <w:t> </w:t>
      </w:r>
      <w:r>
        <w:rPr/>
        <w:t>Vale</w:t>
      </w:r>
      <w:r>
        <w:rPr>
          <w:spacing w:val="-2"/>
        </w:rPr>
        <w:t> </w:t>
      </w:r>
      <w:r>
        <w:rPr/>
        <w:t>Investments</w:t>
      </w:r>
      <w:r>
        <w:rPr>
          <w:spacing w:val="-3"/>
        </w:rPr>
        <w:t> </w:t>
      </w:r>
      <w:r>
        <w:rPr/>
        <w:t>Ltd. vs. McDonnell</w:t>
      </w:r>
      <w:r>
        <w:rPr>
          <w:spacing w:val="-5"/>
        </w:rPr>
        <w:t> </w:t>
      </w:r>
      <w:r>
        <w:rPr/>
        <w:t>and</w:t>
      </w:r>
      <w:r>
        <w:rPr>
          <w:spacing w:val="-1"/>
        </w:rPr>
        <w:t> </w:t>
      </w:r>
      <w:r>
        <w:rPr/>
        <w:t>East</w:t>
      </w:r>
      <w:r>
        <w:rPr>
          <w:spacing w:val="-1"/>
        </w:rPr>
        <w:t> </w:t>
      </w:r>
      <w:r>
        <w:rPr>
          <w:spacing w:val="-4"/>
        </w:rPr>
        <w:t>Ltd.</w:t>
      </w:r>
    </w:p>
    <w:p>
      <w:pPr>
        <w:pStyle w:val="BodyText"/>
        <w:tabs>
          <w:tab w:pos="8432" w:val="left" w:leader="dot"/>
        </w:tabs>
        <w:spacing w:before="46"/>
        <w:ind w:left="1028"/>
      </w:pPr>
      <w:r>
        <w:rPr/>
        <w:t>(1983) 1</w:t>
      </w:r>
      <w:r>
        <w:rPr>
          <w:spacing w:val="-4"/>
        </w:rPr>
        <w:t> </w:t>
      </w:r>
      <w:r>
        <w:rPr/>
        <w:t>A.C.L.C.</w:t>
      </w:r>
      <w:r>
        <w:rPr>
          <w:spacing w:val="2"/>
        </w:rPr>
        <w:t> </w:t>
      </w:r>
      <w:r>
        <w:rPr>
          <w:spacing w:val="-2"/>
        </w:rPr>
        <w:t>1294.</w:t>
      </w:r>
      <w:r>
        <w:rPr/>
        <w:tab/>
      </w:r>
      <w:r>
        <w:rPr>
          <w:spacing w:val="-5"/>
        </w:rPr>
        <w:t>100</w:t>
      </w:r>
    </w:p>
    <w:p>
      <w:pPr>
        <w:pStyle w:val="BodyText"/>
        <w:spacing w:before="42"/>
      </w:pPr>
      <w:r>
        <w:rPr/>
        <w:t>Platt</w:t>
      </w:r>
      <w:r>
        <w:rPr>
          <w:spacing w:val="-2"/>
        </w:rPr>
        <w:t> </w:t>
      </w:r>
      <w:r>
        <w:rPr/>
        <w:t>vs. </w:t>
      </w:r>
      <w:r>
        <w:rPr>
          <w:spacing w:val="-2"/>
        </w:rPr>
        <w:t>Platt</w:t>
      </w:r>
    </w:p>
    <w:p>
      <w:pPr>
        <w:pStyle w:val="BodyText"/>
        <w:tabs>
          <w:tab w:pos="8062" w:val="left" w:leader="dot"/>
        </w:tabs>
        <w:spacing w:before="40"/>
        <w:ind w:left="1028"/>
      </w:pPr>
      <w:r>
        <w:rPr/>
        <w:t>(1999)</w:t>
      </w:r>
      <w:r>
        <w:rPr>
          <w:spacing w:val="-2"/>
        </w:rPr>
        <w:t> </w:t>
      </w:r>
      <w:r>
        <w:rPr/>
        <w:t>2</w:t>
      </w:r>
      <w:r>
        <w:rPr>
          <w:spacing w:val="-4"/>
        </w:rPr>
        <w:t> </w:t>
      </w:r>
      <w:r>
        <w:rPr/>
        <w:t>BCLC</w:t>
      </w:r>
      <w:r>
        <w:rPr>
          <w:spacing w:val="-2"/>
        </w:rPr>
        <w:t> </w:t>
      </w:r>
      <w:r>
        <w:rPr>
          <w:spacing w:val="-4"/>
        </w:rPr>
        <w:t>745.</w:t>
      </w:r>
      <w:r>
        <w:rPr/>
        <w:tab/>
        <w:t>72,</w:t>
      </w:r>
      <w:r>
        <w:rPr>
          <w:spacing w:val="-3"/>
        </w:rPr>
        <w:t> </w:t>
      </w:r>
      <w:r>
        <w:rPr>
          <w:spacing w:val="-5"/>
        </w:rPr>
        <w:t>128</w:t>
      </w:r>
    </w:p>
    <w:p>
      <w:pPr>
        <w:pStyle w:val="BodyText"/>
        <w:spacing w:before="41"/>
      </w:pPr>
      <w:r>
        <w:rPr/>
        <w:t>Punt</w:t>
      </w:r>
      <w:r>
        <w:rPr>
          <w:spacing w:val="3"/>
        </w:rPr>
        <w:t> </w:t>
      </w:r>
      <w:r>
        <w:rPr/>
        <w:t>vs. Symons</w:t>
      </w:r>
      <w:r>
        <w:rPr>
          <w:spacing w:val="-3"/>
        </w:rPr>
        <w:t> </w:t>
      </w:r>
      <w:r>
        <w:rPr/>
        <w:t>&amp;</w:t>
      </w:r>
      <w:r>
        <w:rPr>
          <w:spacing w:val="-6"/>
        </w:rPr>
        <w:t> </w:t>
      </w:r>
      <w:r>
        <w:rPr/>
        <w:t>Co.</w:t>
      </w:r>
      <w:r>
        <w:rPr>
          <w:spacing w:val="1"/>
        </w:rPr>
        <w:t> </w:t>
      </w:r>
      <w:r>
        <w:rPr>
          <w:spacing w:val="-4"/>
        </w:rPr>
        <w:t>Ltd.</w:t>
      </w:r>
    </w:p>
    <w:p>
      <w:pPr>
        <w:pStyle w:val="BodyText"/>
        <w:tabs>
          <w:tab w:pos="8071" w:val="left" w:leader="dot"/>
        </w:tabs>
        <w:spacing w:before="41"/>
        <w:ind w:left="1028"/>
      </w:pPr>
      <w:r>
        <w:rPr/>
        <w:t>(1903) 2</w:t>
      </w:r>
      <w:r>
        <w:rPr>
          <w:spacing w:val="-4"/>
        </w:rPr>
        <w:t> </w:t>
      </w:r>
      <w:r>
        <w:rPr/>
        <w:t>Ch.</w:t>
      </w:r>
      <w:r>
        <w:rPr>
          <w:spacing w:val="2"/>
        </w:rPr>
        <w:t> </w:t>
      </w:r>
      <w:r>
        <w:rPr>
          <w:spacing w:val="-4"/>
        </w:rPr>
        <w:t>506.</w:t>
      </w:r>
      <w:r>
        <w:rPr/>
        <w:tab/>
        <w:t>99,</w:t>
      </w:r>
      <w:r>
        <w:rPr>
          <w:spacing w:val="-3"/>
        </w:rPr>
        <w:t> </w:t>
      </w:r>
      <w:r>
        <w:rPr>
          <w:spacing w:val="-5"/>
        </w:rPr>
        <w:t>101</w:t>
      </w:r>
    </w:p>
    <w:p>
      <w:pPr>
        <w:spacing w:after="0"/>
        <w:sectPr>
          <w:pgSz w:w="11910" w:h="16840"/>
          <w:pgMar w:header="0" w:footer="998" w:top="1320" w:bottom="1180" w:left="1680" w:right="1180"/>
        </w:sectPr>
      </w:pPr>
    </w:p>
    <w:p>
      <w:pPr>
        <w:pStyle w:val="BodyText"/>
        <w:spacing w:before="65"/>
      </w:pPr>
      <w:r>
        <w:rPr/>
        <w:t>Queensland</w:t>
      </w:r>
      <w:r>
        <w:rPr>
          <w:spacing w:val="-4"/>
        </w:rPr>
        <w:t> </w:t>
      </w:r>
      <w:r>
        <w:rPr/>
        <w:t>Mines Ltd.</w:t>
      </w:r>
      <w:r>
        <w:rPr>
          <w:spacing w:val="-5"/>
        </w:rPr>
        <w:t> </w:t>
      </w:r>
      <w:r>
        <w:rPr/>
        <w:t>vs.</w:t>
      </w:r>
      <w:r>
        <w:rPr>
          <w:spacing w:val="1"/>
        </w:rPr>
        <w:t> </w:t>
      </w:r>
      <w:r>
        <w:rPr>
          <w:spacing w:val="-2"/>
        </w:rPr>
        <w:t>Hudson</w:t>
      </w:r>
    </w:p>
    <w:p>
      <w:pPr>
        <w:pStyle w:val="BodyText"/>
        <w:tabs>
          <w:tab w:pos="6992" w:val="left" w:leader="dot"/>
        </w:tabs>
        <w:spacing w:before="41"/>
        <w:ind w:left="1028"/>
      </w:pPr>
      <w:r>
        <w:rPr/>
        <w:t>(1976)</w:t>
      </w:r>
      <w:r>
        <w:rPr>
          <w:spacing w:val="-2"/>
        </w:rPr>
        <w:t> </w:t>
      </w:r>
      <w:r>
        <w:rPr/>
        <w:t>ACLC</w:t>
      </w:r>
      <w:r>
        <w:rPr>
          <w:spacing w:val="-4"/>
        </w:rPr>
        <w:t> </w:t>
      </w:r>
      <w:r>
        <w:rPr>
          <w:spacing w:val="-2"/>
        </w:rPr>
        <w:t>28,658.</w:t>
      </w:r>
      <w:r>
        <w:rPr/>
        <w:tab/>
        <w:t>170,</w:t>
      </w:r>
      <w:r>
        <w:rPr>
          <w:spacing w:val="-3"/>
        </w:rPr>
        <w:t> </w:t>
      </w:r>
      <w:r>
        <w:rPr/>
        <w:t>175,</w:t>
      </w:r>
      <w:r>
        <w:rPr>
          <w:spacing w:val="-1"/>
        </w:rPr>
        <w:t> </w:t>
      </w:r>
      <w:r>
        <w:rPr/>
        <w:t>181,</w:t>
      </w:r>
      <w:r>
        <w:rPr>
          <w:spacing w:val="-1"/>
        </w:rPr>
        <w:t> </w:t>
      </w:r>
      <w:r>
        <w:rPr>
          <w:spacing w:val="-5"/>
        </w:rPr>
        <w:t>234</w:t>
      </w:r>
    </w:p>
    <w:p>
      <w:pPr>
        <w:pStyle w:val="BodyText"/>
        <w:spacing w:before="40"/>
      </w:pPr>
      <w:r>
        <w:rPr/>
        <w:t>Re</w:t>
      </w:r>
      <w:r>
        <w:rPr>
          <w:spacing w:val="-1"/>
        </w:rPr>
        <w:t> </w:t>
      </w:r>
      <w:r>
        <w:rPr/>
        <w:t>A</w:t>
      </w:r>
      <w:r>
        <w:rPr>
          <w:spacing w:val="-4"/>
        </w:rPr>
        <w:t> </w:t>
      </w:r>
      <w:r>
        <w:rPr>
          <w:spacing w:val="-2"/>
        </w:rPr>
        <w:t>Company</w:t>
      </w:r>
    </w:p>
    <w:p>
      <w:pPr>
        <w:pStyle w:val="BodyText"/>
        <w:tabs>
          <w:tab w:pos="8782" w:val="right" w:leader="dot"/>
        </w:tabs>
        <w:spacing w:before="42"/>
        <w:ind w:left="1028"/>
      </w:pPr>
      <w:r>
        <w:rPr/>
        <w:t>(1986)</w:t>
      </w:r>
      <w:r>
        <w:rPr>
          <w:spacing w:val="-1"/>
        </w:rPr>
        <w:t> </w:t>
      </w:r>
      <w:r>
        <w:rPr/>
        <w:t>B.C.L.C.</w:t>
      </w:r>
      <w:r>
        <w:rPr>
          <w:spacing w:val="1"/>
        </w:rPr>
        <w:t> </w:t>
      </w:r>
      <w:r>
        <w:rPr>
          <w:spacing w:val="-5"/>
        </w:rPr>
        <w:t>382</w:t>
      </w:r>
      <w:r>
        <w:rPr/>
        <w:tab/>
      </w:r>
      <w:r>
        <w:rPr>
          <w:spacing w:val="-5"/>
        </w:rPr>
        <w:t>129</w:t>
      </w:r>
    </w:p>
    <w:p>
      <w:pPr>
        <w:pStyle w:val="BodyText"/>
        <w:spacing w:before="41"/>
      </w:pPr>
      <w:r>
        <w:rPr/>
        <w:t>Re</w:t>
      </w:r>
      <w:r>
        <w:rPr>
          <w:spacing w:val="-2"/>
        </w:rPr>
        <w:t> </w:t>
      </w:r>
      <w:r>
        <w:rPr/>
        <w:t>Barings</w:t>
      </w:r>
      <w:r>
        <w:rPr>
          <w:spacing w:val="-2"/>
        </w:rPr>
        <w:t> </w:t>
      </w:r>
      <w:r>
        <w:rPr/>
        <w:t>Plc.</w:t>
      </w:r>
      <w:r>
        <w:rPr>
          <w:spacing w:val="1"/>
        </w:rPr>
        <w:t> </w:t>
      </w:r>
      <w:r>
        <w:rPr/>
        <w:t>(No.</w:t>
      </w:r>
      <w:r>
        <w:rPr>
          <w:spacing w:val="1"/>
        </w:rPr>
        <w:t> </w:t>
      </w:r>
      <w:r>
        <w:rPr>
          <w:spacing w:val="-5"/>
        </w:rPr>
        <w:t>5)</w:t>
      </w:r>
    </w:p>
    <w:p>
      <w:pPr>
        <w:pStyle w:val="BodyText"/>
        <w:tabs>
          <w:tab w:pos="6434" w:val="left" w:leader="dot"/>
        </w:tabs>
        <w:spacing w:before="45"/>
        <w:ind w:left="1028"/>
      </w:pPr>
      <w:r>
        <w:rPr/>
        <w:t>(2000)</w:t>
      </w:r>
      <w:r>
        <w:rPr>
          <w:spacing w:val="-2"/>
        </w:rPr>
        <w:t> </w:t>
      </w:r>
      <w:r>
        <w:rPr/>
        <w:t>1</w:t>
      </w:r>
      <w:r>
        <w:rPr>
          <w:spacing w:val="-4"/>
        </w:rPr>
        <w:t> </w:t>
      </w:r>
      <w:r>
        <w:rPr/>
        <w:t>BCLC</w:t>
      </w:r>
      <w:r>
        <w:rPr>
          <w:spacing w:val="-2"/>
        </w:rPr>
        <w:t> </w:t>
      </w:r>
      <w:r>
        <w:rPr>
          <w:spacing w:val="-4"/>
        </w:rPr>
        <w:t>523.</w:t>
      </w:r>
      <w:r>
        <w:rPr/>
        <w:tab/>
        <w:t>159,</w:t>
      </w:r>
      <w:r>
        <w:rPr>
          <w:spacing w:val="-2"/>
        </w:rPr>
        <w:t> </w:t>
      </w:r>
      <w:r>
        <w:rPr/>
        <w:t>164, 166, 227,</w:t>
      </w:r>
      <w:r>
        <w:rPr>
          <w:spacing w:val="1"/>
        </w:rPr>
        <w:t> </w:t>
      </w:r>
      <w:r>
        <w:rPr>
          <w:spacing w:val="-5"/>
        </w:rPr>
        <w:t>229</w:t>
      </w:r>
    </w:p>
    <w:p>
      <w:pPr>
        <w:pStyle w:val="BodyText"/>
        <w:spacing w:before="41"/>
      </w:pPr>
      <w:r>
        <w:rPr/>
        <w:t>Re</w:t>
      </w:r>
      <w:r>
        <w:rPr>
          <w:spacing w:val="-1"/>
        </w:rPr>
        <w:t> </w:t>
      </w:r>
      <w:r>
        <w:rPr/>
        <w:t>Brazilian</w:t>
      </w:r>
      <w:r>
        <w:rPr>
          <w:spacing w:val="-4"/>
        </w:rPr>
        <w:t> </w:t>
      </w:r>
      <w:r>
        <w:rPr/>
        <w:t>Rubber</w:t>
      </w:r>
      <w:r>
        <w:rPr>
          <w:spacing w:val="2"/>
        </w:rPr>
        <w:t> </w:t>
      </w:r>
      <w:r>
        <w:rPr/>
        <w:t>Plantation</w:t>
      </w:r>
      <w:r>
        <w:rPr>
          <w:spacing w:val="-5"/>
        </w:rPr>
        <w:t> </w:t>
      </w:r>
      <w:r>
        <w:rPr/>
        <w:t>Estate</w:t>
      </w:r>
      <w:r>
        <w:rPr>
          <w:spacing w:val="-5"/>
        </w:rPr>
        <w:t> </w:t>
      </w:r>
      <w:r>
        <w:rPr>
          <w:spacing w:val="-4"/>
        </w:rPr>
        <w:t>Ltd.</w:t>
      </w:r>
    </w:p>
    <w:p>
      <w:pPr>
        <w:pStyle w:val="BodyText"/>
        <w:tabs>
          <w:tab w:pos="6391" w:val="left" w:leader="dot"/>
        </w:tabs>
        <w:spacing w:before="41"/>
        <w:ind w:left="1028"/>
      </w:pPr>
      <w:r>
        <w:rPr/>
        <w:t>(1911) 1</w:t>
      </w:r>
      <w:r>
        <w:rPr>
          <w:spacing w:val="-4"/>
        </w:rPr>
        <w:t> </w:t>
      </w:r>
      <w:r>
        <w:rPr/>
        <w:t>Ch.</w:t>
      </w:r>
      <w:r>
        <w:rPr>
          <w:spacing w:val="2"/>
        </w:rPr>
        <w:t> </w:t>
      </w:r>
      <w:r>
        <w:rPr>
          <w:spacing w:val="-5"/>
        </w:rPr>
        <w:t>425</w:t>
      </w:r>
      <w:r>
        <w:rPr/>
        <w:tab/>
        <w:t>26,</w:t>
      </w:r>
      <w:r>
        <w:rPr>
          <w:spacing w:val="-3"/>
        </w:rPr>
        <w:t> </w:t>
      </w:r>
      <w:r>
        <w:rPr/>
        <w:t>54,</w:t>
      </w:r>
      <w:r>
        <w:rPr>
          <w:spacing w:val="-1"/>
        </w:rPr>
        <w:t> </w:t>
      </w:r>
      <w:r>
        <w:rPr/>
        <w:t>63,</w:t>
      </w:r>
      <w:r>
        <w:rPr>
          <w:spacing w:val="-1"/>
        </w:rPr>
        <w:t> </w:t>
      </w:r>
      <w:r>
        <w:rPr/>
        <w:t>157,</w:t>
      </w:r>
      <w:r>
        <w:rPr>
          <w:spacing w:val="-1"/>
        </w:rPr>
        <w:t> </w:t>
      </w:r>
      <w:r>
        <w:rPr/>
        <w:t>159,</w:t>
      </w:r>
      <w:r>
        <w:rPr>
          <w:spacing w:val="-1"/>
        </w:rPr>
        <w:t> </w:t>
      </w:r>
      <w:r>
        <w:rPr>
          <w:spacing w:val="-5"/>
        </w:rPr>
        <w:t>227</w:t>
      </w:r>
    </w:p>
    <w:p>
      <w:pPr>
        <w:pStyle w:val="BodyText"/>
        <w:spacing w:before="41"/>
      </w:pPr>
      <w:r>
        <w:rPr/>
        <w:t>Re</w:t>
      </w:r>
      <w:r>
        <w:rPr>
          <w:spacing w:val="-2"/>
        </w:rPr>
        <w:t> </w:t>
      </w:r>
      <w:r>
        <w:rPr/>
        <w:t>Cardiff</w:t>
      </w:r>
      <w:r>
        <w:rPr>
          <w:spacing w:val="-3"/>
        </w:rPr>
        <w:t> </w:t>
      </w:r>
      <w:r>
        <w:rPr/>
        <w:t>Savings</w:t>
      </w:r>
      <w:r>
        <w:rPr>
          <w:spacing w:val="-3"/>
        </w:rPr>
        <w:t> </w:t>
      </w:r>
      <w:r>
        <w:rPr/>
        <w:t>Bank (Marquis</w:t>
      </w:r>
      <w:r>
        <w:rPr>
          <w:spacing w:val="-3"/>
        </w:rPr>
        <w:t> </w:t>
      </w:r>
      <w:r>
        <w:rPr/>
        <w:t>of</w:t>
      </w:r>
      <w:r>
        <w:rPr>
          <w:spacing w:val="-7"/>
        </w:rPr>
        <w:t> </w:t>
      </w:r>
      <w:r>
        <w:rPr/>
        <w:t>Bute‘s</w:t>
      </w:r>
      <w:r>
        <w:rPr>
          <w:spacing w:val="-3"/>
        </w:rPr>
        <w:t> </w:t>
      </w:r>
      <w:r>
        <w:rPr>
          <w:spacing w:val="-4"/>
        </w:rPr>
        <w:t>Case)</w:t>
      </w:r>
    </w:p>
    <w:p>
      <w:pPr>
        <w:pStyle w:val="BodyText"/>
        <w:tabs>
          <w:tab w:pos="7227" w:val="left" w:leader="dot"/>
        </w:tabs>
        <w:spacing w:before="41"/>
        <w:ind w:left="1028"/>
      </w:pPr>
      <w:r>
        <w:rPr/>
        <w:t>(1892),</w:t>
      </w:r>
      <w:r>
        <w:rPr>
          <w:spacing w:val="-4"/>
        </w:rPr>
        <w:t> </w:t>
      </w:r>
      <w:r>
        <w:rPr/>
        <w:t>Ch.</w:t>
      </w:r>
      <w:r>
        <w:rPr>
          <w:spacing w:val="2"/>
        </w:rPr>
        <w:t> </w:t>
      </w:r>
      <w:r>
        <w:rPr>
          <w:spacing w:val="-4"/>
        </w:rPr>
        <w:t>100.</w:t>
      </w:r>
      <w:r>
        <w:rPr/>
        <w:tab/>
        <w:t>24,</w:t>
      </w:r>
      <w:r>
        <w:rPr>
          <w:spacing w:val="-2"/>
        </w:rPr>
        <w:t> </w:t>
      </w:r>
      <w:r>
        <w:rPr/>
        <w:t>54,</w:t>
      </w:r>
      <w:r>
        <w:rPr>
          <w:spacing w:val="1"/>
        </w:rPr>
        <w:t> </w:t>
      </w:r>
      <w:r>
        <w:rPr/>
        <w:t>157,</w:t>
      </w:r>
      <w:r>
        <w:rPr>
          <w:spacing w:val="1"/>
        </w:rPr>
        <w:t> </w:t>
      </w:r>
      <w:r>
        <w:rPr>
          <w:spacing w:val="-5"/>
        </w:rPr>
        <w:t>227</w:t>
      </w:r>
    </w:p>
    <w:p>
      <w:pPr>
        <w:pStyle w:val="BodyText"/>
        <w:spacing w:before="41"/>
      </w:pPr>
      <w:r>
        <w:rPr/>
        <w:t>Re</w:t>
      </w:r>
      <w:r>
        <w:rPr>
          <w:spacing w:val="-4"/>
        </w:rPr>
        <w:t> </w:t>
      </w:r>
      <w:r>
        <w:rPr/>
        <w:t>City</w:t>
      </w:r>
      <w:r>
        <w:rPr>
          <w:spacing w:val="-11"/>
        </w:rPr>
        <w:t> </w:t>
      </w:r>
      <w:r>
        <w:rPr/>
        <w:t>Equitable</w:t>
      </w:r>
      <w:r>
        <w:rPr>
          <w:spacing w:val="2"/>
        </w:rPr>
        <w:t> </w:t>
      </w:r>
      <w:r>
        <w:rPr/>
        <w:t>Fire</w:t>
      </w:r>
      <w:r>
        <w:rPr>
          <w:spacing w:val="-3"/>
        </w:rPr>
        <w:t> </w:t>
      </w:r>
      <w:r>
        <w:rPr/>
        <w:t>Insurance</w:t>
      </w:r>
      <w:r>
        <w:rPr>
          <w:spacing w:val="-3"/>
        </w:rPr>
        <w:t> </w:t>
      </w:r>
      <w:r>
        <w:rPr>
          <w:spacing w:val="-5"/>
        </w:rPr>
        <w:t>Co.</w:t>
      </w:r>
    </w:p>
    <w:p>
      <w:pPr>
        <w:pStyle w:val="BodyText"/>
        <w:tabs>
          <w:tab w:pos="6089" w:val="left" w:leader="dot"/>
        </w:tabs>
        <w:spacing w:before="41"/>
        <w:ind w:left="1028"/>
      </w:pPr>
      <w:r>
        <w:rPr/>
        <w:t>(1925) Ch.</w:t>
      </w:r>
      <w:r>
        <w:rPr>
          <w:spacing w:val="2"/>
        </w:rPr>
        <w:t> </w:t>
      </w:r>
      <w:r>
        <w:rPr>
          <w:spacing w:val="-5"/>
        </w:rPr>
        <w:t>40.</w:t>
      </w:r>
      <w:r>
        <w:rPr/>
        <w:tab/>
        <w:t>53, 57,</w:t>
      </w:r>
      <w:r>
        <w:rPr>
          <w:spacing w:val="2"/>
        </w:rPr>
        <w:t> </w:t>
      </w:r>
      <w:r>
        <w:rPr/>
        <w:t>61,</w:t>
      </w:r>
      <w:r>
        <w:rPr>
          <w:spacing w:val="2"/>
        </w:rPr>
        <w:t> </w:t>
      </w:r>
      <w:r>
        <w:rPr/>
        <w:t>62</w:t>
      </w:r>
      <w:r>
        <w:rPr>
          <w:spacing w:val="-4"/>
        </w:rPr>
        <w:t> </w:t>
      </w:r>
      <w:r>
        <w:rPr/>
        <w:t>157,</w:t>
      </w:r>
      <w:r>
        <w:rPr>
          <w:spacing w:val="-3"/>
        </w:rPr>
        <w:t> </w:t>
      </w:r>
      <w:r>
        <w:rPr/>
        <w:t>227,</w:t>
      </w:r>
      <w:r>
        <w:rPr>
          <w:spacing w:val="-2"/>
        </w:rPr>
        <w:t> </w:t>
      </w:r>
      <w:r>
        <w:rPr>
          <w:spacing w:val="-5"/>
        </w:rPr>
        <w:t>230</w:t>
      </w:r>
    </w:p>
    <w:p>
      <w:pPr>
        <w:pStyle w:val="BodyText"/>
        <w:spacing w:before="41"/>
      </w:pPr>
      <w:r>
        <w:rPr/>
        <w:t>Re</w:t>
      </w:r>
      <w:r>
        <w:rPr>
          <w:spacing w:val="1"/>
        </w:rPr>
        <w:t> </w:t>
      </w:r>
      <w:r>
        <w:rPr/>
        <w:t>D‘Jan</w:t>
      </w:r>
      <w:r>
        <w:rPr>
          <w:spacing w:val="-2"/>
        </w:rPr>
        <w:t> </w:t>
      </w:r>
      <w:r>
        <w:rPr/>
        <w:t>of</w:t>
      </w:r>
      <w:r>
        <w:rPr>
          <w:spacing w:val="-5"/>
        </w:rPr>
        <w:t> </w:t>
      </w:r>
      <w:r>
        <w:rPr/>
        <w:t>London</w:t>
      </w:r>
      <w:r>
        <w:rPr>
          <w:spacing w:val="-2"/>
        </w:rPr>
        <w:t> </w:t>
      </w:r>
      <w:r>
        <w:rPr>
          <w:spacing w:val="-4"/>
        </w:rPr>
        <w:t>Ltd.</w:t>
      </w:r>
    </w:p>
    <w:p>
      <w:pPr>
        <w:pStyle w:val="BodyText"/>
        <w:tabs>
          <w:tab w:pos="7136" w:val="left" w:leader="dot"/>
        </w:tabs>
        <w:spacing w:before="45"/>
        <w:ind w:left="1028"/>
      </w:pPr>
      <w:r>
        <w:rPr/>
        <w:t>(1993)</w:t>
      </w:r>
      <w:r>
        <w:rPr>
          <w:spacing w:val="1"/>
        </w:rPr>
        <w:t> </w:t>
      </w:r>
      <w:r>
        <w:rPr/>
        <w:t>BCC</w:t>
      </w:r>
      <w:r>
        <w:rPr>
          <w:spacing w:val="-1"/>
        </w:rPr>
        <w:t> </w:t>
      </w:r>
      <w:r>
        <w:rPr>
          <w:spacing w:val="-4"/>
        </w:rPr>
        <w:t>646.</w:t>
      </w:r>
      <w:r>
        <w:rPr/>
        <w:tab/>
        <w:t>62,</w:t>
      </w:r>
      <w:r>
        <w:rPr>
          <w:spacing w:val="-3"/>
        </w:rPr>
        <w:t> </w:t>
      </w:r>
      <w:r>
        <w:rPr/>
        <w:t>159,</w:t>
      </w:r>
      <w:r>
        <w:rPr>
          <w:spacing w:val="-1"/>
        </w:rPr>
        <w:t> </w:t>
      </w:r>
      <w:r>
        <w:rPr/>
        <w:t>163,</w:t>
      </w:r>
      <w:r>
        <w:rPr>
          <w:spacing w:val="-1"/>
        </w:rPr>
        <w:t> </w:t>
      </w:r>
      <w:r>
        <w:rPr>
          <w:spacing w:val="-5"/>
        </w:rPr>
        <w:t>227</w:t>
      </w:r>
    </w:p>
    <w:p>
      <w:pPr>
        <w:pStyle w:val="BodyText"/>
        <w:spacing w:before="42"/>
      </w:pPr>
      <w:r>
        <w:rPr/>
        <w:t>Re</w:t>
      </w:r>
      <w:r>
        <w:rPr>
          <w:spacing w:val="1"/>
        </w:rPr>
        <w:t> </w:t>
      </w:r>
      <w:r>
        <w:rPr/>
        <w:t>Duckwari</w:t>
      </w:r>
      <w:r>
        <w:rPr>
          <w:spacing w:val="-7"/>
        </w:rPr>
        <w:t> </w:t>
      </w:r>
      <w:r>
        <w:rPr>
          <w:spacing w:val="-2"/>
        </w:rPr>
        <w:t>(No.2)</w:t>
      </w:r>
    </w:p>
    <w:p>
      <w:pPr>
        <w:pStyle w:val="BodyText"/>
        <w:tabs>
          <w:tab w:pos="8777" w:val="right" w:leader="dot"/>
        </w:tabs>
        <w:spacing w:before="40"/>
        <w:ind w:left="1028"/>
      </w:pPr>
      <w:r>
        <w:rPr/>
        <w:t>(1998) 2</w:t>
      </w:r>
      <w:r>
        <w:rPr>
          <w:spacing w:val="-4"/>
        </w:rPr>
        <w:t> </w:t>
      </w:r>
      <w:r>
        <w:rPr/>
        <w:t>B.C.L.C.</w:t>
      </w:r>
      <w:r>
        <w:rPr>
          <w:spacing w:val="-1"/>
        </w:rPr>
        <w:t> </w:t>
      </w:r>
      <w:r>
        <w:rPr>
          <w:spacing w:val="-4"/>
        </w:rPr>
        <w:t>315.</w:t>
      </w:r>
      <w:r>
        <w:rPr/>
        <w:tab/>
      </w:r>
      <w:r>
        <w:rPr>
          <w:spacing w:val="-5"/>
        </w:rPr>
        <w:t>198</w:t>
      </w:r>
    </w:p>
    <w:p>
      <w:pPr>
        <w:pStyle w:val="BodyText"/>
        <w:spacing w:before="41"/>
      </w:pPr>
      <w:r>
        <w:rPr/>
        <w:t>Re Forest</w:t>
      </w:r>
      <w:r>
        <w:rPr>
          <w:spacing w:val="1"/>
        </w:rPr>
        <w:t> </w:t>
      </w:r>
      <w:r>
        <w:rPr/>
        <w:t>of</w:t>
      </w:r>
      <w:r>
        <w:rPr>
          <w:spacing w:val="-6"/>
        </w:rPr>
        <w:t> </w:t>
      </w:r>
      <w:r>
        <w:rPr/>
        <w:t>Dean</w:t>
      </w:r>
      <w:r>
        <w:rPr>
          <w:spacing w:val="-4"/>
        </w:rPr>
        <w:t> </w:t>
      </w:r>
      <w:r>
        <w:rPr/>
        <w:t>Coal</w:t>
      </w:r>
      <w:r>
        <w:rPr>
          <w:spacing w:val="-7"/>
        </w:rPr>
        <w:t> </w:t>
      </w:r>
      <w:r>
        <w:rPr/>
        <w:t>Mining</w:t>
      </w:r>
      <w:r>
        <w:rPr>
          <w:spacing w:val="2"/>
        </w:rPr>
        <w:t> </w:t>
      </w:r>
      <w:r>
        <w:rPr>
          <w:spacing w:val="-5"/>
        </w:rPr>
        <w:t>Co.</w:t>
      </w:r>
    </w:p>
    <w:p>
      <w:pPr>
        <w:pStyle w:val="BodyText"/>
        <w:tabs>
          <w:tab w:pos="8787" w:val="right" w:leader="dot"/>
        </w:tabs>
        <w:spacing w:before="41"/>
        <w:ind w:left="1028"/>
      </w:pPr>
      <w:r>
        <w:rPr/>
        <w:t>(1878)</w:t>
      </w:r>
      <w:r>
        <w:rPr>
          <w:spacing w:val="-1"/>
        </w:rPr>
        <w:t> </w:t>
      </w:r>
      <w:r>
        <w:rPr/>
        <w:t>10</w:t>
      </w:r>
      <w:r>
        <w:rPr>
          <w:spacing w:val="-4"/>
        </w:rPr>
        <w:t> </w:t>
      </w:r>
      <w:r>
        <w:rPr/>
        <w:t>Ch.</w:t>
      </w:r>
      <w:r>
        <w:rPr>
          <w:spacing w:val="3"/>
        </w:rPr>
        <w:t> </w:t>
      </w:r>
      <w:r>
        <w:rPr/>
        <w:t>D.,</w:t>
      </w:r>
      <w:r>
        <w:rPr>
          <w:spacing w:val="-2"/>
        </w:rPr>
        <w:t> </w:t>
      </w:r>
      <w:r>
        <w:rPr>
          <w:spacing w:val="-4"/>
        </w:rPr>
        <w:t>450.</w:t>
      </w:r>
      <w:r>
        <w:rPr/>
        <w:tab/>
      </w:r>
      <w:r>
        <w:rPr>
          <w:spacing w:val="-5"/>
        </w:rPr>
        <w:t>23</w:t>
      </w:r>
    </w:p>
    <w:p>
      <w:pPr>
        <w:pStyle w:val="BodyText"/>
        <w:spacing w:before="41"/>
      </w:pPr>
      <w:r>
        <w:rPr/>
        <w:t>Re</w:t>
      </w:r>
      <w:r>
        <w:rPr>
          <w:spacing w:val="-4"/>
        </w:rPr>
        <w:t> </w:t>
      </w:r>
      <w:r>
        <w:rPr/>
        <w:t>Lands</w:t>
      </w:r>
      <w:r>
        <w:rPr>
          <w:spacing w:val="-1"/>
        </w:rPr>
        <w:t> </w:t>
      </w:r>
      <w:r>
        <w:rPr/>
        <w:t>Allotment</w:t>
      </w:r>
      <w:r>
        <w:rPr>
          <w:spacing w:val="2"/>
        </w:rPr>
        <w:t> </w:t>
      </w:r>
      <w:r>
        <w:rPr>
          <w:spacing w:val="-2"/>
        </w:rPr>
        <w:t>Company</w:t>
      </w:r>
    </w:p>
    <w:p>
      <w:pPr>
        <w:pStyle w:val="BodyText"/>
        <w:tabs>
          <w:tab w:pos="8768" w:val="right" w:leader="dot"/>
        </w:tabs>
        <w:spacing w:before="41"/>
        <w:ind w:left="1028"/>
      </w:pPr>
      <w:r>
        <w:rPr/>
        <w:t>(1894)</w:t>
      </w:r>
      <w:r>
        <w:rPr>
          <w:spacing w:val="1"/>
        </w:rPr>
        <w:t> </w:t>
      </w:r>
      <w:r>
        <w:rPr/>
        <w:t>1</w:t>
      </w:r>
      <w:r>
        <w:rPr>
          <w:spacing w:val="-4"/>
        </w:rPr>
        <w:t> </w:t>
      </w:r>
      <w:r>
        <w:rPr/>
        <w:t>Ch.</w:t>
      </w:r>
      <w:r>
        <w:rPr>
          <w:spacing w:val="2"/>
        </w:rPr>
        <w:t> </w:t>
      </w:r>
      <w:r>
        <w:rPr/>
        <w:t>616</w:t>
      </w:r>
      <w:r>
        <w:rPr>
          <w:spacing w:val="1"/>
        </w:rPr>
        <w:t> </w:t>
      </w:r>
      <w:r>
        <w:rPr>
          <w:spacing w:val="-5"/>
        </w:rPr>
        <w:t>C.A</w:t>
      </w:r>
      <w:r>
        <w:rPr/>
        <w:tab/>
      </w:r>
      <w:r>
        <w:rPr>
          <w:spacing w:val="-5"/>
        </w:rPr>
        <w:t>132</w:t>
      </w:r>
    </w:p>
    <w:p>
      <w:pPr>
        <w:pStyle w:val="BodyText"/>
        <w:spacing w:before="41"/>
      </w:pPr>
      <w:r>
        <w:rPr/>
        <w:t>Re</w:t>
      </w:r>
      <w:r>
        <w:rPr>
          <w:spacing w:val="-5"/>
        </w:rPr>
        <w:t> </w:t>
      </w:r>
      <w:r>
        <w:rPr/>
        <w:t>Mea</w:t>
      </w:r>
      <w:r>
        <w:rPr>
          <w:spacing w:val="-2"/>
        </w:rPr>
        <w:t> </w:t>
      </w:r>
      <w:r>
        <w:rPr/>
        <w:t>Corporation</w:t>
      </w:r>
      <w:r>
        <w:rPr>
          <w:spacing w:val="-6"/>
        </w:rPr>
        <w:t> </w:t>
      </w:r>
      <w:r>
        <w:rPr>
          <w:spacing w:val="-4"/>
        </w:rPr>
        <w:t>Ltd.</w:t>
      </w:r>
    </w:p>
    <w:p>
      <w:pPr>
        <w:pStyle w:val="BodyText"/>
        <w:tabs>
          <w:tab w:pos="8778" w:val="right" w:leader="dot"/>
        </w:tabs>
        <w:spacing w:before="41"/>
        <w:ind w:left="1028"/>
      </w:pPr>
      <w:r>
        <w:rPr/>
        <w:t>(2007)</w:t>
      </w:r>
      <w:r>
        <w:rPr>
          <w:spacing w:val="-2"/>
        </w:rPr>
        <w:t> </w:t>
      </w:r>
      <w:r>
        <w:rPr/>
        <w:t>1</w:t>
      </w:r>
      <w:r>
        <w:rPr>
          <w:spacing w:val="-4"/>
        </w:rPr>
        <w:t> </w:t>
      </w:r>
      <w:r>
        <w:rPr/>
        <w:t>BCLC</w:t>
      </w:r>
      <w:r>
        <w:rPr>
          <w:spacing w:val="-2"/>
        </w:rPr>
        <w:t> </w:t>
      </w:r>
      <w:r>
        <w:rPr>
          <w:spacing w:val="-4"/>
        </w:rPr>
        <w:t>618.</w:t>
      </w:r>
      <w:r>
        <w:rPr/>
        <w:tab/>
      </w:r>
      <w:r>
        <w:rPr>
          <w:spacing w:val="-5"/>
        </w:rPr>
        <w:t>126</w:t>
      </w:r>
    </w:p>
    <w:p>
      <w:pPr>
        <w:pStyle w:val="BodyText"/>
        <w:spacing w:before="45"/>
      </w:pPr>
      <w:r>
        <w:rPr/>
        <w:t>ReMontrotierAsphalte</w:t>
      </w:r>
      <w:r>
        <w:rPr>
          <w:spacing w:val="-8"/>
        </w:rPr>
        <w:t> </w:t>
      </w:r>
      <w:r>
        <w:rPr/>
        <w:t>Co</w:t>
      </w:r>
      <w:r>
        <w:rPr>
          <w:spacing w:val="-3"/>
        </w:rPr>
        <w:t> </w:t>
      </w:r>
      <w:r>
        <w:rPr/>
        <w:t>(Perry‘s</w:t>
      </w:r>
      <w:r>
        <w:rPr>
          <w:spacing w:val="-5"/>
        </w:rPr>
        <w:t> </w:t>
      </w:r>
      <w:r>
        <w:rPr>
          <w:spacing w:val="-4"/>
        </w:rPr>
        <w:t>case)</w:t>
      </w:r>
    </w:p>
    <w:p>
      <w:pPr>
        <w:pStyle w:val="BodyText"/>
        <w:tabs>
          <w:tab w:pos="8806" w:val="right" w:leader="dot"/>
        </w:tabs>
        <w:spacing w:before="41"/>
        <w:ind w:left="1028"/>
      </w:pPr>
      <w:r>
        <w:rPr/>
        <w:t>(1876)</w:t>
      </w:r>
      <w:r>
        <w:rPr>
          <w:spacing w:val="2"/>
        </w:rPr>
        <w:t> </w:t>
      </w:r>
      <w:r>
        <w:rPr/>
        <w:t>34</w:t>
      </w:r>
      <w:r>
        <w:rPr>
          <w:spacing w:val="-4"/>
        </w:rPr>
        <w:t> </w:t>
      </w:r>
      <w:r>
        <w:rPr/>
        <w:t>LT</w:t>
      </w:r>
      <w:r>
        <w:rPr>
          <w:spacing w:val="6"/>
        </w:rPr>
        <w:t> </w:t>
      </w:r>
      <w:r>
        <w:rPr>
          <w:spacing w:val="-5"/>
        </w:rPr>
        <w:t>716</w:t>
      </w:r>
      <w:r>
        <w:rPr/>
        <w:tab/>
      </w:r>
      <w:r>
        <w:rPr>
          <w:spacing w:val="-5"/>
        </w:rPr>
        <w:t>54</w:t>
      </w:r>
    </w:p>
    <w:p>
      <w:pPr>
        <w:pStyle w:val="BodyText"/>
        <w:spacing w:before="41"/>
      </w:pPr>
      <w:r>
        <w:rPr/>
        <w:t>Re Neath</w:t>
      </w:r>
      <w:r>
        <w:rPr>
          <w:spacing w:val="-4"/>
        </w:rPr>
        <w:t> </w:t>
      </w:r>
      <w:r>
        <w:rPr/>
        <w:t>Rugby</w:t>
      </w:r>
      <w:r>
        <w:rPr>
          <w:spacing w:val="-3"/>
        </w:rPr>
        <w:t> </w:t>
      </w:r>
      <w:r>
        <w:rPr>
          <w:spacing w:val="-4"/>
        </w:rPr>
        <w:t>Ltd.</w:t>
      </w:r>
    </w:p>
    <w:p>
      <w:pPr>
        <w:pStyle w:val="BodyText"/>
        <w:tabs>
          <w:tab w:pos="7971" w:val="left" w:leader="dot"/>
        </w:tabs>
        <w:spacing w:before="41"/>
        <w:ind w:left="1028"/>
      </w:pPr>
      <w:r>
        <w:rPr/>
        <w:t>(2008)</w:t>
      </w:r>
      <w:r>
        <w:rPr>
          <w:spacing w:val="-1"/>
        </w:rPr>
        <w:t> </w:t>
      </w:r>
      <w:r>
        <w:rPr/>
        <w:t>1</w:t>
      </w:r>
      <w:r>
        <w:rPr>
          <w:spacing w:val="-4"/>
        </w:rPr>
        <w:t> </w:t>
      </w:r>
      <w:r>
        <w:rPr/>
        <w:t>BCLC</w:t>
      </w:r>
      <w:r>
        <w:rPr>
          <w:spacing w:val="-2"/>
        </w:rPr>
        <w:t> </w:t>
      </w:r>
      <w:r>
        <w:rPr/>
        <w:t>868</w:t>
      </w:r>
      <w:r>
        <w:rPr>
          <w:spacing w:val="1"/>
        </w:rPr>
        <w:t> </w:t>
      </w:r>
      <w:r>
        <w:rPr>
          <w:spacing w:val="-4"/>
        </w:rPr>
        <w:t>(PC)</w:t>
      </w:r>
      <w:r>
        <w:rPr/>
        <w:tab/>
        <w:t>107,</w:t>
      </w:r>
      <w:r>
        <w:rPr>
          <w:spacing w:val="-3"/>
        </w:rPr>
        <w:t> </w:t>
      </w:r>
      <w:r>
        <w:rPr>
          <w:spacing w:val="-5"/>
        </w:rPr>
        <w:t>156</w:t>
      </w:r>
    </w:p>
    <w:p>
      <w:pPr>
        <w:pStyle w:val="BodyText"/>
        <w:spacing w:before="41"/>
      </w:pPr>
      <w:r>
        <w:rPr/>
        <w:t>Re</w:t>
      </w:r>
      <w:r>
        <w:rPr>
          <w:spacing w:val="-5"/>
        </w:rPr>
        <w:t> </w:t>
      </w:r>
      <w:r>
        <w:rPr/>
        <w:t>Oxford</w:t>
      </w:r>
      <w:r>
        <w:rPr>
          <w:spacing w:val="-4"/>
        </w:rPr>
        <w:t> </w:t>
      </w:r>
      <w:r>
        <w:rPr/>
        <w:t>Benefit</w:t>
      </w:r>
      <w:r>
        <w:rPr>
          <w:spacing w:val="1"/>
        </w:rPr>
        <w:t> </w:t>
      </w:r>
      <w:r>
        <w:rPr/>
        <w:t>Building</w:t>
      </w:r>
      <w:r>
        <w:rPr>
          <w:spacing w:val="-4"/>
        </w:rPr>
        <w:t> </w:t>
      </w:r>
      <w:r>
        <w:rPr/>
        <w:t>and</w:t>
      </w:r>
      <w:r>
        <w:rPr>
          <w:spacing w:val="-3"/>
        </w:rPr>
        <w:t> </w:t>
      </w:r>
      <w:r>
        <w:rPr/>
        <w:t>Investment</w:t>
      </w:r>
      <w:r>
        <w:rPr>
          <w:spacing w:val="1"/>
        </w:rPr>
        <w:t> </w:t>
      </w:r>
      <w:r>
        <w:rPr>
          <w:spacing w:val="-2"/>
        </w:rPr>
        <w:t>Society</w:t>
      </w:r>
    </w:p>
    <w:p>
      <w:pPr>
        <w:pStyle w:val="BodyText"/>
        <w:tabs>
          <w:tab w:pos="8787" w:val="right" w:leader="dot"/>
        </w:tabs>
        <w:spacing w:before="41"/>
        <w:ind w:left="1028"/>
      </w:pPr>
      <w:r>
        <w:rPr/>
        <w:t>(1886)</w:t>
      </w:r>
      <w:r>
        <w:rPr>
          <w:spacing w:val="1"/>
        </w:rPr>
        <w:t> </w:t>
      </w:r>
      <w:r>
        <w:rPr/>
        <w:t>35</w:t>
      </w:r>
      <w:r>
        <w:rPr>
          <w:spacing w:val="-4"/>
        </w:rPr>
        <w:t> </w:t>
      </w:r>
      <w:r>
        <w:rPr/>
        <w:t>Ch.</w:t>
      </w:r>
      <w:r>
        <w:rPr>
          <w:spacing w:val="2"/>
        </w:rPr>
        <w:t> </w:t>
      </w:r>
      <w:r>
        <w:rPr/>
        <w:t>D.</w:t>
      </w:r>
      <w:r>
        <w:rPr>
          <w:spacing w:val="2"/>
        </w:rPr>
        <w:t> </w:t>
      </w:r>
      <w:r>
        <w:rPr>
          <w:spacing w:val="-5"/>
        </w:rPr>
        <w:t>502</w:t>
      </w:r>
      <w:r>
        <w:rPr/>
        <w:tab/>
      </w:r>
      <w:r>
        <w:rPr>
          <w:spacing w:val="-5"/>
        </w:rPr>
        <w:t>132</w:t>
      </w:r>
    </w:p>
    <w:p>
      <w:pPr>
        <w:pStyle w:val="BodyText"/>
        <w:spacing w:before="41"/>
      </w:pPr>
      <w:r>
        <w:rPr/>
        <w:t>Re</w:t>
      </w:r>
      <w:r>
        <w:rPr>
          <w:spacing w:val="-5"/>
        </w:rPr>
        <w:t> </w:t>
      </w:r>
      <w:r>
        <w:rPr/>
        <w:t>Paycheck</w:t>
      </w:r>
      <w:r>
        <w:rPr>
          <w:spacing w:val="-3"/>
        </w:rPr>
        <w:t> </w:t>
      </w:r>
      <w:r>
        <w:rPr/>
        <w:t>Services</w:t>
      </w:r>
      <w:r>
        <w:rPr>
          <w:spacing w:val="-3"/>
        </w:rPr>
        <w:t> </w:t>
      </w:r>
      <w:r>
        <w:rPr/>
        <w:t>3</w:t>
      </w:r>
      <w:r>
        <w:rPr>
          <w:spacing w:val="-2"/>
        </w:rPr>
        <w:t> </w:t>
      </w:r>
      <w:r>
        <w:rPr>
          <w:spacing w:val="-4"/>
        </w:rPr>
        <w:t>Ltd.</w:t>
      </w:r>
    </w:p>
    <w:p>
      <w:pPr>
        <w:pStyle w:val="BodyText"/>
        <w:spacing w:before="41"/>
        <w:ind w:left="1028"/>
      </w:pPr>
      <w:r>
        <w:rPr/>
        <w:t>(2010)</w:t>
      </w:r>
      <w:r>
        <w:rPr>
          <w:spacing w:val="8"/>
        </w:rPr>
        <w:t> </w:t>
      </w:r>
      <w:r>
        <w:rPr/>
        <w:t>UKSC</w:t>
      </w:r>
      <w:r>
        <w:rPr>
          <w:spacing w:val="5"/>
        </w:rPr>
        <w:t> </w:t>
      </w:r>
      <w:r>
        <w:rPr/>
        <w:t>51;</w:t>
      </w:r>
      <w:r>
        <w:rPr>
          <w:spacing w:val="6"/>
        </w:rPr>
        <w:t> </w:t>
      </w:r>
      <w:r>
        <w:rPr/>
        <w:t>(2011)</w:t>
      </w:r>
      <w:r>
        <w:rPr>
          <w:spacing w:val="8"/>
        </w:rPr>
        <w:t> </w:t>
      </w:r>
      <w:r>
        <w:rPr/>
        <w:t>1</w:t>
      </w:r>
      <w:r>
        <w:rPr>
          <w:spacing w:val="7"/>
        </w:rPr>
        <w:t> </w:t>
      </w:r>
      <w:r>
        <w:rPr/>
        <w:t>BCLC</w:t>
      </w:r>
      <w:r>
        <w:rPr>
          <w:spacing w:val="5"/>
        </w:rPr>
        <w:t> </w:t>
      </w:r>
      <w:r>
        <w:rPr/>
        <w:t>141;</w:t>
      </w:r>
      <w:r>
        <w:rPr>
          <w:spacing w:val="3"/>
        </w:rPr>
        <w:t> </w:t>
      </w:r>
      <w:r>
        <w:rPr/>
        <w:t>(2009)</w:t>
      </w:r>
      <w:r>
        <w:rPr>
          <w:spacing w:val="8"/>
        </w:rPr>
        <w:t> </w:t>
      </w:r>
      <w:r>
        <w:rPr/>
        <w:t>EWCA</w:t>
      </w:r>
      <w:r>
        <w:rPr>
          <w:spacing w:val="2"/>
        </w:rPr>
        <w:t> </w:t>
      </w:r>
      <w:r>
        <w:rPr/>
        <w:t>Civ</w:t>
      </w:r>
      <w:r>
        <w:rPr>
          <w:spacing w:val="6"/>
        </w:rPr>
        <w:t> </w:t>
      </w:r>
      <w:r>
        <w:rPr/>
        <w:t>625,</w:t>
      </w:r>
      <w:r>
        <w:rPr>
          <w:spacing w:val="10"/>
        </w:rPr>
        <w:t> </w:t>
      </w:r>
      <w:r>
        <w:rPr/>
        <w:t>(2009)</w:t>
      </w:r>
      <w:r>
        <w:rPr>
          <w:spacing w:val="8"/>
        </w:rPr>
        <w:t> </w:t>
      </w:r>
      <w:r>
        <w:rPr/>
        <w:t>2</w:t>
      </w:r>
      <w:r>
        <w:rPr>
          <w:spacing w:val="7"/>
        </w:rPr>
        <w:t> </w:t>
      </w:r>
      <w:r>
        <w:rPr>
          <w:spacing w:val="-4"/>
        </w:rPr>
        <w:t>BCLC</w:t>
      </w:r>
    </w:p>
    <w:p>
      <w:pPr>
        <w:pStyle w:val="BodyText"/>
        <w:spacing w:before="46"/>
        <w:ind w:left="1028"/>
      </w:pPr>
      <w:r>
        <w:rPr/>
        <w:t>309.</w:t>
      </w:r>
      <w:r>
        <w:rPr>
          <w:spacing w:val="5"/>
        </w:rPr>
        <w:t> </w:t>
      </w:r>
      <w:r>
        <w:rPr>
          <w:spacing w:val="-2"/>
        </w:rPr>
        <w:t>…………………………………………………………………………….40</w:t>
      </w:r>
    </w:p>
    <w:p>
      <w:pPr>
        <w:pStyle w:val="BodyText"/>
        <w:spacing w:before="41"/>
      </w:pPr>
      <w:r>
        <w:rPr/>
        <w:t>Re</w:t>
      </w:r>
      <w:r>
        <w:rPr>
          <w:spacing w:val="-4"/>
        </w:rPr>
        <w:t> </w:t>
      </w:r>
      <w:r>
        <w:rPr/>
        <w:t>PFTZM</w:t>
      </w:r>
      <w:r>
        <w:rPr>
          <w:spacing w:val="-3"/>
        </w:rPr>
        <w:t> </w:t>
      </w:r>
      <w:r>
        <w:rPr>
          <w:spacing w:val="-4"/>
        </w:rPr>
        <w:t>Ltd.</w:t>
      </w:r>
    </w:p>
    <w:p>
      <w:pPr>
        <w:pStyle w:val="BodyText"/>
        <w:tabs>
          <w:tab w:pos="8811" w:val="right" w:leader="dot"/>
        </w:tabs>
        <w:spacing w:before="40"/>
        <w:ind w:left="1028"/>
      </w:pPr>
      <w:r>
        <w:rPr/>
        <w:t>(1995)</w:t>
      </w:r>
      <w:r>
        <w:rPr>
          <w:spacing w:val="1"/>
        </w:rPr>
        <w:t> </w:t>
      </w:r>
      <w:r>
        <w:rPr/>
        <w:t>BCC</w:t>
      </w:r>
      <w:r>
        <w:rPr>
          <w:spacing w:val="-1"/>
        </w:rPr>
        <w:t> </w:t>
      </w:r>
      <w:r>
        <w:rPr>
          <w:spacing w:val="-4"/>
        </w:rPr>
        <w:t>280.</w:t>
      </w:r>
      <w:r>
        <w:rPr/>
        <w:tab/>
      </w:r>
      <w:r>
        <w:rPr>
          <w:spacing w:val="-5"/>
        </w:rPr>
        <w:t>41</w:t>
      </w:r>
    </w:p>
    <w:p>
      <w:pPr>
        <w:pStyle w:val="BodyText"/>
        <w:spacing w:before="41"/>
      </w:pPr>
      <w:r>
        <w:rPr/>
        <w:t>Re</w:t>
      </w:r>
      <w:r>
        <w:rPr>
          <w:spacing w:val="-1"/>
        </w:rPr>
        <w:t> </w:t>
      </w:r>
      <w:r>
        <w:rPr/>
        <w:t>Smith</w:t>
      </w:r>
      <w:r>
        <w:rPr>
          <w:spacing w:val="1"/>
        </w:rPr>
        <w:t> </w:t>
      </w:r>
      <w:r>
        <w:rPr/>
        <w:t>&amp;</w:t>
      </w:r>
      <w:r>
        <w:rPr>
          <w:spacing w:val="-4"/>
        </w:rPr>
        <w:t> </w:t>
      </w:r>
      <w:r>
        <w:rPr/>
        <w:t>Fawcett</w:t>
      </w:r>
      <w:r>
        <w:rPr>
          <w:spacing w:val="1"/>
        </w:rPr>
        <w:t> </w:t>
      </w:r>
      <w:r>
        <w:rPr>
          <w:spacing w:val="-4"/>
        </w:rPr>
        <w:t>Ltd.</w:t>
      </w:r>
    </w:p>
    <w:p>
      <w:pPr>
        <w:pStyle w:val="BodyText"/>
        <w:tabs>
          <w:tab w:pos="6722" w:val="left" w:leader="dot"/>
        </w:tabs>
        <w:spacing w:before="41"/>
        <w:ind w:left="1028"/>
      </w:pPr>
      <w:r>
        <w:rPr/>
        <w:t>(1942)</w:t>
      </w:r>
      <w:r>
        <w:rPr>
          <w:spacing w:val="1"/>
        </w:rPr>
        <w:t> </w:t>
      </w:r>
      <w:r>
        <w:rPr/>
        <w:t>Ch.</w:t>
      </w:r>
      <w:r>
        <w:rPr>
          <w:spacing w:val="1"/>
        </w:rPr>
        <w:t> </w:t>
      </w:r>
      <w:r>
        <w:rPr/>
        <w:t>304</w:t>
      </w:r>
      <w:r>
        <w:rPr>
          <w:spacing w:val="1"/>
        </w:rPr>
        <w:t> </w:t>
      </w:r>
      <w:r>
        <w:rPr>
          <w:spacing w:val="-5"/>
        </w:rPr>
        <w:t>CA</w:t>
      </w:r>
      <w:r>
        <w:rPr/>
        <w:tab/>
        <w:t>93,</w:t>
      </w:r>
      <w:r>
        <w:rPr>
          <w:spacing w:val="-3"/>
        </w:rPr>
        <w:t> </w:t>
      </w:r>
      <w:r>
        <w:rPr/>
        <w:t>95,</w:t>
      </w:r>
      <w:r>
        <w:rPr>
          <w:spacing w:val="-1"/>
        </w:rPr>
        <w:t> </w:t>
      </w:r>
      <w:r>
        <w:rPr/>
        <w:t>102,</w:t>
      </w:r>
      <w:r>
        <w:rPr>
          <w:spacing w:val="-1"/>
        </w:rPr>
        <w:t> </w:t>
      </w:r>
      <w:r>
        <w:rPr/>
        <w:t>138,</w:t>
      </w:r>
      <w:r>
        <w:rPr>
          <w:spacing w:val="-1"/>
        </w:rPr>
        <w:t> </w:t>
      </w:r>
      <w:r>
        <w:rPr>
          <w:spacing w:val="-5"/>
        </w:rPr>
        <w:t>140</w:t>
      </w:r>
    </w:p>
    <w:p>
      <w:pPr>
        <w:pStyle w:val="BodyText"/>
        <w:spacing w:before="41"/>
      </w:pPr>
      <w:r>
        <w:rPr/>
        <w:t>Re</w:t>
      </w:r>
      <w:r>
        <w:rPr>
          <w:spacing w:val="-3"/>
        </w:rPr>
        <w:t> </w:t>
      </w:r>
      <w:r>
        <w:rPr>
          <w:spacing w:val="-2"/>
        </w:rPr>
        <w:t>Stanley</w:t>
      </w:r>
    </w:p>
    <w:p>
      <w:pPr>
        <w:pStyle w:val="BodyText"/>
        <w:tabs>
          <w:tab w:pos="8792" w:val="right" w:leader="dot"/>
        </w:tabs>
        <w:spacing w:before="41"/>
        <w:ind w:left="1028"/>
      </w:pPr>
      <w:r>
        <w:rPr/>
        <w:t>(1906)</w:t>
      </w:r>
      <w:r>
        <w:rPr>
          <w:spacing w:val="1"/>
        </w:rPr>
        <w:t> </w:t>
      </w:r>
      <w:r>
        <w:rPr/>
        <w:t>1</w:t>
      </w:r>
      <w:r>
        <w:rPr>
          <w:spacing w:val="-5"/>
        </w:rPr>
        <w:t> </w:t>
      </w:r>
      <w:r>
        <w:rPr/>
        <w:t>Ch.</w:t>
      </w:r>
      <w:r>
        <w:rPr>
          <w:spacing w:val="3"/>
        </w:rPr>
        <w:t> </w:t>
      </w:r>
      <w:r>
        <w:rPr>
          <w:spacing w:val="-4"/>
        </w:rPr>
        <w:t>131…</w:t>
      </w:r>
      <w:r>
        <w:rPr/>
        <w:tab/>
      </w:r>
      <w:r>
        <w:rPr>
          <w:spacing w:val="-5"/>
        </w:rPr>
        <w:t>19</w:t>
      </w:r>
    </w:p>
    <w:p>
      <w:pPr>
        <w:pStyle w:val="BodyText"/>
        <w:spacing w:before="41"/>
      </w:pPr>
      <w:r>
        <w:rPr/>
        <w:t>Re</w:t>
      </w:r>
      <w:r>
        <w:rPr>
          <w:spacing w:val="-3"/>
        </w:rPr>
        <w:t> </w:t>
      </w:r>
      <w:r>
        <w:rPr/>
        <w:t>W &amp;</w:t>
      </w:r>
      <w:r>
        <w:rPr>
          <w:spacing w:val="-4"/>
        </w:rPr>
        <w:t> </w:t>
      </w:r>
      <w:r>
        <w:rPr/>
        <w:t>M</w:t>
      </w:r>
      <w:r>
        <w:rPr>
          <w:spacing w:val="-1"/>
        </w:rPr>
        <w:t> </w:t>
      </w:r>
      <w:r>
        <w:rPr/>
        <w:t>Roith</w:t>
      </w:r>
      <w:r>
        <w:rPr>
          <w:spacing w:val="-3"/>
        </w:rPr>
        <w:t> </w:t>
      </w:r>
      <w:r>
        <w:rPr>
          <w:spacing w:val="-4"/>
        </w:rPr>
        <w:t>Ltd.</w:t>
      </w:r>
    </w:p>
    <w:p>
      <w:pPr>
        <w:pStyle w:val="BodyText"/>
        <w:tabs>
          <w:tab w:pos="6824" w:val="left" w:leader="dot"/>
        </w:tabs>
        <w:spacing w:before="41"/>
        <w:ind w:left="1028"/>
      </w:pPr>
      <w:r>
        <w:rPr/>
        <w:t>(1967) 1</w:t>
      </w:r>
      <w:r>
        <w:rPr>
          <w:spacing w:val="-4"/>
        </w:rPr>
        <w:t> </w:t>
      </w:r>
      <w:r>
        <w:rPr/>
        <w:t>W.L.R.</w:t>
      </w:r>
      <w:r>
        <w:rPr>
          <w:spacing w:val="2"/>
        </w:rPr>
        <w:t> </w:t>
      </w:r>
      <w:r>
        <w:rPr>
          <w:spacing w:val="-4"/>
        </w:rPr>
        <w:t>432.</w:t>
      </w:r>
      <w:r>
        <w:rPr/>
        <w:tab/>
        <w:t>85,</w:t>
      </w:r>
      <w:r>
        <w:rPr>
          <w:spacing w:val="-5"/>
        </w:rPr>
        <w:t> </w:t>
      </w:r>
      <w:r>
        <w:rPr/>
        <w:t>97,</w:t>
      </w:r>
      <w:r>
        <w:rPr>
          <w:spacing w:val="-2"/>
        </w:rPr>
        <w:t> </w:t>
      </w:r>
      <w:r>
        <w:rPr/>
        <w:t>103</w:t>
      </w:r>
      <w:r>
        <w:rPr>
          <w:spacing w:val="1"/>
        </w:rPr>
        <w:t> </w:t>
      </w:r>
      <w:r>
        <w:rPr/>
        <w:t>144,</w:t>
      </w:r>
      <w:r>
        <w:rPr>
          <w:spacing w:val="3"/>
        </w:rPr>
        <w:t> </w:t>
      </w:r>
      <w:r>
        <w:rPr>
          <w:spacing w:val="-5"/>
        </w:rPr>
        <w:t>148</w:t>
      </w:r>
    </w:p>
    <w:p>
      <w:pPr>
        <w:pStyle w:val="BodyText"/>
        <w:spacing w:before="45"/>
      </w:pPr>
      <w:r>
        <w:rPr/>
        <w:t>Re</w:t>
      </w:r>
      <w:r>
        <w:rPr>
          <w:spacing w:val="-4"/>
        </w:rPr>
        <w:t> </w:t>
      </w:r>
      <w:r>
        <w:rPr/>
        <w:t>Welfab</w:t>
      </w:r>
      <w:r>
        <w:rPr>
          <w:spacing w:val="-4"/>
        </w:rPr>
        <w:t> </w:t>
      </w:r>
      <w:r>
        <w:rPr/>
        <w:t>Engineers</w:t>
      </w:r>
      <w:r>
        <w:rPr>
          <w:spacing w:val="-2"/>
        </w:rPr>
        <w:t> </w:t>
      </w:r>
      <w:r>
        <w:rPr>
          <w:spacing w:val="-4"/>
        </w:rPr>
        <w:t>Ltd.</w:t>
      </w:r>
    </w:p>
    <w:p>
      <w:pPr>
        <w:pStyle w:val="BodyText"/>
        <w:tabs>
          <w:tab w:pos="8782" w:val="right" w:leader="dot"/>
        </w:tabs>
        <w:spacing w:before="42"/>
        <w:ind w:left="1028"/>
      </w:pPr>
      <w:r>
        <w:rPr/>
        <w:t>(1990)</w:t>
      </w:r>
      <w:r>
        <w:rPr>
          <w:spacing w:val="-3"/>
        </w:rPr>
        <w:t> </w:t>
      </w:r>
      <w:r>
        <w:rPr/>
        <w:t>BCLC</w:t>
      </w:r>
      <w:r>
        <w:rPr>
          <w:spacing w:val="-2"/>
        </w:rPr>
        <w:t> </w:t>
      </w:r>
      <w:r>
        <w:rPr>
          <w:spacing w:val="-4"/>
        </w:rPr>
        <w:t>833.</w:t>
      </w:r>
      <w:r>
        <w:rPr/>
        <w:tab/>
      </w:r>
      <w:r>
        <w:rPr>
          <w:spacing w:val="-5"/>
        </w:rPr>
        <w:t>147</w:t>
      </w:r>
    </w:p>
    <w:p>
      <w:pPr>
        <w:pStyle w:val="BodyText"/>
        <w:spacing w:before="41"/>
      </w:pPr>
      <w:r>
        <w:rPr/>
        <w:t>Re</w:t>
      </w:r>
      <w:r>
        <w:rPr>
          <w:spacing w:val="-3"/>
        </w:rPr>
        <w:t> </w:t>
      </w:r>
      <w:r>
        <w:rPr/>
        <w:t>West</w:t>
      </w:r>
      <w:r>
        <w:rPr>
          <w:spacing w:val="2"/>
        </w:rPr>
        <w:t> </w:t>
      </w:r>
      <w:r>
        <w:rPr/>
        <w:t>Coast</w:t>
      </w:r>
      <w:r>
        <w:rPr>
          <w:spacing w:val="3"/>
        </w:rPr>
        <w:t> </w:t>
      </w:r>
      <w:r>
        <w:rPr/>
        <w:t>Capital</w:t>
      </w:r>
      <w:r>
        <w:rPr>
          <w:spacing w:val="-10"/>
        </w:rPr>
        <w:t> </w:t>
      </w:r>
      <w:r>
        <w:rPr/>
        <w:t>(LIOS) </w:t>
      </w:r>
      <w:r>
        <w:rPr>
          <w:spacing w:val="-4"/>
        </w:rPr>
        <w:t>Ltd.</w:t>
      </w:r>
    </w:p>
    <w:p>
      <w:pPr>
        <w:pStyle w:val="BodyText"/>
        <w:spacing w:before="40"/>
        <w:ind w:left="1028"/>
      </w:pPr>
      <w:r>
        <w:rPr/>
        <w:t>(2008)</w:t>
      </w:r>
      <w:r>
        <w:rPr>
          <w:spacing w:val="-1"/>
        </w:rPr>
        <w:t> </w:t>
      </w:r>
      <w:r>
        <w:rPr/>
        <w:t>CSOH,</w:t>
      </w:r>
      <w:r>
        <w:rPr>
          <w:spacing w:val="-3"/>
        </w:rPr>
        <w:t> </w:t>
      </w:r>
      <w:r>
        <w:rPr/>
        <w:t>72;</w:t>
      </w:r>
      <w:r>
        <w:rPr>
          <w:spacing w:val="-5"/>
        </w:rPr>
        <w:t> </w:t>
      </w:r>
      <w:r>
        <w:rPr/>
        <w:t>2008 Scot (D)</w:t>
      </w:r>
      <w:r>
        <w:rPr>
          <w:spacing w:val="1"/>
        </w:rPr>
        <w:t> </w:t>
      </w:r>
      <w:r>
        <w:rPr/>
        <w:t>16/5</w:t>
      </w:r>
      <w:r>
        <w:rPr>
          <w:spacing w:val="-4"/>
        </w:rPr>
        <w:t> </w:t>
      </w:r>
      <w:r>
        <w:rPr/>
        <w:t>(Outer</w:t>
      </w:r>
      <w:r>
        <w:rPr>
          <w:spacing w:val="1"/>
        </w:rPr>
        <w:t> </w:t>
      </w:r>
      <w:r>
        <w:rPr/>
        <w:t>House),</w:t>
      </w:r>
      <w:r>
        <w:rPr>
          <w:spacing w:val="2"/>
        </w:rPr>
        <w:t> </w:t>
      </w:r>
      <w:r>
        <w:rPr/>
        <w:t>Court of</w:t>
      </w:r>
      <w:r>
        <w:rPr>
          <w:spacing w:val="-7"/>
        </w:rPr>
        <w:t> </w:t>
      </w:r>
      <w:r>
        <w:rPr>
          <w:spacing w:val="-2"/>
        </w:rPr>
        <w:t>Sessions.</w:t>
      </w:r>
    </w:p>
    <w:p>
      <w:pPr>
        <w:pStyle w:val="BodyText"/>
        <w:spacing w:before="41"/>
        <w:ind w:left="1028"/>
      </w:pPr>
      <w:r>
        <w:rPr>
          <w:spacing w:val="-2"/>
        </w:rPr>
        <w:t>………………………………………………………………………………...137</w:t>
      </w:r>
    </w:p>
    <w:p>
      <w:pPr>
        <w:spacing w:after="0"/>
        <w:sectPr>
          <w:pgSz w:w="11910" w:h="16840"/>
          <w:pgMar w:header="0" w:footer="998" w:top="1320" w:bottom="1180" w:left="1680" w:right="1180"/>
        </w:sectPr>
      </w:pPr>
    </w:p>
    <w:p>
      <w:pPr>
        <w:pStyle w:val="BodyText"/>
        <w:spacing w:before="65"/>
      </w:pPr>
      <w:r>
        <w:rPr/>
        <w:t>Regal</w:t>
      </w:r>
      <w:r>
        <w:rPr>
          <w:spacing w:val="-9"/>
        </w:rPr>
        <w:t> </w:t>
      </w:r>
      <w:r>
        <w:rPr/>
        <w:t>(Hastings)</w:t>
      </w:r>
      <w:r>
        <w:rPr>
          <w:spacing w:val="2"/>
        </w:rPr>
        <w:t> </w:t>
      </w:r>
      <w:r>
        <w:rPr/>
        <w:t>Ltd.</w:t>
      </w:r>
      <w:r>
        <w:rPr>
          <w:spacing w:val="-3"/>
        </w:rPr>
        <w:t> </w:t>
      </w:r>
      <w:r>
        <w:rPr/>
        <w:t>vs.</w:t>
      </w:r>
      <w:r>
        <w:rPr>
          <w:spacing w:val="3"/>
        </w:rPr>
        <w:t> </w:t>
      </w:r>
      <w:r>
        <w:rPr>
          <w:spacing w:val="-2"/>
        </w:rPr>
        <w:t>Gulliver</w:t>
      </w:r>
    </w:p>
    <w:p>
      <w:pPr>
        <w:pStyle w:val="BodyText"/>
        <w:spacing w:before="41"/>
        <w:ind w:left="1028"/>
      </w:pPr>
      <w:r>
        <w:rPr/>
        <w:t>(1942)</w:t>
      </w:r>
      <w:r>
        <w:rPr>
          <w:spacing w:val="1"/>
        </w:rPr>
        <w:t> </w:t>
      </w:r>
      <w:r>
        <w:rPr/>
        <w:t>1</w:t>
      </w:r>
      <w:r>
        <w:rPr>
          <w:spacing w:val="-4"/>
        </w:rPr>
        <w:t> </w:t>
      </w:r>
      <w:r>
        <w:rPr/>
        <w:t>All</w:t>
      </w:r>
      <w:r>
        <w:rPr>
          <w:spacing w:val="-4"/>
        </w:rPr>
        <w:t> </w:t>
      </w:r>
      <w:r>
        <w:rPr/>
        <w:t>ER</w:t>
      </w:r>
      <w:r>
        <w:rPr>
          <w:spacing w:val="-1"/>
        </w:rPr>
        <w:t> </w:t>
      </w:r>
      <w:r>
        <w:rPr/>
        <w:t>378...65,</w:t>
      </w:r>
      <w:r>
        <w:rPr>
          <w:spacing w:val="-3"/>
        </w:rPr>
        <w:t> </w:t>
      </w:r>
      <w:r>
        <w:rPr/>
        <w:t>111,</w:t>
      </w:r>
      <w:r>
        <w:rPr>
          <w:spacing w:val="-2"/>
        </w:rPr>
        <w:t> </w:t>
      </w:r>
      <w:r>
        <w:rPr/>
        <w:t>114,</w:t>
      </w:r>
      <w:r>
        <w:rPr>
          <w:spacing w:val="-2"/>
        </w:rPr>
        <w:t> </w:t>
      </w:r>
      <w:r>
        <w:rPr/>
        <w:t>167,</w:t>
      </w:r>
      <w:r>
        <w:rPr>
          <w:spacing w:val="-2"/>
        </w:rPr>
        <w:t> </w:t>
      </w:r>
      <w:r>
        <w:rPr/>
        <w:t>169,</w:t>
      </w:r>
      <w:r>
        <w:rPr>
          <w:spacing w:val="-3"/>
        </w:rPr>
        <w:t> </w:t>
      </w:r>
      <w:r>
        <w:rPr/>
        <w:t>170,</w:t>
      </w:r>
      <w:r>
        <w:rPr>
          <w:spacing w:val="-6"/>
        </w:rPr>
        <w:t> </w:t>
      </w:r>
      <w:r>
        <w:rPr/>
        <w:t>174,</w:t>
      </w:r>
      <w:r>
        <w:rPr>
          <w:spacing w:val="3"/>
        </w:rPr>
        <w:t> </w:t>
      </w:r>
      <w:r>
        <w:rPr/>
        <w:t>176,</w:t>
      </w:r>
      <w:r>
        <w:rPr>
          <w:spacing w:val="3"/>
        </w:rPr>
        <w:t> </w:t>
      </w:r>
      <w:r>
        <w:rPr/>
        <w:t>177,</w:t>
      </w:r>
      <w:r>
        <w:rPr>
          <w:spacing w:val="2"/>
        </w:rPr>
        <w:t> </w:t>
      </w:r>
      <w:r>
        <w:rPr/>
        <w:t>179,</w:t>
      </w:r>
      <w:r>
        <w:rPr>
          <w:spacing w:val="3"/>
        </w:rPr>
        <w:t> </w:t>
      </w:r>
      <w:r>
        <w:rPr/>
        <w:t>231,</w:t>
      </w:r>
      <w:r>
        <w:rPr>
          <w:spacing w:val="3"/>
        </w:rPr>
        <w:t> </w:t>
      </w:r>
      <w:r>
        <w:rPr>
          <w:spacing w:val="-5"/>
        </w:rPr>
        <w:t>234</w:t>
      </w:r>
    </w:p>
    <w:p>
      <w:pPr>
        <w:pStyle w:val="BodyText"/>
        <w:spacing w:before="40"/>
      </w:pPr>
      <w:r>
        <w:rPr/>
        <w:t>Regentcrest</w:t>
      </w:r>
      <w:r>
        <w:rPr>
          <w:spacing w:val="-4"/>
        </w:rPr>
        <w:t> </w:t>
      </w:r>
      <w:r>
        <w:rPr/>
        <w:t>Plc.</w:t>
      </w:r>
      <w:r>
        <w:rPr>
          <w:spacing w:val="-1"/>
        </w:rPr>
        <w:t> </w:t>
      </w:r>
      <w:r>
        <w:rPr/>
        <w:t>(in</w:t>
      </w:r>
      <w:r>
        <w:rPr>
          <w:spacing w:val="-4"/>
        </w:rPr>
        <w:t> </w:t>
      </w:r>
      <w:r>
        <w:rPr/>
        <w:t>liquidation)</w:t>
      </w:r>
      <w:r>
        <w:rPr>
          <w:spacing w:val="-2"/>
        </w:rPr>
        <w:t> </w:t>
      </w:r>
      <w:r>
        <w:rPr/>
        <w:t>vs.</w:t>
      </w:r>
      <w:r>
        <w:rPr>
          <w:spacing w:val="-1"/>
        </w:rPr>
        <w:t> </w:t>
      </w:r>
      <w:r>
        <w:rPr>
          <w:spacing w:val="-4"/>
        </w:rPr>
        <w:t>Cohen</w:t>
      </w:r>
    </w:p>
    <w:p>
      <w:pPr>
        <w:pStyle w:val="BodyText"/>
        <w:tabs>
          <w:tab w:pos="6612" w:val="left" w:leader="dot"/>
        </w:tabs>
        <w:spacing w:before="42"/>
        <w:ind w:left="1028"/>
      </w:pPr>
      <w:r>
        <w:rPr/>
        <w:t>(2001)</w:t>
      </w:r>
      <w:r>
        <w:rPr>
          <w:spacing w:val="1"/>
        </w:rPr>
        <w:t> </w:t>
      </w:r>
      <w:r>
        <w:rPr/>
        <w:t>2</w:t>
      </w:r>
      <w:r>
        <w:rPr>
          <w:spacing w:val="-5"/>
        </w:rPr>
        <w:t> </w:t>
      </w:r>
      <w:r>
        <w:rPr/>
        <w:t>B.C.L.</w:t>
      </w:r>
      <w:r>
        <w:rPr>
          <w:spacing w:val="-3"/>
        </w:rPr>
        <w:t> </w:t>
      </w:r>
      <w:r>
        <w:rPr/>
        <w:t>80</w:t>
      </w:r>
      <w:r>
        <w:rPr>
          <w:spacing w:val="3"/>
        </w:rPr>
        <w:t> </w:t>
      </w:r>
      <w:r>
        <w:rPr/>
        <w:t>Ch.</w:t>
      </w:r>
      <w:r>
        <w:rPr>
          <w:spacing w:val="3"/>
        </w:rPr>
        <w:t> </w:t>
      </w:r>
      <w:r>
        <w:rPr>
          <w:spacing w:val="-5"/>
        </w:rPr>
        <w:t>D.</w:t>
      </w:r>
      <w:r>
        <w:rPr/>
        <w:tab/>
        <w:t>96,</w:t>
      </w:r>
      <w:r>
        <w:rPr>
          <w:spacing w:val="-3"/>
        </w:rPr>
        <w:t> </w:t>
      </w:r>
      <w:r>
        <w:rPr/>
        <w:t>131,</w:t>
      </w:r>
      <w:r>
        <w:rPr>
          <w:spacing w:val="-1"/>
        </w:rPr>
        <w:t> </w:t>
      </w:r>
      <w:r>
        <w:rPr/>
        <w:t>138,</w:t>
      </w:r>
      <w:r>
        <w:rPr>
          <w:spacing w:val="-1"/>
        </w:rPr>
        <w:t> </w:t>
      </w:r>
      <w:r>
        <w:rPr/>
        <w:t>139,</w:t>
      </w:r>
      <w:r>
        <w:rPr>
          <w:spacing w:val="-1"/>
        </w:rPr>
        <w:t> </w:t>
      </w:r>
      <w:r>
        <w:rPr>
          <w:spacing w:val="-5"/>
        </w:rPr>
        <w:t>140</w:t>
      </w:r>
    </w:p>
    <w:p>
      <w:pPr>
        <w:pStyle w:val="BodyText"/>
        <w:spacing w:before="41"/>
      </w:pPr>
      <w:r>
        <w:rPr/>
        <w:t>Roberts</w:t>
      </w:r>
      <w:r>
        <w:rPr>
          <w:spacing w:val="-3"/>
        </w:rPr>
        <w:t> </w:t>
      </w:r>
      <w:r>
        <w:rPr/>
        <w:t>vs.</w:t>
      </w:r>
      <w:r>
        <w:rPr>
          <w:spacing w:val="2"/>
        </w:rPr>
        <w:t> </w:t>
      </w:r>
      <w:r>
        <w:rPr>
          <w:spacing w:val="-2"/>
        </w:rPr>
        <w:t>Frohlich</w:t>
      </w:r>
    </w:p>
    <w:p>
      <w:pPr>
        <w:pStyle w:val="BodyText"/>
        <w:tabs>
          <w:tab w:pos="8459" w:val="left" w:leader="dot"/>
        </w:tabs>
        <w:spacing w:before="45"/>
        <w:ind w:left="1028"/>
      </w:pPr>
      <w:r>
        <w:rPr/>
        <w:t>(2011)</w:t>
      </w:r>
      <w:r>
        <w:rPr>
          <w:spacing w:val="-5"/>
        </w:rPr>
        <w:t> </w:t>
      </w:r>
      <w:r>
        <w:rPr/>
        <w:t>EWHC</w:t>
      </w:r>
      <w:r>
        <w:rPr>
          <w:spacing w:val="-1"/>
        </w:rPr>
        <w:t> </w:t>
      </w:r>
      <w:r>
        <w:rPr/>
        <w:t>257</w:t>
      </w:r>
      <w:r>
        <w:rPr>
          <w:spacing w:val="1"/>
        </w:rPr>
        <w:t> </w:t>
      </w:r>
      <w:r>
        <w:rPr>
          <w:spacing w:val="-4"/>
        </w:rPr>
        <w:t>(Ch)</w:t>
      </w:r>
      <w:r>
        <w:rPr/>
        <w:tab/>
      </w:r>
      <w:r>
        <w:rPr>
          <w:spacing w:val="-5"/>
        </w:rPr>
        <w:t>146</w:t>
      </w:r>
    </w:p>
    <w:p>
      <w:pPr>
        <w:pStyle w:val="BodyText"/>
        <w:spacing w:before="41"/>
      </w:pPr>
      <w:r>
        <w:rPr/>
        <w:t>Rolled</w:t>
      </w:r>
      <w:r>
        <w:rPr>
          <w:spacing w:val="-2"/>
        </w:rPr>
        <w:t> </w:t>
      </w:r>
      <w:r>
        <w:rPr/>
        <w:t>Steel</w:t>
      </w:r>
      <w:r>
        <w:rPr>
          <w:spacing w:val="-8"/>
        </w:rPr>
        <w:t> </w:t>
      </w:r>
      <w:r>
        <w:rPr/>
        <w:t>Products</w:t>
      </w:r>
      <w:r>
        <w:rPr>
          <w:spacing w:val="-7"/>
        </w:rPr>
        <w:t> </w:t>
      </w:r>
      <w:r>
        <w:rPr/>
        <w:t>(Holdings)</w:t>
      </w:r>
      <w:r>
        <w:rPr>
          <w:spacing w:val="2"/>
        </w:rPr>
        <w:t> </w:t>
      </w:r>
      <w:r>
        <w:rPr/>
        <w:t>Ltd vs.</w:t>
      </w:r>
      <w:r>
        <w:rPr>
          <w:spacing w:val="2"/>
        </w:rPr>
        <w:t> </w:t>
      </w:r>
      <w:r>
        <w:rPr/>
        <w:t>British</w:t>
      </w:r>
      <w:r>
        <w:rPr>
          <w:spacing w:val="-4"/>
        </w:rPr>
        <w:t> </w:t>
      </w:r>
      <w:r>
        <w:rPr/>
        <w:t>Steel</w:t>
      </w:r>
      <w:r>
        <w:rPr>
          <w:spacing w:val="-8"/>
        </w:rPr>
        <w:t> </w:t>
      </w:r>
      <w:r>
        <w:rPr>
          <w:spacing w:val="-2"/>
        </w:rPr>
        <w:t>Corporation</w:t>
      </w:r>
    </w:p>
    <w:p>
      <w:pPr>
        <w:pStyle w:val="BodyText"/>
        <w:tabs>
          <w:tab w:pos="8086" w:val="left" w:leader="dot"/>
        </w:tabs>
        <w:spacing w:before="41"/>
        <w:ind w:left="1028"/>
      </w:pPr>
      <w:r>
        <w:rPr/>
        <w:t>(1985)</w:t>
      </w:r>
      <w:r>
        <w:rPr>
          <w:spacing w:val="-2"/>
        </w:rPr>
        <w:t> </w:t>
      </w:r>
      <w:r>
        <w:rPr/>
        <w:t>2</w:t>
      </w:r>
      <w:r>
        <w:rPr>
          <w:spacing w:val="-6"/>
        </w:rPr>
        <w:t> </w:t>
      </w:r>
      <w:r>
        <w:rPr/>
        <w:t>WLR</w:t>
      </w:r>
      <w:r>
        <w:rPr>
          <w:spacing w:val="-2"/>
        </w:rPr>
        <w:t> </w:t>
      </w:r>
      <w:r>
        <w:rPr>
          <w:spacing w:val="-5"/>
        </w:rPr>
        <w:t>908</w:t>
      </w:r>
      <w:r>
        <w:rPr/>
        <w:tab/>
        <w:t>97,</w:t>
      </w:r>
      <w:r>
        <w:rPr>
          <w:spacing w:val="-3"/>
        </w:rPr>
        <w:t> </w:t>
      </w:r>
      <w:r>
        <w:rPr>
          <w:spacing w:val="-5"/>
        </w:rPr>
        <w:t>198</w:t>
      </w:r>
    </w:p>
    <w:p>
      <w:pPr>
        <w:pStyle w:val="BodyText"/>
        <w:spacing w:before="41"/>
      </w:pPr>
      <w:r>
        <w:rPr/>
        <w:t>Rosenblum</w:t>
      </w:r>
      <w:r>
        <w:rPr>
          <w:spacing w:val="-8"/>
        </w:rPr>
        <w:t> </w:t>
      </w:r>
      <w:r>
        <w:rPr/>
        <w:t>vs.</w:t>
      </w:r>
      <w:r>
        <w:rPr>
          <w:spacing w:val="-1"/>
        </w:rPr>
        <w:t> </w:t>
      </w:r>
      <w:r>
        <w:rPr/>
        <w:t>Judson</w:t>
      </w:r>
      <w:r>
        <w:rPr>
          <w:spacing w:val="-7"/>
        </w:rPr>
        <w:t> </w:t>
      </w:r>
      <w:r>
        <w:rPr/>
        <w:t>Engineering</w:t>
      </w:r>
      <w:r>
        <w:rPr>
          <w:spacing w:val="-2"/>
        </w:rPr>
        <w:t> </w:t>
      </w:r>
      <w:r>
        <w:rPr>
          <w:spacing w:val="-4"/>
        </w:rPr>
        <w:t>Corp.</w:t>
      </w:r>
    </w:p>
    <w:p>
      <w:pPr>
        <w:pStyle w:val="BodyText"/>
        <w:tabs>
          <w:tab w:pos="8384" w:val="left" w:leader="dot"/>
        </w:tabs>
        <w:spacing w:before="41"/>
        <w:ind w:left="1028"/>
      </w:pPr>
      <w:r>
        <w:rPr/>
        <w:t>(1954)</w:t>
      </w:r>
      <w:r>
        <w:rPr>
          <w:spacing w:val="1"/>
        </w:rPr>
        <w:t> </w:t>
      </w:r>
      <w:r>
        <w:rPr/>
        <w:t>109</w:t>
      </w:r>
      <w:r>
        <w:rPr>
          <w:spacing w:val="-4"/>
        </w:rPr>
        <w:t> </w:t>
      </w:r>
      <w:r>
        <w:rPr/>
        <w:t>A.</w:t>
      </w:r>
      <w:r>
        <w:rPr>
          <w:spacing w:val="3"/>
        </w:rPr>
        <w:t> </w:t>
      </w:r>
      <w:r>
        <w:rPr/>
        <w:t>2d.</w:t>
      </w:r>
      <w:r>
        <w:rPr>
          <w:spacing w:val="-2"/>
        </w:rPr>
        <w:t> </w:t>
      </w:r>
      <w:r>
        <w:rPr>
          <w:spacing w:val="-4"/>
        </w:rPr>
        <w:t>558.</w:t>
      </w:r>
      <w:r>
        <w:rPr/>
        <w:tab/>
      </w:r>
      <w:r>
        <w:rPr>
          <w:spacing w:val="-5"/>
        </w:rPr>
        <w:t>175</w:t>
      </w:r>
    </w:p>
    <w:p>
      <w:pPr>
        <w:pStyle w:val="BodyText"/>
        <w:spacing w:before="41"/>
      </w:pPr>
      <w:r>
        <w:rPr/>
        <w:t>Runciman</w:t>
      </w:r>
      <w:r>
        <w:rPr>
          <w:spacing w:val="-5"/>
        </w:rPr>
        <w:t> </w:t>
      </w:r>
      <w:r>
        <w:rPr/>
        <w:t>vs.</w:t>
      </w:r>
      <w:r>
        <w:rPr>
          <w:spacing w:val="1"/>
        </w:rPr>
        <w:t> </w:t>
      </w:r>
      <w:r>
        <w:rPr/>
        <w:t>Walter</w:t>
      </w:r>
      <w:r>
        <w:rPr>
          <w:spacing w:val="-3"/>
        </w:rPr>
        <w:t> </w:t>
      </w:r>
      <w:r>
        <w:rPr/>
        <w:t>Runciman</w:t>
      </w:r>
      <w:r>
        <w:rPr>
          <w:spacing w:val="-9"/>
        </w:rPr>
        <w:t> </w:t>
      </w:r>
      <w:r>
        <w:rPr>
          <w:spacing w:val="-4"/>
        </w:rPr>
        <w:t>Plc.</w:t>
      </w:r>
    </w:p>
    <w:p>
      <w:pPr>
        <w:pStyle w:val="BodyText"/>
        <w:tabs>
          <w:tab w:pos="7457" w:val="left" w:leader="dot"/>
        </w:tabs>
        <w:spacing w:before="41"/>
        <w:ind w:left="1028"/>
      </w:pPr>
      <w:r>
        <w:rPr/>
        <w:t>(1992)</w:t>
      </w:r>
      <w:r>
        <w:rPr>
          <w:spacing w:val="-3"/>
        </w:rPr>
        <w:t> </w:t>
      </w:r>
      <w:r>
        <w:rPr/>
        <w:t>BCLC</w:t>
      </w:r>
      <w:r>
        <w:rPr>
          <w:spacing w:val="-2"/>
        </w:rPr>
        <w:t> 1084.</w:t>
      </w:r>
      <w:r>
        <w:rPr/>
        <w:tab/>
        <w:t>199,</w:t>
      </w:r>
      <w:r>
        <w:rPr>
          <w:spacing w:val="-3"/>
        </w:rPr>
        <w:t> </w:t>
      </w:r>
      <w:r>
        <w:rPr/>
        <w:t>200,</w:t>
      </w:r>
      <w:r>
        <w:rPr>
          <w:spacing w:val="-1"/>
        </w:rPr>
        <w:t> </w:t>
      </w:r>
      <w:r>
        <w:rPr>
          <w:spacing w:val="-5"/>
        </w:rPr>
        <w:t>245</w:t>
      </w:r>
    </w:p>
    <w:p>
      <w:pPr>
        <w:pStyle w:val="BodyText"/>
        <w:spacing w:before="41"/>
      </w:pPr>
      <w:r>
        <w:rPr/>
        <w:t>Salomon</w:t>
      </w:r>
      <w:r>
        <w:rPr>
          <w:spacing w:val="-6"/>
        </w:rPr>
        <w:t> </w:t>
      </w:r>
      <w:r>
        <w:rPr/>
        <w:t>vs.</w:t>
      </w:r>
      <w:r>
        <w:rPr>
          <w:spacing w:val="1"/>
        </w:rPr>
        <w:t> </w:t>
      </w:r>
      <w:r>
        <w:rPr/>
        <w:t>Salomon</w:t>
      </w:r>
      <w:r>
        <w:rPr>
          <w:spacing w:val="2"/>
        </w:rPr>
        <w:t> </w:t>
      </w:r>
      <w:r>
        <w:rPr/>
        <w:t>&amp;</w:t>
      </w:r>
      <w:r>
        <w:rPr>
          <w:spacing w:val="-6"/>
        </w:rPr>
        <w:t> </w:t>
      </w:r>
      <w:r>
        <w:rPr/>
        <w:t>Co.</w:t>
      </w:r>
      <w:r>
        <w:rPr>
          <w:spacing w:val="2"/>
        </w:rPr>
        <w:t> </w:t>
      </w:r>
      <w:r>
        <w:rPr>
          <w:spacing w:val="-4"/>
        </w:rPr>
        <w:t>Ltd.</w:t>
      </w:r>
    </w:p>
    <w:p>
      <w:pPr>
        <w:pStyle w:val="BodyText"/>
        <w:tabs>
          <w:tab w:pos="6867" w:val="left" w:leader="dot"/>
        </w:tabs>
        <w:spacing w:before="45"/>
        <w:ind w:left="1028"/>
      </w:pPr>
      <w:r>
        <w:rPr/>
        <w:t>(1897)</w:t>
      </w:r>
      <w:r>
        <w:rPr>
          <w:spacing w:val="-2"/>
        </w:rPr>
        <w:t> </w:t>
      </w:r>
      <w:r>
        <w:rPr/>
        <w:t>AC</w:t>
      </w:r>
      <w:r>
        <w:rPr>
          <w:spacing w:val="-2"/>
        </w:rPr>
        <w:t> </w:t>
      </w:r>
      <w:r>
        <w:rPr>
          <w:spacing w:val="-5"/>
        </w:rPr>
        <w:t>22.</w:t>
      </w:r>
      <w:r>
        <w:rPr/>
        <w:tab/>
        <w:t>68,</w:t>
      </w:r>
      <w:r>
        <w:rPr>
          <w:spacing w:val="-3"/>
        </w:rPr>
        <w:t> </w:t>
      </w:r>
      <w:r>
        <w:rPr/>
        <w:t>73,</w:t>
      </w:r>
      <w:r>
        <w:rPr>
          <w:spacing w:val="-1"/>
        </w:rPr>
        <w:t> </w:t>
      </w:r>
      <w:r>
        <w:rPr/>
        <w:t>74,</w:t>
      </w:r>
      <w:r>
        <w:rPr>
          <w:spacing w:val="-1"/>
        </w:rPr>
        <w:t> </w:t>
      </w:r>
      <w:r>
        <w:rPr/>
        <w:t>127, </w:t>
      </w:r>
      <w:r>
        <w:rPr>
          <w:spacing w:val="-5"/>
        </w:rPr>
        <w:t>218</w:t>
      </w:r>
    </w:p>
    <w:p>
      <w:pPr>
        <w:pStyle w:val="BodyText"/>
        <w:spacing w:before="42"/>
      </w:pPr>
      <w:r>
        <w:rPr/>
        <w:t>Scottish</w:t>
      </w:r>
      <w:r>
        <w:rPr>
          <w:spacing w:val="-6"/>
        </w:rPr>
        <w:t> </w:t>
      </w:r>
      <w:r>
        <w:rPr/>
        <w:t>Co-operative</w:t>
      </w:r>
      <w:r>
        <w:rPr>
          <w:spacing w:val="-1"/>
        </w:rPr>
        <w:t> </w:t>
      </w:r>
      <w:r>
        <w:rPr/>
        <w:t>Wholesale</w:t>
      </w:r>
      <w:r>
        <w:rPr>
          <w:spacing w:val="-1"/>
        </w:rPr>
        <w:t> </w:t>
      </w:r>
      <w:r>
        <w:rPr/>
        <w:t>Society</w:t>
      </w:r>
      <w:r>
        <w:rPr>
          <w:spacing w:val="-10"/>
        </w:rPr>
        <w:t> </w:t>
      </w:r>
      <w:r>
        <w:rPr/>
        <w:t>Ltd.</w:t>
      </w:r>
      <w:r>
        <w:rPr>
          <w:spacing w:val="-3"/>
        </w:rPr>
        <w:t> </w:t>
      </w:r>
      <w:r>
        <w:rPr/>
        <w:t>vs.</w:t>
      </w:r>
      <w:r>
        <w:rPr>
          <w:spacing w:val="3"/>
        </w:rPr>
        <w:t> </w:t>
      </w:r>
      <w:r>
        <w:rPr>
          <w:spacing w:val="-2"/>
        </w:rPr>
        <w:t>Meyer</w:t>
      </w:r>
    </w:p>
    <w:p>
      <w:pPr>
        <w:pStyle w:val="BodyText"/>
        <w:tabs>
          <w:tab w:pos="7001" w:val="left" w:leader="dot"/>
        </w:tabs>
        <w:spacing w:before="40"/>
        <w:ind w:left="1028"/>
      </w:pPr>
      <w:r>
        <w:rPr/>
        <w:t>(1959)</w:t>
      </w:r>
      <w:r>
        <w:rPr>
          <w:spacing w:val="-1"/>
        </w:rPr>
        <w:t> </w:t>
      </w:r>
      <w:r>
        <w:rPr/>
        <w:t>A.C.,</w:t>
      </w:r>
      <w:r>
        <w:rPr>
          <w:spacing w:val="-1"/>
        </w:rPr>
        <w:t> </w:t>
      </w:r>
      <w:r>
        <w:rPr/>
        <w:t>324</w:t>
      </w:r>
      <w:r>
        <w:rPr>
          <w:spacing w:val="1"/>
        </w:rPr>
        <w:t> </w:t>
      </w:r>
      <w:r>
        <w:rPr>
          <w:spacing w:val="-5"/>
        </w:rPr>
        <w:t>HL</w:t>
      </w:r>
      <w:r>
        <w:rPr/>
        <w:tab/>
        <w:t>107,</w:t>
      </w:r>
      <w:r>
        <w:rPr>
          <w:spacing w:val="-2"/>
        </w:rPr>
        <w:t> </w:t>
      </w:r>
      <w:r>
        <w:rPr/>
        <w:t>117,</w:t>
      </w:r>
      <w:r>
        <w:rPr>
          <w:spacing w:val="2"/>
        </w:rPr>
        <w:t> </w:t>
      </w:r>
      <w:r>
        <w:rPr/>
        <w:t>153,</w:t>
      </w:r>
      <w:r>
        <w:rPr>
          <w:spacing w:val="1"/>
        </w:rPr>
        <w:t> </w:t>
      </w:r>
      <w:r>
        <w:rPr>
          <w:spacing w:val="-5"/>
        </w:rPr>
        <w:t>174</w:t>
      </w:r>
    </w:p>
    <w:p>
      <w:pPr>
        <w:pStyle w:val="BodyText"/>
        <w:spacing w:before="41"/>
      </w:pPr>
      <w:r>
        <w:rPr/>
        <w:t>Secretary</w:t>
      </w:r>
      <w:r>
        <w:rPr>
          <w:spacing w:val="-8"/>
        </w:rPr>
        <w:t> </w:t>
      </w:r>
      <w:r>
        <w:rPr/>
        <w:t>of</w:t>
      </w:r>
      <w:r>
        <w:rPr>
          <w:spacing w:val="-6"/>
        </w:rPr>
        <w:t> </w:t>
      </w:r>
      <w:r>
        <w:rPr/>
        <w:t>State</w:t>
      </w:r>
      <w:r>
        <w:rPr>
          <w:spacing w:val="2"/>
        </w:rPr>
        <w:t> </w:t>
      </w:r>
      <w:r>
        <w:rPr/>
        <w:t>for</w:t>
      </w:r>
      <w:r>
        <w:rPr>
          <w:spacing w:val="-1"/>
        </w:rPr>
        <w:t> </w:t>
      </w:r>
      <w:r>
        <w:rPr/>
        <w:t>Trade</w:t>
      </w:r>
      <w:r>
        <w:rPr>
          <w:spacing w:val="2"/>
        </w:rPr>
        <w:t> </w:t>
      </w:r>
      <w:r>
        <w:rPr/>
        <w:t>and</w:t>
      </w:r>
      <w:r>
        <w:rPr>
          <w:spacing w:val="3"/>
        </w:rPr>
        <w:t> </w:t>
      </w:r>
      <w:r>
        <w:rPr/>
        <w:t>Industry</w:t>
      </w:r>
      <w:r>
        <w:rPr>
          <w:spacing w:val="-8"/>
        </w:rPr>
        <w:t> </w:t>
      </w:r>
      <w:r>
        <w:rPr/>
        <w:t>vs.</w:t>
      </w:r>
      <w:r>
        <w:rPr>
          <w:spacing w:val="5"/>
        </w:rPr>
        <w:t> </w:t>
      </w:r>
      <w:r>
        <w:rPr>
          <w:spacing w:val="-2"/>
        </w:rPr>
        <w:t>Deverell</w:t>
      </w:r>
    </w:p>
    <w:p>
      <w:pPr>
        <w:pStyle w:val="BodyText"/>
        <w:tabs>
          <w:tab w:pos="8182" w:val="left" w:leader="dot"/>
        </w:tabs>
        <w:spacing w:before="41"/>
        <w:ind w:left="1028"/>
      </w:pPr>
      <w:r>
        <w:rPr/>
        <w:t>(2000)</w:t>
      </w:r>
      <w:r>
        <w:rPr>
          <w:spacing w:val="1"/>
        </w:rPr>
        <w:t> </w:t>
      </w:r>
      <w:r>
        <w:rPr/>
        <w:t>2</w:t>
      </w:r>
      <w:r>
        <w:rPr>
          <w:spacing w:val="-3"/>
        </w:rPr>
        <w:t> </w:t>
      </w:r>
      <w:r>
        <w:rPr/>
        <w:t>B.C.L.C </w:t>
      </w:r>
      <w:r>
        <w:rPr>
          <w:spacing w:val="-5"/>
        </w:rPr>
        <w:t>133</w:t>
      </w:r>
      <w:r>
        <w:rPr/>
        <w:tab/>
        <w:t>39,</w:t>
      </w:r>
      <w:r>
        <w:rPr>
          <w:spacing w:val="-3"/>
        </w:rPr>
        <w:t> </w:t>
      </w:r>
      <w:r>
        <w:rPr>
          <w:spacing w:val="-5"/>
        </w:rPr>
        <w:t>40</w:t>
      </w:r>
    </w:p>
    <w:p>
      <w:pPr>
        <w:pStyle w:val="BodyText"/>
        <w:spacing w:before="41"/>
      </w:pPr>
      <w:r>
        <w:rPr/>
        <w:t>Selangor</w:t>
      </w:r>
      <w:r>
        <w:rPr>
          <w:spacing w:val="-1"/>
        </w:rPr>
        <w:t> </w:t>
      </w:r>
      <w:r>
        <w:rPr/>
        <w:t>United</w:t>
      </w:r>
      <w:r>
        <w:rPr>
          <w:spacing w:val="-2"/>
        </w:rPr>
        <w:t> </w:t>
      </w:r>
      <w:r>
        <w:rPr/>
        <w:t>Rubber</w:t>
      </w:r>
      <w:r>
        <w:rPr>
          <w:spacing w:val="-1"/>
        </w:rPr>
        <w:t> </w:t>
      </w:r>
      <w:r>
        <w:rPr/>
        <w:t>Estates</w:t>
      </w:r>
      <w:r>
        <w:rPr>
          <w:spacing w:val="-4"/>
        </w:rPr>
        <w:t> </w:t>
      </w:r>
      <w:r>
        <w:rPr/>
        <w:t>Ltd. vs.</w:t>
      </w:r>
      <w:r>
        <w:rPr>
          <w:spacing w:val="1"/>
        </w:rPr>
        <w:t> </w:t>
      </w:r>
      <w:r>
        <w:rPr>
          <w:spacing w:val="-2"/>
        </w:rPr>
        <w:t>Craddock</w:t>
      </w:r>
    </w:p>
    <w:p>
      <w:pPr>
        <w:pStyle w:val="BodyText"/>
        <w:tabs>
          <w:tab w:pos="8408" w:val="left" w:leader="dot"/>
        </w:tabs>
        <w:spacing w:before="41"/>
        <w:ind w:left="1028"/>
      </w:pPr>
      <w:r>
        <w:rPr/>
        <w:t>(1968)</w:t>
      </w:r>
      <w:r>
        <w:rPr>
          <w:spacing w:val="2"/>
        </w:rPr>
        <w:t> </w:t>
      </w:r>
      <w:r>
        <w:rPr/>
        <w:t>2</w:t>
      </w:r>
      <w:r>
        <w:rPr>
          <w:spacing w:val="-4"/>
        </w:rPr>
        <w:t> </w:t>
      </w:r>
      <w:r>
        <w:rPr/>
        <w:t>All</w:t>
      </w:r>
      <w:r>
        <w:rPr>
          <w:spacing w:val="-4"/>
        </w:rPr>
        <w:t> </w:t>
      </w:r>
      <w:r>
        <w:rPr/>
        <w:t>ER </w:t>
      </w:r>
      <w:r>
        <w:rPr>
          <w:spacing w:val="-2"/>
        </w:rPr>
        <w:t>1073.</w:t>
      </w:r>
      <w:r>
        <w:rPr/>
        <w:tab/>
      </w:r>
      <w:r>
        <w:rPr>
          <w:spacing w:val="-5"/>
        </w:rPr>
        <w:t>107</w:t>
      </w:r>
    </w:p>
    <w:p>
      <w:pPr>
        <w:pStyle w:val="BodyText"/>
        <w:spacing w:before="41"/>
      </w:pPr>
      <w:r>
        <w:rPr/>
        <w:t>Shepherd</w:t>
      </w:r>
      <w:r>
        <w:rPr>
          <w:spacing w:val="-2"/>
        </w:rPr>
        <w:t> </w:t>
      </w:r>
      <w:r>
        <w:rPr/>
        <w:t>vs. </w:t>
      </w:r>
      <w:r>
        <w:rPr>
          <w:spacing w:val="-2"/>
        </w:rPr>
        <w:t>Williamson</w:t>
      </w:r>
    </w:p>
    <w:p>
      <w:pPr>
        <w:pStyle w:val="BodyText"/>
        <w:tabs>
          <w:tab w:pos="7462" w:val="left" w:leader="dot"/>
        </w:tabs>
        <w:spacing w:before="41"/>
        <w:ind w:left="1028"/>
      </w:pPr>
      <w:r>
        <w:rPr/>
        <w:t>(2010)</w:t>
      </w:r>
      <w:r>
        <w:rPr>
          <w:spacing w:val="-3"/>
        </w:rPr>
        <w:t> </w:t>
      </w:r>
      <w:r>
        <w:rPr/>
        <w:t>EWHC</w:t>
      </w:r>
      <w:r>
        <w:rPr>
          <w:spacing w:val="-1"/>
        </w:rPr>
        <w:t> </w:t>
      </w:r>
      <w:r>
        <w:rPr/>
        <w:t>2375,</w:t>
      </w:r>
      <w:r>
        <w:rPr>
          <w:spacing w:val="3"/>
        </w:rPr>
        <w:t> </w:t>
      </w:r>
      <w:r>
        <w:rPr>
          <w:spacing w:val="-5"/>
        </w:rPr>
        <w:t>Ch</w:t>
      </w:r>
      <w:r>
        <w:rPr/>
        <w:tab/>
        <w:t>140,</w:t>
      </w:r>
      <w:r>
        <w:rPr>
          <w:spacing w:val="-3"/>
        </w:rPr>
        <w:t> </w:t>
      </w:r>
      <w:r>
        <w:rPr/>
        <w:t>143,</w:t>
      </w:r>
      <w:r>
        <w:rPr>
          <w:spacing w:val="-1"/>
        </w:rPr>
        <w:t> </w:t>
      </w:r>
      <w:r>
        <w:rPr>
          <w:spacing w:val="-5"/>
        </w:rPr>
        <w:t>227</w:t>
      </w:r>
    </w:p>
    <w:p>
      <w:pPr>
        <w:pStyle w:val="BodyText"/>
        <w:spacing w:before="45"/>
      </w:pPr>
      <w:r>
        <w:rPr/>
        <w:t>Short</w:t>
      </w:r>
      <w:r>
        <w:rPr>
          <w:spacing w:val="2"/>
        </w:rPr>
        <w:t> </w:t>
      </w:r>
      <w:r>
        <w:rPr/>
        <w:t>vs.</w:t>
      </w:r>
      <w:r>
        <w:rPr>
          <w:spacing w:val="-1"/>
        </w:rPr>
        <w:t> </w:t>
      </w:r>
      <w:r>
        <w:rPr/>
        <w:t>Treasury</w:t>
      </w:r>
      <w:r>
        <w:rPr>
          <w:spacing w:val="-11"/>
        </w:rPr>
        <w:t> </w:t>
      </w:r>
      <w:r>
        <w:rPr>
          <w:spacing w:val="-2"/>
        </w:rPr>
        <w:t>Commissioners</w:t>
      </w:r>
    </w:p>
    <w:p>
      <w:pPr>
        <w:pStyle w:val="BodyText"/>
        <w:tabs>
          <w:tab w:pos="8546" w:val="left" w:leader="dot"/>
        </w:tabs>
        <w:spacing w:before="41"/>
        <w:ind w:left="1028"/>
      </w:pPr>
      <w:r>
        <w:rPr/>
        <w:t>(1948)</w:t>
      </w:r>
      <w:r>
        <w:rPr>
          <w:spacing w:val="1"/>
        </w:rPr>
        <w:t> </w:t>
      </w:r>
      <w:r>
        <w:rPr/>
        <w:t>1</w:t>
      </w:r>
      <w:r>
        <w:rPr>
          <w:spacing w:val="-5"/>
        </w:rPr>
        <w:t> </w:t>
      </w:r>
      <w:r>
        <w:rPr/>
        <w:t>KB</w:t>
      </w:r>
      <w:r>
        <w:rPr>
          <w:spacing w:val="-1"/>
        </w:rPr>
        <w:t> </w:t>
      </w:r>
      <w:r>
        <w:rPr>
          <w:spacing w:val="-5"/>
        </w:rPr>
        <w:t>116</w:t>
      </w:r>
      <w:r>
        <w:rPr/>
        <w:tab/>
      </w:r>
      <w:r>
        <w:rPr>
          <w:spacing w:val="-5"/>
        </w:rPr>
        <w:t>74</w:t>
      </w:r>
    </w:p>
    <w:p>
      <w:pPr>
        <w:pStyle w:val="BodyText"/>
        <w:spacing w:before="41"/>
      </w:pPr>
      <w:r>
        <w:rPr/>
        <w:t>Sinclair</w:t>
      </w:r>
      <w:r>
        <w:rPr>
          <w:spacing w:val="-4"/>
        </w:rPr>
        <w:t> </w:t>
      </w:r>
      <w:r>
        <w:rPr/>
        <w:t>Investment</w:t>
      </w:r>
      <w:r>
        <w:rPr>
          <w:spacing w:val="2"/>
        </w:rPr>
        <w:t> </w:t>
      </w:r>
      <w:r>
        <w:rPr/>
        <w:t>Holdings</w:t>
      </w:r>
      <w:r>
        <w:rPr>
          <w:spacing w:val="-5"/>
        </w:rPr>
        <w:t> </w:t>
      </w:r>
      <w:r>
        <w:rPr/>
        <w:t>SA</w:t>
      </w:r>
      <w:r>
        <w:rPr>
          <w:spacing w:val="-3"/>
        </w:rPr>
        <w:t> </w:t>
      </w:r>
      <w:r>
        <w:rPr/>
        <w:t>vs.</w:t>
      </w:r>
      <w:r>
        <w:rPr>
          <w:spacing w:val="-1"/>
        </w:rPr>
        <w:t> </w:t>
      </w:r>
      <w:r>
        <w:rPr/>
        <w:t>Versailles</w:t>
      </w:r>
      <w:r>
        <w:rPr>
          <w:spacing w:val="-5"/>
        </w:rPr>
        <w:t> </w:t>
      </w:r>
      <w:r>
        <w:rPr/>
        <w:t>Trade</w:t>
      </w:r>
      <w:r>
        <w:rPr>
          <w:spacing w:val="-3"/>
        </w:rPr>
        <w:t> </w:t>
      </w:r>
      <w:r>
        <w:rPr/>
        <w:t>Finance</w:t>
      </w:r>
      <w:r>
        <w:rPr>
          <w:spacing w:val="-4"/>
        </w:rPr>
        <w:t> </w:t>
      </w:r>
      <w:r>
        <w:rPr/>
        <w:t>Ltd. </w:t>
      </w:r>
      <w:r>
        <w:rPr>
          <w:spacing w:val="-2"/>
        </w:rPr>
        <w:t>(N0.3)</w:t>
      </w:r>
    </w:p>
    <w:p>
      <w:pPr>
        <w:pStyle w:val="BodyText"/>
        <w:tabs>
          <w:tab w:pos="8461" w:val="left" w:leader="dot"/>
        </w:tabs>
        <w:spacing w:before="41"/>
        <w:ind w:left="1028"/>
      </w:pPr>
      <w:r>
        <w:rPr/>
        <w:t>(2007)</w:t>
      </w:r>
      <w:r>
        <w:rPr>
          <w:spacing w:val="-3"/>
        </w:rPr>
        <w:t> </w:t>
      </w:r>
      <w:r>
        <w:rPr/>
        <w:t>EWHC</w:t>
      </w:r>
      <w:r>
        <w:rPr>
          <w:spacing w:val="-2"/>
        </w:rPr>
        <w:t> </w:t>
      </w:r>
      <w:r>
        <w:rPr/>
        <w:t>915,</w:t>
      </w:r>
      <w:r>
        <w:rPr>
          <w:spacing w:val="2"/>
        </w:rPr>
        <w:t> </w:t>
      </w:r>
      <w:r>
        <w:rPr/>
        <w:t>10 ITELR</w:t>
      </w:r>
      <w:r>
        <w:rPr>
          <w:spacing w:val="-1"/>
        </w:rPr>
        <w:t> </w:t>
      </w:r>
      <w:r>
        <w:rPr>
          <w:spacing w:val="-5"/>
        </w:rPr>
        <w:t>58.</w:t>
      </w:r>
      <w:r>
        <w:rPr/>
        <w:tab/>
      </w:r>
      <w:r>
        <w:rPr>
          <w:spacing w:val="-5"/>
        </w:rPr>
        <w:t>167</w:t>
      </w:r>
    </w:p>
    <w:p>
      <w:pPr>
        <w:pStyle w:val="BodyText"/>
        <w:spacing w:before="41"/>
      </w:pPr>
      <w:r>
        <w:rPr/>
        <w:t>Singla</w:t>
      </w:r>
      <w:r>
        <w:rPr>
          <w:spacing w:val="-4"/>
        </w:rPr>
        <w:t> </w:t>
      </w:r>
      <w:r>
        <w:rPr/>
        <w:t>vs. </w:t>
      </w:r>
      <w:r>
        <w:rPr>
          <w:spacing w:val="-2"/>
        </w:rPr>
        <w:t>Hedman</w:t>
      </w:r>
    </w:p>
    <w:p>
      <w:pPr>
        <w:pStyle w:val="BodyText"/>
        <w:tabs>
          <w:tab w:pos="8420" w:val="left" w:leader="dot"/>
        </w:tabs>
        <w:spacing w:before="41"/>
        <w:ind w:left="1028"/>
      </w:pPr>
      <w:r>
        <w:rPr/>
        <w:t>(2010)</w:t>
      </w:r>
      <w:r>
        <w:rPr>
          <w:spacing w:val="-2"/>
        </w:rPr>
        <w:t> </w:t>
      </w:r>
      <w:r>
        <w:rPr/>
        <w:t>2</w:t>
      </w:r>
      <w:r>
        <w:rPr>
          <w:spacing w:val="-4"/>
        </w:rPr>
        <w:t> </w:t>
      </w:r>
      <w:r>
        <w:rPr/>
        <w:t>BCLC</w:t>
      </w:r>
      <w:r>
        <w:rPr>
          <w:spacing w:val="-2"/>
        </w:rPr>
        <w:t> </w:t>
      </w:r>
      <w:r>
        <w:rPr>
          <w:spacing w:val="-5"/>
        </w:rPr>
        <w:t>61.</w:t>
      </w:r>
      <w:r>
        <w:rPr/>
        <w:tab/>
      </w:r>
      <w:r>
        <w:rPr>
          <w:spacing w:val="-5"/>
        </w:rPr>
        <w:t>146</w:t>
      </w:r>
    </w:p>
    <w:p>
      <w:pPr>
        <w:pStyle w:val="BodyText"/>
        <w:spacing w:before="41"/>
      </w:pPr>
      <w:r>
        <w:rPr/>
        <w:t>Solimine</w:t>
      </w:r>
      <w:r>
        <w:rPr>
          <w:spacing w:val="-3"/>
        </w:rPr>
        <w:t> </w:t>
      </w:r>
      <w:r>
        <w:rPr/>
        <w:t>vs.</w:t>
      </w:r>
      <w:r>
        <w:rPr>
          <w:spacing w:val="-4"/>
        </w:rPr>
        <w:t> </w:t>
      </w:r>
      <w:r>
        <w:rPr>
          <w:spacing w:val="-2"/>
        </w:rPr>
        <w:t>Hollander</w:t>
      </w:r>
    </w:p>
    <w:p>
      <w:pPr>
        <w:pStyle w:val="BodyText"/>
        <w:tabs>
          <w:tab w:pos="8387" w:val="left" w:leader="dot"/>
        </w:tabs>
        <w:spacing w:before="41"/>
        <w:ind w:left="1028"/>
      </w:pPr>
      <w:r>
        <w:rPr/>
        <w:t>(1940)</w:t>
      </w:r>
      <w:r>
        <w:rPr>
          <w:spacing w:val="1"/>
        </w:rPr>
        <w:t> </w:t>
      </w:r>
      <w:r>
        <w:rPr/>
        <w:t>16</w:t>
      </w:r>
      <w:r>
        <w:rPr>
          <w:spacing w:val="-4"/>
        </w:rPr>
        <w:t> </w:t>
      </w:r>
      <w:r>
        <w:rPr/>
        <w:t>A.</w:t>
      </w:r>
      <w:r>
        <w:rPr>
          <w:spacing w:val="3"/>
        </w:rPr>
        <w:t> </w:t>
      </w:r>
      <w:r>
        <w:rPr/>
        <w:t>2d.</w:t>
      </w:r>
      <w:r>
        <w:rPr>
          <w:spacing w:val="-2"/>
        </w:rPr>
        <w:t> </w:t>
      </w:r>
      <w:r>
        <w:rPr>
          <w:spacing w:val="-4"/>
        </w:rPr>
        <w:t>203.</w:t>
      </w:r>
      <w:r>
        <w:rPr/>
        <w:tab/>
      </w:r>
      <w:r>
        <w:rPr>
          <w:spacing w:val="-5"/>
        </w:rPr>
        <w:t>175</w:t>
      </w:r>
    </w:p>
    <w:p>
      <w:pPr>
        <w:pStyle w:val="BodyText"/>
        <w:spacing w:before="46"/>
      </w:pPr>
      <w:r>
        <w:rPr/>
        <w:t>Teck</w:t>
      </w:r>
      <w:r>
        <w:rPr>
          <w:spacing w:val="-1"/>
        </w:rPr>
        <w:t> </w:t>
      </w:r>
      <w:r>
        <w:rPr/>
        <w:t>Corporation</w:t>
      </w:r>
      <w:r>
        <w:rPr>
          <w:spacing w:val="-6"/>
        </w:rPr>
        <w:t> </w:t>
      </w:r>
      <w:r>
        <w:rPr/>
        <w:t>Ltd.</w:t>
      </w:r>
      <w:r>
        <w:rPr>
          <w:spacing w:val="1"/>
        </w:rPr>
        <w:t> </w:t>
      </w:r>
      <w:r>
        <w:rPr/>
        <w:t>vs.</w:t>
      </w:r>
      <w:r>
        <w:rPr>
          <w:spacing w:val="2"/>
        </w:rPr>
        <w:t> </w:t>
      </w:r>
      <w:r>
        <w:rPr>
          <w:spacing w:val="-2"/>
        </w:rPr>
        <w:t>Millar</w:t>
      </w:r>
    </w:p>
    <w:p>
      <w:pPr>
        <w:pStyle w:val="BodyText"/>
        <w:tabs>
          <w:tab w:pos="8374" w:val="left" w:leader="dot"/>
        </w:tabs>
        <w:spacing w:before="41"/>
        <w:ind w:left="1028"/>
      </w:pPr>
      <w:r>
        <w:rPr/>
        <w:t>(1973)</w:t>
      </w:r>
      <w:r>
        <w:rPr>
          <w:spacing w:val="1"/>
        </w:rPr>
        <w:t> </w:t>
      </w:r>
      <w:r>
        <w:rPr/>
        <w:t>33</w:t>
      </w:r>
      <w:r>
        <w:rPr>
          <w:spacing w:val="-4"/>
        </w:rPr>
        <w:t> </w:t>
      </w:r>
      <w:r>
        <w:rPr/>
        <w:t>DLR</w:t>
      </w:r>
      <w:r>
        <w:rPr>
          <w:spacing w:val="-1"/>
        </w:rPr>
        <w:t> </w:t>
      </w:r>
      <w:r>
        <w:rPr/>
        <w:t>(3d)</w:t>
      </w:r>
      <w:r>
        <w:rPr>
          <w:spacing w:val="1"/>
        </w:rPr>
        <w:t> </w:t>
      </w:r>
      <w:r>
        <w:rPr/>
        <w:t>288</w:t>
      </w:r>
      <w:r>
        <w:rPr>
          <w:spacing w:val="-4"/>
        </w:rPr>
        <w:t> </w:t>
      </w:r>
      <w:r>
        <w:rPr/>
        <w:t>Sup.</w:t>
      </w:r>
      <w:r>
        <w:rPr>
          <w:spacing w:val="3"/>
        </w:rPr>
        <w:t> </w:t>
      </w:r>
      <w:r>
        <w:rPr/>
        <w:t>Ct.</w:t>
      </w:r>
      <w:r>
        <w:rPr>
          <w:spacing w:val="-2"/>
        </w:rPr>
        <w:t> </w:t>
      </w:r>
      <w:r>
        <w:rPr>
          <w:spacing w:val="-4"/>
        </w:rPr>
        <w:t>(BC)</w:t>
      </w:r>
      <w:r>
        <w:rPr/>
        <w:tab/>
      </w:r>
      <w:r>
        <w:rPr>
          <w:spacing w:val="-5"/>
        </w:rPr>
        <w:t>100</w:t>
      </w:r>
    </w:p>
    <w:p>
      <w:pPr>
        <w:pStyle w:val="BodyText"/>
        <w:spacing w:before="40"/>
      </w:pPr>
      <w:r>
        <w:rPr/>
        <w:t>Thermascan</w:t>
      </w:r>
      <w:r>
        <w:rPr>
          <w:spacing w:val="-7"/>
        </w:rPr>
        <w:t> </w:t>
      </w:r>
      <w:r>
        <w:rPr/>
        <w:t>Ltd</w:t>
      </w:r>
      <w:r>
        <w:rPr>
          <w:spacing w:val="-2"/>
        </w:rPr>
        <w:t> </w:t>
      </w:r>
      <w:r>
        <w:rPr/>
        <w:t>vs.</w:t>
      </w:r>
      <w:r>
        <w:rPr>
          <w:spacing w:val="1"/>
        </w:rPr>
        <w:t> </w:t>
      </w:r>
      <w:r>
        <w:rPr>
          <w:spacing w:val="-2"/>
        </w:rPr>
        <w:t>Norman</w:t>
      </w:r>
    </w:p>
    <w:p>
      <w:pPr>
        <w:pStyle w:val="BodyText"/>
        <w:tabs>
          <w:tab w:pos="8398" w:val="left" w:leader="dot"/>
        </w:tabs>
        <w:spacing w:before="41"/>
        <w:ind w:left="1028"/>
      </w:pPr>
      <w:r>
        <w:rPr/>
        <w:t>(2009)</w:t>
      </w:r>
      <w:r>
        <w:rPr>
          <w:spacing w:val="-5"/>
        </w:rPr>
        <w:t> </w:t>
      </w:r>
      <w:r>
        <w:rPr/>
        <w:t>EWHC</w:t>
      </w:r>
      <w:r>
        <w:rPr>
          <w:spacing w:val="-1"/>
        </w:rPr>
        <w:t> </w:t>
      </w:r>
      <w:r>
        <w:rPr/>
        <w:t>3694</w:t>
      </w:r>
      <w:r>
        <w:rPr>
          <w:spacing w:val="1"/>
        </w:rPr>
        <w:t> </w:t>
      </w:r>
      <w:r>
        <w:rPr>
          <w:spacing w:val="-4"/>
        </w:rPr>
        <w:t>(Ch)</w:t>
      </w:r>
      <w:r>
        <w:rPr/>
        <w:tab/>
      </w:r>
      <w:r>
        <w:rPr>
          <w:spacing w:val="-5"/>
        </w:rPr>
        <w:t>126</w:t>
      </w:r>
    </w:p>
    <w:p>
      <w:pPr>
        <w:pStyle w:val="BodyText"/>
        <w:spacing w:before="41"/>
      </w:pPr>
      <w:r>
        <w:rPr/>
        <w:t>Thorby</w:t>
      </w:r>
      <w:r>
        <w:rPr>
          <w:spacing w:val="-6"/>
        </w:rPr>
        <w:t> </w:t>
      </w:r>
      <w:r>
        <w:rPr/>
        <w:t>vs.</w:t>
      </w:r>
      <w:r>
        <w:rPr>
          <w:spacing w:val="1"/>
        </w:rPr>
        <w:t> </w:t>
      </w:r>
      <w:r>
        <w:rPr>
          <w:spacing w:val="-2"/>
        </w:rPr>
        <w:t>Goldberg</w:t>
      </w:r>
    </w:p>
    <w:p>
      <w:pPr>
        <w:pStyle w:val="BodyText"/>
        <w:tabs>
          <w:tab w:pos="7909" w:val="left" w:leader="dot"/>
        </w:tabs>
        <w:spacing w:before="41"/>
        <w:ind w:left="1028"/>
      </w:pPr>
      <w:r>
        <w:rPr/>
        <w:t>(1964)</w:t>
      </w:r>
      <w:r>
        <w:rPr>
          <w:spacing w:val="1"/>
        </w:rPr>
        <w:t> </w:t>
      </w:r>
      <w:r>
        <w:rPr/>
        <w:t>112</w:t>
      </w:r>
      <w:r>
        <w:rPr>
          <w:spacing w:val="-4"/>
        </w:rPr>
        <w:t> </w:t>
      </w:r>
      <w:r>
        <w:rPr/>
        <w:t>CLR,</w:t>
      </w:r>
      <w:r>
        <w:rPr>
          <w:spacing w:val="2"/>
        </w:rPr>
        <w:t> </w:t>
      </w:r>
      <w:r>
        <w:rPr/>
        <w:t>597,</w:t>
      </w:r>
      <w:r>
        <w:rPr>
          <w:spacing w:val="-2"/>
        </w:rPr>
        <w:t> Aust.HC</w:t>
      </w:r>
      <w:r>
        <w:rPr/>
        <w:tab/>
        <w:t>155,</w:t>
      </w:r>
      <w:r>
        <w:rPr>
          <w:spacing w:val="-3"/>
        </w:rPr>
        <w:t> </w:t>
      </w:r>
      <w:r>
        <w:rPr>
          <w:spacing w:val="-5"/>
        </w:rPr>
        <w:t>225</w:t>
      </w:r>
    </w:p>
    <w:p>
      <w:pPr>
        <w:pStyle w:val="BodyText"/>
        <w:spacing w:before="41"/>
      </w:pPr>
      <w:r>
        <w:rPr/>
        <w:t>Todd</w:t>
      </w:r>
      <w:r>
        <w:rPr>
          <w:spacing w:val="-4"/>
        </w:rPr>
        <w:t> </w:t>
      </w:r>
      <w:r>
        <w:rPr/>
        <w:t>vs.</w:t>
      </w:r>
      <w:r>
        <w:rPr>
          <w:spacing w:val="3"/>
        </w:rPr>
        <w:t> </w:t>
      </w:r>
      <w:r>
        <w:rPr>
          <w:spacing w:val="-2"/>
        </w:rPr>
        <w:t>Robinson</w:t>
      </w:r>
    </w:p>
    <w:p>
      <w:pPr>
        <w:pStyle w:val="BodyText"/>
        <w:tabs>
          <w:tab w:pos="7957" w:val="left" w:leader="dot"/>
        </w:tabs>
        <w:spacing w:before="41"/>
        <w:ind w:left="1028"/>
      </w:pPr>
      <w:r>
        <w:rPr/>
        <w:t>(1884-1885)</w:t>
      </w:r>
      <w:r>
        <w:rPr>
          <w:spacing w:val="-2"/>
        </w:rPr>
        <w:t> </w:t>
      </w:r>
      <w:r>
        <w:rPr/>
        <w:t>14</w:t>
      </w:r>
      <w:r>
        <w:rPr>
          <w:spacing w:val="2"/>
        </w:rPr>
        <w:t> </w:t>
      </w:r>
      <w:r>
        <w:rPr/>
        <w:t>QBD</w:t>
      </w:r>
      <w:r>
        <w:rPr>
          <w:spacing w:val="1"/>
        </w:rPr>
        <w:t> </w:t>
      </w:r>
      <w:r>
        <w:rPr>
          <w:spacing w:val="-5"/>
        </w:rPr>
        <w:t>739</w:t>
      </w:r>
      <w:r>
        <w:rPr/>
        <w:tab/>
        <w:t>175,</w:t>
      </w:r>
      <w:r>
        <w:rPr>
          <w:spacing w:val="2"/>
        </w:rPr>
        <w:t> </w:t>
      </w:r>
      <w:r>
        <w:rPr>
          <w:spacing w:val="-5"/>
        </w:rPr>
        <w:t>197</w:t>
      </w:r>
    </w:p>
    <w:p>
      <w:pPr>
        <w:pStyle w:val="BodyText"/>
        <w:spacing w:before="41"/>
      </w:pPr>
      <w:r>
        <w:rPr/>
        <w:t>Transvaal</w:t>
      </w:r>
      <w:r>
        <w:rPr>
          <w:spacing w:val="-10"/>
        </w:rPr>
        <w:t> </w:t>
      </w:r>
      <w:r>
        <w:rPr/>
        <w:t>Lands</w:t>
      </w:r>
      <w:r>
        <w:rPr>
          <w:spacing w:val="-5"/>
        </w:rPr>
        <w:t> </w:t>
      </w:r>
      <w:r>
        <w:rPr/>
        <w:t>Co.</w:t>
      </w:r>
      <w:r>
        <w:rPr>
          <w:spacing w:val="-1"/>
        </w:rPr>
        <w:t> </w:t>
      </w:r>
      <w:r>
        <w:rPr/>
        <w:t>vs.</w:t>
      </w:r>
      <w:r>
        <w:rPr>
          <w:spacing w:val="-1"/>
        </w:rPr>
        <w:t> </w:t>
      </w:r>
      <w:r>
        <w:rPr/>
        <w:t>New</w:t>
      </w:r>
      <w:r>
        <w:rPr>
          <w:spacing w:val="-4"/>
        </w:rPr>
        <w:t> </w:t>
      </w:r>
      <w:r>
        <w:rPr/>
        <w:t>Belgium</w:t>
      </w:r>
      <w:r>
        <w:rPr>
          <w:spacing w:val="-7"/>
        </w:rPr>
        <w:t> </w:t>
      </w:r>
      <w:r>
        <w:rPr/>
        <w:t>(Transvaal)</w:t>
      </w:r>
      <w:r>
        <w:rPr>
          <w:spacing w:val="3"/>
        </w:rPr>
        <w:t> </w:t>
      </w:r>
      <w:r>
        <w:rPr/>
        <w:t>Land</w:t>
      </w:r>
      <w:r>
        <w:rPr>
          <w:spacing w:val="-3"/>
        </w:rPr>
        <w:t> </w:t>
      </w:r>
      <w:r>
        <w:rPr/>
        <w:t>and</w:t>
      </w:r>
      <w:r>
        <w:rPr>
          <w:spacing w:val="-3"/>
        </w:rPr>
        <w:t> </w:t>
      </w:r>
      <w:r>
        <w:rPr/>
        <w:t>Development</w:t>
      </w:r>
      <w:r>
        <w:rPr>
          <w:spacing w:val="2"/>
        </w:rPr>
        <w:t> </w:t>
      </w:r>
      <w:r>
        <w:rPr>
          <w:spacing w:val="-5"/>
        </w:rPr>
        <w:t>Co.</w:t>
      </w:r>
    </w:p>
    <w:p>
      <w:pPr>
        <w:pStyle w:val="BodyText"/>
        <w:tabs>
          <w:tab w:pos="7006" w:val="left" w:leader="dot"/>
        </w:tabs>
        <w:spacing w:before="45"/>
        <w:ind w:left="1028"/>
      </w:pPr>
      <w:r>
        <w:rPr/>
        <w:t>(1914)</w:t>
      </w:r>
      <w:r>
        <w:rPr>
          <w:spacing w:val="1"/>
        </w:rPr>
        <w:t> </w:t>
      </w:r>
      <w:r>
        <w:rPr/>
        <w:t>2</w:t>
      </w:r>
      <w:r>
        <w:rPr>
          <w:spacing w:val="-4"/>
        </w:rPr>
        <w:t> </w:t>
      </w:r>
      <w:r>
        <w:rPr/>
        <w:t>Ch.</w:t>
      </w:r>
      <w:r>
        <w:rPr>
          <w:spacing w:val="2"/>
        </w:rPr>
        <w:t> </w:t>
      </w:r>
      <w:r>
        <w:rPr/>
        <w:t>488</w:t>
      </w:r>
      <w:r>
        <w:rPr>
          <w:spacing w:val="1"/>
        </w:rPr>
        <w:t> </w:t>
      </w:r>
      <w:r>
        <w:rPr>
          <w:spacing w:val="-4"/>
        </w:rPr>
        <w:t>(CA)</w:t>
      </w:r>
      <w:r>
        <w:rPr/>
        <w:tab/>
        <w:t>119,</w:t>
      </w:r>
      <w:r>
        <w:rPr>
          <w:spacing w:val="-3"/>
        </w:rPr>
        <w:t> </w:t>
      </w:r>
      <w:r>
        <w:rPr/>
        <w:t>168,</w:t>
      </w:r>
      <w:r>
        <w:rPr>
          <w:spacing w:val="-1"/>
        </w:rPr>
        <w:t> </w:t>
      </w:r>
      <w:r>
        <w:rPr/>
        <w:t>175,</w:t>
      </w:r>
      <w:r>
        <w:rPr>
          <w:spacing w:val="-1"/>
        </w:rPr>
        <w:t> </w:t>
      </w:r>
      <w:r>
        <w:rPr>
          <w:spacing w:val="-5"/>
        </w:rPr>
        <w:t>197</w:t>
      </w:r>
    </w:p>
    <w:p>
      <w:pPr>
        <w:pStyle w:val="BodyText"/>
        <w:spacing w:before="42"/>
      </w:pPr>
      <w:r>
        <w:rPr/>
        <w:t>Ultraframe</w:t>
      </w:r>
      <w:r>
        <w:rPr>
          <w:spacing w:val="-3"/>
        </w:rPr>
        <w:t> </w:t>
      </w:r>
      <w:r>
        <w:rPr/>
        <w:t>(UK)</w:t>
      </w:r>
      <w:r>
        <w:rPr>
          <w:spacing w:val="-1"/>
        </w:rPr>
        <w:t> </w:t>
      </w:r>
      <w:r>
        <w:rPr/>
        <w:t>Ltd.</w:t>
      </w:r>
      <w:r>
        <w:rPr>
          <w:spacing w:val="-4"/>
        </w:rPr>
        <w:t> </w:t>
      </w:r>
      <w:r>
        <w:rPr/>
        <w:t>vs.</w:t>
      </w:r>
      <w:r>
        <w:rPr>
          <w:spacing w:val="1"/>
        </w:rPr>
        <w:t> </w:t>
      </w:r>
      <w:r>
        <w:rPr>
          <w:spacing w:val="-2"/>
        </w:rPr>
        <w:t>Fielding</w:t>
      </w:r>
    </w:p>
    <w:p>
      <w:pPr>
        <w:pStyle w:val="BodyText"/>
        <w:tabs>
          <w:tab w:pos="7255" w:val="left" w:leader="dot"/>
        </w:tabs>
        <w:spacing w:before="41"/>
        <w:ind w:left="1028"/>
      </w:pPr>
      <w:r>
        <w:rPr/>
        <w:t>(2005)</w:t>
      </w:r>
      <w:r>
        <w:rPr>
          <w:spacing w:val="-5"/>
        </w:rPr>
        <w:t> </w:t>
      </w:r>
      <w:r>
        <w:rPr/>
        <w:t>EWHC</w:t>
      </w:r>
      <w:r>
        <w:rPr>
          <w:spacing w:val="-1"/>
        </w:rPr>
        <w:t> </w:t>
      </w:r>
      <w:r>
        <w:rPr/>
        <w:t>1638</w:t>
      </w:r>
      <w:r>
        <w:rPr>
          <w:spacing w:val="1"/>
        </w:rPr>
        <w:t> </w:t>
      </w:r>
      <w:r>
        <w:rPr>
          <w:spacing w:val="-4"/>
        </w:rPr>
        <w:t>(Ch)</w:t>
      </w:r>
      <w:r>
        <w:rPr/>
        <w:tab/>
        <w:t>40,</w:t>
      </w:r>
      <w:r>
        <w:rPr>
          <w:spacing w:val="-3"/>
        </w:rPr>
        <w:t> </w:t>
      </w:r>
      <w:r>
        <w:rPr/>
        <w:t>50,</w:t>
      </w:r>
      <w:r>
        <w:rPr>
          <w:spacing w:val="-1"/>
        </w:rPr>
        <w:t> </w:t>
      </w:r>
      <w:r>
        <w:rPr/>
        <w:t>126,</w:t>
      </w:r>
      <w:r>
        <w:rPr>
          <w:spacing w:val="-1"/>
        </w:rPr>
        <w:t> </w:t>
      </w:r>
      <w:r>
        <w:rPr>
          <w:spacing w:val="-5"/>
        </w:rPr>
        <w:t>203</w:t>
      </w:r>
    </w:p>
    <w:p>
      <w:pPr>
        <w:pStyle w:val="BodyText"/>
        <w:spacing w:before="40"/>
      </w:pPr>
      <w:r>
        <w:rPr/>
        <w:t>Vivendi</w:t>
      </w:r>
      <w:r>
        <w:rPr>
          <w:spacing w:val="-7"/>
        </w:rPr>
        <w:t> </w:t>
      </w:r>
      <w:r>
        <w:rPr/>
        <w:t>SA</w:t>
      </w:r>
      <w:r>
        <w:rPr>
          <w:spacing w:val="-2"/>
        </w:rPr>
        <w:t> </w:t>
      </w:r>
      <w:r>
        <w:rPr/>
        <w:t>vs.</w:t>
      </w:r>
      <w:r>
        <w:rPr>
          <w:spacing w:val="1"/>
        </w:rPr>
        <w:t> </w:t>
      </w:r>
      <w:r>
        <w:rPr>
          <w:spacing w:val="-2"/>
        </w:rPr>
        <w:t>Richards</w:t>
      </w:r>
    </w:p>
    <w:p>
      <w:pPr>
        <w:pStyle w:val="BodyText"/>
        <w:tabs>
          <w:tab w:pos="7596" w:val="left" w:leader="dot"/>
        </w:tabs>
        <w:spacing w:before="41"/>
        <w:ind w:left="1028"/>
      </w:pPr>
      <w:r>
        <w:rPr/>
        <w:t>(2013)</w:t>
      </w:r>
      <w:r>
        <w:rPr>
          <w:spacing w:val="-3"/>
        </w:rPr>
        <w:t> </w:t>
      </w:r>
      <w:r>
        <w:rPr/>
        <w:t>EWHC</w:t>
      </w:r>
      <w:r>
        <w:rPr>
          <w:spacing w:val="-2"/>
        </w:rPr>
        <w:t> 3006.</w:t>
      </w:r>
      <w:r>
        <w:rPr/>
        <w:tab/>
        <w:t>50,</w:t>
      </w:r>
      <w:r>
        <w:rPr>
          <w:spacing w:val="-3"/>
        </w:rPr>
        <w:t> </w:t>
      </w:r>
      <w:r>
        <w:rPr/>
        <w:t>204,</w:t>
      </w:r>
      <w:r>
        <w:rPr>
          <w:spacing w:val="-1"/>
        </w:rPr>
        <w:t> </w:t>
      </w:r>
      <w:r>
        <w:rPr>
          <w:spacing w:val="-5"/>
        </w:rPr>
        <w:t>209</w:t>
      </w:r>
    </w:p>
    <w:p>
      <w:pPr>
        <w:spacing w:after="0"/>
        <w:sectPr>
          <w:pgSz w:w="11910" w:h="16840"/>
          <w:pgMar w:header="0" w:footer="998" w:top="1320" w:bottom="1180" w:left="1680" w:right="1180"/>
        </w:sectPr>
      </w:pPr>
    </w:p>
    <w:p>
      <w:pPr>
        <w:pStyle w:val="BodyText"/>
        <w:spacing w:before="65"/>
      </w:pPr>
      <w:r>
        <w:rPr/>
        <w:t>West</w:t>
      </w:r>
      <w:r>
        <w:rPr>
          <w:spacing w:val="1"/>
        </w:rPr>
        <w:t> </w:t>
      </w:r>
      <w:r>
        <w:rPr/>
        <w:t>Mercia</w:t>
      </w:r>
      <w:r>
        <w:rPr>
          <w:spacing w:val="-4"/>
        </w:rPr>
        <w:t> </w:t>
      </w:r>
      <w:r>
        <w:rPr/>
        <w:t>Safetyware</w:t>
      </w:r>
      <w:r>
        <w:rPr>
          <w:spacing w:val="-4"/>
        </w:rPr>
        <w:t> </w:t>
      </w:r>
      <w:r>
        <w:rPr/>
        <w:t>Ltd.</w:t>
      </w:r>
      <w:r>
        <w:rPr>
          <w:spacing w:val="-1"/>
        </w:rPr>
        <w:t> </w:t>
      </w:r>
      <w:r>
        <w:rPr/>
        <w:t>vs.</w:t>
      </w:r>
      <w:r>
        <w:rPr>
          <w:spacing w:val="-1"/>
        </w:rPr>
        <w:t> </w:t>
      </w:r>
      <w:r>
        <w:rPr>
          <w:spacing w:val="-4"/>
        </w:rPr>
        <w:t>Dodd</w:t>
      </w:r>
    </w:p>
    <w:p>
      <w:pPr>
        <w:pStyle w:val="BodyText"/>
        <w:tabs>
          <w:tab w:pos="8806" w:val="right" w:leader="dot"/>
        </w:tabs>
        <w:spacing w:before="41"/>
        <w:ind w:left="1028"/>
      </w:pPr>
      <w:r>
        <w:rPr/>
        <w:t>(1988)</w:t>
      </w:r>
      <w:r>
        <w:rPr>
          <w:spacing w:val="1"/>
        </w:rPr>
        <w:t> </w:t>
      </w:r>
      <w:r>
        <w:rPr/>
        <w:t>BCLC</w:t>
      </w:r>
      <w:r>
        <w:rPr>
          <w:spacing w:val="-2"/>
        </w:rPr>
        <w:t> </w:t>
      </w:r>
      <w:r>
        <w:rPr/>
        <w:t>250,</w:t>
      </w:r>
      <w:r>
        <w:rPr>
          <w:spacing w:val="2"/>
        </w:rPr>
        <w:t> </w:t>
      </w:r>
      <w:r>
        <w:rPr/>
        <w:t>at 252-253</w:t>
      </w:r>
      <w:r>
        <w:rPr>
          <w:spacing w:val="-4"/>
        </w:rPr>
        <w:t> (CA)</w:t>
      </w:r>
      <w:r>
        <w:rPr/>
        <w:tab/>
      </w:r>
      <w:r>
        <w:rPr>
          <w:spacing w:val="-5"/>
        </w:rPr>
        <w:t>146</w:t>
      </w:r>
    </w:p>
    <w:p>
      <w:pPr>
        <w:pStyle w:val="BodyText"/>
        <w:spacing w:before="40"/>
      </w:pPr>
      <w:r>
        <w:rPr/>
        <w:t>Winthrop</w:t>
      </w:r>
      <w:r>
        <w:rPr>
          <w:spacing w:val="-3"/>
        </w:rPr>
        <w:t> </w:t>
      </w:r>
      <w:r>
        <w:rPr/>
        <w:t>Investments</w:t>
      </w:r>
      <w:r>
        <w:rPr>
          <w:spacing w:val="-4"/>
        </w:rPr>
        <w:t> </w:t>
      </w:r>
      <w:r>
        <w:rPr/>
        <w:t>Ltd. vs. Winns</w:t>
      </w:r>
      <w:r>
        <w:rPr>
          <w:spacing w:val="-4"/>
        </w:rPr>
        <w:t> Ltd.</w:t>
      </w:r>
    </w:p>
    <w:p>
      <w:pPr>
        <w:pStyle w:val="BodyText"/>
        <w:tabs>
          <w:tab w:pos="7942" w:val="left" w:leader="dot"/>
        </w:tabs>
        <w:spacing w:before="42"/>
        <w:ind w:left="1028"/>
      </w:pPr>
      <w:r>
        <w:rPr/>
        <w:t>(1975)</w:t>
      </w:r>
      <w:r>
        <w:rPr>
          <w:spacing w:val="1"/>
        </w:rPr>
        <w:t> </w:t>
      </w:r>
      <w:r>
        <w:rPr/>
        <w:t>2</w:t>
      </w:r>
      <w:r>
        <w:rPr>
          <w:spacing w:val="-5"/>
        </w:rPr>
        <w:t> </w:t>
      </w:r>
      <w:r>
        <w:rPr/>
        <w:t>N.S.W.L.R.</w:t>
      </w:r>
      <w:r>
        <w:rPr>
          <w:spacing w:val="2"/>
        </w:rPr>
        <w:t> </w:t>
      </w:r>
      <w:r>
        <w:rPr/>
        <w:t>666,</w:t>
      </w:r>
      <w:r>
        <w:rPr>
          <w:spacing w:val="-2"/>
        </w:rPr>
        <w:t> </w:t>
      </w:r>
      <w:r>
        <w:rPr>
          <w:spacing w:val="-4"/>
        </w:rPr>
        <w:t>NSWCA</w:t>
      </w:r>
      <w:r>
        <w:rPr/>
        <w:tab/>
        <w:t>101,</w:t>
      </w:r>
      <w:r>
        <w:rPr>
          <w:spacing w:val="-3"/>
        </w:rPr>
        <w:t> </w:t>
      </w:r>
      <w:r>
        <w:rPr>
          <w:spacing w:val="-5"/>
        </w:rPr>
        <w:t>132</w:t>
      </w:r>
    </w:p>
    <w:p>
      <w:pPr>
        <w:spacing w:after="0"/>
        <w:sectPr>
          <w:pgSz w:w="11910" w:h="16840"/>
          <w:pgMar w:header="0" w:footer="998" w:top="1320" w:bottom="1180" w:left="1680" w:right="1180"/>
        </w:sectPr>
      </w:pPr>
    </w:p>
    <w:p>
      <w:pPr>
        <w:pStyle w:val="BodyText"/>
        <w:spacing w:before="88"/>
        <w:ind w:left="79"/>
        <w:jc w:val="center"/>
        <w:rPr>
          <w:rFonts w:ascii="Arial Black"/>
        </w:rPr>
      </w:pPr>
      <w:r>
        <w:rPr>
          <w:rFonts w:ascii="Arial Black"/>
          <w:spacing w:val="-2"/>
        </w:rPr>
        <w:t>ABBREVIATIONS</w:t>
      </w:r>
    </w:p>
    <w:p>
      <w:pPr>
        <w:pStyle w:val="BodyText"/>
        <w:spacing w:before="3"/>
        <w:ind w:left="0"/>
        <w:rPr>
          <w:rFonts w:ascii="Arial Black"/>
          <w:sz w:val="18"/>
        </w:rPr>
      </w:pPr>
    </w:p>
    <w:tbl>
      <w:tblPr>
        <w:tblW w:w="0" w:type="auto"/>
        <w:jc w:val="left"/>
        <w:tblInd w:w="2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618"/>
        <w:gridCol w:w="7111"/>
      </w:tblGrid>
      <w:tr>
        <w:trPr>
          <w:trHeight w:val="249" w:hRule="atLeast"/>
        </w:trPr>
        <w:tc>
          <w:tcPr>
            <w:tcW w:w="1618" w:type="dxa"/>
          </w:tcPr>
          <w:p>
            <w:pPr>
              <w:pStyle w:val="TableParagraph"/>
              <w:spacing w:line="229" w:lineRule="exact"/>
              <w:ind w:left="110"/>
              <w:rPr>
                <w:sz w:val="22"/>
              </w:rPr>
            </w:pPr>
            <w:r>
              <w:rPr>
                <w:spacing w:val="-4"/>
                <w:sz w:val="22"/>
              </w:rPr>
              <w:t>C.A.</w:t>
            </w:r>
          </w:p>
        </w:tc>
        <w:tc>
          <w:tcPr>
            <w:tcW w:w="7111" w:type="dxa"/>
          </w:tcPr>
          <w:p>
            <w:pPr>
              <w:pStyle w:val="TableParagraph"/>
              <w:spacing w:line="229" w:lineRule="exact"/>
              <w:rPr>
                <w:sz w:val="22"/>
              </w:rPr>
            </w:pPr>
            <w:r>
              <w:rPr>
                <w:sz w:val="22"/>
              </w:rPr>
              <w:t>Court</w:t>
            </w:r>
            <w:r>
              <w:rPr>
                <w:spacing w:val="-1"/>
                <w:sz w:val="22"/>
              </w:rPr>
              <w:t> </w:t>
            </w:r>
            <w:r>
              <w:rPr>
                <w:sz w:val="22"/>
              </w:rPr>
              <w:t>of</w:t>
            </w:r>
            <w:r>
              <w:rPr>
                <w:spacing w:val="-2"/>
                <w:sz w:val="22"/>
              </w:rPr>
              <w:t> Appeal</w:t>
            </w:r>
          </w:p>
        </w:tc>
      </w:tr>
      <w:tr>
        <w:trPr>
          <w:trHeight w:val="254" w:hRule="atLeast"/>
        </w:trPr>
        <w:tc>
          <w:tcPr>
            <w:tcW w:w="1618" w:type="dxa"/>
          </w:tcPr>
          <w:p>
            <w:pPr>
              <w:pStyle w:val="TableParagraph"/>
              <w:spacing w:line="235" w:lineRule="exact"/>
              <w:ind w:left="110"/>
              <w:rPr>
                <w:sz w:val="22"/>
              </w:rPr>
            </w:pPr>
            <w:r>
              <w:rPr>
                <w:spacing w:val="-5"/>
                <w:sz w:val="22"/>
              </w:rPr>
              <w:t>CA</w:t>
            </w:r>
          </w:p>
        </w:tc>
        <w:tc>
          <w:tcPr>
            <w:tcW w:w="7111" w:type="dxa"/>
          </w:tcPr>
          <w:p>
            <w:pPr>
              <w:pStyle w:val="TableParagraph"/>
              <w:spacing w:line="235" w:lineRule="exact"/>
              <w:rPr>
                <w:sz w:val="22"/>
              </w:rPr>
            </w:pPr>
            <w:r>
              <w:rPr>
                <w:sz w:val="22"/>
              </w:rPr>
              <w:t>Companies</w:t>
            </w:r>
            <w:r>
              <w:rPr>
                <w:spacing w:val="-6"/>
                <w:sz w:val="22"/>
              </w:rPr>
              <w:t> </w:t>
            </w:r>
            <w:r>
              <w:rPr>
                <w:spacing w:val="-5"/>
                <w:sz w:val="22"/>
              </w:rPr>
              <w:t>Act</w:t>
            </w:r>
          </w:p>
        </w:tc>
      </w:tr>
      <w:tr>
        <w:trPr>
          <w:trHeight w:val="253" w:hRule="atLeast"/>
        </w:trPr>
        <w:tc>
          <w:tcPr>
            <w:tcW w:w="1618" w:type="dxa"/>
          </w:tcPr>
          <w:p>
            <w:pPr>
              <w:pStyle w:val="TableParagraph"/>
              <w:ind w:left="110"/>
              <w:rPr>
                <w:sz w:val="22"/>
              </w:rPr>
            </w:pPr>
            <w:r>
              <w:rPr>
                <w:spacing w:val="-5"/>
                <w:sz w:val="22"/>
              </w:rPr>
              <w:t>CAC</w:t>
            </w:r>
          </w:p>
        </w:tc>
        <w:tc>
          <w:tcPr>
            <w:tcW w:w="7111" w:type="dxa"/>
          </w:tcPr>
          <w:p>
            <w:pPr>
              <w:pStyle w:val="TableParagraph"/>
              <w:rPr>
                <w:sz w:val="22"/>
              </w:rPr>
            </w:pPr>
            <w:r>
              <w:rPr>
                <w:sz w:val="22"/>
              </w:rPr>
              <w:t>Corporate</w:t>
            </w:r>
            <w:r>
              <w:rPr>
                <w:spacing w:val="-10"/>
                <w:sz w:val="22"/>
              </w:rPr>
              <w:t> </w:t>
            </w:r>
            <w:r>
              <w:rPr>
                <w:sz w:val="22"/>
              </w:rPr>
              <w:t>Affairs</w:t>
            </w:r>
            <w:r>
              <w:rPr>
                <w:spacing w:val="-3"/>
                <w:sz w:val="22"/>
              </w:rPr>
              <w:t> </w:t>
            </w:r>
            <w:r>
              <w:rPr>
                <w:spacing w:val="-2"/>
                <w:sz w:val="22"/>
              </w:rPr>
              <w:t>Commission</w:t>
            </w:r>
          </w:p>
        </w:tc>
      </w:tr>
      <w:tr>
        <w:trPr>
          <w:trHeight w:val="254" w:hRule="atLeast"/>
        </w:trPr>
        <w:tc>
          <w:tcPr>
            <w:tcW w:w="1618" w:type="dxa"/>
          </w:tcPr>
          <w:p>
            <w:pPr>
              <w:pStyle w:val="TableParagraph"/>
              <w:ind w:left="110"/>
              <w:rPr>
                <w:sz w:val="22"/>
              </w:rPr>
            </w:pPr>
            <w:r>
              <w:rPr>
                <w:spacing w:val="-4"/>
                <w:sz w:val="22"/>
              </w:rPr>
              <w:t>CAMA</w:t>
            </w:r>
          </w:p>
        </w:tc>
        <w:tc>
          <w:tcPr>
            <w:tcW w:w="7111" w:type="dxa"/>
          </w:tcPr>
          <w:p>
            <w:pPr>
              <w:pStyle w:val="TableParagraph"/>
              <w:rPr>
                <w:sz w:val="22"/>
              </w:rPr>
            </w:pPr>
            <w:r>
              <w:rPr>
                <w:sz w:val="22"/>
              </w:rPr>
              <w:t>Companies</w:t>
            </w:r>
            <w:r>
              <w:rPr>
                <w:spacing w:val="-3"/>
                <w:sz w:val="22"/>
              </w:rPr>
              <w:t> </w:t>
            </w:r>
            <w:r>
              <w:rPr>
                <w:sz w:val="22"/>
              </w:rPr>
              <w:t>and</w:t>
            </w:r>
            <w:r>
              <w:rPr>
                <w:spacing w:val="-6"/>
                <w:sz w:val="22"/>
              </w:rPr>
              <w:t> </w:t>
            </w:r>
            <w:r>
              <w:rPr>
                <w:sz w:val="22"/>
              </w:rPr>
              <w:t>Allied</w:t>
            </w:r>
            <w:r>
              <w:rPr>
                <w:spacing w:val="-7"/>
                <w:sz w:val="22"/>
              </w:rPr>
              <w:t> </w:t>
            </w:r>
            <w:r>
              <w:rPr>
                <w:sz w:val="22"/>
              </w:rPr>
              <w:t>Matters</w:t>
            </w:r>
            <w:r>
              <w:rPr>
                <w:spacing w:val="-2"/>
                <w:sz w:val="22"/>
              </w:rPr>
              <w:t> </w:t>
            </w:r>
            <w:r>
              <w:rPr>
                <w:spacing w:val="-5"/>
                <w:sz w:val="22"/>
              </w:rPr>
              <w:t>Act</w:t>
            </w:r>
          </w:p>
        </w:tc>
      </w:tr>
      <w:tr>
        <w:trPr>
          <w:trHeight w:val="254" w:hRule="atLeast"/>
        </w:trPr>
        <w:tc>
          <w:tcPr>
            <w:tcW w:w="1618" w:type="dxa"/>
          </w:tcPr>
          <w:p>
            <w:pPr>
              <w:pStyle w:val="TableParagraph"/>
              <w:ind w:left="110"/>
              <w:rPr>
                <w:sz w:val="22"/>
              </w:rPr>
            </w:pPr>
            <w:r>
              <w:rPr>
                <w:spacing w:val="-5"/>
                <w:sz w:val="22"/>
              </w:rPr>
              <w:t>CBN</w:t>
            </w:r>
          </w:p>
        </w:tc>
        <w:tc>
          <w:tcPr>
            <w:tcW w:w="7111" w:type="dxa"/>
          </w:tcPr>
          <w:p>
            <w:pPr>
              <w:pStyle w:val="TableParagraph"/>
              <w:rPr>
                <w:sz w:val="22"/>
              </w:rPr>
            </w:pPr>
            <w:r>
              <w:rPr>
                <w:sz w:val="22"/>
              </w:rPr>
              <w:t>Central</w:t>
            </w:r>
            <w:r>
              <w:rPr>
                <w:spacing w:val="-5"/>
                <w:sz w:val="22"/>
              </w:rPr>
              <w:t> </w:t>
            </w:r>
            <w:r>
              <w:rPr>
                <w:sz w:val="22"/>
              </w:rPr>
              <w:t>Bank</w:t>
            </w:r>
            <w:r>
              <w:rPr>
                <w:spacing w:val="-6"/>
                <w:sz w:val="22"/>
              </w:rPr>
              <w:t> </w:t>
            </w:r>
            <w:r>
              <w:rPr>
                <w:sz w:val="22"/>
              </w:rPr>
              <w:t>of</w:t>
            </w:r>
            <w:r>
              <w:rPr>
                <w:spacing w:val="-2"/>
                <w:sz w:val="22"/>
              </w:rPr>
              <w:t> Nigeria</w:t>
            </w:r>
          </w:p>
        </w:tc>
      </w:tr>
      <w:tr>
        <w:trPr>
          <w:trHeight w:val="249" w:hRule="atLeast"/>
        </w:trPr>
        <w:tc>
          <w:tcPr>
            <w:tcW w:w="1618" w:type="dxa"/>
          </w:tcPr>
          <w:p>
            <w:pPr>
              <w:pStyle w:val="TableParagraph"/>
              <w:spacing w:line="229" w:lineRule="exact"/>
              <w:ind w:left="110"/>
              <w:rPr>
                <w:sz w:val="22"/>
              </w:rPr>
            </w:pPr>
            <w:r>
              <w:rPr>
                <w:spacing w:val="-5"/>
                <w:sz w:val="22"/>
              </w:rPr>
              <w:t>CEO</w:t>
            </w:r>
          </w:p>
        </w:tc>
        <w:tc>
          <w:tcPr>
            <w:tcW w:w="7111" w:type="dxa"/>
          </w:tcPr>
          <w:p>
            <w:pPr>
              <w:pStyle w:val="TableParagraph"/>
              <w:spacing w:line="229" w:lineRule="exact"/>
              <w:rPr>
                <w:sz w:val="22"/>
              </w:rPr>
            </w:pPr>
            <w:r>
              <w:rPr>
                <w:sz w:val="22"/>
              </w:rPr>
              <w:t>Chief</w:t>
            </w:r>
            <w:r>
              <w:rPr>
                <w:spacing w:val="-7"/>
                <w:sz w:val="22"/>
              </w:rPr>
              <w:t> </w:t>
            </w:r>
            <w:r>
              <w:rPr>
                <w:sz w:val="22"/>
              </w:rPr>
              <w:t>Executive</w:t>
            </w:r>
            <w:r>
              <w:rPr>
                <w:spacing w:val="-10"/>
                <w:sz w:val="22"/>
              </w:rPr>
              <w:t> </w:t>
            </w:r>
            <w:r>
              <w:rPr>
                <w:spacing w:val="-2"/>
                <w:sz w:val="22"/>
              </w:rPr>
              <w:t>Officer</w:t>
            </w:r>
          </w:p>
        </w:tc>
      </w:tr>
      <w:tr>
        <w:trPr>
          <w:trHeight w:val="254" w:hRule="atLeast"/>
        </w:trPr>
        <w:tc>
          <w:tcPr>
            <w:tcW w:w="1618" w:type="dxa"/>
          </w:tcPr>
          <w:p>
            <w:pPr>
              <w:pStyle w:val="TableParagraph"/>
              <w:ind w:left="110"/>
              <w:rPr>
                <w:sz w:val="22"/>
              </w:rPr>
            </w:pPr>
            <w:r>
              <w:rPr>
                <w:spacing w:val="-5"/>
                <w:sz w:val="22"/>
              </w:rPr>
              <w:t>CH</w:t>
            </w:r>
          </w:p>
        </w:tc>
        <w:tc>
          <w:tcPr>
            <w:tcW w:w="7111" w:type="dxa"/>
          </w:tcPr>
          <w:p>
            <w:pPr>
              <w:pStyle w:val="TableParagraph"/>
              <w:rPr>
                <w:sz w:val="22"/>
              </w:rPr>
            </w:pPr>
            <w:r>
              <w:rPr>
                <w:sz w:val="22"/>
              </w:rPr>
              <w:t>Companies</w:t>
            </w:r>
            <w:r>
              <w:rPr>
                <w:spacing w:val="-13"/>
                <w:sz w:val="22"/>
              </w:rPr>
              <w:t> </w:t>
            </w:r>
            <w:r>
              <w:rPr>
                <w:spacing w:val="-4"/>
                <w:sz w:val="22"/>
              </w:rPr>
              <w:t>House</w:t>
            </w:r>
          </w:p>
        </w:tc>
      </w:tr>
      <w:tr>
        <w:trPr>
          <w:trHeight w:val="253" w:hRule="atLeast"/>
        </w:trPr>
        <w:tc>
          <w:tcPr>
            <w:tcW w:w="1618" w:type="dxa"/>
          </w:tcPr>
          <w:p>
            <w:pPr>
              <w:pStyle w:val="TableParagraph"/>
              <w:ind w:left="110"/>
              <w:rPr>
                <w:sz w:val="22"/>
              </w:rPr>
            </w:pPr>
            <w:r>
              <w:rPr>
                <w:spacing w:val="-5"/>
                <w:sz w:val="22"/>
              </w:rPr>
              <w:t>Ch.</w:t>
            </w:r>
          </w:p>
        </w:tc>
        <w:tc>
          <w:tcPr>
            <w:tcW w:w="7111" w:type="dxa"/>
          </w:tcPr>
          <w:p>
            <w:pPr>
              <w:pStyle w:val="TableParagraph"/>
              <w:rPr>
                <w:sz w:val="22"/>
              </w:rPr>
            </w:pPr>
            <w:r>
              <w:rPr>
                <w:spacing w:val="-2"/>
                <w:sz w:val="22"/>
              </w:rPr>
              <w:t>Chancery</w:t>
            </w:r>
          </w:p>
        </w:tc>
      </w:tr>
      <w:tr>
        <w:trPr>
          <w:trHeight w:val="254" w:hRule="atLeast"/>
        </w:trPr>
        <w:tc>
          <w:tcPr>
            <w:tcW w:w="1618" w:type="dxa"/>
          </w:tcPr>
          <w:p>
            <w:pPr>
              <w:pStyle w:val="TableParagraph"/>
              <w:ind w:left="110"/>
              <w:rPr>
                <w:sz w:val="22"/>
              </w:rPr>
            </w:pPr>
            <w:r>
              <w:rPr>
                <w:spacing w:val="-2"/>
                <w:sz w:val="22"/>
              </w:rPr>
              <w:t>CLRSG</w:t>
            </w:r>
          </w:p>
        </w:tc>
        <w:tc>
          <w:tcPr>
            <w:tcW w:w="7111" w:type="dxa"/>
          </w:tcPr>
          <w:p>
            <w:pPr>
              <w:pStyle w:val="TableParagraph"/>
              <w:rPr>
                <w:sz w:val="22"/>
              </w:rPr>
            </w:pPr>
            <w:r>
              <w:rPr>
                <w:sz w:val="22"/>
              </w:rPr>
              <w:t>Company</w:t>
            </w:r>
            <w:r>
              <w:rPr>
                <w:spacing w:val="-6"/>
                <w:sz w:val="22"/>
              </w:rPr>
              <w:t> </w:t>
            </w:r>
            <w:r>
              <w:rPr>
                <w:sz w:val="22"/>
              </w:rPr>
              <w:t>Law</w:t>
            </w:r>
            <w:r>
              <w:rPr>
                <w:spacing w:val="-5"/>
                <w:sz w:val="22"/>
              </w:rPr>
              <w:t> </w:t>
            </w:r>
            <w:r>
              <w:rPr>
                <w:sz w:val="22"/>
              </w:rPr>
              <w:t>Review</w:t>
            </w:r>
            <w:r>
              <w:rPr>
                <w:spacing w:val="-6"/>
                <w:sz w:val="22"/>
              </w:rPr>
              <w:t> </w:t>
            </w:r>
            <w:r>
              <w:rPr>
                <w:sz w:val="22"/>
              </w:rPr>
              <w:t>Steering</w:t>
            </w:r>
            <w:r>
              <w:rPr>
                <w:spacing w:val="-5"/>
                <w:sz w:val="22"/>
              </w:rPr>
              <w:t> </w:t>
            </w:r>
            <w:r>
              <w:rPr>
                <w:spacing w:val="-4"/>
                <w:sz w:val="22"/>
              </w:rPr>
              <w:t>Group</w:t>
            </w:r>
          </w:p>
        </w:tc>
      </w:tr>
      <w:tr>
        <w:trPr>
          <w:trHeight w:val="253" w:hRule="atLeast"/>
        </w:trPr>
        <w:tc>
          <w:tcPr>
            <w:tcW w:w="1618" w:type="dxa"/>
          </w:tcPr>
          <w:p>
            <w:pPr>
              <w:pStyle w:val="TableParagraph"/>
              <w:ind w:left="110"/>
              <w:rPr>
                <w:sz w:val="22"/>
              </w:rPr>
            </w:pPr>
            <w:r>
              <w:rPr>
                <w:spacing w:val="-5"/>
                <w:sz w:val="22"/>
              </w:rPr>
              <w:t>CSR</w:t>
            </w:r>
          </w:p>
        </w:tc>
        <w:tc>
          <w:tcPr>
            <w:tcW w:w="7111" w:type="dxa"/>
          </w:tcPr>
          <w:p>
            <w:pPr>
              <w:pStyle w:val="TableParagraph"/>
              <w:rPr>
                <w:sz w:val="22"/>
              </w:rPr>
            </w:pPr>
            <w:r>
              <w:rPr>
                <w:sz w:val="22"/>
              </w:rPr>
              <w:t>Corporate</w:t>
            </w:r>
            <w:r>
              <w:rPr>
                <w:spacing w:val="-10"/>
                <w:sz w:val="22"/>
              </w:rPr>
              <w:t> </w:t>
            </w:r>
            <w:r>
              <w:rPr>
                <w:sz w:val="22"/>
              </w:rPr>
              <w:t>Social</w:t>
            </w:r>
            <w:r>
              <w:rPr>
                <w:spacing w:val="-6"/>
                <w:sz w:val="22"/>
              </w:rPr>
              <w:t> </w:t>
            </w:r>
            <w:r>
              <w:rPr>
                <w:spacing w:val="-2"/>
                <w:sz w:val="22"/>
              </w:rPr>
              <w:t>Responsibility</w:t>
            </w:r>
          </w:p>
        </w:tc>
      </w:tr>
      <w:tr>
        <w:trPr>
          <w:trHeight w:val="249" w:hRule="atLeast"/>
        </w:trPr>
        <w:tc>
          <w:tcPr>
            <w:tcW w:w="1618" w:type="dxa"/>
          </w:tcPr>
          <w:p>
            <w:pPr>
              <w:pStyle w:val="TableParagraph"/>
              <w:spacing w:line="229" w:lineRule="exact"/>
              <w:ind w:left="110"/>
              <w:rPr>
                <w:sz w:val="22"/>
              </w:rPr>
            </w:pPr>
            <w:r>
              <w:rPr>
                <w:spacing w:val="-2"/>
                <w:sz w:val="22"/>
              </w:rPr>
              <w:t>DBERR</w:t>
            </w:r>
          </w:p>
        </w:tc>
        <w:tc>
          <w:tcPr>
            <w:tcW w:w="7111" w:type="dxa"/>
          </w:tcPr>
          <w:p>
            <w:pPr>
              <w:pStyle w:val="TableParagraph"/>
              <w:spacing w:line="229" w:lineRule="exact"/>
              <w:rPr>
                <w:sz w:val="22"/>
              </w:rPr>
            </w:pPr>
            <w:r>
              <w:rPr>
                <w:sz w:val="22"/>
              </w:rPr>
              <w:t>Department of</w:t>
            </w:r>
            <w:r>
              <w:rPr>
                <w:spacing w:val="-7"/>
                <w:sz w:val="22"/>
              </w:rPr>
              <w:t> </w:t>
            </w:r>
            <w:r>
              <w:rPr>
                <w:sz w:val="22"/>
              </w:rPr>
              <w:t>Business,</w:t>
            </w:r>
            <w:r>
              <w:rPr>
                <w:spacing w:val="-3"/>
                <w:sz w:val="22"/>
              </w:rPr>
              <w:t> </w:t>
            </w:r>
            <w:r>
              <w:rPr>
                <w:sz w:val="22"/>
              </w:rPr>
              <w:t>Enterprise</w:t>
            </w:r>
            <w:r>
              <w:rPr>
                <w:spacing w:val="-11"/>
                <w:sz w:val="22"/>
              </w:rPr>
              <w:t> </w:t>
            </w:r>
            <w:r>
              <w:rPr>
                <w:sz w:val="22"/>
              </w:rPr>
              <w:t>and</w:t>
            </w:r>
            <w:r>
              <w:rPr>
                <w:spacing w:val="-9"/>
                <w:sz w:val="22"/>
              </w:rPr>
              <w:t> </w:t>
            </w:r>
            <w:r>
              <w:rPr>
                <w:sz w:val="22"/>
              </w:rPr>
              <w:t>Regulatory</w:t>
            </w:r>
            <w:r>
              <w:rPr>
                <w:spacing w:val="-9"/>
                <w:sz w:val="22"/>
              </w:rPr>
              <w:t> </w:t>
            </w:r>
            <w:r>
              <w:rPr>
                <w:spacing w:val="-2"/>
                <w:sz w:val="22"/>
              </w:rPr>
              <w:t>Reform</w:t>
            </w:r>
          </w:p>
        </w:tc>
      </w:tr>
      <w:tr>
        <w:trPr>
          <w:trHeight w:val="253" w:hRule="atLeast"/>
        </w:trPr>
        <w:tc>
          <w:tcPr>
            <w:tcW w:w="1618" w:type="dxa"/>
          </w:tcPr>
          <w:p>
            <w:pPr>
              <w:pStyle w:val="TableParagraph"/>
              <w:ind w:left="110"/>
              <w:rPr>
                <w:sz w:val="22"/>
              </w:rPr>
            </w:pPr>
            <w:r>
              <w:rPr>
                <w:spacing w:val="-5"/>
                <w:sz w:val="22"/>
              </w:rPr>
              <w:t>DTI</w:t>
            </w:r>
          </w:p>
        </w:tc>
        <w:tc>
          <w:tcPr>
            <w:tcW w:w="7111" w:type="dxa"/>
          </w:tcPr>
          <w:p>
            <w:pPr>
              <w:pStyle w:val="TableParagraph"/>
              <w:rPr>
                <w:sz w:val="22"/>
              </w:rPr>
            </w:pPr>
            <w:r>
              <w:rPr>
                <w:sz w:val="22"/>
              </w:rPr>
              <w:t>Department</w:t>
            </w:r>
            <w:r>
              <w:rPr>
                <w:spacing w:val="2"/>
                <w:sz w:val="22"/>
              </w:rPr>
              <w:t> </w:t>
            </w:r>
            <w:r>
              <w:rPr>
                <w:sz w:val="22"/>
              </w:rPr>
              <w:t>of</w:t>
            </w:r>
            <w:r>
              <w:rPr>
                <w:spacing w:val="-5"/>
                <w:sz w:val="22"/>
              </w:rPr>
              <w:t> </w:t>
            </w:r>
            <w:r>
              <w:rPr>
                <w:sz w:val="22"/>
              </w:rPr>
              <w:t>Trade</w:t>
            </w:r>
            <w:r>
              <w:rPr>
                <w:spacing w:val="-7"/>
                <w:sz w:val="22"/>
              </w:rPr>
              <w:t> </w:t>
            </w:r>
            <w:r>
              <w:rPr>
                <w:sz w:val="22"/>
              </w:rPr>
              <w:t>and</w:t>
            </w:r>
            <w:r>
              <w:rPr>
                <w:spacing w:val="-7"/>
                <w:sz w:val="22"/>
              </w:rPr>
              <w:t> </w:t>
            </w:r>
            <w:r>
              <w:rPr>
                <w:spacing w:val="-2"/>
                <w:sz w:val="22"/>
              </w:rPr>
              <w:t>Industry</w:t>
            </w:r>
          </w:p>
        </w:tc>
      </w:tr>
      <w:tr>
        <w:trPr>
          <w:trHeight w:val="254" w:hRule="atLeast"/>
        </w:trPr>
        <w:tc>
          <w:tcPr>
            <w:tcW w:w="1618" w:type="dxa"/>
          </w:tcPr>
          <w:p>
            <w:pPr>
              <w:pStyle w:val="TableParagraph"/>
              <w:ind w:left="110"/>
              <w:rPr>
                <w:sz w:val="22"/>
              </w:rPr>
            </w:pPr>
            <w:r>
              <w:rPr>
                <w:spacing w:val="-4"/>
                <w:sz w:val="22"/>
              </w:rPr>
              <w:t>EFCC</w:t>
            </w:r>
          </w:p>
        </w:tc>
        <w:tc>
          <w:tcPr>
            <w:tcW w:w="7111" w:type="dxa"/>
          </w:tcPr>
          <w:p>
            <w:pPr>
              <w:pStyle w:val="TableParagraph"/>
              <w:rPr>
                <w:sz w:val="22"/>
              </w:rPr>
            </w:pPr>
            <w:r>
              <w:rPr>
                <w:sz w:val="22"/>
              </w:rPr>
              <w:t>Economic</w:t>
            </w:r>
            <w:r>
              <w:rPr>
                <w:spacing w:val="-6"/>
                <w:sz w:val="22"/>
              </w:rPr>
              <w:t> </w:t>
            </w:r>
            <w:r>
              <w:rPr>
                <w:sz w:val="22"/>
              </w:rPr>
              <w:t>and</w:t>
            </w:r>
            <w:r>
              <w:rPr>
                <w:spacing w:val="-9"/>
                <w:sz w:val="22"/>
              </w:rPr>
              <w:t> </w:t>
            </w:r>
            <w:r>
              <w:rPr>
                <w:sz w:val="22"/>
              </w:rPr>
              <w:t>Financial</w:t>
            </w:r>
            <w:r>
              <w:rPr>
                <w:spacing w:val="-7"/>
                <w:sz w:val="22"/>
              </w:rPr>
              <w:t> </w:t>
            </w:r>
            <w:r>
              <w:rPr>
                <w:sz w:val="22"/>
              </w:rPr>
              <w:t>Crimes</w:t>
            </w:r>
            <w:r>
              <w:rPr>
                <w:spacing w:val="-4"/>
                <w:sz w:val="22"/>
              </w:rPr>
              <w:t> </w:t>
            </w:r>
            <w:r>
              <w:rPr>
                <w:spacing w:val="-2"/>
                <w:sz w:val="22"/>
              </w:rPr>
              <w:t>Commission</w:t>
            </w:r>
          </w:p>
        </w:tc>
      </w:tr>
      <w:tr>
        <w:trPr>
          <w:trHeight w:val="253" w:hRule="atLeast"/>
        </w:trPr>
        <w:tc>
          <w:tcPr>
            <w:tcW w:w="1618" w:type="dxa"/>
          </w:tcPr>
          <w:p>
            <w:pPr>
              <w:pStyle w:val="TableParagraph"/>
              <w:ind w:left="110"/>
              <w:rPr>
                <w:sz w:val="22"/>
              </w:rPr>
            </w:pPr>
            <w:r>
              <w:rPr>
                <w:spacing w:val="-5"/>
                <w:sz w:val="22"/>
              </w:rPr>
              <w:t>ESV</w:t>
            </w:r>
          </w:p>
        </w:tc>
        <w:tc>
          <w:tcPr>
            <w:tcW w:w="7111" w:type="dxa"/>
          </w:tcPr>
          <w:p>
            <w:pPr>
              <w:pStyle w:val="TableParagraph"/>
              <w:rPr>
                <w:sz w:val="22"/>
              </w:rPr>
            </w:pPr>
            <w:r>
              <w:rPr>
                <w:sz w:val="22"/>
              </w:rPr>
              <w:t>Enlightened</w:t>
            </w:r>
            <w:r>
              <w:rPr>
                <w:spacing w:val="-11"/>
                <w:sz w:val="22"/>
              </w:rPr>
              <w:t> </w:t>
            </w:r>
            <w:r>
              <w:rPr>
                <w:sz w:val="22"/>
              </w:rPr>
              <w:t>Shareholder</w:t>
            </w:r>
            <w:r>
              <w:rPr>
                <w:spacing w:val="-4"/>
                <w:sz w:val="22"/>
              </w:rPr>
              <w:t> Value</w:t>
            </w:r>
          </w:p>
        </w:tc>
      </w:tr>
      <w:tr>
        <w:trPr>
          <w:trHeight w:val="254" w:hRule="atLeast"/>
        </w:trPr>
        <w:tc>
          <w:tcPr>
            <w:tcW w:w="1618" w:type="dxa"/>
          </w:tcPr>
          <w:p>
            <w:pPr>
              <w:pStyle w:val="TableParagraph"/>
              <w:spacing w:line="235" w:lineRule="exact"/>
              <w:ind w:left="110"/>
              <w:rPr>
                <w:sz w:val="22"/>
              </w:rPr>
            </w:pPr>
            <w:r>
              <w:rPr>
                <w:spacing w:val="-4"/>
                <w:sz w:val="22"/>
              </w:rPr>
              <w:t>FWLR</w:t>
            </w:r>
          </w:p>
        </w:tc>
        <w:tc>
          <w:tcPr>
            <w:tcW w:w="7111" w:type="dxa"/>
          </w:tcPr>
          <w:p>
            <w:pPr>
              <w:pStyle w:val="TableParagraph"/>
              <w:spacing w:line="235" w:lineRule="exact"/>
              <w:rPr>
                <w:sz w:val="22"/>
              </w:rPr>
            </w:pPr>
            <w:r>
              <w:rPr>
                <w:sz w:val="22"/>
              </w:rPr>
              <w:t>Federal</w:t>
            </w:r>
            <w:r>
              <w:rPr>
                <w:spacing w:val="-5"/>
                <w:sz w:val="22"/>
              </w:rPr>
              <w:t> </w:t>
            </w:r>
            <w:r>
              <w:rPr>
                <w:sz w:val="22"/>
              </w:rPr>
              <w:t>Weekly</w:t>
            </w:r>
            <w:r>
              <w:rPr>
                <w:spacing w:val="-6"/>
                <w:sz w:val="22"/>
              </w:rPr>
              <w:t> </w:t>
            </w:r>
            <w:r>
              <w:rPr>
                <w:sz w:val="22"/>
              </w:rPr>
              <w:t>Law</w:t>
            </w:r>
            <w:r>
              <w:rPr>
                <w:spacing w:val="-6"/>
                <w:sz w:val="22"/>
              </w:rPr>
              <w:t> </w:t>
            </w:r>
            <w:r>
              <w:rPr>
                <w:spacing w:val="-2"/>
                <w:sz w:val="22"/>
              </w:rPr>
              <w:t>Report</w:t>
            </w:r>
          </w:p>
        </w:tc>
      </w:tr>
      <w:tr>
        <w:trPr>
          <w:trHeight w:val="249" w:hRule="atLeast"/>
        </w:trPr>
        <w:tc>
          <w:tcPr>
            <w:tcW w:w="1618" w:type="dxa"/>
          </w:tcPr>
          <w:p>
            <w:pPr>
              <w:pStyle w:val="TableParagraph"/>
              <w:spacing w:line="229" w:lineRule="exact"/>
              <w:ind w:left="110"/>
              <w:rPr>
                <w:sz w:val="22"/>
              </w:rPr>
            </w:pPr>
            <w:r>
              <w:rPr>
                <w:spacing w:val="-2"/>
                <w:sz w:val="22"/>
              </w:rPr>
              <w:t>J.C.A</w:t>
            </w:r>
          </w:p>
        </w:tc>
        <w:tc>
          <w:tcPr>
            <w:tcW w:w="7111" w:type="dxa"/>
          </w:tcPr>
          <w:p>
            <w:pPr>
              <w:pStyle w:val="TableParagraph"/>
              <w:spacing w:line="229" w:lineRule="exact"/>
              <w:rPr>
                <w:sz w:val="22"/>
              </w:rPr>
            </w:pPr>
            <w:r>
              <w:rPr>
                <w:sz w:val="22"/>
              </w:rPr>
              <w:t>Justice</w:t>
            </w:r>
            <w:r>
              <w:rPr>
                <w:spacing w:val="-7"/>
                <w:sz w:val="22"/>
              </w:rPr>
              <w:t> </w:t>
            </w:r>
            <w:r>
              <w:rPr>
                <w:sz w:val="22"/>
              </w:rPr>
              <w:t>of</w:t>
            </w:r>
            <w:r>
              <w:rPr>
                <w:spacing w:val="-2"/>
                <w:sz w:val="22"/>
              </w:rPr>
              <w:t> </w:t>
            </w:r>
            <w:r>
              <w:rPr>
                <w:sz w:val="22"/>
              </w:rPr>
              <w:t>the</w:t>
            </w:r>
            <w:r>
              <w:rPr>
                <w:spacing w:val="-6"/>
                <w:sz w:val="22"/>
              </w:rPr>
              <w:t> </w:t>
            </w:r>
            <w:r>
              <w:rPr>
                <w:sz w:val="22"/>
              </w:rPr>
              <w:t>Court</w:t>
            </w:r>
            <w:r>
              <w:rPr>
                <w:spacing w:val="1"/>
                <w:sz w:val="22"/>
              </w:rPr>
              <w:t> </w:t>
            </w:r>
            <w:r>
              <w:rPr>
                <w:sz w:val="22"/>
              </w:rPr>
              <w:t>of</w:t>
            </w:r>
            <w:r>
              <w:rPr>
                <w:spacing w:val="-1"/>
                <w:sz w:val="22"/>
              </w:rPr>
              <w:t> </w:t>
            </w:r>
            <w:r>
              <w:rPr>
                <w:spacing w:val="-2"/>
                <w:sz w:val="22"/>
              </w:rPr>
              <w:t>Appeal</w:t>
            </w:r>
          </w:p>
        </w:tc>
      </w:tr>
      <w:tr>
        <w:trPr>
          <w:trHeight w:val="253" w:hRule="atLeast"/>
        </w:trPr>
        <w:tc>
          <w:tcPr>
            <w:tcW w:w="1618" w:type="dxa"/>
          </w:tcPr>
          <w:p>
            <w:pPr>
              <w:pStyle w:val="TableParagraph"/>
              <w:ind w:left="110"/>
              <w:rPr>
                <w:sz w:val="22"/>
              </w:rPr>
            </w:pPr>
            <w:r>
              <w:rPr>
                <w:spacing w:val="-2"/>
                <w:sz w:val="22"/>
              </w:rPr>
              <w:t>J.S.C</w:t>
            </w:r>
          </w:p>
        </w:tc>
        <w:tc>
          <w:tcPr>
            <w:tcW w:w="7111" w:type="dxa"/>
          </w:tcPr>
          <w:p>
            <w:pPr>
              <w:pStyle w:val="TableParagraph"/>
              <w:rPr>
                <w:sz w:val="22"/>
              </w:rPr>
            </w:pPr>
            <w:r>
              <w:rPr>
                <w:sz w:val="22"/>
              </w:rPr>
              <w:t>Justice</w:t>
            </w:r>
            <w:r>
              <w:rPr>
                <w:spacing w:val="-10"/>
                <w:sz w:val="22"/>
              </w:rPr>
              <w:t> </w:t>
            </w:r>
            <w:r>
              <w:rPr>
                <w:sz w:val="22"/>
              </w:rPr>
              <w:t>of</w:t>
            </w:r>
            <w:r>
              <w:rPr>
                <w:spacing w:val="-2"/>
                <w:sz w:val="22"/>
              </w:rPr>
              <w:t> </w:t>
            </w:r>
            <w:r>
              <w:rPr>
                <w:sz w:val="22"/>
              </w:rPr>
              <w:t>the</w:t>
            </w:r>
            <w:r>
              <w:rPr>
                <w:spacing w:val="-7"/>
                <w:sz w:val="22"/>
              </w:rPr>
              <w:t> </w:t>
            </w:r>
            <w:r>
              <w:rPr>
                <w:sz w:val="22"/>
              </w:rPr>
              <w:t>Supreme</w:t>
            </w:r>
            <w:r>
              <w:rPr>
                <w:spacing w:val="-2"/>
                <w:sz w:val="22"/>
              </w:rPr>
              <w:t> </w:t>
            </w:r>
            <w:r>
              <w:rPr>
                <w:spacing w:val="-4"/>
                <w:sz w:val="22"/>
              </w:rPr>
              <w:t>Court</w:t>
            </w:r>
          </w:p>
        </w:tc>
      </w:tr>
      <w:tr>
        <w:trPr>
          <w:trHeight w:val="254" w:hRule="atLeast"/>
        </w:trPr>
        <w:tc>
          <w:tcPr>
            <w:tcW w:w="1618" w:type="dxa"/>
          </w:tcPr>
          <w:p>
            <w:pPr>
              <w:pStyle w:val="TableParagraph"/>
              <w:ind w:left="110"/>
              <w:rPr>
                <w:sz w:val="22"/>
              </w:rPr>
            </w:pPr>
            <w:r>
              <w:rPr>
                <w:spacing w:val="-5"/>
                <w:sz w:val="22"/>
              </w:rPr>
              <w:t>MP</w:t>
            </w:r>
          </w:p>
        </w:tc>
        <w:tc>
          <w:tcPr>
            <w:tcW w:w="7111" w:type="dxa"/>
          </w:tcPr>
          <w:p>
            <w:pPr>
              <w:pStyle w:val="TableParagraph"/>
              <w:rPr>
                <w:sz w:val="22"/>
              </w:rPr>
            </w:pPr>
            <w:r>
              <w:rPr>
                <w:sz w:val="22"/>
              </w:rPr>
              <w:t>Member</w:t>
            </w:r>
            <w:r>
              <w:rPr>
                <w:spacing w:val="-3"/>
                <w:sz w:val="22"/>
              </w:rPr>
              <w:t> </w:t>
            </w:r>
            <w:r>
              <w:rPr>
                <w:sz w:val="22"/>
              </w:rPr>
              <w:t>of</w:t>
            </w:r>
            <w:r>
              <w:rPr>
                <w:spacing w:val="-6"/>
                <w:sz w:val="22"/>
              </w:rPr>
              <w:t> </w:t>
            </w:r>
            <w:r>
              <w:rPr>
                <w:spacing w:val="-2"/>
                <w:sz w:val="22"/>
              </w:rPr>
              <w:t>Parliament</w:t>
            </w:r>
          </w:p>
        </w:tc>
      </w:tr>
      <w:tr>
        <w:trPr>
          <w:trHeight w:val="253" w:hRule="atLeast"/>
        </w:trPr>
        <w:tc>
          <w:tcPr>
            <w:tcW w:w="1618" w:type="dxa"/>
          </w:tcPr>
          <w:p>
            <w:pPr>
              <w:pStyle w:val="TableParagraph"/>
              <w:ind w:left="110"/>
              <w:rPr>
                <w:sz w:val="22"/>
              </w:rPr>
            </w:pPr>
            <w:r>
              <w:rPr>
                <w:spacing w:val="-5"/>
                <w:sz w:val="22"/>
              </w:rPr>
              <w:t>MR</w:t>
            </w:r>
          </w:p>
        </w:tc>
        <w:tc>
          <w:tcPr>
            <w:tcW w:w="7111" w:type="dxa"/>
          </w:tcPr>
          <w:p>
            <w:pPr>
              <w:pStyle w:val="TableParagraph"/>
              <w:rPr>
                <w:sz w:val="22"/>
              </w:rPr>
            </w:pPr>
            <w:r>
              <w:rPr>
                <w:sz w:val="22"/>
              </w:rPr>
              <w:t>Master of</w:t>
            </w:r>
            <w:r>
              <w:rPr>
                <w:spacing w:val="-5"/>
                <w:sz w:val="22"/>
              </w:rPr>
              <w:t> </w:t>
            </w:r>
            <w:r>
              <w:rPr>
                <w:sz w:val="22"/>
              </w:rPr>
              <w:t>the</w:t>
            </w:r>
            <w:r>
              <w:rPr>
                <w:spacing w:val="-8"/>
                <w:sz w:val="22"/>
              </w:rPr>
              <w:t> </w:t>
            </w:r>
            <w:r>
              <w:rPr>
                <w:spacing w:val="-4"/>
                <w:sz w:val="22"/>
              </w:rPr>
              <w:t>Rolls</w:t>
            </w:r>
          </w:p>
        </w:tc>
      </w:tr>
      <w:tr>
        <w:trPr>
          <w:trHeight w:val="249" w:hRule="atLeast"/>
        </w:trPr>
        <w:tc>
          <w:tcPr>
            <w:tcW w:w="1618" w:type="dxa"/>
          </w:tcPr>
          <w:p>
            <w:pPr>
              <w:pStyle w:val="TableParagraph"/>
              <w:spacing w:line="229" w:lineRule="exact"/>
              <w:ind w:left="110"/>
              <w:rPr>
                <w:sz w:val="22"/>
              </w:rPr>
            </w:pPr>
            <w:r>
              <w:rPr>
                <w:spacing w:val="-5"/>
                <w:sz w:val="22"/>
              </w:rPr>
              <w:t>No.</w:t>
            </w:r>
          </w:p>
        </w:tc>
        <w:tc>
          <w:tcPr>
            <w:tcW w:w="7111" w:type="dxa"/>
          </w:tcPr>
          <w:p>
            <w:pPr>
              <w:pStyle w:val="TableParagraph"/>
              <w:spacing w:line="229" w:lineRule="exact"/>
              <w:rPr>
                <w:sz w:val="22"/>
              </w:rPr>
            </w:pPr>
            <w:r>
              <w:rPr>
                <w:spacing w:val="-2"/>
                <w:sz w:val="22"/>
              </w:rPr>
              <w:t>Number</w:t>
            </w:r>
          </w:p>
        </w:tc>
      </w:tr>
      <w:tr>
        <w:trPr>
          <w:trHeight w:val="254" w:hRule="atLeast"/>
        </w:trPr>
        <w:tc>
          <w:tcPr>
            <w:tcW w:w="1618" w:type="dxa"/>
          </w:tcPr>
          <w:p>
            <w:pPr>
              <w:pStyle w:val="TableParagraph"/>
              <w:ind w:left="110"/>
              <w:rPr>
                <w:sz w:val="22"/>
              </w:rPr>
            </w:pPr>
            <w:r>
              <w:rPr>
                <w:spacing w:val="-4"/>
                <w:sz w:val="22"/>
              </w:rPr>
              <w:t>NWLR</w:t>
            </w:r>
          </w:p>
        </w:tc>
        <w:tc>
          <w:tcPr>
            <w:tcW w:w="7111" w:type="dxa"/>
          </w:tcPr>
          <w:p>
            <w:pPr>
              <w:pStyle w:val="TableParagraph"/>
              <w:rPr>
                <w:sz w:val="22"/>
              </w:rPr>
            </w:pPr>
            <w:r>
              <w:rPr>
                <w:sz w:val="22"/>
              </w:rPr>
              <w:t>Nigeria</w:t>
            </w:r>
            <w:r>
              <w:rPr>
                <w:spacing w:val="-1"/>
                <w:sz w:val="22"/>
              </w:rPr>
              <w:t> </w:t>
            </w:r>
            <w:r>
              <w:rPr>
                <w:sz w:val="22"/>
              </w:rPr>
              <w:t>Weekly</w:t>
            </w:r>
            <w:r>
              <w:rPr>
                <w:spacing w:val="-8"/>
                <w:sz w:val="22"/>
              </w:rPr>
              <w:t> </w:t>
            </w:r>
            <w:r>
              <w:rPr>
                <w:sz w:val="22"/>
              </w:rPr>
              <w:t>Law</w:t>
            </w:r>
            <w:r>
              <w:rPr>
                <w:spacing w:val="-8"/>
                <w:sz w:val="22"/>
              </w:rPr>
              <w:t> </w:t>
            </w:r>
            <w:r>
              <w:rPr>
                <w:spacing w:val="-2"/>
                <w:sz w:val="22"/>
              </w:rPr>
              <w:t>Report</w:t>
            </w:r>
          </w:p>
        </w:tc>
      </w:tr>
      <w:tr>
        <w:trPr>
          <w:trHeight w:val="253" w:hRule="atLeast"/>
        </w:trPr>
        <w:tc>
          <w:tcPr>
            <w:tcW w:w="1618" w:type="dxa"/>
          </w:tcPr>
          <w:p>
            <w:pPr>
              <w:pStyle w:val="TableParagraph"/>
              <w:ind w:left="110"/>
              <w:rPr>
                <w:sz w:val="22"/>
              </w:rPr>
            </w:pPr>
            <w:r>
              <w:rPr>
                <w:spacing w:val="-4"/>
                <w:sz w:val="22"/>
              </w:rPr>
              <w:t>OECD</w:t>
            </w:r>
          </w:p>
        </w:tc>
        <w:tc>
          <w:tcPr>
            <w:tcW w:w="7111" w:type="dxa"/>
          </w:tcPr>
          <w:p>
            <w:pPr>
              <w:pStyle w:val="TableParagraph"/>
              <w:rPr>
                <w:sz w:val="22"/>
              </w:rPr>
            </w:pPr>
            <w:r>
              <w:rPr>
                <w:sz w:val="22"/>
              </w:rPr>
              <w:t>Organization</w:t>
            </w:r>
            <w:r>
              <w:rPr>
                <w:spacing w:val="-9"/>
                <w:sz w:val="22"/>
              </w:rPr>
              <w:t> </w:t>
            </w:r>
            <w:r>
              <w:rPr>
                <w:sz w:val="22"/>
              </w:rPr>
              <w:t>for</w:t>
            </w:r>
            <w:r>
              <w:rPr>
                <w:spacing w:val="-1"/>
                <w:sz w:val="22"/>
              </w:rPr>
              <w:t> </w:t>
            </w:r>
            <w:r>
              <w:rPr>
                <w:sz w:val="22"/>
              </w:rPr>
              <w:t>Economic</w:t>
            </w:r>
            <w:r>
              <w:rPr>
                <w:spacing w:val="-6"/>
                <w:sz w:val="22"/>
              </w:rPr>
              <w:t> </w:t>
            </w:r>
            <w:r>
              <w:rPr>
                <w:sz w:val="22"/>
              </w:rPr>
              <w:t>Cooperation</w:t>
            </w:r>
            <w:r>
              <w:rPr>
                <w:spacing w:val="-8"/>
                <w:sz w:val="22"/>
              </w:rPr>
              <w:t> </w:t>
            </w:r>
            <w:r>
              <w:rPr>
                <w:sz w:val="22"/>
              </w:rPr>
              <w:t>and</w:t>
            </w:r>
            <w:r>
              <w:rPr>
                <w:spacing w:val="-8"/>
                <w:sz w:val="22"/>
              </w:rPr>
              <w:t> </w:t>
            </w:r>
            <w:r>
              <w:rPr>
                <w:spacing w:val="-2"/>
                <w:sz w:val="22"/>
              </w:rPr>
              <w:t>Development</w:t>
            </w:r>
          </w:p>
        </w:tc>
      </w:tr>
      <w:tr>
        <w:trPr>
          <w:trHeight w:val="254" w:hRule="atLeast"/>
        </w:trPr>
        <w:tc>
          <w:tcPr>
            <w:tcW w:w="1618" w:type="dxa"/>
          </w:tcPr>
          <w:p>
            <w:pPr>
              <w:pStyle w:val="TableParagraph"/>
              <w:ind w:left="110"/>
              <w:rPr>
                <w:sz w:val="22"/>
              </w:rPr>
            </w:pPr>
            <w:r>
              <w:rPr>
                <w:spacing w:val="-5"/>
                <w:sz w:val="22"/>
              </w:rPr>
              <w:t>OFT</w:t>
            </w:r>
          </w:p>
        </w:tc>
        <w:tc>
          <w:tcPr>
            <w:tcW w:w="7111" w:type="dxa"/>
          </w:tcPr>
          <w:p>
            <w:pPr>
              <w:pStyle w:val="TableParagraph"/>
              <w:rPr>
                <w:sz w:val="22"/>
              </w:rPr>
            </w:pPr>
            <w:r>
              <w:rPr>
                <w:sz w:val="22"/>
              </w:rPr>
              <w:t>Office</w:t>
            </w:r>
            <w:r>
              <w:rPr>
                <w:spacing w:val="-7"/>
                <w:sz w:val="22"/>
              </w:rPr>
              <w:t> </w:t>
            </w:r>
            <w:r>
              <w:rPr>
                <w:sz w:val="22"/>
              </w:rPr>
              <w:t>of</w:t>
            </w:r>
            <w:r>
              <w:rPr>
                <w:spacing w:val="-2"/>
                <w:sz w:val="22"/>
              </w:rPr>
              <w:t> </w:t>
            </w:r>
            <w:r>
              <w:rPr>
                <w:sz w:val="22"/>
              </w:rPr>
              <w:t>Fair</w:t>
            </w:r>
            <w:r>
              <w:rPr>
                <w:spacing w:val="-5"/>
                <w:sz w:val="22"/>
              </w:rPr>
              <w:t> </w:t>
            </w:r>
            <w:r>
              <w:rPr>
                <w:spacing w:val="-2"/>
                <w:sz w:val="22"/>
              </w:rPr>
              <w:t>Trading</w:t>
            </w:r>
          </w:p>
        </w:tc>
      </w:tr>
      <w:tr>
        <w:trPr>
          <w:trHeight w:val="254" w:hRule="atLeast"/>
        </w:trPr>
        <w:tc>
          <w:tcPr>
            <w:tcW w:w="1618" w:type="dxa"/>
          </w:tcPr>
          <w:p>
            <w:pPr>
              <w:pStyle w:val="TableParagraph"/>
              <w:ind w:left="110"/>
              <w:rPr>
                <w:sz w:val="22"/>
              </w:rPr>
            </w:pPr>
            <w:r>
              <w:rPr>
                <w:spacing w:val="-5"/>
                <w:sz w:val="22"/>
              </w:rPr>
              <w:t>Pt.</w:t>
            </w:r>
          </w:p>
        </w:tc>
        <w:tc>
          <w:tcPr>
            <w:tcW w:w="7111" w:type="dxa"/>
          </w:tcPr>
          <w:p>
            <w:pPr>
              <w:pStyle w:val="TableParagraph"/>
              <w:rPr>
                <w:sz w:val="22"/>
              </w:rPr>
            </w:pPr>
            <w:r>
              <w:rPr>
                <w:spacing w:val="-4"/>
                <w:sz w:val="22"/>
              </w:rPr>
              <w:t>Part</w:t>
            </w:r>
          </w:p>
        </w:tc>
      </w:tr>
      <w:tr>
        <w:trPr>
          <w:trHeight w:val="249" w:hRule="atLeast"/>
        </w:trPr>
        <w:tc>
          <w:tcPr>
            <w:tcW w:w="1618" w:type="dxa"/>
          </w:tcPr>
          <w:p>
            <w:pPr>
              <w:pStyle w:val="TableParagraph"/>
              <w:spacing w:line="229" w:lineRule="exact"/>
              <w:ind w:left="110"/>
              <w:rPr>
                <w:sz w:val="22"/>
              </w:rPr>
            </w:pPr>
            <w:r>
              <w:rPr>
                <w:spacing w:val="-5"/>
                <w:sz w:val="22"/>
              </w:rPr>
              <w:t>s.</w:t>
            </w:r>
          </w:p>
        </w:tc>
        <w:tc>
          <w:tcPr>
            <w:tcW w:w="7111" w:type="dxa"/>
          </w:tcPr>
          <w:p>
            <w:pPr>
              <w:pStyle w:val="TableParagraph"/>
              <w:spacing w:line="229" w:lineRule="exact"/>
              <w:rPr>
                <w:sz w:val="22"/>
              </w:rPr>
            </w:pPr>
            <w:r>
              <w:rPr>
                <w:spacing w:val="-2"/>
                <w:sz w:val="22"/>
              </w:rPr>
              <w:t>Section</w:t>
            </w:r>
          </w:p>
        </w:tc>
      </w:tr>
      <w:tr>
        <w:trPr>
          <w:trHeight w:val="253" w:hRule="atLeast"/>
        </w:trPr>
        <w:tc>
          <w:tcPr>
            <w:tcW w:w="1618" w:type="dxa"/>
          </w:tcPr>
          <w:p>
            <w:pPr>
              <w:pStyle w:val="TableParagraph"/>
              <w:ind w:left="110"/>
              <w:rPr>
                <w:sz w:val="22"/>
              </w:rPr>
            </w:pPr>
            <w:r>
              <w:rPr>
                <w:spacing w:val="-5"/>
                <w:sz w:val="22"/>
              </w:rPr>
              <w:t>SEC</w:t>
            </w:r>
          </w:p>
        </w:tc>
        <w:tc>
          <w:tcPr>
            <w:tcW w:w="7111" w:type="dxa"/>
          </w:tcPr>
          <w:p>
            <w:pPr>
              <w:pStyle w:val="TableParagraph"/>
              <w:rPr>
                <w:sz w:val="22"/>
              </w:rPr>
            </w:pPr>
            <w:r>
              <w:rPr>
                <w:sz w:val="22"/>
              </w:rPr>
              <w:t>Securities</w:t>
            </w:r>
            <w:r>
              <w:rPr>
                <w:spacing w:val="-4"/>
                <w:sz w:val="22"/>
              </w:rPr>
              <w:t> </w:t>
            </w:r>
            <w:r>
              <w:rPr>
                <w:sz w:val="22"/>
              </w:rPr>
              <w:t>and</w:t>
            </w:r>
            <w:r>
              <w:rPr>
                <w:spacing w:val="-8"/>
                <w:sz w:val="22"/>
              </w:rPr>
              <w:t> </w:t>
            </w:r>
            <w:r>
              <w:rPr>
                <w:sz w:val="22"/>
              </w:rPr>
              <w:t>Exchange</w:t>
            </w:r>
            <w:r>
              <w:rPr>
                <w:spacing w:val="-10"/>
                <w:sz w:val="22"/>
              </w:rPr>
              <w:t> </w:t>
            </w:r>
            <w:r>
              <w:rPr>
                <w:spacing w:val="-2"/>
                <w:sz w:val="22"/>
              </w:rPr>
              <w:t>Commission</w:t>
            </w:r>
          </w:p>
        </w:tc>
      </w:tr>
      <w:tr>
        <w:trPr>
          <w:trHeight w:val="254" w:hRule="atLeast"/>
        </w:trPr>
        <w:tc>
          <w:tcPr>
            <w:tcW w:w="1618" w:type="dxa"/>
          </w:tcPr>
          <w:p>
            <w:pPr>
              <w:pStyle w:val="TableParagraph"/>
              <w:ind w:left="110"/>
              <w:rPr>
                <w:sz w:val="22"/>
              </w:rPr>
            </w:pPr>
            <w:r>
              <w:rPr>
                <w:spacing w:val="-5"/>
                <w:sz w:val="22"/>
              </w:rPr>
              <w:t>SPN</w:t>
            </w:r>
          </w:p>
        </w:tc>
        <w:tc>
          <w:tcPr>
            <w:tcW w:w="7111" w:type="dxa"/>
          </w:tcPr>
          <w:p>
            <w:pPr>
              <w:pStyle w:val="TableParagraph"/>
              <w:rPr>
                <w:sz w:val="22"/>
              </w:rPr>
            </w:pPr>
            <w:r>
              <w:rPr>
                <w:sz w:val="22"/>
              </w:rPr>
              <w:t>Shareholder</w:t>
            </w:r>
            <w:r>
              <w:rPr>
                <w:spacing w:val="-7"/>
                <w:sz w:val="22"/>
              </w:rPr>
              <w:t> </w:t>
            </w:r>
            <w:r>
              <w:rPr>
                <w:sz w:val="22"/>
              </w:rPr>
              <w:t>Primacy</w:t>
            </w:r>
            <w:r>
              <w:rPr>
                <w:spacing w:val="-11"/>
                <w:sz w:val="22"/>
              </w:rPr>
              <w:t> </w:t>
            </w:r>
            <w:r>
              <w:rPr>
                <w:spacing w:val="-4"/>
                <w:sz w:val="22"/>
              </w:rPr>
              <w:t>Norm</w:t>
            </w:r>
          </w:p>
        </w:tc>
      </w:tr>
      <w:tr>
        <w:trPr>
          <w:trHeight w:val="254" w:hRule="atLeast"/>
        </w:trPr>
        <w:tc>
          <w:tcPr>
            <w:tcW w:w="1618" w:type="dxa"/>
          </w:tcPr>
          <w:p>
            <w:pPr>
              <w:pStyle w:val="TableParagraph"/>
              <w:ind w:left="110"/>
              <w:rPr>
                <w:sz w:val="22"/>
              </w:rPr>
            </w:pPr>
            <w:r>
              <w:rPr>
                <w:spacing w:val="-5"/>
                <w:sz w:val="22"/>
              </w:rPr>
              <w:t>ss.</w:t>
            </w:r>
          </w:p>
        </w:tc>
        <w:tc>
          <w:tcPr>
            <w:tcW w:w="7111" w:type="dxa"/>
          </w:tcPr>
          <w:p>
            <w:pPr>
              <w:pStyle w:val="TableParagraph"/>
              <w:rPr>
                <w:sz w:val="22"/>
              </w:rPr>
            </w:pPr>
            <w:r>
              <w:rPr>
                <w:spacing w:val="-2"/>
                <w:sz w:val="22"/>
              </w:rPr>
              <w:t>Sections</w:t>
            </w:r>
          </w:p>
        </w:tc>
      </w:tr>
      <w:tr>
        <w:trPr>
          <w:trHeight w:val="254" w:hRule="atLeast"/>
        </w:trPr>
        <w:tc>
          <w:tcPr>
            <w:tcW w:w="1618" w:type="dxa"/>
          </w:tcPr>
          <w:p>
            <w:pPr>
              <w:pStyle w:val="TableParagraph"/>
              <w:ind w:left="110"/>
              <w:rPr>
                <w:sz w:val="22"/>
              </w:rPr>
            </w:pPr>
            <w:r>
              <w:rPr>
                <w:spacing w:val="-5"/>
                <w:sz w:val="22"/>
              </w:rPr>
              <w:t>SVM</w:t>
            </w:r>
          </w:p>
        </w:tc>
        <w:tc>
          <w:tcPr>
            <w:tcW w:w="7111" w:type="dxa"/>
          </w:tcPr>
          <w:p>
            <w:pPr>
              <w:pStyle w:val="TableParagraph"/>
              <w:rPr>
                <w:sz w:val="22"/>
              </w:rPr>
            </w:pPr>
            <w:r>
              <w:rPr>
                <w:sz w:val="22"/>
              </w:rPr>
              <w:t>Shareholder</w:t>
            </w:r>
            <w:r>
              <w:rPr>
                <w:spacing w:val="-3"/>
                <w:sz w:val="22"/>
              </w:rPr>
              <w:t> </w:t>
            </w:r>
            <w:r>
              <w:rPr>
                <w:sz w:val="22"/>
              </w:rPr>
              <w:t>Value</w:t>
            </w:r>
            <w:r>
              <w:rPr>
                <w:spacing w:val="-12"/>
                <w:sz w:val="22"/>
              </w:rPr>
              <w:t> </w:t>
            </w:r>
            <w:r>
              <w:rPr>
                <w:spacing w:val="-2"/>
                <w:sz w:val="22"/>
              </w:rPr>
              <w:t>Maximization</w:t>
            </w:r>
          </w:p>
        </w:tc>
      </w:tr>
      <w:tr>
        <w:trPr>
          <w:trHeight w:val="249" w:hRule="atLeast"/>
        </w:trPr>
        <w:tc>
          <w:tcPr>
            <w:tcW w:w="1618" w:type="dxa"/>
          </w:tcPr>
          <w:p>
            <w:pPr>
              <w:pStyle w:val="TableParagraph"/>
              <w:spacing w:line="229" w:lineRule="exact"/>
              <w:ind w:left="110"/>
              <w:rPr>
                <w:sz w:val="22"/>
              </w:rPr>
            </w:pPr>
            <w:r>
              <w:rPr>
                <w:spacing w:val="-5"/>
                <w:sz w:val="22"/>
              </w:rPr>
              <w:t>UK</w:t>
            </w:r>
          </w:p>
        </w:tc>
        <w:tc>
          <w:tcPr>
            <w:tcW w:w="7111" w:type="dxa"/>
          </w:tcPr>
          <w:p>
            <w:pPr>
              <w:pStyle w:val="TableParagraph"/>
              <w:spacing w:line="229" w:lineRule="exact"/>
              <w:rPr>
                <w:sz w:val="22"/>
              </w:rPr>
            </w:pPr>
            <w:r>
              <w:rPr>
                <w:sz w:val="22"/>
              </w:rPr>
              <w:t>United</w:t>
            </w:r>
            <w:r>
              <w:rPr>
                <w:spacing w:val="-6"/>
                <w:sz w:val="22"/>
              </w:rPr>
              <w:t> </w:t>
            </w:r>
            <w:r>
              <w:rPr>
                <w:spacing w:val="-2"/>
                <w:sz w:val="22"/>
              </w:rPr>
              <w:t>Kingdom</w:t>
            </w:r>
          </w:p>
        </w:tc>
      </w:tr>
      <w:tr>
        <w:trPr>
          <w:trHeight w:val="254" w:hRule="atLeast"/>
        </w:trPr>
        <w:tc>
          <w:tcPr>
            <w:tcW w:w="1618" w:type="dxa"/>
          </w:tcPr>
          <w:p>
            <w:pPr>
              <w:pStyle w:val="TableParagraph"/>
              <w:ind w:left="110"/>
              <w:rPr>
                <w:sz w:val="22"/>
              </w:rPr>
            </w:pPr>
            <w:r>
              <w:rPr>
                <w:spacing w:val="-5"/>
                <w:sz w:val="22"/>
              </w:rPr>
              <w:t>US</w:t>
            </w:r>
          </w:p>
        </w:tc>
        <w:tc>
          <w:tcPr>
            <w:tcW w:w="7111" w:type="dxa"/>
          </w:tcPr>
          <w:p>
            <w:pPr>
              <w:pStyle w:val="TableParagraph"/>
              <w:rPr>
                <w:sz w:val="22"/>
              </w:rPr>
            </w:pPr>
            <w:r>
              <w:rPr>
                <w:sz w:val="22"/>
              </w:rPr>
              <w:t>United</w:t>
            </w:r>
            <w:r>
              <w:rPr>
                <w:spacing w:val="-8"/>
                <w:sz w:val="22"/>
              </w:rPr>
              <w:t> </w:t>
            </w:r>
            <w:r>
              <w:rPr>
                <w:spacing w:val="-2"/>
                <w:sz w:val="22"/>
              </w:rPr>
              <w:t>States</w:t>
            </w:r>
          </w:p>
        </w:tc>
      </w:tr>
      <w:tr>
        <w:trPr>
          <w:trHeight w:val="253" w:hRule="atLeast"/>
        </w:trPr>
        <w:tc>
          <w:tcPr>
            <w:tcW w:w="1618" w:type="dxa"/>
          </w:tcPr>
          <w:p>
            <w:pPr>
              <w:pStyle w:val="TableParagraph"/>
              <w:ind w:left="110"/>
              <w:rPr>
                <w:sz w:val="22"/>
              </w:rPr>
            </w:pPr>
            <w:r>
              <w:rPr>
                <w:spacing w:val="-5"/>
                <w:sz w:val="22"/>
              </w:rPr>
              <w:t>USA</w:t>
            </w:r>
          </w:p>
        </w:tc>
        <w:tc>
          <w:tcPr>
            <w:tcW w:w="7111" w:type="dxa"/>
          </w:tcPr>
          <w:p>
            <w:pPr>
              <w:pStyle w:val="TableParagraph"/>
              <w:rPr>
                <w:sz w:val="22"/>
              </w:rPr>
            </w:pPr>
            <w:r>
              <w:rPr>
                <w:sz w:val="22"/>
              </w:rPr>
              <w:t>United</w:t>
            </w:r>
            <w:r>
              <w:rPr>
                <w:spacing w:val="-8"/>
                <w:sz w:val="22"/>
              </w:rPr>
              <w:t> </w:t>
            </w:r>
            <w:r>
              <w:rPr>
                <w:sz w:val="22"/>
              </w:rPr>
              <w:t>States</w:t>
            </w:r>
            <w:r>
              <w:rPr>
                <w:spacing w:val="-4"/>
                <w:sz w:val="22"/>
              </w:rPr>
              <w:t> </w:t>
            </w:r>
            <w:r>
              <w:rPr>
                <w:sz w:val="22"/>
              </w:rPr>
              <w:t>of </w:t>
            </w:r>
            <w:r>
              <w:rPr>
                <w:spacing w:val="-2"/>
                <w:sz w:val="22"/>
              </w:rPr>
              <w:t>America</w:t>
            </w:r>
          </w:p>
        </w:tc>
      </w:tr>
      <w:tr>
        <w:trPr>
          <w:trHeight w:val="253" w:hRule="atLeast"/>
        </w:trPr>
        <w:tc>
          <w:tcPr>
            <w:tcW w:w="1618" w:type="dxa"/>
          </w:tcPr>
          <w:p>
            <w:pPr>
              <w:pStyle w:val="TableParagraph"/>
              <w:ind w:left="110"/>
              <w:rPr>
                <w:sz w:val="22"/>
              </w:rPr>
            </w:pPr>
            <w:r>
              <w:rPr>
                <w:spacing w:val="-5"/>
                <w:sz w:val="22"/>
              </w:rPr>
              <w:t>vs.</w:t>
            </w:r>
          </w:p>
        </w:tc>
        <w:tc>
          <w:tcPr>
            <w:tcW w:w="7111" w:type="dxa"/>
          </w:tcPr>
          <w:p>
            <w:pPr>
              <w:pStyle w:val="TableParagraph"/>
              <w:rPr>
                <w:sz w:val="22"/>
              </w:rPr>
            </w:pPr>
            <w:r>
              <w:rPr>
                <w:spacing w:val="-2"/>
                <w:sz w:val="22"/>
              </w:rPr>
              <w:t>Versus</w:t>
            </w:r>
          </w:p>
        </w:tc>
      </w:tr>
    </w:tbl>
    <w:p>
      <w:pPr>
        <w:spacing w:after="0"/>
        <w:rPr>
          <w:sz w:val="22"/>
        </w:rPr>
        <w:sectPr>
          <w:pgSz w:w="11910" w:h="16840"/>
          <w:pgMar w:header="0" w:footer="998" w:top="1300" w:bottom="1180" w:left="1680" w:right="1180"/>
        </w:sectPr>
      </w:pPr>
    </w:p>
    <w:p>
      <w:pPr>
        <w:pStyle w:val="BodyText"/>
        <w:spacing w:before="88"/>
        <w:ind w:left="74"/>
        <w:jc w:val="center"/>
        <w:rPr>
          <w:rFonts w:ascii="Arial Black"/>
        </w:rPr>
      </w:pPr>
      <w:r>
        <w:rPr>
          <w:rFonts w:ascii="Arial Black"/>
          <w:spacing w:val="-2"/>
        </w:rPr>
        <w:t>ABSTRACT</w:t>
      </w:r>
    </w:p>
    <w:p>
      <w:pPr>
        <w:spacing w:line="240" w:lineRule="auto" w:before="249"/>
        <w:ind w:left="308" w:right="226" w:firstLine="0"/>
        <w:jc w:val="both"/>
        <w:rPr>
          <w:i/>
          <w:sz w:val="24"/>
        </w:rPr>
      </w:pPr>
      <w:r>
        <w:rPr>
          <w:i/>
          <w:sz w:val="24"/>
        </w:rPr>
        <w:t>Having been in existence for about twenty five years now, the Companies and Allied Matters</w:t>
      </w:r>
      <w:r>
        <w:rPr>
          <w:i/>
          <w:spacing w:val="-3"/>
          <w:sz w:val="24"/>
        </w:rPr>
        <w:t> </w:t>
      </w:r>
      <w:r>
        <w:rPr>
          <w:i/>
          <w:sz w:val="24"/>
        </w:rPr>
        <w:t>Act 1990 ―CAMA‖ is</w:t>
      </w:r>
      <w:r>
        <w:rPr>
          <w:i/>
          <w:spacing w:val="-2"/>
          <w:sz w:val="24"/>
        </w:rPr>
        <w:t> </w:t>
      </w:r>
      <w:r>
        <w:rPr>
          <w:i/>
          <w:sz w:val="24"/>
        </w:rPr>
        <w:t>long overdue</w:t>
      </w:r>
      <w:r>
        <w:rPr>
          <w:i/>
          <w:spacing w:val="-1"/>
          <w:sz w:val="24"/>
        </w:rPr>
        <w:t> </w:t>
      </w:r>
      <w:r>
        <w:rPr>
          <w:i/>
          <w:sz w:val="24"/>
        </w:rPr>
        <w:t>for</w:t>
      </w:r>
      <w:r>
        <w:rPr>
          <w:i/>
          <w:spacing w:val="-3"/>
          <w:sz w:val="24"/>
        </w:rPr>
        <w:t> </w:t>
      </w:r>
      <w:r>
        <w:rPr>
          <w:i/>
          <w:sz w:val="24"/>
        </w:rPr>
        <w:t>review. The</w:t>
      </w:r>
      <w:r>
        <w:rPr>
          <w:i/>
          <w:spacing w:val="-1"/>
          <w:sz w:val="24"/>
        </w:rPr>
        <w:t> </w:t>
      </w:r>
      <w:r>
        <w:rPr>
          <w:i/>
          <w:sz w:val="24"/>
        </w:rPr>
        <w:t>many calls for</w:t>
      </w:r>
      <w:r>
        <w:rPr>
          <w:i/>
          <w:spacing w:val="-3"/>
          <w:sz w:val="24"/>
        </w:rPr>
        <w:t> </w:t>
      </w:r>
      <w:r>
        <w:rPr>
          <w:i/>
          <w:sz w:val="24"/>
        </w:rPr>
        <w:t>the</w:t>
      </w:r>
      <w:r>
        <w:rPr>
          <w:i/>
          <w:spacing w:val="-1"/>
          <w:sz w:val="24"/>
        </w:rPr>
        <w:t> </w:t>
      </w:r>
      <w:r>
        <w:rPr>
          <w:i/>
          <w:sz w:val="24"/>
        </w:rPr>
        <w:t>review</w:t>
      </w:r>
      <w:r>
        <w:rPr>
          <w:i/>
          <w:spacing w:val="-2"/>
          <w:sz w:val="24"/>
        </w:rPr>
        <w:t> </w:t>
      </w:r>
      <w:r>
        <w:rPr>
          <w:i/>
          <w:sz w:val="24"/>
        </w:rPr>
        <w:t>of the law have not particularly singled out the director‘s duties of care and skill and fiduciary duties of loyalty and good faith. Yet, a cursory look at the statement of duties under the CAMA leaves much to be desired. The United Kingdom relatively recently reviewed its company law and now operates the Companies Act of 2006 ―CA‖. One of the most admirable aspects of this new</w:t>
      </w:r>
      <w:r>
        <w:rPr>
          <w:i/>
          <w:spacing w:val="-1"/>
          <w:sz w:val="24"/>
        </w:rPr>
        <w:t> </w:t>
      </w:r>
      <w:r>
        <w:rPr>
          <w:i/>
          <w:sz w:val="24"/>
        </w:rPr>
        <w:t>law</w:t>
      </w:r>
      <w:r>
        <w:rPr>
          <w:i/>
          <w:spacing w:val="-1"/>
          <w:sz w:val="24"/>
        </w:rPr>
        <w:t> </w:t>
      </w:r>
      <w:r>
        <w:rPr>
          <w:i/>
          <w:sz w:val="24"/>
        </w:rPr>
        <w:t>is the codification of the duties of directors, which were hitherto uncodified and based in case law. For the fact that Nigeria is a common law jurisdiction which usually models its laws after English law, it will most likely be the case that any review of the CAMA today would have the CA as a foremost reference point. On this note, this research considered, comparatively, whether and to what extent the CA can be a model for the CAMA in the area of directors‘ general</w:t>
      </w:r>
      <w:r>
        <w:rPr>
          <w:i/>
          <w:spacing w:val="40"/>
          <w:sz w:val="24"/>
        </w:rPr>
        <w:t> </w:t>
      </w:r>
      <w:r>
        <w:rPr>
          <w:i/>
          <w:sz w:val="24"/>
        </w:rPr>
        <w:t>duties of care and skill and fiduciary duties of loyalty and good faith. A doctrinal method of research was employed using the tool of comparison. The research tried to show that the CAMA, after over 20 years, is far from being a model company law for Nigeria</w:t>
      </w:r>
      <w:r>
        <w:rPr>
          <w:i/>
          <w:spacing w:val="-1"/>
          <w:sz w:val="24"/>
        </w:rPr>
        <w:t> </w:t>
      </w:r>
      <w:r>
        <w:rPr>
          <w:i/>
          <w:sz w:val="24"/>
        </w:rPr>
        <w:t>today</w:t>
      </w:r>
      <w:r>
        <w:rPr>
          <w:i/>
          <w:spacing w:val="-2"/>
          <w:sz w:val="24"/>
        </w:rPr>
        <w:t> </w:t>
      </w:r>
      <w:r>
        <w:rPr>
          <w:i/>
          <w:sz w:val="24"/>
        </w:rPr>
        <w:t>in</w:t>
      </w:r>
      <w:r>
        <w:rPr>
          <w:i/>
          <w:spacing w:val="-1"/>
          <w:sz w:val="24"/>
        </w:rPr>
        <w:t> </w:t>
      </w:r>
      <w:r>
        <w:rPr>
          <w:i/>
          <w:sz w:val="24"/>
        </w:rPr>
        <w:t>the</w:t>
      </w:r>
      <w:r>
        <w:rPr>
          <w:i/>
          <w:spacing w:val="-2"/>
          <w:sz w:val="24"/>
        </w:rPr>
        <w:t> </w:t>
      </w:r>
      <w:r>
        <w:rPr>
          <w:i/>
          <w:sz w:val="24"/>
        </w:rPr>
        <w:t>area</w:t>
      </w:r>
      <w:r>
        <w:rPr>
          <w:i/>
          <w:spacing w:val="-1"/>
          <w:sz w:val="24"/>
        </w:rPr>
        <w:t> </w:t>
      </w:r>
      <w:r>
        <w:rPr>
          <w:i/>
          <w:sz w:val="24"/>
        </w:rPr>
        <w:t>of</w:t>
      </w:r>
      <w:r>
        <w:rPr>
          <w:i/>
          <w:spacing w:val="-1"/>
          <w:sz w:val="24"/>
        </w:rPr>
        <w:t> </w:t>
      </w:r>
      <w:r>
        <w:rPr>
          <w:i/>
          <w:sz w:val="24"/>
        </w:rPr>
        <w:t>the</w:t>
      </w:r>
      <w:r>
        <w:rPr>
          <w:i/>
          <w:spacing w:val="-2"/>
          <w:sz w:val="24"/>
        </w:rPr>
        <w:t> </w:t>
      </w:r>
      <w:r>
        <w:rPr>
          <w:i/>
          <w:sz w:val="24"/>
        </w:rPr>
        <w:t>director‘s</w:t>
      </w:r>
      <w:r>
        <w:rPr>
          <w:i/>
          <w:spacing w:val="-4"/>
          <w:sz w:val="24"/>
        </w:rPr>
        <w:t> </w:t>
      </w:r>
      <w:r>
        <w:rPr>
          <w:i/>
          <w:sz w:val="24"/>
        </w:rPr>
        <w:t>duties</w:t>
      </w:r>
      <w:r>
        <w:rPr>
          <w:i/>
          <w:spacing w:val="-4"/>
          <w:sz w:val="24"/>
        </w:rPr>
        <w:t> </w:t>
      </w:r>
      <w:r>
        <w:rPr>
          <w:i/>
          <w:sz w:val="24"/>
        </w:rPr>
        <w:t>of</w:t>
      </w:r>
      <w:r>
        <w:rPr>
          <w:i/>
          <w:spacing w:val="-1"/>
          <w:sz w:val="24"/>
        </w:rPr>
        <w:t> </w:t>
      </w:r>
      <w:r>
        <w:rPr>
          <w:i/>
          <w:sz w:val="24"/>
        </w:rPr>
        <w:t>care</w:t>
      </w:r>
      <w:r>
        <w:rPr>
          <w:i/>
          <w:spacing w:val="-2"/>
          <w:sz w:val="24"/>
        </w:rPr>
        <w:t> </w:t>
      </w:r>
      <w:r>
        <w:rPr>
          <w:i/>
          <w:sz w:val="24"/>
        </w:rPr>
        <w:t>and</w:t>
      </w:r>
      <w:r>
        <w:rPr>
          <w:i/>
          <w:spacing w:val="-1"/>
          <w:sz w:val="24"/>
        </w:rPr>
        <w:t> </w:t>
      </w:r>
      <w:r>
        <w:rPr>
          <w:i/>
          <w:sz w:val="24"/>
        </w:rPr>
        <w:t>skill</w:t>
      </w:r>
      <w:r>
        <w:rPr>
          <w:i/>
          <w:spacing w:val="-1"/>
          <w:sz w:val="24"/>
        </w:rPr>
        <w:t> </w:t>
      </w:r>
      <w:r>
        <w:rPr>
          <w:i/>
          <w:sz w:val="24"/>
        </w:rPr>
        <w:t>and</w:t>
      </w:r>
      <w:r>
        <w:rPr>
          <w:i/>
          <w:spacing w:val="-6"/>
          <w:sz w:val="24"/>
        </w:rPr>
        <w:t> </w:t>
      </w:r>
      <w:r>
        <w:rPr>
          <w:i/>
          <w:sz w:val="24"/>
        </w:rPr>
        <w:t>fiduciary</w:t>
      </w:r>
      <w:r>
        <w:rPr>
          <w:i/>
          <w:spacing w:val="-2"/>
          <w:sz w:val="24"/>
        </w:rPr>
        <w:t> </w:t>
      </w:r>
      <w:r>
        <w:rPr>
          <w:i/>
          <w:sz w:val="24"/>
        </w:rPr>
        <w:t>duties</w:t>
      </w:r>
      <w:r>
        <w:rPr>
          <w:i/>
          <w:spacing w:val="-3"/>
          <w:sz w:val="24"/>
        </w:rPr>
        <w:t> </w:t>
      </w:r>
      <w:r>
        <w:rPr>
          <w:i/>
          <w:sz w:val="24"/>
        </w:rPr>
        <w:t>of loyalty</w:t>
      </w:r>
      <w:r>
        <w:rPr>
          <w:i/>
          <w:spacing w:val="-1"/>
          <w:sz w:val="24"/>
        </w:rPr>
        <w:t> </w:t>
      </w:r>
      <w:r>
        <w:rPr>
          <w:i/>
          <w:sz w:val="24"/>
        </w:rPr>
        <w:t>and good</w:t>
      </w:r>
      <w:r>
        <w:rPr>
          <w:i/>
          <w:spacing w:val="-5"/>
          <w:sz w:val="24"/>
        </w:rPr>
        <w:t> </w:t>
      </w:r>
      <w:r>
        <w:rPr>
          <w:i/>
          <w:sz w:val="24"/>
        </w:rPr>
        <w:t>faith</w:t>
      </w:r>
      <w:r>
        <w:rPr>
          <w:i/>
          <w:spacing w:val="-5"/>
          <w:sz w:val="24"/>
        </w:rPr>
        <w:t> </w:t>
      </w:r>
      <w:r>
        <w:rPr>
          <w:i/>
          <w:sz w:val="24"/>
        </w:rPr>
        <w:t>and therefore, requires</w:t>
      </w:r>
      <w:r>
        <w:rPr>
          <w:i/>
          <w:spacing w:val="-2"/>
          <w:sz w:val="24"/>
        </w:rPr>
        <w:t> </w:t>
      </w:r>
      <w:r>
        <w:rPr>
          <w:i/>
          <w:sz w:val="24"/>
        </w:rPr>
        <w:t>review</w:t>
      </w:r>
      <w:r>
        <w:rPr>
          <w:i/>
          <w:spacing w:val="-12"/>
          <w:sz w:val="24"/>
        </w:rPr>
        <w:t> </w:t>
      </w:r>
      <w:r>
        <w:rPr>
          <w:i/>
          <w:sz w:val="24"/>
        </w:rPr>
        <w:t>in line with the</w:t>
      </w:r>
      <w:r>
        <w:rPr>
          <w:i/>
          <w:spacing w:val="-1"/>
          <w:sz w:val="24"/>
        </w:rPr>
        <w:t> </w:t>
      </w:r>
      <w:r>
        <w:rPr>
          <w:i/>
          <w:sz w:val="24"/>
        </w:rPr>
        <w:t>UK</w:t>
      </w:r>
      <w:r>
        <w:rPr>
          <w:i/>
          <w:spacing w:val="-2"/>
          <w:sz w:val="24"/>
        </w:rPr>
        <w:t> </w:t>
      </w:r>
      <w:r>
        <w:rPr>
          <w:i/>
          <w:sz w:val="24"/>
        </w:rPr>
        <w:t>Companies</w:t>
      </w:r>
      <w:r>
        <w:rPr>
          <w:i/>
          <w:spacing w:val="-2"/>
          <w:sz w:val="24"/>
        </w:rPr>
        <w:t> </w:t>
      </w:r>
      <w:r>
        <w:rPr>
          <w:i/>
          <w:sz w:val="24"/>
        </w:rPr>
        <w:t>Act 2006. The research found</w:t>
      </w:r>
      <w:r>
        <w:rPr>
          <w:i/>
          <w:spacing w:val="-1"/>
          <w:sz w:val="24"/>
        </w:rPr>
        <w:t> </w:t>
      </w:r>
      <w:r>
        <w:rPr>
          <w:i/>
          <w:sz w:val="24"/>
        </w:rPr>
        <w:t>that the</w:t>
      </w:r>
      <w:r>
        <w:rPr>
          <w:i/>
          <w:spacing w:val="-2"/>
          <w:sz w:val="24"/>
        </w:rPr>
        <w:t> </w:t>
      </w:r>
      <w:r>
        <w:rPr>
          <w:i/>
          <w:sz w:val="24"/>
        </w:rPr>
        <w:t>CAMA, although improved on the common law</w:t>
      </w:r>
      <w:r>
        <w:rPr>
          <w:i/>
          <w:spacing w:val="-6"/>
          <w:sz w:val="24"/>
        </w:rPr>
        <w:t> </w:t>
      </w:r>
      <w:r>
        <w:rPr>
          <w:i/>
          <w:sz w:val="24"/>
        </w:rPr>
        <w:t>at the time of its enactment with respect to the standard of care required of the director, is</w:t>
      </w:r>
      <w:r>
        <w:rPr>
          <w:i/>
          <w:spacing w:val="-3"/>
          <w:sz w:val="24"/>
        </w:rPr>
        <w:t> </w:t>
      </w:r>
      <w:r>
        <w:rPr>
          <w:i/>
          <w:sz w:val="24"/>
        </w:rPr>
        <w:t>far from being up to standards of today‘s business society. Furthermore, the fiduciary</w:t>
      </w:r>
      <w:r>
        <w:rPr>
          <w:i/>
          <w:spacing w:val="40"/>
          <w:sz w:val="24"/>
        </w:rPr>
        <w:t> </w:t>
      </w:r>
      <w:r>
        <w:rPr>
          <w:i/>
          <w:sz w:val="24"/>
        </w:rPr>
        <w:t>duties under the CAMA were found to be riddled with grammatical errors and in some cases, did not adequately reflect the common law principles they were meant to codify. The principles on conflicts of duties also gave the director very little information. Comparatively, the CA was found to be clearer on the points indicated and also reflected the modern practice on the standard of care required of directors. The work recommended that, on the duties of care and skill and fiduciary duties of loyalty and good faith, the CAMA should be amended substantially using the CA as a model. This would not only reflect developments from case law and practice, help to further clarify and simplify this important aspect of corporate governance for corporate stakeholders, but may also revive corporate litigation which is currently almost non-existent in that </w:t>
      </w:r>
      <w:r>
        <w:rPr>
          <w:i/>
          <w:spacing w:val="-2"/>
          <w:sz w:val="24"/>
        </w:rPr>
        <w:t>area.</w:t>
      </w:r>
    </w:p>
    <w:p>
      <w:pPr>
        <w:spacing w:after="0" w:line="240" w:lineRule="auto"/>
        <w:jc w:val="both"/>
        <w:rPr>
          <w:sz w:val="24"/>
        </w:rPr>
        <w:sectPr>
          <w:pgSz w:w="11910" w:h="16840"/>
          <w:pgMar w:header="0" w:footer="998" w:top="1300" w:bottom="1180" w:left="1680" w:right="1180"/>
        </w:sectPr>
      </w:pPr>
    </w:p>
    <w:p>
      <w:pPr>
        <w:pStyle w:val="BodyText"/>
        <w:ind w:left="0"/>
        <w:rPr>
          <w:i/>
        </w:rPr>
      </w:pPr>
    </w:p>
    <w:p>
      <w:pPr>
        <w:pStyle w:val="BodyText"/>
        <w:ind w:left="0"/>
        <w:rPr>
          <w:i/>
        </w:rPr>
      </w:pPr>
    </w:p>
    <w:p>
      <w:pPr>
        <w:pStyle w:val="BodyText"/>
        <w:ind w:left="0"/>
        <w:rPr>
          <w:i/>
        </w:rPr>
      </w:pPr>
    </w:p>
    <w:p>
      <w:pPr>
        <w:pStyle w:val="BodyText"/>
        <w:ind w:left="0"/>
        <w:rPr>
          <w:i/>
        </w:rPr>
      </w:pPr>
    </w:p>
    <w:p>
      <w:pPr>
        <w:pStyle w:val="BodyText"/>
        <w:spacing w:before="25"/>
        <w:ind w:left="0"/>
        <w:rPr>
          <w:i/>
        </w:rPr>
      </w:pPr>
    </w:p>
    <w:p>
      <w:pPr>
        <w:pStyle w:val="ListParagraph"/>
        <w:numPr>
          <w:ilvl w:val="1"/>
          <w:numId w:val="7"/>
        </w:numPr>
        <w:tabs>
          <w:tab w:pos="1028" w:val="left" w:leader="none"/>
        </w:tabs>
        <w:spacing w:line="240" w:lineRule="auto" w:before="1" w:after="0"/>
        <w:ind w:left="1028" w:right="0" w:hanging="720"/>
        <w:jc w:val="left"/>
        <w:rPr>
          <w:b/>
          <w:sz w:val="24"/>
        </w:rPr>
      </w:pPr>
      <w:r>
        <w:rPr>
          <w:b/>
          <w:spacing w:val="-2"/>
          <w:sz w:val="24"/>
        </w:rPr>
        <w:t>Background</w:t>
      </w:r>
    </w:p>
    <w:p>
      <w:pPr>
        <w:pStyle w:val="Heading1"/>
        <w:ind w:right="2443"/>
      </w:pPr>
      <w:bookmarkStart w:name="_TOC_250051" w:id="1"/>
      <w:r>
        <w:rPr/>
        <w:br w:type="column"/>
      </w:r>
      <w:r>
        <w:rPr/>
        <w:t>CHAPTER</w:t>
      </w:r>
      <w:r>
        <w:rPr>
          <w:spacing w:val="-12"/>
        </w:rPr>
        <w:t> </w:t>
      </w:r>
      <w:bookmarkEnd w:id="1"/>
      <w:r>
        <w:rPr>
          <w:spacing w:val="-5"/>
        </w:rPr>
        <w:t>ONE</w:t>
      </w:r>
    </w:p>
    <w:p>
      <w:pPr>
        <w:pStyle w:val="BodyText"/>
        <w:spacing w:before="271"/>
        <w:ind w:left="0" w:right="2447"/>
        <w:jc w:val="center"/>
        <w:rPr>
          <w:rFonts w:ascii="Arial Black"/>
        </w:rPr>
      </w:pPr>
      <w:r>
        <w:rPr>
          <w:rFonts w:ascii="Arial Black"/>
        </w:rPr>
        <w:t>GENERAL</w:t>
      </w:r>
      <w:r>
        <w:rPr>
          <w:rFonts w:ascii="Arial Black"/>
          <w:spacing w:val="1"/>
        </w:rPr>
        <w:t> </w:t>
      </w:r>
      <w:r>
        <w:rPr>
          <w:rFonts w:ascii="Arial Black"/>
          <w:spacing w:val="-2"/>
        </w:rPr>
        <w:t>INTRODUCTION</w:t>
      </w:r>
    </w:p>
    <w:p>
      <w:pPr>
        <w:spacing w:after="0"/>
        <w:jc w:val="center"/>
        <w:rPr>
          <w:rFonts w:ascii="Arial Black"/>
        </w:rPr>
        <w:sectPr>
          <w:footerReference w:type="default" r:id="rId6"/>
          <w:pgSz w:w="11910" w:h="16840"/>
          <w:pgMar w:header="0" w:footer="1003" w:top="1300" w:bottom="1200" w:left="1680" w:right="1180"/>
          <w:pgNumType w:start="21"/>
          <w:cols w:num="2" w:equalWidth="0">
            <w:col w:w="2334" w:space="192"/>
            <w:col w:w="6524"/>
          </w:cols>
        </w:sectPr>
      </w:pPr>
    </w:p>
    <w:p>
      <w:pPr>
        <w:pStyle w:val="BodyText"/>
        <w:spacing w:line="480" w:lineRule="auto" w:before="132"/>
        <w:ind w:right="227"/>
        <w:jc w:val="both"/>
      </w:pPr>
      <w:r>
        <w:rPr/>
        <w:t>Companies have become an inextricable part of</w:t>
      </w:r>
      <w:r>
        <w:rPr>
          <w:spacing w:val="-4"/>
        </w:rPr>
        <w:t> </w:t>
      </w:r>
      <w:r>
        <w:rPr/>
        <w:t>world economies. This is mainly</w:t>
      </w:r>
      <w:r>
        <w:rPr>
          <w:spacing w:val="-1"/>
        </w:rPr>
        <w:t> </w:t>
      </w:r>
      <w:r>
        <w:rPr/>
        <w:t>due to the more prevalent capitalist ethos, but also because of the ease of investment and maximization</w:t>
      </w:r>
      <w:r>
        <w:rPr>
          <w:spacing w:val="-1"/>
        </w:rPr>
        <w:t> </w:t>
      </w:r>
      <w:r>
        <w:rPr/>
        <w:t>of</w:t>
      </w:r>
      <w:r>
        <w:rPr>
          <w:spacing w:val="-4"/>
        </w:rPr>
        <w:t> </w:t>
      </w:r>
      <w:r>
        <w:rPr/>
        <w:t>returns. Thus, beginning with</w:t>
      </w:r>
      <w:r>
        <w:rPr>
          <w:spacing w:val="-1"/>
        </w:rPr>
        <w:t> </w:t>
      </w:r>
      <w:r>
        <w:rPr/>
        <w:t>the English Companies Acts of</w:t>
      </w:r>
      <w:r>
        <w:rPr>
          <w:spacing w:val="-4"/>
        </w:rPr>
        <w:t> </w:t>
      </w:r>
      <w:r>
        <w:rPr/>
        <w:t>1844-62, the state has constantly sought to regulate the corporation from creation, through to management and</w:t>
      </w:r>
      <w:r>
        <w:rPr>
          <w:spacing w:val="-2"/>
        </w:rPr>
        <w:t> </w:t>
      </w:r>
      <w:r>
        <w:rPr/>
        <w:t>dissolution. The intention</w:t>
      </w:r>
      <w:r>
        <w:rPr>
          <w:spacing w:val="-2"/>
        </w:rPr>
        <w:t> </w:t>
      </w:r>
      <w:r>
        <w:rPr/>
        <w:t>is not only</w:t>
      </w:r>
      <w:r>
        <w:rPr>
          <w:spacing w:val="-7"/>
        </w:rPr>
        <w:t> </w:t>
      </w:r>
      <w:r>
        <w:rPr/>
        <w:t>to ensure</w:t>
      </w:r>
      <w:r>
        <w:rPr>
          <w:spacing w:val="-3"/>
        </w:rPr>
        <w:t> </w:t>
      </w:r>
      <w:r>
        <w:rPr/>
        <w:t>that investment is</w:t>
      </w:r>
      <w:r>
        <w:rPr>
          <w:spacing w:val="-4"/>
        </w:rPr>
        <w:t> </w:t>
      </w:r>
      <w:r>
        <w:rPr/>
        <w:t>easy, but also that it is as much as possible secure.</w:t>
      </w:r>
    </w:p>
    <w:p>
      <w:pPr>
        <w:pStyle w:val="BodyText"/>
        <w:spacing w:line="480" w:lineRule="auto" w:before="1"/>
        <w:ind w:right="227" w:firstLine="720"/>
        <w:jc w:val="both"/>
      </w:pPr>
      <w:r>
        <w:rPr/>
        <w:t>Though corporations are artificial persons, their directors, subscribers and customers, usually are not. Since human behaviour is prone to change in conformity with prevailing circumstances, opportunities, laws and more importantly, society, there exists a constant need to review and update corporate legislations to conform tothese changes. Sometimes, a review—which usually substantially overhauls the previous system—is what is required, but at times, a simple restatement, which maintains the old system in a new language, would achieve the desired goal in an amendment.</w:t>
      </w:r>
    </w:p>
    <w:p>
      <w:pPr>
        <w:pStyle w:val="BodyText"/>
        <w:spacing w:line="480" w:lineRule="auto" w:before="1"/>
        <w:ind w:right="235" w:firstLine="720"/>
        <w:jc w:val="both"/>
      </w:pPr>
      <w:r>
        <w:rPr/>
        <w:t>The first truly indigenous Nigerian companies‘ legislation was enacted in 1968. Before this, various corporate ordinances were promulgated by the colonial administration, from</w:t>
      </w:r>
      <w:r>
        <w:rPr>
          <w:spacing w:val="-6"/>
        </w:rPr>
        <w:t> </w:t>
      </w:r>
      <w:r>
        <w:rPr/>
        <w:t>the</w:t>
      </w:r>
      <w:r>
        <w:rPr>
          <w:spacing w:val="-1"/>
        </w:rPr>
        <w:t> </w:t>
      </w:r>
      <w:r>
        <w:rPr/>
        <w:t>Companies</w:t>
      </w:r>
      <w:r>
        <w:rPr>
          <w:spacing w:val="-2"/>
        </w:rPr>
        <w:t> </w:t>
      </w:r>
      <w:r>
        <w:rPr/>
        <w:t>Ordinance</w:t>
      </w:r>
      <w:r>
        <w:rPr>
          <w:spacing w:val="-1"/>
        </w:rPr>
        <w:t> </w:t>
      </w:r>
      <w:r>
        <w:rPr/>
        <w:t>of</w:t>
      </w:r>
      <w:r>
        <w:rPr>
          <w:spacing w:val="-3"/>
        </w:rPr>
        <w:t> </w:t>
      </w:r>
      <w:r>
        <w:rPr/>
        <w:t>1912 to the</w:t>
      </w:r>
      <w:r>
        <w:rPr>
          <w:spacing w:val="-1"/>
        </w:rPr>
        <w:t> </w:t>
      </w:r>
      <w:r>
        <w:rPr/>
        <w:t>Companies (Amendment) Ordinance of 1954, later designated the Companies Act in 1963. Presently, the Companies and Allied Matters Act 1990 ―CAMA‖ is in force.</w:t>
      </w:r>
      <w:r>
        <w:rPr>
          <w:vertAlign w:val="superscript"/>
        </w:rPr>
        <w:t>1</w:t>
      </w:r>
      <w:r>
        <w:rPr>
          <w:vertAlign w:val="baseline"/>
        </w:rPr>
        <w:t>Nigeria being a Commonwealth jurisdiction, has this company law anchored in English law; substantially</w:t>
      </w:r>
      <w:r>
        <w:rPr>
          <w:spacing w:val="40"/>
          <w:vertAlign w:val="baseline"/>
        </w:rPr>
        <w:t> </w:t>
      </w:r>
      <w:r>
        <w:rPr>
          <w:vertAlign w:val="baseline"/>
        </w:rPr>
        <w:t>an</w:t>
      </w:r>
      <w:r>
        <w:rPr>
          <w:spacing w:val="40"/>
          <w:vertAlign w:val="baseline"/>
        </w:rPr>
        <w:t> </w:t>
      </w:r>
      <w:r>
        <w:rPr>
          <w:vertAlign w:val="baseline"/>
        </w:rPr>
        <w:t>adoption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English</w:t>
      </w:r>
      <w:r>
        <w:rPr>
          <w:spacing w:val="40"/>
          <w:vertAlign w:val="baseline"/>
        </w:rPr>
        <w:t> </w:t>
      </w:r>
      <w:r>
        <w:rPr>
          <w:vertAlign w:val="baseline"/>
        </w:rPr>
        <w:t>common</w:t>
      </w:r>
      <w:r>
        <w:rPr>
          <w:spacing w:val="40"/>
          <w:vertAlign w:val="baseline"/>
        </w:rPr>
        <w:t> </w:t>
      </w:r>
      <w:r>
        <w:rPr>
          <w:vertAlign w:val="baseline"/>
        </w:rPr>
        <w:t>law</w:t>
      </w:r>
      <w:r>
        <w:rPr>
          <w:spacing w:val="40"/>
          <w:vertAlign w:val="baseline"/>
        </w:rPr>
        <w:t> </w:t>
      </w:r>
      <w:r>
        <w:rPr>
          <w:vertAlign w:val="baseline"/>
        </w:rPr>
        <w:t>and</w:t>
      </w:r>
      <w:r>
        <w:rPr>
          <w:spacing w:val="59"/>
          <w:vertAlign w:val="baseline"/>
        </w:rPr>
        <w:t> </w:t>
      </w:r>
      <w:r>
        <w:rPr>
          <w:vertAlign w:val="baseline"/>
        </w:rPr>
        <w:t>equitable</w:t>
      </w:r>
      <w:r>
        <w:rPr>
          <w:spacing w:val="40"/>
          <w:vertAlign w:val="baseline"/>
        </w:rPr>
        <w:t> </w:t>
      </w:r>
      <w:r>
        <w:rPr>
          <w:vertAlign w:val="baseline"/>
        </w:rPr>
        <w:t>principles</w:t>
      </w:r>
      <w:r>
        <w:rPr>
          <w:spacing w:val="40"/>
          <w:vertAlign w:val="baseline"/>
        </w:rPr>
        <w:t> </w:t>
      </w:r>
      <w:r>
        <w:rPr>
          <w:vertAlign w:val="baseline"/>
        </w:rPr>
        <w:t>and</w:t>
      </w:r>
    </w:p>
    <w:p>
      <w:pPr>
        <w:pStyle w:val="BodyText"/>
        <w:ind w:left="0"/>
        <w:rPr>
          <w:sz w:val="20"/>
        </w:rPr>
      </w:pPr>
    </w:p>
    <w:p>
      <w:pPr>
        <w:pStyle w:val="BodyText"/>
        <w:ind w:left="0"/>
        <w:rPr>
          <w:sz w:val="20"/>
        </w:rPr>
      </w:pPr>
    </w:p>
    <w:p>
      <w:pPr>
        <w:pStyle w:val="BodyText"/>
        <w:spacing w:before="174"/>
        <w:ind w:left="0"/>
        <w:rPr>
          <w:sz w:val="20"/>
        </w:rPr>
      </w:pPr>
      <w:r>
        <w:rPr/>
        <mc:AlternateContent>
          <mc:Choice Requires="wps">
            <w:drawing>
              <wp:anchor distT="0" distB="0" distL="0" distR="0" allowOverlap="1" layoutInCell="1" locked="0" behindDoc="1" simplePos="0" relativeHeight="487612416">
                <wp:simplePos x="0" y="0"/>
                <wp:positionH relativeFrom="page">
                  <wp:posOffset>1262481</wp:posOffset>
                </wp:positionH>
                <wp:positionV relativeFrom="paragraph">
                  <wp:posOffset>272184</wp:posOffset>
                </wp:positionV>
                <wp:extent cx="1829435" cy="9525"/>
                <wp:effectExtent l="0" t="0" r="0" b="0"/>
                <wp:wrapTopAndBottom/>
                <wp:docPr id="51" name="Graphic 51"/>
                <wp:cNvGraphicFramePr>
                  <a:graphicFrameLocks/>
                </wp:cNvGraphicFramePr>
                <a:graphic>
                  <a:graphicData uri="http://schemas.microsoft.com/office/word/2010/wordprocessingShape">
                    <wps:wsp>
                      <wps:cNvPr id="51" name="Graphic 5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431889pt;width:144.050pt;height:.71997pt;mso-position-horizontal-relative:page;mso-position-vertical-relative:paragraph;z-index:-15704064;mso-wrap-distance-left:0;mso-wrap-distance-right:0" id="docshape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w:t>
      </w:r>
      <w:r>
        <w:rPr>
          <w:rFonts w:ascii="Calibri"/>
          <w:sz w:val="20"/>
          <w:vertAlign w:val="baseline"/>
        </w:rPr>
        <w:t>Cap</w:t>
      </w:r>
      <w:r>
        <w:rPr>
          <w:rFonts w:ascii="Calibri"/>
          <w:spacing w:val="-5"/>
          <w:sz w:val="20"/>
          <w:vertAlign w:val="baseline"/>
        </w:rPr>
        <w:t> </w:t>
      </w:r>
      <w:r>
        <w:rPr>
          <w:rFonts w:ascii="Calibri"/>
          <w:sz w:val="20"/>
          <w:vertAlign w:val="baseline"/>
        </w:rPr>
        <w:t>C20,</w:t>
      </w:r>
      <w:r>
        <w:rPr>
          <w:rFonts w:ascii="Calibri"/>
          <w:spacing w:val="-5"/>
          <w:sz w:val="20"/>
          <w:vertAlign w:val="baseline"/>
        </w:rPr>
        <w:t> </w:t>
      </w:r>
      <w:r>
        <w:rPr>
          <w:rFonts w:ascii="Calibri"/>
          <w:sz w:val="20"/>
          <w:vertAlign w:val="baseline"/>
        </w:rPr>
        <w:t>Laws</w:t>
      </w:r>
      <w:r>
        <w:rPr>
          <w:rFonts w:ascii="Calibri"/>
          <w:spacing w:val="-5"/>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Federation</w:t>
      </w:r>
      <w:r>
        <w:rPr>
          <w:rFonts w:ascii="Calibri"/>
          <w:spacing w:val="-3"/>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Nigeria,</w:t>
      </w:r>
      <w:r>
        <w:rPr>
          <w:rFonts w:ascii="Calibri"/>
          <w:spacing w:val="-6"/>
          <w:sz w:val="20"/>
          <w:vertAlign w:val="baseline"/>
        </w:rPr>
        <w:t> </w:t>
      </w:r>
      <w:r>
        <w:rPr>
          <w:rFonts w:ascii="Calibri"/>
          <w:sz w:val="20"/>
          <w:vertAlign w:val="baseline"/>
        </w:rPr>
        <w:t>2004.</w:t>
      </w:r>
      <w:r>
        <w:rPr>
          <w:rFonts w:ascii="Calibri"/>
          <w:spacing w:val="-2"/>
          <w:sz w:val="20"/>
          <w:vertAlign w:val="baseline"/>
        </w:rPr>
        <w:t> </w:t>
      </w:r>
      <w:r>
        <w:rPr>
          <w:rFonts w:ascii="Calibri"/>
          <w:sz w:val="20"/>
          <w:vertAlign w:val="baseline"/>
        </w:rPr>
        <w:t>It</w:t>
      </w:r>
      <w:r>
        <w:rPr>
          <w:rFonts w:ascii="Calibri"/>
          <w:spacing w:val="-8"/>
          <w:sz w:val="20"/>
          <w:vertAlign w:val="baseline"/>
        </w:rPr>
        <w:t> </w:t>
      </w:r>
      <w:r>
        <w:rPr>
          <w:rFonts w:ascii="Calibri"/>
          <w:sz w:val="20"/>
          <w:vertAlign w:val="baseline"/>
        </w:rPr>
        <w:t>was</w:t>
      </w:r>
      <w:r>
        <w:rPr>
          <w:rFonts w:ascii="Calibri"/>
          <w:spacing w:val="-5"/>
          <w:sz w:val="20"/>
          <w:vertAlign w:val="baseline"/>
        </w:rPr>
        <w:t> </w:t>
      </w:r>
      <w:r>
        <w:rPr>
          <w:rFonts w:ascii="Calibri"/>
          <w:sz w:val="20"/>
          <w:vertAlign w:val="baseline"/>
        </w:rPr>
        <w:t>originally</w:t>
      </w:r>
      <w:r>
        <w:rPr>
          <w:rFonts w:ascii="Calibri"/>
          <w:spacing w:val="-4"/>
          <w:sz w:val="20"/>
          <w:vertAlign w:val="baseline"/>
        </w:rPr>
        <w:t> </w:t>
      </w:r>
      <w:r>
        <w:rPr>
          <w:rFonts w:ascii="Calibri"/>
          <w:sz w:val="20"/>
          <w:vertAlign w:val="baseline"/>
        </w:rPr>
        <w:t>enacted</w:t>
      </w:r>
      <w:r>
        <w:rPr>
          <w:rFonts w:ascii="Calibri"/>
          <w:spacing w:val="-8"/>
          <w:sz w:val="20"/>
          <w:vertAlign w:val="baseline"/>
        </w:rPr>
        <w:t> </w:t>
      </w:r>
      <w:r>
        <w:rPr>
          <w:rFonts w:ascii="Calibri"/>
          <w:sz w:val="20"/>
          <w:vertAlign w:val="baseline"/>
        </w:rPr>
        <w:t>by</w:t>
      </w:r>
      <w:r>
        <w:rPr>
          <w:rFonts w:ascii="Calibri"/>
          <w:spacing w:val="-8"/>
          <w:sz w:val="20"/>
          <w:vertAlign w:val="baseline"/>
        </w:rPr>
        <w:t> </w:t>
      </w:r>
      <w:r>
        <w:rPr>
          <w:rFonts w:ascii="Calibri"/>
          <w:sz w:val="20"/>
          <w:vertAlign w:val="baseline"/>
        </w:rPr>
        <w:t>decree</w:t>
      </w:r>
      <w:r>
        <w:rPr>
          <w:rFonts w:ascii="Calibri"/>
          <w:spacing w:val="-7"/>
          <w:sz w:val="20"/>
          <w:vertAlign w:val="baseline"/>
        </w:rPr>
        <w:t> </w:t>
      </w:r>
      <w:r>
        <w:rPr>
          <w:rFonts w:ascii="Calibri"/>
          <w:sz w:val="20"/>
          <w:vertAlign w:val="baseline"/>
        </w:rPr>
        <w:t>in</w:t>
      </w:r>
      <w:r>
        <w:rPr>
          <w:rFonts w:ascii="Calibri"/>
          <w:spacing w:val="-3"/>
          <w:sz w:val="20"/>
          <w:vertAlign w:val="baseline"/>
        </w:rPr>
        <w:t> </w:t>
      </w:r>
      <w:r>
        <w:rPr>
          <w:rFonts w:ascii="Calibri"/>
          <w:spacing w:val="-2"/>
          <w:sz w:val="20"/>
          <w:vertAlign w:val="baseline"/>
        </w:rPr>
        <w:t>1990.</w:t>
      </w:r>
    </w:p>
    <w:p>
      <w:pPr>
        <w:spacing w:after="0"/>
        <w:jc w:val="left"/>
        <w:rPr>
          <w:rFonts w:ascii="Calibri"/>
          <w:sz w:val="20"/>
        </w:rPr>
        <w:sectPr>
          <w:type w:val="continuous"/>
          <w:pgSz w:w="11910" w:h="16840"/>
          <w:pgMar w:header="0" w:footer="1003" w:top="1320" w:bottom="280" w:left="1680" w:right="1180"/>
        </w:sectPr>
      </w:pPr>
    </w:p>
    <w:p>
      <w:pPr>
        <w:pStyle w:val="BodyText"/>
        <w:spacing w:line="480" w:lineRule="auto" w:before="110"/>
        <w:ind w:right="235"/>
        <w:jc w:val="both"/>
      </w:pPr>
      <w:r>
        <w:rPr/>
        <w:t>legislation</w:t>
      </w:r>
      <w:r>
        <w:rPr>
          <w:spacing w:val="-1"/>
        </w:rPr>
        <w:t> </w:t>
      </w:r>
      <w:r>
        <w:rPr/>
        <w:t>on</w:t>
      </w:r>
      <w:r>
        <w:rPr>
          <w:spacing w:val="-1"/>
        </w:rPr>
        <w:t> </w:t>
      </w:r>
      <w:r>
        <w:rPr/>
        <w:t>companies. Britain has a new UK</w:t>
      </w:r>
      <w:r>
        <w:rPr>
          <w:spacing w:val="-1"/>
        </w:rPr>
        <w:t> </w:t>
      </w:r>
      <w:r>
        <w:rPr/>
        <w:t>Companies Act 2006 ―CA‖.</w:t>
      </w:r>
      <w:r>
        <w:rPr>
          <w:vertAlign w:val="superscript"/>
        </w:rPr>
        <w:t>2</w:t>
      </w:r>
      <w:r>
        <w:rPr>
          <w:vertAlign w:val="baseline"/>
        </w:rPr>
        <w:t> The new law was a review of the UK Companies Act of 1985 which has so far been amended many times.</w:t>
      </w:r>
      <w:r>
        <w:rPr>
          <w:vertAlign w:val="superscript"/>
        </w:rPr>
        <w:t>3</w:t>
      </w:r>
    </w:p>
    <w:p>
      <w:pPr>
        <w:pStyle w:val="BodyText"/>
        <w:spacing w:line="480" w:lineRule="auto"/>
        <w:ind w:right="228" w:firstLine="720"/>
        <w:jc w:val="both"/>
      </w:pPr>
      <w:r>
        <w:rPr/>
        <w:t>Calls have been made from</w:t>
      </w:r>
      <w:r>
        <w:rPr>
          <w:spacing w:val="-4"/>
        </w:rPr>
        <w:t> </w:t>
      </w:r>
      <w:r>
        <w:rPr/>
        <w:t>several</w:t>
      </w:r>
      <w:r>
        <w:rPr>
          <w:spacing w:val="-4"/>
        </w:rPr>
        <w:t> </w:t>
      </w:r>
      <w:r>
        <w:rPr/>
        <w:t>quarters for the review of</w:t>
      </w:r>
      <w:r>
        <w:rPr>
          <w:spacing w:val="-7"/>
        </w:rPr>
        <w:t> </w:t>
      </w:r>
      <w:r>
        <w:rPr/>
        <w:t>the CAMA.</w:t>
      </w:r>
      <w:r>
        <w:rPr>
          <w:vertAlign w:val="superscript"/>
        </w:rPr>
        <w:t>4</w:t>
      </w:r>
      <w:r>
        <w:rPr>
          <w:vertAlign w:val="baseline"/>
        </w:rPr>
        <w:t> It has been described as ―stagnant and unprogressive‖.</w:t>
      </w:r>
      <w:r>
        <w:rPr>
          <w:vertAlign w:val="superscript"/>
        </w:rPr>
        <w:t>5</w:t>
      </w:r>
      <w:r>
        <w:rPr>
          <w:vertAlign w:val="baseline"/>
        </w:rPr>
        <w:t> That the many fines imposed by the law will not qualify as deterrent today, is hardly arguable. It is being suggested that the present law on companies is outdated and unworkable in today‘s business world which is fast becoming a global village. Public institutions, civil society organizations and scholars have expressed dissatisfaction with various aspects of the law.</w:t>
      </w:r>
      <w:r>
        <w:rPr>
          <w:vertAlign w:val="superscript"/>
        </w:rPr>
        <w:t>6</w:t>
      </w:r>
      <w:r>
        <w:rPr>
          <w:vertAlign w:val="baseline"/>
        </w:rPr>
        <w:t>For instance, Akume</w:t>
      </w:r>
      <w:r>
        <w:rPr>
          <w:vertAlign w:val="superscript"/>
        </w:rPr>
        <w:t>7</w:t>
      </w:r>
      <w:r>
        <w:rPr>
          <w:vertAlign w:val="baseline"/>
        </w:rPr>
        <w:t> has noted the need for a review in the areas of the investigatory and</w:t>
      </w:r>
      <w:r>
        <w:rPr>
          <w:spacing w:val="80"/>
          <w:vertAlign w:val="baseline"/>
        </w:rPr>
        <w:t> </w:t>
      </w:r>
      <w:r>
        <w:rPr>
          <w:vertAlign w:val="baseline"/>
        </w:rPr>
        <w:t>supervisory functions of the Corporate Affairs Commission (CAC), authorised share capital, guarantee companies, registration of business names and incorporated trustees. Adamu</w:t>
      </w:r>
      <w:r>
        <w:rPr>
          <w:vertAlign w:val="superscript"/>
        </w:rPr>
        <w:t>8</w:t>
      </w:r>
      <w:r>
        <w:rPr>
          <w:vertAlign w:val="baseline"/>
        </w:rPr>
        <w:t> on</w:t>
      </w:r>
      <w:r>
        <w:rPr>
          <w:spacing w:val="-5"/>
          <w:vertAlign w:val="baseline"/>
        </w:rPr>
        <w:t> </w:t>
      </w:r>
      <w:r>
        <w:rPr>
          <w:vertAlign w:val="baseline"/>
        </w:rPr>
        <w:t>the</w:t>
      </w:r>
      <w:r>
        <w:rPr>
          <w:spacing w:val="-1"/>
          <w:vertAlign w:val="baseline"/>
        </w:rPr>
        <w:t> </w:t>
      </w:r>
      <w:r>
        <w:rPr>
          <w:vertAlign w:val="baseline"/>
        </w:rPr>
        <w:t>other hand, has</w:t>
      </w:r>
      <w:r>
        <w:rPr>
          <w:spacing w:val="-2"/>
          <w:vertAlign w:val="baseline"/>
        </w:rPr>
        <w:t> </w:t>
      </w:r>
      <w:r>
        <w:rPr>
          <w:vertAlign w:val="baseline"/>
        </w:rPr>
        <w:t>observed the need for extensive</w:t>
      </w:r>
      <w:r>
        <w:rPr>
          <w:spacing w:val="-1"/>
          <w:vertAlign w:val="baseline"/>
        </w:rPr>
        <w:t> </w:t>
      </w:r>
      <w:r>
        <w:rPr>
          <w:vertAlign w:val="baseline"/>
        </w:rPr>
        <w:t>review in the area</w:t>
      </w:r>
      <w:r>
        <w:rPr>
          <w:spacing w:val="-1"/>
          <w:vertAlign w:val="baseline"/>
        </w:rPr>
        <w:t> </w:t>
      </w:r>
      <w:r>
        <w:rPr>
          <w:vertAlign w:val="baseline"/>
        </w:rPr>
        <w:t>of</w:t>
      </w:r>
      <w:r>
        <w:rPr>
          <w:spacing w:val="-7"/>
          <w:vertAlign w:val="baseline"/>
        </w:rPr>
        <w:t> </w:t>
      </w:r>
      <w:r>
        <w:rPr>
          <w:vertAlign w:val="baseline"/>
        </w:rPr>
        <w:t>the requirements for incorporation, in order to encourage registration and boost the</w:t>
      </w:r>
      <w:r>
        <w:rPr>
          <w:spacing w:val="80"/>
          <w:vertAlign w:val="baseline"/>
        </w:rPr>
        <w:t> </w:t>
      </w:r>
      <w:r>
        <w:rPr>
          <w:vertAlign w:val="baseline"/>
        </w:rPr>
        <w:t>Nigerian economy. The director-general of the Securities and Exchange Commission</w:t>
      </w:r>
      <w:r>
        <w:rPr>
          <w:spacing w:val="40"/>
          <w:vertAlign w:val="baseline"/>
        </w:rPr>
        <w:t> </w:t>
      </w:r>
      <w:r>
        <w:rPr>
          <w:vertAlign w:val="baseline"/>
        </w:rPr>
        <w:t>has</w:t>
      </w:r>
      <w:r>
        <w:rPr>
          <w:spacing w:val="43"/>
          <w:vertAlign w:val="baseline"/>
        </w:rPr>
        <w:t> </w:t>
      </w:r>
      <w:r>
        <w:rPr>
          <w:vertAlign w:val="baseline"/>
        </w:rPr>
        <w:t>expressed</w:t>
      </w:r>
      <w:r>
        <w:rPr>
          <w:spacing w:val="47"/>
          <w:vertAlign w:val="baseline"/>
        </w:rPr>
        <w:t> </w:t>
      </w:r>
      <w:r>
        <w:rPr>
          <w:vertAlign w:val="baseline"/>
        </w:rPr>
        <w:t>the</w:t>
      </w:r>
      <w:r>
        <w:rPr>
          <w:spacing w:val="51"/>
          <w:vertAlign w:val="baseline"/>
        </w:rPr>
        <w:t> </w:t>
      </w:r>
      <w:r>
        <w:rPr>
          <w:vertAlign w:val="baseline"/>
        </w:rPr>
        <w:t>hope</w:t>
      </w:r>
      <w:r>
        <w:rPr>
          <w:spacing w:val="42"/>
          <w:vertAlign w:val="baseline"/>
        </w:rPr>
        <w:t> </w:t>
      </w:r>
      <w:r>
        <w:rPr>
          <w:vertAlign w:val="baseline"/>
        </w:rPr>
        <w:t>that</w:t>
      </w:r>
      <w:r>
        <w:rPr>
          <w:spacing w:val="52"/>
          <w:vertAlign w:val="baseline"/>
        </w:rPr>
        <w:t> </w:t>
      </w:r>
      <w:r>
        <w:rPr>
          <w:vertAlign w:val="baseline"/>
        </w:rPr>
        <w:t>a</w:t>
      </w:r>
      <w:r>
        <w:rPr>
          <w:spacing w:val="46"/>
          <w:vertAlign w:val="baseline"/>
        </w:rPr>
        <w:t> </w:t>
      </w:r>
      <w:r>
        <w:rPr>
          <w:vertAlign w:val="baseline"/>
        </w:rPr>
        <w:t>reviewed</w:t>
      </w:r>
      <w:r>
        <w:rPr>
          <w:spacing w:val="48"/>
          <w:vertAlign w:val="baseline"/>
        </w:rPr>
        <w:t> </w:t>
      </w:r>
      <w:r>
        <w:rPr>
          <w:vertAlign w:val="baseline"/>
        </w:rPr>
        <w:t>CAMA</w:t>
      </w:r>
      <w:r>
        <w:rPr>
          <w:spacing w:val="46"/>
          <w:vertAlign w:val="baseline"/>
        </w:rPr>
        <w:t> </w:t>
      </w:r>
      <w:r>
        <w:rPr>
          <w:vertAlign w:val="baseline"/>
        </w:rPr>
        <w:t>would</w:t>
      </w:r>
      <w:r>
        <w:rPr>
          <w:spacing w:val="47"/>
          <w:vertAlign w:val="baseline"/>
        </w:rPr>
        <w:t> </w:t>
      </w:r>
      <w:r>
        <w:rPr>
          <w:vertAlign w:val="baseline"/>
        </w:rPr>
        <w:t>address</w:t>
      </w:r>
      <w:r>
        <w:rPr>
          <w:spacing w:val="46"/>
          <w:vertAlign w:val="baseline"/>
        </w:rPr>
        <w:t> </w:t>
      </w:r>
      <w:r>
        <w:rPr>
          <w:vertAlign w:val="baseline"/>
        </w:rPr>
        <w:t>the</w:t>
      </w:r>
      <w:r>
        <w:rPr>
          <w:spacing w:val="51"/>
          <w:vertAlign w:val="baseline"/>
        </w:rPr>
        <w:t> </w:t>
      </w:r>
      <w:r>
        <w:rPr>
          <w:vertAlign w:val="baseline"/>
        </w:rPr>
        <w:t>issue</w:t>
      </w:r>
      <w:r>
        <w:rPr>
          <w:spacing w:val="46"/>
          <w:vertAlign w:val="baseline"/>
        </w:rPr>
        <w:t> </w:t>
      </w:r>
      <w:r>
        <w:rPr>
          <w:vertAlign w:val="baseline"/>
        </w:rPr>
        <w:t>of</w:t>
      </w:r>
      <w:r>
        <w:rPr>
          <w:spacing w:val="40"/>
          <w:vertAlign w:val="baseline"/>
        </w:rPr>
        <w:t> </w:t>
      </w:r>
      <w:r>
        <w:rPr>
          <w:spacing w:val="-2"/>
          <w:vertAlign w:val="baseline"/>
        </w:rPr>
        <w:t>women</w:t>
      </w:r>
    </w:p>
    <w:p>
      <w:pPr>
        <w:pStyle w:val="BodyText"/>
        <w:spacing w:before="5"/>
        <w:ind w:left="0"/>
        <w:rPr>
          <w:sz w:val="13"/>
        </w:rPr>
      </w:pPr>
      <w:r>
        <w:rPr/>
        <mc:AlternateContent>
          <mc:Choice Requires="wps">
            <w:drawing>
              <wp:anchor distT="0" distB="0" distL="0" distR="0" allowOverlap="1" layoutInCell="1" locked="0" behindDoc="1" simplePos="0" relativeHeight="487612928">
                <wp:simplePos x="0" y="0"/>
                <wp:positionH relativeFrom="page">
                  <wp:posOffset>1262481</wp:posOffset>
                </wp:positionH>
                <wp:positionV relativeFrom="paragraph">
                  <wp:posOffset>113760</wp:posOffset>
                </wp:positionV>
                <wp:extent cx="1829435" cy="9525"/>
                <wp:effectExtent l="0" t="0" r="0" b="0"/>
                <wp:wrapTopAndBottom/>
                <wp:docPr id="52" name="Graphic 52"/>
                <wp:cNvGraphicFramePr>
                  <a:graphicFrameLocks/>
                </wp:cNvGraphicFramePr>
                <a:graphic>
                  <a:graphicData uri="http://schemas.microsoft.com/office/word/2010/wordprocessingShape">
                    <wps:wsp>
                      <wps:cNvPr id="52" name="Graphic 5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95753pt;width:144.050pt;height:.71997pt;mso-position-horizontal-relative:page;mso-position-vertical-relative:paragraph;z-index:-15703552;mso-wrap-distance-left:0;mso-wrap-distance-right:0" id="docshape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w:t>
      </w:r>
      <w:r>
        <w:rPr>
          <w:rFonts w:ascii="Calibri"/>
          <w:spacing w:val="-1"/>
          <w:sz w:val="20"/>
          <w:vertAlign w:val="baseline"/>
        </w:rPr>
        <w:t> </w:t>
      </w:r>
      <w:r>
        <w:rPr>
          <w:rFonts w:ascii="Calibri"/>
          <w:sz w:val="20"/>
          <w:vertAlign w:val="baseline"/>
        </w:rPr>
        <w:t>It</w:t>
      </w:r>
      <w:r>
        <w:rPr>
          <w:rFonts w:ascii="Calibri"/>
          <w:spacing w:val="-8"/>
          <w:sz w:val="20"/>
          <w:vertAlign w:val="baseline"/>
        </w:rPr>
        <w:t> </w:t>
      </w:r>
      <w:r>
        <w:rPr>
          <w:rFonts w:ascii="Calibri"/>
          <w:sz w:val="20"/>
          <w:vertAlign w:val="baseline"/>
        </w:rPr>
        <w:t>was</w:t>
      </w:r>
      <w:r>
        <w:rPr>
          <w:rFonts w:ascii="Calibri"/>
          <w:spacing w:val="-9"/>
          <w:sz w:val="20"/>
          <w:vertAlign w:val="baseline"/>
        </w:rPr>
        <w:t> </w:t>
      </w:r>
      <w:r>
        <w:rPr>
          <w:rFonts w:ascii="Calibri"/>
          <w:sz w:val="20"/>
          <w:vertAlign w:val="baseline"/>
        </w:rPr>
        <w:t>enforced</w:t>
      </w:r>
      <w:r>
        <w:rPr>
          <w:rFonts w:ascii="Calibri"/>
          <w:spacing w:val="-7"/>
          <w:sz w:val="20"/>
          <w:vertAlign w:val="baseline"/>
        </w:rPr>
        <w:t> </w:t>
      </w:r>
      <w:r>
        <w:rPr>
          <w:rFonts w:ascii="Calibri"/>
          <w:sz w:val="20"/>
          <w:vertAlign w:val="baseline"/>
        </w:rPr>
        <w:t>piecemeal</w:t>
      </w:r>
      <w:r>
        <w:rPr>
          <w:rFonts w:ascii="Calibri"/>
          <w:spacing w:val="-5"/>
          <w:sz w:val="20"/>
          <w:vertAlign w:val="baseline"/>
        </w:rPr>
        <w:t> </w:t>
      </w:r>
      <w:r>
        <w:rPr>
          <w:rFonts w:ascii="Calibri"/>
          <w:sz w:val="20"/>
          <w:vertAlign w:val="baseline"/>
        </w:rPr>
        <w:t>fashion</w:t>
      </w:r>
      <w:r>
        <w:rPr>
          <w:rFonts w:ascii="Calibri"/>
          <w:spacing w:val="-7"/>
          <w:sz w:val="20"/>
          <w:vertAlign w:val="baseline"/>
        </w:rPr>
        <w:t> </w:t>
      </w:r>
      <w:r>
        <w:rPr>
          <w:rFonts w:ascii="Calibri"/>
          <w:sz w:val="20"/>
          <w:vertAlign w:val="baseline"/>
        </w:rPr>
        <w:t>from</w:t>
      </w:r>
      <w:r>
        <w:rPr>
          <w:rFonts w:ascii="Calibri"/>
          <w:spacing w:val="-6"/>
          <w:sz w:val="20"/>
          <w:vertAlign w:val="baseline"/>
        </w:rPr>
        <w:t> </w:t>
      </w:r>
      <w:r>
        <w:rPr>
          <w:rFonts w:ascii="Calibri"/>
          <w:sz w:val="20"/>
          <w:vertAlign w:val="baseline"/>
        </w:rPr>
        <w:t>2006</w:t>
      </w:r>
      <w:r>
        <w:rPr>
          <w:rFonts w:ascii="Calibri"/>
          <w:spacing w:val="-3"/>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2009</w:t>
      </w:r>
      <w:r>
        <w:rPr>
          <w:rFonts w:ascii="Calibri"/>
          <w:spacing w:val="-4"/>
          <w:sz w:val="20"/>
          <w:vertAlign w:val="baseline"/>
        </w:rPr>
        <w:t> </w:t>
      </w:r>
      <w:r>
        <w:rPr>
          <w:rFonts w:ascii="Calibri"/>
          <w:sz w:val="20"/>
          <w:vertAlign w:val="baseline"/>
        </w:rPr>
        <w:t>when</w:t>
      </w:r>
      <w:r>
        <w:rPr>
          <w:rFonts w:ascii="Calibri"/>
          <w:spacing w:val="-7"/>
          <w:sz w:val="20"/>
          <w:vertAlign w:val="baseline"/>
        </w:rPr>
        <w:t> </w:t>
      </w:r>
      <w:r>
        <w:rPr>
          <w:rFonts w:ascii="Calibri"/>
          <w:sz w:val="20"/>
          <w:vertAlign w:val="baseline"/>
        </w:rPr>
        <w:t>full</w:t>
      </w:r>
      <w:r>
        <w:rPr>
          <w:rFonts w:ascii="Calibri"/>
          <w:spacing w:val="-5"/>
          <w:sz w:val="20"/>
          <w:vertAlign w:val="baseline"/>
        </w:rPr>
        <w:t> </w:t>
      </w:r>
      <w:r>
        <w:rPr>
          <w:rFonts w:ascii="Calibri"/>
          <w:sz w:val="20"/>
          <w:vertAlign w:val="baseline"/>
        </w:rPr>
        <w:t>implementation</w:t>
      </w:r>
      <w:r>
        <w:rPr>
          <w:rFonts w:ascii="Calibri"/>
          <w:spacing w:val="-8"/>
          <w:sz w:val="20"/>
          <w:vertAlign w:val="baseline"/>
        </w:rPr>
        <w:t> </w:t>
      </w:r>
      <w:r>
        <w:rPr>
          <w:rFonts w:ascii="Calibri"/>
          <w:sz w:val="20"/>
          <w:vertAlign w:val="baseline"/>
        </w:rPr>
        <w:t>was</w:t>
      </w:r>
      <w:r>
        <w:rPr>
          <w:rFonts w:ascii="Calibri"/>
          <w:spacing w:val="-4"/>
          <w:sz w:val="20"/>
          <w:vertAlign w:val="baseline"/>
        </w:rPr>
        <w:t> </w:t>
      </w:r>
      <w:r>
        <w:rPr>
          <w:rFonts w:ascii="Calibri"/>
          <w:spacing w:val="-2"/>
          <w:sz w:val="20"/>
          <w:vertAlign w:val="baseline"/>
        </w:rPr>
        <w:t>achieved.</w:t>
      </w:r>
    </w:p>
    <w:p>
      <w:pPr>
        <w:spacing w:before="1"/>
        <w:ind w:left="308" w:right="255" w:firstLine="0"/>
        <w:jc w:val="left"/>
        <w:rPr>
          <w:rFonts w:ascii="Calibri"/>
          <w:sz w:val="20"/>
        </w:rPr>
      </w:pPr>
      <w:r>
        <w:rPr>
          <w:rFonts w:ascii="Calibri"/>
          <w:sz w:val="20"/>
          <w:vertAlign w:val="superscript"/>
        </w:rPr>
        <w:t>3</w:t>
      </w:r>
      <w:r>
        <w:rPr>
          <w:rFonts w:ascii="Calibri"/>
          <w:sz w:val="20"/>
          <w:vertAlign w:val="baseline"/>
        </w:rPr>
        <w:t>In the years 1985, 1989, 1994, 1995, 1999, 2001. Aside this, there are a number of statutory laws that have been enacted from time to time to complement various provisions of the Companies Act.</w:t>
      </w:r>
    </w:p>
    <w:p>
      <w:pPr>
        <w:tabs>
          <w:tab w:pos="1349" w:val="left" w:leader="none"/>
          <w:tab w:pos="1968" w:val="left" w:leader="none"/>
          <w:tab w:pos="2127" w:val="left" w:leader="none"/>
          <w:tab w:pos="2977" w:val="left" w:leader="none"/>
          <w:tab w:pos="3087" w:val="left" w:leader="none"/>
          <w:tab w:pos="4278" w:val="left" w:leader="none"/>
          <w:tab w:pos="5510" w:val="left" w:leader="none"/>
          <w:tab w:pos="5771" w:val="left" w:leader="none"/>
          <w:tab w:pos="6805" w:val="left" w:leader="none"/>
          <w:tab w:pos="7412" w:val="left" w:leader="none"/>
          <w:tab w:pos="7506" w:val="left" w:leader="none"/>
          <w:tab w:pos="8358" w:val="left" w:leader="none"/>
          <w:tab w:pos="8408" w:val="left" w:leader="none"/>
        </w:tabs>
        <w:spacing w:line="240" w:lineRule="auto" w:before="2"/>
        <w:ind w:left="308" w:right="225" w:firstLine="0"/>
        <w:jc w:val="left"/>
        <w:rPr>
          <w:rFonts w:ascii="Calibri"/>
          <w:sz w:val="20"/>
        </w:rPr>
      </w:pPr>
      <w:r>
        <w:rPr>
          <w:rFonts w:ascii="Calibri"/>
          <w:sz w:val="20"/>
          <w:vertAlign w:val="superscript"/>
        </w:rPr>
        <w:t>4</w:t>
      </w:r>
      <w:r>
        <w:rPr>
          <w:rFonts w:ascii="Calibri"/>
          <w:spacing w:val="21"/>
          <w:sz w:val="20"/>
          <w:vertAlign w:val="baseline"/>
        </w:rPr>
        <w:t> </w:t>
      </w:r>
      <w:r>
        <w:rPr>
          <w:rFonts w:ascii="Calibri"/>
          <w:sz w:val="20"/>
          <w:vertAlign w:val="baseline"/>
        </w:rPr>
        <w:t>See</w:t>
      </w:r>
      <w:r>
        <w:rPr>
          <w:rFonts w:ascii="Calibri"/>
          <w:spacing w:val="20"/>
          <w:sz w:val="20"/>
          <w:vertAlign w:val="baseline"/>
        </w:rPr>
        <w:t> </w:t>
      </w:r>
      <w:r>
        <w:rPr>
          <w:rFonts w:ascii="Calibri"/>
          <w:sz w:val="20"/>
          <w:vertAlign w:val="baseline"/>
        </w:rPr>
        <w:t>for</w:t>
      </w:r>
      <w:r>
        <w:rPr>
          <w:rFonts w:ascii="Calibri"/>
          <w:spacing w:val="20"/>
          <w:sz w:val="20"/>
          <w:vertAlign w:val="baseline"/>
        </w:rPr>
        <w:t> </w:t>
      </w:r>
      <w:r>
        <w:rPr>
          <w:rFonts w:ascii="Calibri"/>
          <w:sz w:val="20"/>
          <w:vertAlign w:val="baseline"/>
        </w:rPr>
        <w:t>example</w:t>
      </w:r>
      <w:r>
        <w:rPr>
          <w:rFonts w:ascii="Calibri"/>
          <w:spacing w:val="21"/>
          <w:sz w:val="20"/>
          <w:vertAlign w:val="baseline"/>
        </w:rPr>
        <w:t> </w:t>
      </w:r>
      <w:r>
        <w:rPr>
          <w:rFonts w:ascii="Calibri"/>
          <w:sz w:val="20"/>
          <w:vertAlign w:val="baseline"/>
        </w:rPr>
        <w:t>Egwuatu, P. (2012, July 3).IFC Africa Calls for</w:t>
      </w:r>
      <w:r>
        <w:rPr>
          <w:rFonts w:ascii="Calibri"/>
          <w:spacing w:val="20"/>
          <w:sz w:val="20"/>
          <w:vertAlign w:val="baseline"/>
        </w:rPr>
        <w:t> </w:t>
      </w:r>
      <w:r>
        <w:rPr>
          <w:rFonts w:ascii="Calibri"/>
          <w:sz w:val="20"/>
          <w:vertAlign w:val="baseline"/>
        </w:rPr>
        <w:t>Review of</w:t>
      </w:r>
      <w:r>
        <w:rPr>
          <w:rFonts w:ascii="Calibri"/>
          <w:spacing w:val="20"/>
          <w:sz w:val="20"/>
          <w:vertAlign w:val="baseline"/>
        </w:rPr>
        <w:t> </w:t>
      </w:r>
      <w:r>
        <w:rPr>
          <w:rFonts w:ascii="Calibri"/>
          <w:sz w:val="20"/>
          <w:vertAlign w:val="baseline"/>
        </w:rPr>
        <w:t>CAMA.</w:t>
      </w:r>
      <w:r>
        <w:rPr>
          <w:rFonts w:ascii="Calibri"/>
          <w:i/>
          <w:sz w:val="20"/>
          <w:vertAlign w:val="baseline"/>
        </w:rPr>
        <w:t>Vanguard</w:t>
      </w:r>
      <w:r>
        <w:rPr>
          <w:rFonts w:ascii="Calibri"/>
          <w:sz w:val="20"/>
          <w:vertAlign w:val="baseline"/>
        </w:rPr>
        <w:t>.</w:t>
      </w:r>
      <w:r>
        <w:rPr>
          <w:rFonts w:ascii="Calibri"/>
          <w:spacing w:val="21"/>
          <w:sz w:val="20"/>
          <w:vertAlign w:val="baseline"/>
        </w:rPr>
        <w:t> </w:t>
      </w:r>
      <w:r>
        <w:rPr>
          <w:rFonts w:ascii="Calibri"/>
          <w:sz w:val="20"/>
          <w:vertAlign w:val="baseline"/>
        </w:rPr>
        <w:t>Retrieved August 21, 2012, from </w:t>
      </w:r>
      <w:hyperlink r:id="rId7">
        <w:r>
          <w:rPr>
            <w:rFonts w:ascii="Calibri"/>
            <w:color w:val="0000FF"/>
            <w:sz w:val="20"/>
            <w:u w:val="single" w:color="0000FF"/>
            <w:vertAlign w:val="baseline"/>
          </w:rPr>
          <w:t>www.vanguardngr.com/</w:t>
        </w:r>
      </w:hyperlink>
      <w:r>
        <w:rPr>
          <w:rFonts w:ascii="Calibri"/>
          <w:sz w:val="20"/>
          <w:vertAlign w:val="baseline"/>
        </w:rPr>
        <w:t>; Egwuatu, P. (2012). PROSAN Moves for Amendment of CAMA.</w:t>
      </w:r>
      <w:r>
        <w:rPr>
          <w:rFonts w:ascii="Calibri"/>
          <w:i/>
          <w:sz w:val="20"/>
          <w:vertAlign w:val="baseline"/>
        </w:rPr>
        <w:t>Vanguard.</w:t>
      </w:r>
      <w:r>
        <w:rPr>
          <w:rFonts w:ascii="Calibri"/>
          <w:sz w:val="20"/>
          <w:vertAlign w:val="baseline"/>
        </w:rPr>
        <w:t>Retrieved</w:t>
      </w:r>
      <w:r>
        <w:rPr>
          <w:rFonts w:ascii="Calibri"/>
          <w:spacing w:val="25"/>
          <w:sz w:val="20"/>
          <w:vertAlign w:val="baseline"/>
        </w:rPr>
        <w:t> </w:t>
      </w:r>
      <w:r>
        <w:rPr>
          <w:rFonts w:ascii="Calibri"/>
          <w:sz w:val="20"/>
          <w:vertAlign w:val="baseline"/>
        </w:rPr>
        <w:t>April</w:t>
      </w:r>
      <w:r>
        <w:rPr>
          <w:rFonts w:ascii="Calibri"/>
          <w:spacing w:val="26"/>
          <w:sz w:val="20"/>
          <w:vertAlign w:val="baseline"/>
        </w:rPr>
        <w:t> </w:t>
      </w:r>
      <w:r>
        <w:rPr>
          <w:rFonts w:ascii="Calibri"/>
          <w:sz w:val="20"/>
          <w:vertAlign w:val="baseline"/>
        </w:rPr>
        <w:t>26,</w:t>
      </w:r>
      <w:r>
        <w:rPr>
          <w:rFonts w:ascii="Calibri"/>
          <w:spacing w:val="22"/>
          <w:sz w:val="20"/>
          <w:vertAlign w:val="baseline"/>
        </w:rPr>
        <w:t> </w:t>
      </w:r>
      <w:r>
        <w:rPr>
          <w:rFonts w:ascii="Calibri"/>
          <w:sz w:val="20"/>
          <w:vertAlign w:val="baseline"/>
        </w:rPr>
        <w:t>2014,</w:t>
      </w:r>
      <w:r>
        <w:rPr>
          <w:rFonts w:ascii="Calibri"/>
          <w:spacing w:val="22"/>
          <w:sz w:val="20"/>
          <w:vertAlign w:val="baseline"/>
        </w:rPr>
        <w:t> </w:t>
      </w:r>
      <w:r>
        <w:rPr>
          <w:rFonts w:ascii="Calibri"/>
          <w:sz w:val="20"/>
          <w:vertAlign w:val="baseline"/>
        </w:rPr>
        <w:t>from</w:t>
      </w:r>
      <w:hyperlink r:id="rId8">
        <w:r>
          <w:rPr>
            <w:rFonts w:ascii="Calibri"/>
            <w:color w:val="0000FF"/>
            <w:sz w:val="20"/>
            <w:u w:val="single" w:color="0000FF"/>
            <w:vertAlign w:val="baseline"/>
          </w:rPr>
          <w:t>http://www.vanguardngr.com/2012/10/prosan-moves-</w:t>
        </w:r>
      </w:hyperlink>
      <w:r>
        <w:rPr>
          <w:rFonts w:ascii="Calibri"/>
          <w:color w:val="0000FF"/>
          <w:sz w:val="20"/>
          <w:vertAlign w:val="baseline"/>
        </w:rPr>
        <w:t> </w:t>
      </w:r>
      <w:hyperlink r:id="rId8">
        <w:r>
          <w:rPr>
            <w:rFonts w:ascii="Calibri"/>
            <w:color w:val="0000FF"/>
            <w:sz w:val="20"/>
            <w:u w:val="single" w:color="0000FF"/>
            <w:vertAlign w:val="baseline"/>
          </w:rPr>
          <w:t>for-amendment-of-cama/</w:t>
        </w:r>
      </w:hyperlink>
      <w:r>
        <w:rPr>
          <w:rFonts w:ascii="Calibri"/>
          <w:sz w:val="20"/>
          <w:vertAlign w:val="baseline"/>
        </w:rPr>
        <w:t>;</w:t>
      </w:r>
      <w:r>
        <w:rPr>
          <w:rFonts w:ascii="Calibri"/>
          <w:spacing w:val="40"/>
          <w:sz w:val="20"/>
          <w:vertAlign w:val="baseline"/>
        </w:rPr>
        <w:t> </w:t>
      </w:r>
      <w:r>
        <w:rPr>
          <w:rFonts w:ascii="Calibri"/>
          <w:sz w:val="20"/>
          <w:vertAlign w:val="baseline"/>
        </w:rPr>
        <w:t>Eboh,</w:t>
      </w:r>
      <w:r>
        <w:rPr>
          <w:rFonts w:ascii="Calibri"/>
          <w:spacing w:val="40"/>
          <w:sz w:val="20"/>
          <w:vertAlign w:val="baseline"/>
        </w:rPr>
        <w:t> </w:t>
      </w:r>
      <w:r>
        <w:rPr>
          <w:rFonts w:ascii="Calibri"/>
          <w:sz w:val="20"/>
          <w:vertAlign w:val="baseline"/>
        </w:rPr>
        <w:t>M.</w:t>
      </w:r>
      <w:r>
        <w:rPr>
          <w:rFonts w:ascii="Calibri"/>
          <w:spacing w:val="40"/>
          <w:sz w:val="20"/>
          <w:vertAlign w:val="baseline"/>
        </w:rPr>
        <w:t> </w:t>
      </w:r>
      <w:r>
        <w:rPr>
          <w:rFonts w:ascii="Calibri"/>
          <w:sz w:val="20"/>
          <w:vertAlign w:val="baseline"/>
        </w:rPr>
        <w:t>(2009,</w:t>
      </w:r>
      <w:r>
        <w:rPr>
          <w:rFonts w:ascii="Calibri"/>
          <w:spacing w:val="40"/>
          <w:sz w:val="20"/>
          <w:vertAlign w:val="baseline"/>
        </w:rPr>
        <w:t> </w:t>
      </w:r>
      <w:r>
        <w:rPr>
          <w:rFonts w:ascii="Calibri"/>
          <w:sz w:val="20"/>
          <w:vertAlign w:val="baseline"/>
        </w:rPr>
        <w:t>September</w:t>
      </w:r>
      <w:r>
        <w:rPr>
          <w:rFonts w:ascii="Calibri"/>
          <w:spacing w:val="40"/>
          <w:sz w:val="20"/>
          <w:vertAlign w:val="baseline"/>
        </w:rPr>
        <w:t> </w:t>
      </w:r>
      <w:r>
        <w:rPr>
          <w:rFonts w:ascii="Calibri"/>
          <w:sz w:val="20"/>
          <w:vertAlign w:val="baseline"/>
        </w:rPr>
        <w:t>24).</w:t>
      </w:r>
      <w:r>
        <w:rPr>
          <w:rFonts w:ascii="Calibri"/>
          <w:spacing w:val="40"/>
          <w:sz w:val="20"/>
          <w:vertAlign w:val="baseline"/>
        </w:rPr>
        <w:t> </w:t>
      </w:r>
      <w:r>
        <w:rPr>
          <w:rFonts w:ascii="Calibri"/>
          <w:sz w:val="20"/>
          <w:vertAlign w:val="baseline"/>
        </w:rPr>
        <w:t>Dematerialisation:</w:t>
      </w:r>
      <w:r>
        <w:rPr>
          <w:rFonts w:ascii="Calibri"/>
          <w:spacing w:val="40"/>
          <w:sz w:val="20"/>
          <w:vertAlign w:val="baseline"/>
        </w:rPr>
        <w:t> </w:t>
      </w:r>
      <w:r>
        <w:rPr>
          <w:rFonts w:ascii="Calibri"/>
          <w:sz w:val="20"/>
          <w:vertAlign w:val="baseline"/>
        </w:rPr>
        <w:t>Stockbrokers</w:t>
      </w:r>
      <w:r>
        <w:rPr>
          <w:rFonts w:ascii="Calibri"/>
          <w:spacing w:val="40"/>
          <w:sz w:val="20"/>
          <w:vertAlign w:val="baseline"/>
        </w:rPr>
        <w:t> </w:t>
      </w:r>
      <w:r>
        <w:rPr>
          <w:rFonts w:ascii="Calibri"/>
          <w:sz w:val="20"/>
          <w:vertAlign w:val="baseline"/>
        </w:rPr>
        <w:t>Call</w:t>
      </w:r>
      <w:r>
        <w:rPr>
          <w:rFonts w:ascii="Calibri"/>
          <w:spacing w:val="40"/>
          <w:sz w:val="20"/>
          <w:vertAlign w:val="baseline"/>
        </w:rPr>
        <w:t> </w:t>
      </w:r>
      <w:r>
        <w:rPr>
          <w:rFonts w:ascii="Calibri"/>
          <w:sz w:val="20"/>
          <w:vertAlign w:val="baseline"/>
        </w:rPr>
        <w:t>for </w:t>
      </w:r>
      <w:r>
        <w:rPr>
          <w:rFonts w:ascii="Calibri"/>
          <w:spacing w:val="-2"/>
          <w:sz w:val="20"/>
          <w:vertAlign w:val="baseline"/>
        </w:rPr>
        <w:t>Review</w:t>
      </w:r>
      <w:r>
        <w:rPr>
          <w:rFonts w:ascii="Calibri"/>
          <w:sz w:val="20"/>
          <w:vertAlign w:val="baseline"/>
        </w:rPr>
        <w:tab/>
      </w:r>
      <w:r>
        <w:rPr>
          <w:rFonts w:ascii="Calibri"/>
          <w:spacing w:val="-6"/>
          <w:sz w:val="20"/>
          <w:vertAlign w:val="baseline"/>
        </w:rPr>
        <w:t>of</w:t>
      </w:r>
      <w:r>
        <w:rPr>
          <w:rFonts w:ascii="Calibri"/>
          <w:sz w:val="20"/>
          <w:vertAlign w:val="baseline"/>
        </w:rPr>
        <w:tab/>
      </w:r>
      <w:r>
        <w:rPr>
          <w:rFonts w:ascii="Calibri"/>
          <w:spacing w:val="-4"/>
          <w:sz w:val="20"/>
          <w:vertAlign w:val="baseline"/>
        </w:rPr>
        <w:t>CAMA.</w:t>
      </w:r>
      <w:r>
        <w:rPr>
          <w:rFonts w:ascii="Calibri"/>
          <w:sz w:val="20"/>
          <w:vertAlign w:val="baseline"/>
        </w:rPr>
        <w:tab/>
      </w:r>
      <w:r>
        <w:rPr>
          <w:rFonts w:ascii="Calibri"/>
          <w:i/>
          <w:spacing w:val="-2"/>
          <w:sz w:val="20"/>
          <w:vertAlign w:val="baseline"/>
        </w:rPr>
        <w:t>Vanguard</w:t>
      </w:r>
      <w:r>
        <w:rPr>
          <w:rFonts w:ascii="Calibri"/>
          <w:spacing w:val="-2"/>
          <w:sz w:val="20"/>
          <w:vertAlign w:val="baseline"/>
        </w:rPr>
        <w:t>.</w:t>
      </w:r>
      <w:r>
        <w:rPr>
          <w:rFonts w:ascii="Calibri"/>
          <w:sz w:val="20"/>
          <w:vertAlign w:val="baseline"/>
        </w:rPr>
        <w:tab/>
      </w:r>
      <w:r>
        <w:rPr>
          <w:rFonts w:ascii="Calibri"/>
          <w:spacing w:val="-2"/>
          <w:sz w:val="20"/>
          <w:vertAlign w:val="baseline"/>
        </w:rPr>
        <w:t>Retrieved</w:t>
      </w:r>
      <w:r>
        <w:rPr>
          <w:rFonts w:ascii="Calibri"/>
          <w:sz w:val="20"/>
          <w:vertAlign w:val="baseline"/>
        </w:rPr>
        <w:tab/>
      </w:r>
      <w:r>
        <w:rPr>
          <w:rFonts w:ascii="Calibri"/>
          <w:spacing w:val="-2"/>
          <w:sz w:val="20"/>
          <w:vertAlign w:val="baseline"/>
        </w:rPr>
        <w:t>December</w:t>
      </w:r>
      <w:r>
        <w:rPr>
          <w:rFonts w:ascii="Calibri"/>
          <w:sz w:val="20"/>
          <w:vertAlign w:val="baseline"/>
        </w:rPr>
        <w:tab/>
      </w:r>
      <w:r>
        <w:rPr>
          <w:rFonts w:ascii="Calibri"/>
          <w:spacing w:val="-4"/>
          <w:sz w:val="20"/>
          <w:vertAlign w:val="baseline"/>
        </w:rPr>
        <w:t>12,</w:t>
      </w:r>
      <w:r>
        <w:rPr>
          <w:rFonts w:ascii="Calibri"/>
          <w:sz w:val="20"/>
          <w:vertAlign w:val="baseline"/>
        </w:rPr>
        <w:tab/>
        <w:tab/>
      </w:r>
      <w:r>
        <w:rPr>
          <w:rFonts w:ascii="Calibri"/>
          <w:spacing w:val="-2"/>
          <w:sz w:val="20"/>
          <w:vertAlign w:val="baseline"/>
        </w:rPr>
        <w:t>2013,</w:t>
      </w:r>
      <w:r>
        <w:rPr>
          <w:rFonts w:ascii="Calibri"/>
          <w:sz w:val="20"/>
          <w:vertAlign w:val="baseline"/>
        </w:rPr>
        <w:tab/>
        <w:tab/>
      </w:r>
      <w:r>
        <w:rPr>
          <w:rFonts w:ascii="Calibri"/>
          <w:spacing w:val="-4"/>
          <w:sz w:val="20"/>
          <w:vertAlign w:val="baseline"/>
        </w:rPr>
        <w:t>from </w:t>
      </w:r>
      <w:hyperlink r:id="rId9">
        <w:r>
          <w:rPr>
            <w:rFonts w:ascii="Calibri"/>
            <w:color w:val="0000FF"/>
            <w:spacing w:val="-2"/>
            <w:sz w:val="20"/>
            <w:u w:val="single" w:color="0000FF"/>
            <w:vertAlign w:val="baseline"/>
          </w:rPr>
          <w:t>http://www.vanguardngr.com/2009/09/dematerialisation-stockbrokers-call-for-review-of-</w:t>
        </w:r>
      </w:hyperlink>
      <w:r>
        <w:rPr>
          <w:rFonts w:ascii="Calibri"/>
          <w:color w:val="0000FF"/>
          <w:spacing w:val="-2"/>
          <w:sz w:val="20"/>
          <w:vertAlign w:val="baseline"/>
        </w:rPr>
        <w:t> </w:t>
      </w:r>
      <w:hyperlink r:id="rId9">
        <w:r>
          <w:rPr>
            <w:rFonts w:ascii="Calibri"/>
            <w:color w:val="0000FF"/>
            <w:spacing w:val="-2"/>
            <w:sz w:val="20"/>
            <w:u w:val="single" w:color="0000FF"/>
            <w:vertAlign w:val="baseline"/>
          </w:rPr>
          <w:t>cama/?utm_source=feedburner&amp;utm_medium=feed&amp;utm_campaign=Feed%3A%20vanguardngr%2FdIe</w:t>
        </w:r>
      </w:hyperlink>
      <w:r>
        <w:rPr>
          <w:rFonts w:ascii="Calibri"/>
          <w:color w:val="0000FF"/>
          <w:spacing w:val="-2"/>
          <w:sz w:val="20"/>
          <w:vertAlign w:val="baseline"/>
        </w:rPr>
        <w:t> </w:t>
      </w:r>
      <w:hyperlink r:id="rId9">
        <w:r>
          <w:rPr>
            <w:rFonts w:ascii="Calibri"/>
            <w:color w:val="0000FF"/>
            <w:sz w:val="20"/>
            <w:u w:val="single" w:color="0000FF"/>
            <w:vertAlign w:val="baseline"/>
          </w:rPr>
          <w:t>b%20%28Vanguard%20News%20Feed%29</w:t>
        </w:r>
      </w:hyperlink>
      <w:r>
        <w:rPr>
          <w:rFonts w:ascii="Calibri"/>
          <w:i/>
          <w:sz w:val="20"/>
          <w:vertAlign w:val="baseline"/>
        </w:rPr>
        <w:t>;</w:t>
      </w:r>
      <w:r>
        <w:rPr>
          <w:rFonts w:ascii="Calibri"/>
          <w:sz w:val="20"/>
          <w:vertAlign w:val="baseline"/>
        </w:rPr>
        <w:t>Ekwere,</w:t>
      </w:r>
      <w:r>
        <w:rPr>
          <w:rFonts w:ascii="Calibri"/>
          <w:spacing w:val="40"/>
          <w:sz w:val="20"/>
          <w:vertAlign w:val="baseline"/>
        </w:rPr>
        <w:t> </w:t>
      </w:r>
      <w:r>
        <w:rPr>
          <w:rFonts w:ascii="Calibri"/>
          <w:sz w:val="20"/>
          <w:vertAlign w:val="baseline"/>
        </w:rPr>
        <w:t>U.</w:t>
      </w:r>
      <w:r>
        <w:rPr>
          <w:rFonts w:ascii="Calibri"/>
          <w:spacing w:val="40"/>
          <w:sz w:val="20"/>
          <w:vertAlign w:val="baseline"/>
        </w:rPr>
        <w:t> </w:t>
      </w:r>
      <w:r>
        <w:rPr>
          <w:rFonts w:ascii="Calibri"/>
          <w:sz w:val="20"/>
          <w:vertAlign w:val="baseline"/>
        </w:rPr>
        <w:t>(2010,</w:t>
      </w:r>
      <w:r>
        <w:rPr>
          <w:rFonts w:ascii="Calibri"/>
          <w:spacing w:val="40"/>
          <w:sz w:val="20"/>
          <w:vertAlign w:val="baseline"/>
        </w:rPr>
        <w:t> </w:t>
      </w:r>
      <w:r>
        <w:rPr>
          <w:rFonts w:ascii="Calibri"/>
          <w:sz w:val="20"/>
          <w:vertAlign w:val="baseline"/>
        </w:rPr>
        <w:t>November</w:t>
      </w:r>
      <w:r>
        <w:rPr>
          <w:rFonts w:ascii="Calibri"/>
          <w:spacing w:val="40"/>
          <w:sz w:val="20"/>
          <w:vertAlign w:val="baseline"/>
        </w:rPr>
        <w:t> </w:t>
      </w:r>
      <w:r>
        <w:rPr>
          <w:rFonts w:ascii="Calibri"/>
          <w:sz w:val="20"/>
          <w:vertAlign w:val="baseline"/>
        </w:rPr>
        <w:t>1).Former</w:t>
      </w:r>
      <w:r>
        <w:rPr>
          <w:rFonts w:ascii="Calibri"/>
          <w:spacing w:val="40"/>
          <w:sz w:val="20"/>
          <w:vertAlign w:val="baseline"/>
        </w:rPr>
        <w:t> </w:t>
      </w:r>
      <w:r>
        <w:rPr>
          <w:rFonts w:ascii="Calibri"/>
          <w:sz w:val="20"/>
          <w:vertAlign w:val="baseline"/>
        </w:rPr>
        <w:t>SEC</w:t>
      </w:r>
      <w:r>
        <w:rPr>
          <w:rFonts w:ascii="Calibri"/>
          <w:spacing w:val="40"/>
          <w:sz w:val="20"/>
          <w:vertAlign w:val="baseline"/>
        </w:rPr>
        <w:t> </w:t>
      </w:r>
      <w:r>
        <w:rPr>
          <w:rFonts w:ascii="Calibri"/>
          <w:sz w:val="20"/>
          <w:vertAlign w:val="baseline"/>
        </w:rPr>
        <w:t>DG</w:t>
      </w:r>
      <w:r>
        <w:rPr>
          <w:rFonts w:ascii="Calibri"/>
          <w:spacing w:val="40"/>
          <w:sz w:val="20"/>
          <w:vertAlign w:val="baseline"/>
        </w:rPr>
        <w:t> </w:t>
      </w:r>
      <w:r>
        <w:rPr>
          <w:rFonts w:ascii="Calibri"/>
          <w:sz w:val="20"/>
          <w:vertAlign w:val="baseline"/>
        </w:rPr>
        <w:t>Calls</w:t>
      </w:r>
      <w:r>
        <w:rPr>
          <w:rFonts w:ascii="Calibri"/>
          <w:spacing w:val="40"/>
          <w:sz w:val="20"/>
          <w:vertAlign w:val="baseline"/>
        </w:rPr>
        <w:t> </w:t>
      </w:r>
      <w:r>
        <w:rPr>
          <w:rFonts w:ascii="Calibri"/>
          <w:sz w:val="20"/>
          <w:vertAlign w:val="baseline"/>
        </w:rPr>
        <w:t>for </w:t>
      </w:r>
      <w:r>
        <w:rPr>
          <w:rFonts w:ascii="Calibri"/>
          <w:spacing w:val="-2"/>
          <w:sz w:val="20"/>
          <w:vertAlign w:val="baseline"/>
        </w:rPr>
        <w:t>Amendment</w:t>
      </w:r>
      <w:r>
        <w:rPr>
          <w:rFonts w:ascii="Calibri"/>
          <w:sz w:val="20"/>
          <w:vertAlign w:val="baseline"/>
        </w:rPr>
        <w:tab/>
        <w:tab/>
        <w:tab/>
      </w:r>
      <w:r>
        <w:rPr>
          <w:rFonts w:ascii="Calibri"/>
          <w:spacing w:val="-6"/>
          <w:sz w:val="20"/>
          <w:vertAlign w:val="baseline"/>
        </w:rPr>
        <w:t>of</w:t>
      </w:r>
      <w:r>
        <w:rPr>
          <w:rFonts w:ascii="Calibri"/>
          <w:sz w:val="20"/>
          <w:vertAlign w:val="baseline"/>
        </w:rPr>
        <w:tab/>
        <w:tab/>
      </w:r>
      <w:r>
        <w:rPr>
          <w:rFonts w:ascii="Calibri"/>
          <w:spacing w:val="-2"/>
          <w:sz w:val="20"/>
          <w:vertAlign w:val="baseline"/>
        </w:rPr>
        <w:t>CAMA</w:t>
      </w:r>
      <w:r>
        <w:rPr>
          <w:rFonts w:ascii="Calibri"/>
          <w:i/>
          <w:spacing w:val="-2"/>
          <w:sz w:val="20"/>
          <w:vertAlign w:val="baseline"/>
        </w:rPr>
        <w:t>.Punch</w:t>
      </w:r>
      <w:r>
        <w:rPr>
          <w:rFonts w:ascii="Calibri"/>
          <w:spacing w:val="-2"/>
          <w:sz w:val="20"/>
          <w:vertAlign w:val="baseline"/>
        </w:rPr>
        <w:t>.Retrieved</w:t>
      </w:r>
      <w:r>
        <w:rPr>
          <w:rFonts w:ascii="Calibri"/>
          <w:sz w:val="20"/>
          <w:vertAlign w:val="baseline"/>
        </w:rPr>
        <w:tab/>
        <w:tab/>
      </w:r>
      <w:r>
        <w:rPr>
          <w:rFonts w:ascii="Calibri"/>
          <w:spacing w:val="-2"/>
          <w:sz w:val="20"/>
          <w:vertAlign w:val="baseline"/>
        </w:rPr>
        <w:t>December</w:t>
      </w:r>
      <w:r>
        <w:rPr>
          <w:rFonts w:ascii="Calibri"/>
          <w:sz w:val="20"/>
          <w:vertAlign w:val="baseline"/>
        </w:rPr>
        <w:tab/>
        <w:tab/>
      </w:r>
      <w:r>
        <w:rPr>
          <w:rFonts w:ascii="Calibri"/>
          <w:spacing w:val="-6"/>
          <w:sz w:val="20"/>
          <w:vertAlign w:val="baseline"/>
        </w:rPr>
        <w:t>6,</w:t>
      </w:r>
      <w:r>
        <w:rPr>
          <w:rFonts w:ascii="Calibri"/>
          <w:sz w:val="20"/>
          <w:vertAlign w:val="baseline"/>
        </w:rPr>
        <w:tab/>
      </w:r>
      <w:r>
        <w:rPr>
          <w:rFonts w:ascii="Calibri"/>
          <w:spacing w:val="-2"/>
          <w:sz w:val="20"/>
          <w:vertAlign w:val="baseline"/>
        </w:rPr>
        <w:t>2013, from</w:t>
      </w:r>
      <w:hyperlink r:id="rId10">
        <w:r>
          <w:rPr>
            <w:rFonts w:ascii="Calibri"/>
            <w:color w:val="0000FF"/>
            <w:spacing w:val="-2"/>
            <w:sz w:val="20"/>
            <w:u w:val="single" w:color="0000FF"/>
            <w:vertAlign w:val="baseline"/>
          </w:rPr>
          <w:t>www.allianzeglobal.com/Market_News/.../AG_Market_News_011110_02.doc</w:t>
        </w:r>
        <w:r>
          <w:rPr>
            <w:rFonts w:ascii="Calibri"/>
            <w:spacing w:val="-2"/>
            <w:sz w:val="20"/>
            <w:vertAlign w:val="baseline"/>
          </w:rPr>
          <w:t>.</w:t>
        </w:r>
      </w:hyperlink>
    </w:p>
    <w:p>
      <w:pPr>
        <w:spacing w:line="240" w:lineRule="auto" w:before="0"/>
        <w:ind w:left="308" w:right="0" w:firstLine="0"/>
        <w:jc w:val="left"/>
        <w:rPr>
          <w:rFonts w:ascii="Calibri"/>
          <w:sz w:val="20"/>
        </w:rPr>
      </w:pPr>
      <w:r>
        <w:rPr>
          <w:rFonts w:ascii="Calibri"/>
          <w:sz w:val="20"/>
          <w:vertAlign w:val="superscript"/>
        </w:rPr>
        <w:t>5</w:t>
      </w:r>
      <w:r>
        <w:rPr>
          <w:rFonts w:ascii="Calibri"/>
          <w:sz w:val="20"/>
          <w:vertAlign w:val="baseline"/>
        </w:rPr>
        <w:t>Aina,</w:t>
      </w:r>
      <w:r>
        <w:rPr>
          <w:rFonts w:ascii="Calibri"/>
          <w:spacing w:val="40"/>
          <w:sz w:val="20"/>
          <w:vertAlign w:val="baseline"/>
        </w:rPr>
        <w:t> </w:t>
      </w:r>
      <w:r>
        <w:rPr>
          <w:rFonts w:ascii="Calibri"/>
          <w:sz w:val="20"/>
          <w:vertAlign w:val="baseline"/>
        </w:rPr>
        <w:t>K.</w:t>
      </w:r>
      <w:r>
        <w:rPr>
          <w:rFonts w:ascii="Calibri"/>
          <w:spacing w:val="40"/>
          <w:sz w:val="20"/>
          <w:vertAlign w:val="baseline"/>
        </w:rPr>
        <w:t> </w:t>
      </w:r>
      <w:r>
        <w:rPr>
          <w:rFonts w:ascii="Calibri"/>
          <w:sz w:val="20"/>
          <w:vertAlign w:val="baseline"/>
        </w:rPr>
        <w:t>(2013).</w:t>
      </w:r>
      <w:r>
        <w:rPr>
          <w:rFonts w:ascii="Calibri"/>
          <w:spacing w:val="40"/>
          <w:sz w:val="20"/>
          <w:vertAlign w:val="baseline"/>
        </w:rPr>
        <w:t> </w:t>
      </w:r>
      <w:r>
        <w:rPr>
          <w:rFonts w:ascii="Calibri"/>
          <w:sz w:val="20"/>
          <w:vertAlign w:val="baseline"/>
        </w:rPr>
        <w:t>Board</w:t>
      </w:r>
      <w:r>
        <w:rPr>
          <w:rFonts w:ascii="Calibri"/>
          <w:spacing w:val="40"/>
          <w:sz w:val="20"/>
          <w:vertAlign w:val="baseline"/>
        </w:rPr>
        <w:t> </w:t>
      </w:r>
      <w:r>
        <w:rPr>
          <w:rFonts w:ascii="Calibri"/>
          <w:sz w:val="20"/>
          <w:vertAlign w:val="baseline"/>
        </w:rPr>
        <w:t>of</w:t>
      </w:r>
      <w:r>
        <w:rPr>
          <w:rFonts w:ascii="Calibri"/>
          <w:spacing w:val="40"/>
          <w:sz w:val="20"/>
          <w:vertAlign w:val="baseline"/>
        </w:rPr>
        <w:t> </w:t>
      </w:r>
      <w:r>
        <w:rPr>
          <w:rFonts w:ascii="Calibri"/>
          <w:sz w:val="20"/>
          <w:vertAlign w:val="baseline"/>
        </w:rPr>
        <w:t>Directors</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Corporate</w:t>
      </w:r>
      <w:r>
        <w:rPr>
          <w:rFonts w:ascii="Calibri"/>
          <w:spacing w:val="40"/>
          <w:sz w:val="20"/>
          <w:vertAlign w:val="baseline"/>
        </w:rPr>
        <w:t> </w:t>
      </w:r>
      <w:r>
        <w:rPr>
          <w:rFonts w:ascii="Calibri"/>
          <w:sz w:val="20"/>
          <w:vertAlign w:val="baseline"/>
        </w:rPr>
        <w:t>Governance</w:t>
      </w:r>
      <w:r>
        <w:rPr>
          <w:rFonts w:ascii="Calibri"/>
          <w:spacing w:val="40"/>
          <w:sz w:val="20"/>
          <w:vertAlign w:val="baseline"/>
        </w:rPr>
        <w:t> </w:t>
      </w:r>
      <w:r>
        <w:rPr>
          <w:rFonts w:ascii="Calibri"/>
          <w:sz w:val="20"/>
          <w:vertAlign w:val="baseline"/>
        </w:rPr>
        <w:t>in</w:t>
      </w:r>
      <w:r>
        <w:rPr>
          <w:rFonts w:ascii="Calibri"/>
          <w:spacing w:val="40"/>
          <w:sz w:val="20"/>
          <w:vertAlign w:val="baseline"/>
        </w:rPr>
        <w:t> </w:t>
      </w:r>
      <w:r>
        <w:rPr>
          <w:rFonts w:ascii="Calibri"/>
          <w:sz w:val="20"/>
          <w:vertAlign w:val="baseline"/>
        </w:rPr>
        <w:t>Nigeria.</w:t>
      </w:r>
      <w:r>
        <w:rPr>
          <w:rFonts w:ascii="Calibri"/>
          <w:i/>
          <w:sz w:val="20"/>
          <w:vertAlign w:val="baseline"/>
        </w:rPr>
        <w:t>International</w:t>
      </w:r>
      <w:r>
        <w:rPr>
          <w:rFonts w:ascii="Calibri"/>
          <w:i/>
          <w:spacing w:val="40"/>
          <w:sz w:val="20"/>
          <w:vertAlign w:val="baseline"/>
        </w:rPr>
        <w:t> </w:t>
      </w:r>
      <w:r>
        <w:rPr>
          <w:rFonts w:ascii="Calibri"/>
          <w:i/>
          <w:sz w:val="20"/>
          <w:vertAlign w:val="baseline"/>
        </w:rPr>
        <w:t>Journal</w:t>
      </w:r>
      <w:r>
        <w:rPr>
          <w:rFonts w:ascii="Calibri"/>
          <w:i/>
          <w:spacing w:val="40"/>
          <w:sz w:val="20"/>
          <w:vertAlign w:val="baseline"/>
        </w:rPr>
        <w:t> </w:t>
      </w:r>
      <w:r>
        <w:rPr>
          <w:rFonts w:ascii="Calibri"/>
          <w:i/>
          <w:sz w:val="20"/>
          <w:vertAlign w:val="baseline"/>
        </w:rPr>
        <w:t>of Business and Finance Management Research, </w:t>
      </w:r>
      <w:r>
        <w:rPr>
          <w:rFonts w:ascii="Calibri"/>
          <w:sz w:val="20"/>
          <w:vertAlign w:val="baseline"/>
        </w:rPr>
        <w:t>1: 21-34, at p.23.</w:t>
      </w:r>
    </w:p>
    <w:p>
      <w:pPr>
        <w:spacing w:before="0"/>
        <w:ind w:left="308" w:right="0" w:firstLine="0"/>
        <w:jc w:val="left"/>
        <w:rPr>
          <w:rFonts w:ascii="Calibri"/>
          <w:sz w:val="20"/>
        </w:rPr>
      </w:pPr>
      <w:r>
        <w:rPr>
          <w:rFonts w:ascii="Calibri"/>
          <w:sz w:val="20"/>
          <w:vertAlign w:val="superscript"/>
        </w:rPr>
        <w:t>6</w:t>
      </w:r>
      <w:r>
        <w:rPr>
          <w:rFonts w:ascii="Calibri"/>
          <w:sz w:val="20"/>
          <w:vertAlign w:val="baseline"/>
        </w:rPr>
        <w:t>See</w:t>
      </w:r>
      <w:r>
        <w:rPr>
          <w:rFonts w:ascii="Calibri"/>
          <w:spacing w:val="-2"/>
          <w:sz w:val="20"/>
          <w:vertAlign w:val="baseline"/>
        </w:rPr>
        <w:t> </w:t>
      </w:r>
      <w:r>
        <w:rPr>
          <w:rFonts w:ascii="Calibri"/>
          <w:sz w:val="20"/>
          <w:vertAlign w:val="baseline"/>
        </w:rPr>
        <w:t>footnote</w:t>
      </w:r>
      <w:r>
        <w:rPr>
          <w:rFonts w:ascii="Calibri"/>
          <w:spacing w:val="-2"/>
          <w:sz w:val="20"/>
          <w:vertAlign w:val="baseline"/>
        </w:rPr>
        <w:t> </w:t>
      </w:r>
      <w:r>
        <w:rPr>
          <w:rFonts w:ascii="Calibri"/>
          <w:sz w:val="20"/>
          <w:vertAlign w:val="baseline"/>
        </w:rPr>
        <w:t>4</w:t>
      </w:r>
      <w:r>
        <w:rPr>
          <w:rFonts w:ascii="Calibri"/>
          <w:spacing w:val="-7"/>
          <w:sz w:val="20"/>
          <w:vertAlign w:val="baseline"/>
        </w:rPr>
        <w:t> </w:t>
      </w:r>
      <w:r>
        <w:rPr>
          <w:rFonts w:ascii="Calibri"/>
          <w:spacing w:val="-2"/>
          <w:sz w:val="20"/>
          <w:vertAlign w:val="baseline"/>
        </w:rPr>
        <w:t>above.</w:t>
      </w:r>
    </w:p>
    <w:p>
      <w:pPr>
        <w:spacing w:before="0"/>
        <w:ind w:left="308" w:right="0" w:firstLine="0"/>
        <w:jc w:val="left"/>
        <w:rPr>
          <w:rFonts w:ascii="Calibri"/>
          <w:sz w:val="20"/>
        </w:rPr>
      </w:pPr>
      <w:r>
        <w:rPr>
          <w:rFonts w:ascii="Calibri"/>
          <w:sz w:val="20"/>
          <w:vertAlign w:val="superscript"/>
        </w:rPr>
        <w:t>7</w:t>
      </w:r>
      <w:r>
        <w:rPr>
          <w:rFonts w:ascii="Calibri"/>
          <w:sz w:val="20"/>
          <w:vertAlign w:val="baseline"/>
        </w:rPr>
        <w:t>Akume,</w:t>
      </w:r>
      <w:r>
        <w:rPr>
          <w:rFonts w:ascii="Calibri"/>
          <w:spacing w:val="40"/>
          <w:sz w:val="20"/>
          <w:vertAlign w:val="baseline"/>
        </w:rPr>
        <w:t> </w:t>
      </w:r>
      <w:r>
        <w:rPr>
          <w:rFonts w:ascii="Calibri"/>
          <w:sz w:val="20"/>
          <w:vertAlign w:val="baseline"/>
        </w:rPr>
        <w:t>A.</w:t>
      </w:r>
      <w:r>
        <w:rPr>
          <w:rFonts w:ascii="Calibri"/>
          <w:spacing w:val="40"/>
          <w:sz w:val="20"/>
          <w:vertAlign w:val="baseline"/>
        </w:rPr>
        <w:t> </w:t>
      </w:r>
      <w:r>
        <w:rPr>
          <w:rFonts w:ascii="Calibri"/>
          <w:sz w:val="20"/>
          <w:vertAlign w:val="baseline"/>
        </w:rPr>
        <w:t>A.</w:t>
      </w:r>
      <w:r>
        <w:rPr>
          <w:rFonts w:ascii="Calibri"/>
          <w:spacing w:val="40"/>
          <w:sz w:val="20"/>
          <w:vertAlign w:val="baseline"/>
        </w:rPr>
        <w:t> </w:t>
      </w:r>
      <w:r>
        <w:rPr>
          <w:rFonts w:ascii="Calibri"/>
          <w:sz w:val="20"/>
          <w:vertAlign w:val="baseline"/>
        </w:rPr>
        <w:t>(2012).</w:t>
      </w:r>
      <w:r>
        <w:rPr>
          <w:rFonts w:ascii="Calibri"/>
          <w:spacing w:val="40"/>
          <w:sz w:val="20"/>
          <w:vertAlign w:val="baseline"/>
        </w:rPr>
        <w:t> </w:t>
      </w:r>
      <w:r>
        <w:rPr>
          <w:rFonts w:ascii="Calibri"/>
          <w:sz w:val="20"/>
          <w:vertAlign w:val="baseline"/>
        </w:rPr>
        <w:t>The</w:t>
      </w:r>
      <w:r>
        <w:rPr>
          <w:rFonts w:ascii="Calibri"/>
          <w:spacing w:val="40"/>
          <w:sz w:val="20"/>
          <w:vertAlign w:val="baseline"/>
        </w:rPr>
        <w:t> </w:t>
      </w:r>
      <w:r>
        <w:rPr>
          <w:rFonts w:ascii="Calibri"/>
          <w:sz w:val="20"/>
          <w:vertAlign w:val="baseline"/>
        </w:rPr>
        <w:t>CAMA</w:t>
      </w:r>
      <w:r>
        <w:rPr>
          <w:rFonts w:ascii="Calibri"/>
          <w:spacing w:val="40"/>
          <w:sz w:val="20"/>
          <w:vertAlign w:val="baseline"/>
        </w:rPr>
        <w:t> </w:t>
      </w:r>
      <w:r>
        <w:rPr>
          <w:rFonts w:ascii="Calibri"/>
          <w:sz w:val="20"/>
          <w:vertAlign w:val="baseline"/>
        </w:rPr>
        <w:t>1990,</w:t>
      </w:r>
      <w:r>
        <w:rPr>
          <w:rFonts w:ascii="Calibri"/>
          <w:spacing w:val="40"/>
          <w:sz w:val="20"/>
          <w:vertAlign w:val="baseline"/>
        </w:rPr>
        <w:t> </w:t>
      </w:r>
      <w:r>
        <w:rPr>
          <w:rFonts w:ascii="Calibri"/>
          <w:sz w:val="20"/>
          <w:vertAlign w:val="baseline"/>
        </w:rPr>
        <w:t>20</w:t>
      </w:r>
      <w:r>
        <w:rPr>
          <w:rFonts w:ascii="Calibri"/>
          <w:spacing w:val="40"/>
          <w:sz w:val="20"/>
          <w:vertAlign w:val="baseline"/>
        </w:rPr>
        <w:t> </w:t>
      </w:r>
      <w:r>
        <w:rPr>
          <w:rFonts w:ascii="Calibri"/>
          <w:sz w:val="20"/>
          <w:vertAlign w:val="baseline"/>
        </w:rPr>
        <w:t>Years</w:t>
      </w:r>
      <w:r>
        <w:rPr>
          <w:rFonts w:ascii="Calibri"/>
          <w:spacing w:val="37"/>
          <w:sz w:val="20"/>
          <w:vertAlign w:val="baseline"/>
        </w:rPr>
        <w:t> </w:t>
      </w:r>
      <w:r>
        <w:rPr>
          <w:rFonts w:ascii="Calibri"/>
          <w:sz w:val="20"/>
          <w:vertAlign w:val="baseline"/>
        </w:rPr>
        <w:t>On:</w:t>
      </w:r>
      <w:r>
        <w:rPr>
          <w:rFonts w:ascii="Calibri"/>
          <w:spacing w:val="40"/>
          <w:sz w:val="20"/>
          <w:vertAlign w:val="baseline"/>
        </w:rPr>
        <w:t> </w:t>
      </w:r>
      <w:r>
        <w:rPr>
          <w:rFonts w:ascii="Calibri"/>
          <w:sz w:val="20"/>
          <w:vertAlign w:val="baseline"/>
        </w:rPr>
        <w:t>The</w:t>
      </w:r>
      <w:r>
        <w:rPr>
          <w:rFonts w:ascii="Calibri"/>
          <w:spacing w:val="40"/>
          <w:sz w:val="20"/>
          <w:vertAlign w:val="baseline"/>
        </w:rPr>
        <w:t> </w:t>
      </w:r>
      <w:r>
        <w:rPr>
          <w:rFonts w:ascii="Calibri"/>
          <w:sz w:val="20"/>
          <w:vertAlign w:val="baseline"/>
        </w:rPr>
        <w:t>Need</w:t>
      </w:r>
      <w:r>
        <w:rPr>
          <w:rFonts w:ascii="Calibri"/>
          <w:spacing w:val="39"/>
          <w:sz w:val="20"/>
          <w:vertAlign w:val="baseline"/>
        </w:rPr>
        <w:t> </w:t>
      </w:r>
      <w:r>
        <w:rPr>
          <w:rFonts w:ascii="Calibri"/>
          <w:sz w:val="20"/>
          <w:vertAlign w:val="baseline"/>
        </w:rPr>
        <w:t>for</w:t>
      </w:r>
      <w:r>
        <w:rPr>
          <w:rFonts w:ascii="Calibri"/>
          <w:spacing w:val="40"/>
          <w:sz w:val="20"/>
          <w:vertAlign w:val="baseline"/>
        </w:rPr>
        <w:t> </w:t>
      </w:r>
      <w:r>
        <w:rPr>
          <w:rFonts w:ascii="Calibri"/>
          <w:sz w:val="20"/>
          <w:vertAlign w:val="baseline"/>
        </w:rPr>
        <w:t>Some</w:t>
      </w:r>
      <w:r>
        <w:rPr>
          <w:rFonts w:ascii="Calibri"/>
          <w:spacing w:val="40"/>
          <w:sz w:val="20"/>
          <w:vertAlign w:val="baseline"/>
        </w:rPr>
        <w:t> </w:t>
      </w:r>
      <w:r>
        <w:rPr>
          <w:rFonts w:ascii="Calibri"/>
          <w:sz w:val="20"/>
          <w:vertAlign w:val="baseline"/>
        </w:rPr>
        <w:t>Review.</w:t>
      </w:r>
      <w:r>
        <w:rPr>
          <w:rFonts w:ascii="Calibri"/>
          <w:spacing w:val="40"/>
          <w:sz w:val="20"/>
          <w:vertAlign w:val="baseline"/>
        </w:rPr>
        <w:t> </w:t>
      </w:r>
      <w:r>
        <w:rPr>
          <w:rFonts w:ascii="Calibri"/>
          <w:i/>
          <w:sz w:val="20"/>
          <w:vertAlign w:val="baseline"/>
        </w:rPr>
        <w:t>ABU</w:t>
      </w:r>
      <w:r>
        <w:rPr>
          <w:rFonts w:ascii="Calibri"/>
          <w:i/>
          <w:spacing w:val="39"/>
          <w:sz w:val="20"/>
          <w:vertAlign w:val="baseline"/>
        </w:rPr>
        <w:t> </w:t>
      </w:r>
      <w:r>
        <w:rPr>
          <w:rFonts w:ascii="Calibri"/>
          <w:i/>
          <w:sz w:val="20"/>
          <w:vertAlign w:val="baseline"/>
        </w:rPr>
        <w:t>Journal</w:t>
      </w:r>
      <w:r>
        <w:rPr>
          <w:rFonts w:ascii="Calibri"/>
          <w:i/>
          <w:spacing w:val="40"/>
          <w:sz w:val="20"/>
          <w:vertAlign w:val="baseline"/>
        </w:rPr>
        <w:t> </w:t>
      </w:r>
      <w:r>
        <w:rPr>
          <w:rFonts w:ascii="Calibri"/>
          <w:i/>
          <w:sz w:val="20"/>
          <w:vertAlign w:val="baseline"/>
        </w:rPr>
        <w:t>of Commercial Law. </w:t>
      </w:r>
      <w:r>
        <w:rPr>
          <w:rFonts w:ascii="Calibri"/>
          <w:sz w:val="20"/>
          <w:vertAlign w:val="baseline"/>
        </w:rPr>
        <w:t>5(1): 28-39.</w:t>
      </w:r>
    </w:p>
    <w:p>
      <w:pPr>
        <w:spacing w:before="1"/>
        <w:ind w:left="308" w:right="255" w:firstLine="0"/>
        <w:jc w:val="left"/>
        <w:rPr>
          <w:rFonts w:ascii="Calibri"/>
          <w:sz w:val="20"/>
        </w:rPr>
      </w:pPr>
      <w:r>
        <w:rPr>
          <w:rFonts w:ascii="Calibri"/>
          <w:sz w:val="20"/>
          <w:vertAlign w:val="superscript"/>
        </w:rPr>
        <w:t>8</w:t>
      </w:r>
      <w:r>
        <w:rPr>
          <w:rFonts w:ascii="Calibri"/>
          <w:sz w:val="20"/>
          <w:vertAlign w:val="baseline"/>
        </w:rPr>
        <w:t>Adamu, H. (2014). Towards Easing the Incorporation Process for Economic Transformation.</w:t>
      </w:r>
      <w:r>
        <w:rPr>
          <w:rFonts w:ascii="Calibri"/>
          <w:i/>
          <w:sz w:val="20"/>
          <w:vertAlign w:val="baseline"/>
        </w:rPr>
        <w:t>ABU Journal of Commercial Law</w:t>
      </w:r>
      <w:r>
        <w:rPr>
          <w:rFonts w:ascii="Calibri"/>
          <w:sz w:val="20"/>
          <w:vertAlign w:val="baseline"/>
        </w:rPr>
        <w:t>. 6(1): 205-219.</w:t>
      </w:r>
    </w:p>
    <w:p>
      <w:pPr>
        <w:spacing w:after="0"/>
        <w:jc w:val="left"/>
        <w:rPr>
          <w:rFonts w:ascii="Calibri"/>
          <w:sz w:val="20"/>
        </w:rPr>
        <w:sectPr>
          <w:pgSz w:w="11910" w:h="16840"/>
          <w:pgMar w:header="0" w:footer="1003" w:top="1280" w:bottom="1200" w:left="1680" w:right="1180"/>
        </w:sectPr>
      </w:pPr>
    </w:p>
    <w:p>
      <w:pPr>
        <w:pStyle w:val="BodyText"/>
        <w:spacing w:line="480" w:lineRule="auto" w:before="110"/>
        <w:ind w:right="233"/>
        <w:jc w:val="both"/>
      </w:pPr>
      <w:r>
        <w:rPr/>
        <w:t>participation on the board of companies.</w:t>
      </w:r>
      <w:r>
        <w:rPr>
          <w:vertAlign w:val="superscript"/>
        </w:rPr>
        <w:t>9</w:t>
      </w:r>
      <w:r>
        <w:rPr>
          <w:vertAlign w:val="baseline"/>
        </w:rPr>
        <w:t> In his address to the public in the preface to the Companies Regulation 2012, the Registrar of the CAC revealed the Commission‘s hope of pursuing a comprehensive review of CAMA to address challenges faced that can only be</w:t>
      </w:r>
      <w:r>
        <w:rPr>
          <w:spacing w:val="-1"/>
          <w:vertAlign w:val="baseline"/>
        </w:rPr>
        <w:t> </w:t>
      </w:r>
      <w:r>
        <w:rPr>
          <w:vertAlign w:val="baseline"/>
        </w:rPr>
        <w:t>resolved by amending the substantive law. In</w:t>
      </w:r>
      <w:r>
        <w:rPr>
          <w:spacing w:val="-5"/>
          <w:vertAlign w:val="baseline"/>
        </w:rPr>
        <w:t> </w:t>
      </w:r>
      <w:r>
        <w:rPr>
          <w:vertAlign w:val="baseline"/>
        </w:rPr>
        <w:t>spite of</w:t>
      </w:r>
      <w:r>
        <w:rPr>
          <w:spacing w:val="-3"/>
          <w:vertAlign w:val="baseline"/>
        </w:rPr>
        <w:t> </w:t>
      </w:r>
      <w:r>
        <w:rPr>
          <w:vertAlign w:val="baseline"/>
        </w:rPr>
        <w:t>these calls for review, however, the recent review of the CAMA only aimed at altering the mode of appointment of</w:t>
      </w:r>
      <w:r>
        <w:rPr>
          <w:spacing w:val="-3"/>
          <w:vertAlign w:val="baseline"/>
        </w:rPr>
        <w:t> </w:t>
      </w:r>
      <w:r>
        <w:rPr>
          <w:vertAlign w:val="baseline"/>
        </w:rPr>
        <w:t>the chairman of</w:t>
      </w:r>
      <w:r>
        <w:rPr>
          <w:spacing w:val="-3"/>
          <w:vertAlign w:val="baseline"/>
        </w:rPr>
        <w:t> </w:t>
      </w:r>
      <w:r>
        <w:rPr>
          <w:vertAlign w:val="baseline"/>
        </w:rPr>
        <w:t>the CAC and providing for the office of</w:t>
      </w:r>
      <w:r>
        <w:rPr>
          <w:spacing w:val="-3"/>
          <w:vertAlign w:val="baseline"/>
        </w:rPr>
        <w:t> </w:t>
      </w:r>
      <w:r>
        <w:rPr>
          <w:vertAlign w:val="baseline"/>
        </w:rPr>
        <w:t>the secretary</w:t>
      </w:r>
      <w:r>
        <w:rPr>
          <w:spacing w:val="-5"/>
          <w:vertAlign w:val="baseline"/>
        </w:rPr>
        <w:t> </w:t>
      </w:r>
      <w:r>
        <w:rPr>
          <w:vertAlign w:val="baseline"/>
        </w:rPr>
        <w:t>to the CAC and nothing more.</w:t>
      </w:r>
      <w:r>
        <w:rPr>
          <w:vertAlign w:val="superscript"/>
        </w:rPr>
        <w:t>10</w:t>
      </w:r>
    </w:p>
    <w:p>
      <w:pPr>
        <w:pStyle w:val="BodyText"/>
        <w:spacing w:line="480" w:lineRule="auto" w:before="1"/>
        <w:ind w:right="230" w:firstLine="720"/>
        <w:jc w:val="both"/>
      </w:pPr>
      <w:r>
        <w:rPr/>
        <w:t>Companies are undoubtedly important to modern economies. Therefore, directors</w:t>
      </w:r>
      <w:r>
        <w:rPr>
          <w:spacing w:val="-2"/>
        </w:rPr>
        <w:t> </w:t>
      </w:r>
      <w:r>
        <w:rPr/>
        <w:t>who manage</w:t>
      </w:r>
      <w:r>
        <w:rPr>
          <w:spacing w:val="-1"/>
        </w:rPr>
        <w:t> </w:t>
      </w:r>
      <w:r>
        <w:rPr/>
        <w:t>them are</w:t>
      </w:r>
      <w:r>
        <w:rPr>
          <w:spacing w:val="-1"/>
        </w:rPr>
        <w:t> </w:t>
      </w:r>
      <w:r>
        <w:rPr/>
        <w:t>constantly in</w:t>
      </w:r>
      <w:r>
        <w:rPr>
          <w:spacing w:val="-5"/>
        </w:rPr>
        <w:t> </w:t>
      </w:r>
      <w:r>
        <w:rPr/>
        <w:t>the limelight. In</w:t>
      </w:r>
      <w:r>
        <w:rPr>
          <w:spacing w:val="-10"/>
        </w:rPr>
        <w:t> </w:t>
      </w:r>
      <w:r>
        <w:rPr/>
        <w:t>order</w:t>
      </w:r>
      <w:r>
        <w:rPr>
          <w:spacing w:val="-3"/>
        </w:rPr>
        <w:t> </w:t>
      </w:r>
      <w:r>
        <w:rPr/>
        <w:t>to ensure</w:t>
      </w:r>
      <w:r>
        <w:rPr>
          <w:spacing w:val="-1"/>
        </w:rPr>
        <w:t> </w:t>
      </w:r>
      <w:r>
        <w:rPr/>
        <w:t>security</w:t>
      </w:r>
      <w:r>
        <w:rPr>
          <w:spacing w:val="-5"/>
        </w:rPr>
        <w:t> </w:t>
      </w:r>
      <w:r>
        <w:rPr/>
        <w:t>of investments, and discourage the abuse of the corporate machinery, certain principles have been developed over time to hold directors to certain obligations. This is because, while managing the company, directors wield enormous powers and control</w:t>
      </w:r>
      <w:r>
        <w:rPr>
          <w:spacing w:val="-1"/>
        </w:rPr>
        <w:t> </w:t>
      </w:r>
      <w:r>
        <w:rPr/>
        <w:t>large funds generated mostly from the investing public. Thus, these legal principles, whether developed by the courts or introduced by legislation over time, have constantly sought</w:t>
      </w:r>
      <w:r>
        <w:rPr>
          <w:spacing w:val="40"/>
        </w:rPr>
        <w:t> </w:t>
      </w:r>
      <w:r>
        <w:rPr/>
        <w:t>to make directors more committed to, and accountable for, their offices in order to maintain</w:t>
      </w:r>
      <w:r>
        <w:rPr>
          <w:spacing w:val="-1"/>
        </w:rPr>
        <w:t> </w:t>
      </w:r>
      <w:r>
        <w:rPr/>
        <w:t>certain</w:t>
      </w:r>
      <w:r>
        <w:rPr>
          <w:spacing w:val="-1"/>
        </w:rPr>
        <w:t> </w:t>
      </w:r>
      <w:r>
        <w:rPr/>
        <w:t>standards. Some</w:t>
      </w:r>
      <w:r>
        <w:rPr>
          <w:spacing w:val="-2"/>
        </w:rPr>
        <w:t> </w:t>
      </w:r>
      <w:r>
        <w:rPr/>
        <w:t>of</w:t>
      </w:r>
      <w:r>
        <w:rPr>
          <w:spacing w:val="-4"/>
        </w:rPr>
        <w:t> </w:t>
      </w:r>
      <w:r>
        <w:rPr/>
        <w:t>such</w:t>
      </w:r>
      <w:r>
        <w:rPr>
          <w:spacing w:val="-6"/>
        </w:rPr>
        <w:t> </w:t>
      </w:r>
      <w:r>
        <w:rPr/>
        <w:t>principles incorporated</w:t>
      </w:r>
      <w:r>
        <w:rPr>
          <w:spacing w:val="-1"/>
        </w:rPr>
        <w:t> </w:t>
      </w:r>
      <w:r>
        <w:rPr/>
        <w:t>within legislation</w:t>
      </w:r>
      <w:r>
        <w:rPr>
          <w:spacing w:val="-1"/>
        </w:rPr>
        <w:t> </w:t>
      </w:r>
      <w:r>
        <w:rPr/>
        <w:t>have acquired the status of </w:t>
      </w:r>
      <w:r>
        <w:rPr>
          <w:i/>
        </w:rPr>
        <w:t>duty</w:t>
      </w:r>
      <w:r>
        <w:rPr/>
        <w:t>.</w:t>
      </w:r>
    </w:p>
    <w:p>
      <w:pPr>
        <w:pStyle w:val="BodyText"/>
        <w:spacing w:line="480" w:lineRule="auto" w:before="2"/>
        <w:ind w:right="231" w:firstLine="720"/>
        <w:jc w:val="both"/>
      </w:pPr>
      <w:r>
        <w:rPr/>
        <w:t>‗Duty‘ refers to an obligation; something that somebody is obliged to do for moral,</w:t>
      </w:r>
      <w:r>
        <w:rPr>
          <w:spacing w:val="-3"/>
        </w:rPr>
        <w:t> </w:t>
      </w:r>
      <w:r>
        <w:rPr/>
        <w:t>legal</w:t>
      </w:r>
      <w:r>
        <w:rPr>
          <w:spacing w:val="-12"/>
        </w:rPr>
        <w:t> </w:t>
      </w:r>
      <w:r>
        <w:rPr/>
        <w:t>or</w:t>
      </w:r>
      <w:r>
        <w:rPr>
          <w:spacing w:val="-7"/>
        </w:rPr>
        <w:t> </w:t>
      </w:r>
      <w:r>
        <w:rPr/>
        <w:t>religious</w:t>
      </w:r>
      <w:r>
        <w:rPr>
          <w:spacing w:val="-6"/>
        </w:rPr>
        <w:t> </w:t>
      </w:r>
      <w:r>
        <w:rPr/>
        <w:t>reasons.</w:t>
      </w:r>
      <w:r>
        <w:rPr>
          <w:vertAlign w:val="superscript"/>
        </w:rPr>
        <w:t>11</w:t>
      </w:r>
      <w:r>
        <w:rPr>
          <w:spacing w:val="-6"/>
          <w:vertAlign w:val="baseline"/>
        </w:rPr>
        <w:t> </w:t>
      </w:r>
      <w:r>
        <w:rPr>
          <w:vertAlign w:val="baseline"/>
        </w:rPr>
        <w:t>In</w:t>
      </w:r>
      <w:r>
        <w:rPr>
          <w:spacing w:val="-9"/>
          <w:vertAlign w:val="baseline"/>
        </w:rPr>
        <w:t> </w:t>
      </w:r>
      <w:r>
        <w:rPr>
          <w:vertAlign w:val="baseline"/>
        </w:rPr>
        <w:t>law,</w:t>
      </w:r>
      <w:r>
        <w:rPr>
          <w:spacing w:val="-7"/>
          <w:vertAlign w:val="baseline"/>
        </w:rPr>
        <w:t> </w:t>
      </w:r>
      <w:r>
        <w:rPr>
          <w:vertAlign w:val="baseline"/>
        </w:rPr>
        <w:t>‗duty‘</w:t>
      </w:r>
      <w:r>
        <w:rPr>
          <w:spacing w:val="-7"/>
          <w:vertAlign w:val="baseline"/>
        </w:rPr>
        <w:t> </w:t>
      </w:r>
      <w:r>
        <w:rPr>
          <w:vertAlign w:val="baseline"/>
        </w:rPr>
        <w:t>is</w:t>
      </w:r>
      <w:r>
        <w:rPr>
          <w:spacing w:val="-2"/>
          <w:vertAlign w:val="baseline"/>
        </w:rPr>
        <w:t> </w:t>
      </w:r>
      <w:r>
        <w:rPr>
          <w:vertAlign w:val="baseline"/>
        </w:rPr>
        <w:t>described</w:t>
      </w:r>
      <w:r>
        <w:rPr>
          <w:spacing w:val="-9"/>
          <w:vertAlign w:val="baseline"/>
        </w:rPr>
        <w:t> </w:t>
      </w:r>
      <w:r>
        <w:rPr>
          <w:vertAlign w:val="baseline"/>
        </w:rPr>
        <w:t>as</w:t>
      </w:r>
      <w:r>
        <w:rPr>
          <w:spacing w:val="-2"/>
          <w:vertAlign w:val="baseline"/>
        </w:rPr>
        <w:t> </w:t>
      </w:r>
      <w:r>
        <w:rPr>
          <w:vertAlign w:val="baseline"/>
        </w:rPr>
        <w:t>―a</w:t>
      </w:r>
      <w:r>
        <w:rPr>
          <w:spacing w:val="-6"/>
          <w:vertAlign w:val="baseline"/>
        </w:rPr>
        <w:t> </w:t>
      </w:r>
      <w:r>
        <w:rPr>
          <w:vertAlign w:val="baseline"/>
        </w:rPr>
        <w:t>legal</w:t>
      </w:r>
      <w:r>
        <w:rPr>
          <w:spacing w:val="-12"/>
          <w:vertAlign w:val="baseline"/>
        </w:rPr>
        <w:t> </w:t>
      </w:r>
      <w:r>
        <w:rPr>
          <w:vertAlign w:val="baseline"/>
        </w:rPr>
        <w:t>obligation</w:t>
      </w:r>
      <w:r>
        <w:rPr>
          <w:spacing w:val="-12"/>
          <w:vertAlign w:val="baseline"/>
        </w:rPr>
        <w:t> </w:t>
      </w:r>
      <w:r>
        <w:rPr>
          <w:vertAlign w:val="baseline"/>
        </w:rPr>
        <w:t>that is owed or due to another and that needs to be satisfied; an obligation for which somebody</w:t>
      </w:r>
      <w:r>
        <w:rPr>
          <w:spacing w:val="-5"/>
          <w:vertAlign w:val="baseline"/>
        </w:rPr>
        <w:t> </w:t>
      </w:r>
      <w:r>
        <w:rPr>
          <w:vertAlign w:val="baseline"/>
        </w:rPr>
        <w:t>else has a corresponding right.</w:t>
      </w:r>
      <w:r>
        <w:rPr>
          <w:vertAlign w:val="superscript"/>
        </w:rPr>
        <w:t>12</w:t>
      </w:r>
      <w:r>
        <w:rPr>
          <w:vertAlign w:val="baseline"/>
        </w:rPr>
        <w:t> Therefore, duties are usually couched in the tone</w:t>
      </w:r>
      <w:r>
        <w:rPr>
          <w:spacing w:val="-15"/>
          <w:vertAlign w:val="baseline"/>
        </w:rPr>
        <w:t> </w:t>
      </w:r>
      <w:r>
        <w:rPr>
          <w:vertAlign w:val="baseline"/>
        </w:rPr>
        <w:t>of</w:t>
      </w:r>
      <w:r>
        <w:rPr>
          <w:spacing w:val="-15"/>
          <w:vertAlign w:val="baseline"/>
        </w:rPr>
        <w:t> </w:t>
      </w:r>
      <w:r>
        <w:rPr>
          <w:vertAlign w:val="baseline"/>
        </w:rPr>
        <w:t>obligation,</w:t>
      </w:r>
      <w:r>
        <w:rPr>
          <w:spacing w:val="-13"/>
          <w:vertAlign w:val="baseline"/>
        </w:rPr>
        <w:t> </w:t>
      </w:r>
      <w:r>
        <w:rPr>
          <w:vertAlign w:val="baseline"/>
        </w:rPr>
        <w:t>using</w:t>
      </w:r>
      <w:r>
        <w:rPr>
          <w:spacing w:val="-11"/>
          <w:vertAlign w:val="baseline"/>
        </w:rPr>
        <w:t> </w:t>
      </w:r>
      <w:r>
        <w:rPr>
          <w:vertAlign w:val="baseline"/>
        </w:rPr>
        <w:t>any</w:t>
      </w:r>
      <w:r>
        <w:rPr>
          <w:spacing w:val="-15"/>
          <w:vertAlign w:val="baseline"/>
        </w:rPr>
        <w:t> </w:t>
      </w:r>
      <w:r>
        <w:rPr>
          <w:vertAlign w:val="baseline"/>
        </w:rPr>
        <w:t>of</w:t>
      </w:r>
      <w:r>
        <w:rPr>
          <w:spacing w:val="-15"/>
          <w:vertAlign w:val="baseline"/>
        </w:rPr>
        <w:t> </w:t>
      </w:r>
      <w:r>
        <w:rPr>
          <w:vertAlign w:val="baseline"/>
        </w:rPr>
        <w:t>the</w:t>
      </w:r>
      <w:r>
        <w:rPr>
          <w:spacing w:val="-7"/>
          <w:vertAlign w:val="baseline"/>
        </w:rPr>
        <w:t> </w:t>
      </w:r>
      <w:r>
        <w:rPr>
          <w:vertAlign w:val="baseline"/>
        </w:rPr>
        <w:t>modal</w:t>
      </w:r>
      <w:r>
        <w:rPr>
          <w:spacing w:val="-15"/>
          <w:vertAlign w:val="baseline"/>
        </w:rPr>
        <w:t> </w:t>
      </w:r>
      <w:r>
        <w:rPr>
          <w:vertAlign w:val="baseline"/>
        </w:rPr>
        <w:t>verbs</w:t>
      </w:r>
      <w:r>
        <w:rPr>
          <w:spacing w:val="-13"/>
          <w:vertAlign w:val="baseline"/>
        </w:rPr>
        <w:t> </w:t>
      </w:r>
      <w:r>
        <w:rPr>
          <w:vertAlign w:val="baseline"/>
        </w:rPr>
        <w:t>‗shall,‘</w:t>
      </w:r>
      <w:r>
        <w:rPr>
          <w:spacing w:val="-14"/>
          <w:vertAlign w:val="baseline"/>
        </w:rPr>
        <w:t> </w:t>
      </w:r>
      <w:r>
        <w:rPr>
          <w:vertAlign w:val="baseline"/>
        </w:rPr>
        <w:t>‗must,‘</w:t>
      </w:r>
      <w:r>
        <w:rPr>
          <w:spacing w:val="-13"/>
          <w:vertAlign w:val="baseline"/>
        </w:rPr>
        <w:t> </w:t>
      </w:r>
      <w:r>
        <w:rPr>
          <w:vertAlign w:val="baseline"/>
        </w:rPr>
        <w:t>‗shall</w:t>
      </w:r>
      <w:r>
        <w:rPr>
          <w:spacing w:val="-11"/>
          <w:vertAlign w:val="baseline"/>
        </w:rPr>
        <w:t> </w:t>
      </w:r>
      <w:r>
        <w:rPr>
          <w:vertAlign w:val="baseline"/>
        </w:rPr>
        <w:t>not‘</w:t>
      </w:r>
      <w:r>
        <w:rPr>
          <w:spacing w:val="-15"/>
          <w:vertAlign w:val="baseline"/>
        </w:rPr>
        <w:t> </w:t>
      </w:r>
      <w:r>
        <w:rPr>
          <w:vertAlign w:val="baseline"/>
        </w:rPr>
        <w:t>or</w:t>
      </w:r>
      <w:r>
        <w:rPr>
          <w:spacing w:val="-13"/>
          <w:vertAlign w:val="baseline"/>
        </w:rPr>
        <w:t> </w:t>
      </w:r>
      <w:r>
        <w:rPr>
          <w:vertAlign w:val="baseline"/>
        </w:rPr>
        <w:t>‗must</w:t>
      </w:r>
      <w:r>
        <w:rPr>
          <w:spacing w:val="-7"/>
          <w:vertAlign w:val="baseline"/>
        </w:rPr>
        <w:t> </w:t>
      </w:r>
      <w:r>
        <w:rPr>
          <w:spacing w:val="-2"/>
          <w:vertAlign w:val="baseline"/>
        </w:rPr>
        <w:t>not.‘</w:t>
      </w:r>
    </w:p>
    <w:p>
      <w:pPr>
        <w:pStyle w:val="BodyText"/>
        <w:spacing w:before="29"/>
        <w:ind w:left="0"/>
        <w:rPr>
          <w:sz w:val="20"/>
        </w:rPr>
      </w:pPr>
      <w:r>
        <w:rPr/>
        <mc:AlternateContent>
          <mc:Choice Requires="wps">
            <w:drawing>
              <wp:anchor distT="0" distB="0" distL="0" distR="0" allowOverlap="1" layoutInCell="1" locked="0" behindDoc="1" simplePos="0" relativeHeight="487613440">
                <wp:simplePos x="0" y="0"/>
                <wp:positionH relativeFrom="page">
                  <wp:posOffset>1262481</wp:posOffset>
                </wp:positionH>
                <wp:positionV relativeFrom="paragraph">
                  <wp:posOffset>179725</wp:posOffset>
                </wp:positionV>
                <wp:extent cx="1829435" cy="9525"/>
                <wp:effectExtent l="0" t="0" r="0" b="0"/>
                <wp:wrapTopAndBottom/>
                <wp:docPr id="53" name="Graphic 53"/>
                <wp:cNvGraphicFramePr>
                  <a:graphicFrameLocks/>
                </wp:cNvGraphicFramePr>
                <a:graphic>
                  <a:graphicData uri="http://schemas.microsoft.com/office/word/2010/wordprocessingShape">
                    <wps:wsp>
                      <wps:cNvPr id="53" name="Graphic 5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51592pt;width:144.050pt;height:.71997pt;mso-position-horizontal-relative:page;mso-position-vertical-relative:paragraph;z-index:-15703040;mso-wrap-distance-left:0;mso-wrap-distance-right:0" id="docshape8"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9</w:t>
      </w:r>
      <w:r>
        <w:rPr>
          <w:rFonts w:ascii="Calibri"/>
          <w:sz w:val="20"/>
          <w:vertAlign w:val="baseline"/>
        </w:rPr>
        <w:t>Ogwu,</w:t>
      </w:r>
      <w:r>
        <w:rPr>
          <w:rFonts w:ascii="Calibri"/>
          <w:spacing w:val="40"/>
          <w:sz w:val="20"/>
          <w:vertAlign w:val="baseline"/>
        </w:rPr>
        <w:t> </w:t>
      </w:r>
      <w:r>
        <w:rPr>
          <w:rFonts w:ascii="Calibri"/>
          <w:sz w:val="20"/>
          <w:vertAlign w:val="baseline"/>
        </w:rPr>
        <w:t>M.S.</w:t>
      </w:r>
      <w:r>
        <w:rPr>
          <w:rFonts w:ascii="Calibri"/>
          <w:spacing w:val="40"/>
          <w:sz w:val="20"/>
          <w:vertAlign w:val="baseline"/>
        </w:rPr>
        <w:t> </w:t>
      </w:r>
      <w:r>
        <w:rPr>
          <w:rFonts w:ascii="Calibri"/>
          <w:sz w:val="20"/>
          <w:vertAlign w:val="baseline"/>
        </w:rPr>
        <w:t>(2014,</w:t>
      </w:r>
      <w:r>
        <w:rPr>
          <w:rFonts w:ascii="Calibri"/>
          <w:spacing w:val="40"/>
          <w:sz w:val="20"/>
          <w:vertAlign w:val="baseline"/>
        </w:rPr>
        <w:t> </w:t>
      </w:r>
      <w:r>
        <w:rPr>
          <w:rFonts w:ascii="Calibri"/>
          <w:sz w:val="20"/>
          <w:vertAlign w:val="baseline"/>
        </w:rPr>
        <w:t>April</w:t>
      </w:r>
      <w:r>
        <w:rPr>
          <w:rFonts w:ascii="Calibri"/>
          <w:spacing w:val="40"/>
          <w:sz w:val="20"/>
          <w:vertAlign w:val="baseline"/>
        </w:rPr>
        <w:t> </w:t>
      </w:r>
      <w:r>
        <w:rPr>
          <w:rFonts w:ascii="Calibri"/>
          <w:sz w:val="20"/>
          <w:vertAlign w:val="baseline"/>
        </w:rPr>
        <w:t>18).</w:t>
      </w:r>
      <w:r>
        <w:rPr>
          <w:rFonts w:ascii="Calibri"/>
          <w:spacing w:val="40"/>
          <w:sz w:val="20"/>
          <w:vertAlign w:val="baseline"/>
        </w:rPr>
        <w:t> </w:t>
      </w:r>
      <w:r>
        <w:rPr>
          <w:rFonts w:ascii="Calibri"/>
          <w:sz w:val="20"/>
          <w:vertAlign w:val="baseline"/>
        </w:rPr>
        <w:t>We</w:t>
      </w:r>
      <w:r>
        <w:rPr>
          <w:rFonts w:ascii="Calibri"/>
          <w:spacing w:val="40"/>
          <w:sz w:val="20"/>
          <w:vertAlign w:val="baseline"/>
        </w:rPr>
        <w:t> </w:t>
      </w:r>
      <w:r>
        <w:rPr>
          <w:rFonts w:ascii="Calibri"/>
          <w:sz w:val="20"/>
          <w:vertAlign w:val="baseline"/>
        </w:rPr>
        <w:t>Encourage</w:t>
      </w:r>
      <w:r>
        <w:rPr>
          <w:rFonts w:ascii="Calibri"/>
          <w:spacing w:val="40"/>
          <w:sz w:val="20"/>
          <w:vertAlign w:val="baseline"/>
        </w:rPr>
        <w:t> </w:t>
      </w:r>
      <w:r>
        <w:rPr>
          <w:rFonts w:ascii="Calibri"/>
          <w:sz w:val="20"/>
          <w:vertAlign w:val="baseline"/>
        </w:rPr>
        <w:t>Quoted</w:t>
      </w:r>
      <w:r>
        <w:rPr>
          <w:rFonts w:ascii="Calibri"/>
          <w:spacing w:val="40"/>
          <w:sz w:val="20"/>
          <w:vertAlign w:val="baseline"/>
        </w:rPr>
        <w:t> </w:t>
      </w:r>
      <w:r>
        <w:rPr>
          <w:rFonts w:ascii="Calibri"/>
          <w:sz w:val="20"/>
          <w:vertAlign w:val="baseline"/>
        </w:rPr>
        <w:t>Firms</w:t>
      </w:r>
      <w:r>
        <w:rPr>
          <w:rFonts w:ascii="Calibri"/>
          <w:spacing w:val="40"/>
          <w:sz w:val="20"/>
          <w:vertAlign w:val="baseline"/>
        </w:rPr>
        <w:t> </w:t>
      </w:r>
      <w:r>
        <w:rPr>
          <w:rFonts w:ascii="Calibri"/>
          <w:sz w:val="20"/>
          <w:vertAlign w:val="baseline"/>
        </w:rPr>
        <w:t>to</w:t>
      </w:r>
      <w:r>
        <w:rPr>
          <w:rFonts w:ascii="Calibri"/>
          <w:spacing w:val="40"/>
          <w:sz w:val="20"/>
          <w:vertAlign w:val="baseline"/>
        </w:rPr>
        <w:t> </w:t>
      </w:r>
      <w:r>
        <w:rPr>
          <w:rFonts w:ascii="Calibri"/>
          <w:sz w:val="20"/>
          <w:vertAlign w:val="baseline"/>
        </w:rPr>
        <w:t>Have</w:t>
      </w:r>
      <w:r>
        <w:rPr>
          <w:rFonts w:ascii="Calibri"/>
          <w:spacing w:val="39"/>
          <w:sz w:val="20"/>
          <w:vertAlign w:val="baseline"/>
        </w:rPr>
        <w:t> </w:t>
      </w:r>
      <w:r>
        <w:rPr>
          <w:rFonts w:ascii="Calibri"/>
          <w:sz w:val="20"/>
          <w:vertAlign w:val="baseline"/>
        </w:rPr>
        <w:t>More</w:t>
      </w:r>
      <w:r>
        <w:rPr>
          <w:rFonts w:ascii="Calibri"/>
          <w:spacing w:val="40"/>
          <w:sz w:val="20"/>
          <w:vertAlign w:val="baseline"/>
        </w:rPr>
        <w:t> </w:t>
      </w:r>
      <w:r>
        <w:rPr>
          <w:rFonts w:ascii="Calibri"/>
          <w:sz w:val="20"/>
          <w:vertAlign w:val="baseline"/>
        </w:rPr>
        <w:t>Women</w:t>
      </w:r>
      <w:r>
        <w:rPr>
          <w:rFonts w:ascii="Calibri"/>
          <w:spacing w:val="39"/>
          <w:sz w:val="20"/>
          <w:vertAlign w:val="baseline"/>
        </w:rPr>
        <w:t> </w:t>
      </w:r>
      <w:r>
        <w:rPr>
          <w:rFonts w:ascii="Calibri"/>
          <w:sz w:val="20"/>
          <w:vertAlign w:val="baseline"/>
        </w:rPr>
        <w:t>Directors.</w:t>
      </w:r>
      <w:r>
        <w:rPr>
          <w:rFonts w:ascii="Calibri"/>
          <w:spacing w:val="40"/>
          <w:sz w:val="20"/>
          <w:vertAlign w:val="baseline"/>
        </w:rPr>
        <w:t> </w:t>
      </w:r>
      <w:r>
        <w:rPr>
          <w:rFonts w:ascii="Calibri"/>
          <w:i/>
          <w:sz w:val="20"/>
          <w:vertAlign w:val="baseline"/>
        </w:rPr>
        <w:t>Daily Trust.</w:t>
      </w:r>
      <w:r>
        <w:rPr>
          <w:rFonts w:ascii="Calibri"/>
          <w:sz w:val="20"/>
          <w:vertAlign w:val="baseline"/>
        </w:rPr>
        <w:t>Business, p.22.</w:t>
      </w:r>
    </w:p>
    <w:p>
      <w:pPr>
        <w:spacing w:before="2"/>
        <w:ind w:left="308" w:right="0" w:firstLine="0"/>
        <w:jc w:val="left"/>
        <w:rPr>
          <w:rFonts w:ascii="Calibri"/>
          <w:sz w:val="20"/>
        </w:rPr>
      </w:pPr>
      <w:r>
        <w:rPr>
          <w:rFonts w:ascii="Calibri"/>
          <w:sz w:val="20"/>
          <w:vertAlign w:val="superscript"/>
        </w:rPr>
        <w:t>10</w:t>
      </w:r>
      <w:r>
        <w:rPr>
          <w:rFonts w:ascii="Calibri"/>
          <w:spacing w:val="-1"/>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draft</w:t>
      </w:r>
      <w:r>
        <w:rPr>
          <w:rFonts w:ascii="Calibri"/>
          <w:spacing w:val="-3"/>
          <w:sz w:val="20"/>
          <w:vertAlign w:val="baseline"/>
        </w:rPr>
        <w:t> </w:t>
      </w:r>
      <w:r>
        <w:rPr>
          <w:rFonts w:ascii="Calibri"/>
          <w:sz w:val="20"/>
          <w:vertAlign w:val="baseline"/>
        </w:rPr>
        <w:t>copy</w:t>
      </w:r>
      <w:r>
        <w:rPr>
          <w:rFonts w:ascii="Calibri"/>
          <w:spacing w:val="-2"/>
          <w:sz w:val="20"/>
          <w:vertAlign w:val="baseline"/>
        </w:rPr>
        <w:t> </w:t>
      </w:r>
      <w:r>
        <w:rPr>
          <w:rFonts w:ascii="Calibri"/>
          <w:sz w:val="20"/>
          <w:vertAlign w:val="baseline"/>
        </w:rPr>
        <w:t>of</w:t>
      </w:r>
      <w:r>
        <w:rPr>
          <w:rFonts w:ascii="Calibri"/>
          <w:spacing w:val="-2"/>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bill</w:t>
      </w:r>
      <w:r>
        <w:rPr>
          <w:rFonts w:ascii="Calibri"/>
          <w:spacing w:val="-1"/>
          <w:sz w:val="20"/>
          <w:vertAlign w:val="baseline"/>
        </w:rPr>
        <w:t> </w:t>
      </w:r>
      <w:r>
        <w:rPr>
          <w:rFonts w:ascii="Calibri"/>
          <w:sz w:val="20"/>
          <w:vertAlign w:val="baseline"/>
        </w:rPr>
        <w:t>just</w:t>
      </w:r>
      <w:r>
        <w:rPr>
          <w:rFonts w:ascii="Calibri"/>
          <w:spacing w:val="-7"/>
          <w:sz w:val="20"/>
          <w:vertAlign w:val="baseline"/>
        </w:rPr>
        <w:t> </w:t>
      </w:r>
      <w:r>
        <w:rPr>
          <w:rFonts w:ascii="Calibri"/>
          <w:sz w:val="20"/>
          <w:vertAlign w:val="baseline"/>
        </w:rPr>
        <w:t>passed</w:t>
      </w:r>
      <w:r>
        <w:rPr>
          <w:rFonts w:ascii="Calibri"/>
          <w:spacing w:val="-3"/>
          <w:sz w:val="20"/>
          <w:vertAlign w:val="baseline"/>
        </w:rPr>
        <w:t> </w:t>
      </w:r>
      <w:r>
        <w:rPr>
          <w:rFonts w:ascii="Calibri"/>
          <w:sz w:val="20"/>
          <w:vertAlign w:val="baseline"/>
        </w:rPr>
        <w:t>at</w:t>
      </w:r>
      <w:r>
        <w:rPr>
          <w:rFonts w:ascii="Calibri"/>
          <w:spacing w:val="-5"/>
          <w:sz w:val="20"/>
          <w:vertAlign w:val="baseline"/>
        </w:rPr>
        <w:t> </w:t>
      </w:r>
      <w:hyperlink r:id="rId11">
        <w:r>
          <w:rPr>
            <w:rFonts w:ascii="Calibri"/>
            <w:color w:val="0000FF"/>
            <w:spacing w:val="-2"/>
            <w:sz w:val="20"/>
            <w:u w:val="single" w:color="0000FF"/>
            <w:vertAlign w:val="baseline"/>
          </w:rPr>
          <w:t>http://www.nassnig.org/nass/legislation_2012.php</w:t>
        </w:r>
      </w:hyperlink>
      <w:r>
        <w:rPr>
          <w:rFonts w:ascii="Calibri"/>
          <w:spacing w:val="-2"/>
          <w:sz w:val="20"/>
          <w:vertAlign w:val="baseline"/>
        </w:rPr>
        <w:t>.</w:t>
      </w:r>
    </w:p>
    <w:p>
      <w:pPr>
        <w:spacing w:before="1"/>
        <w:ind w:left="308" w:right="0" w:firstLine="0"/>
        <w:jc w:val="left"/>
        <w:rPr>
          <w:rFonts w:ascii="Calibri"/>
          <w:sz w:val="20"/>
        </w:rPr>
      </w:pPr>
      <w:r>
        <w:rPr>
          <w:rFonts w:ascii="Calibri"/>
          <w:sz w:val="20"/>
          <w:vertAlign w:val="superscript"/>
        </w:rPr>
        <w:t>11</w:t>
      </w:r>
      <w:r>
        <w:rPr>
          <w:rFonts w:ascii="Calibri"/>
          <w:sz w:val="20"/>
          <w:vertAlign w:val="baseline"/>
        </w:rPr>
        <w:t>Encarta</w:t>
      </w:r>
      <w:r>
        <w:rPr>
          <w:rFonts w:ascii="Calibri"/>
          <w:spacing w:val="-10"/>
          <w:sz w:val="20"/>
          <w:vertAlign w:val="baseline"/>
        </w:rPr>
        <w:t> </w:t>
      </w:r>
      <w:r>
        <w:rPr>
          <w:rFonts w:ascii="Calibri"/>
          <w:sz w:val="20"/>
          <w:vertAlign w:val="baseline"/>
        </w:rPr>
        <w:t>Dictionaries</w:t>
      </w:r>
      <w:r>
        <w:rPr>
          <w:rFonts w:ascii="Calibri"/>
          <w:spacing w:val="-11"/>
          <w:sz w:val="20"/>
          <w:vertAlign w:val="baseline"/>
        </w:rPr>
        <w:t> </w:t>
      </w:r>
      <w:r>
        <w:rPr>
          <w:rFonts w:ascii="Calibri"/>
          <w:sz w:val="20"/>
          <w:vertAlign w:val="baseline"/>
        </w:rPr>
        <w:t>(2009).Microsoft</w:t>
      </w:r>
      <w:r>
        <w:rPr>
          <w:rFonts w:ascii="Calibri"/>
          <w:spacing w:val="-10"/>
          <w:sz w:val="20"/>
          <w:vertAlign w:val="baseline"/>
        </w:rPr>
        <w:t> </w:t>
      </w:r>
      <w:r>
        <w:rPr>
          <w:rFonts w:ascii="Calibri"/>
          <w:sz w:val="20"/>
          <w:vertAlign w:val="baseline"/>
        </w:rPr>
        <w:t>Encarta</w:t>
      </w:r>
      <w:r>
        <w:rPr>
          <w:rFonts w:ascii="Calibri"/>
          <w:spacing w:val="-9"/>
          <w:sz w:val="20"/>
          <w:vertAlign w:val="baseline"/>
        </w:rPr>
        <w:t> </w:t>
      </w:r>
      <w:r>
        <w:rPr>
          <w:rFonts w:ascii="Calibri"/>
          <w:sz w:val="20"/>
          <w:vertAlign w:val="baseline"/>
        </w:rPr>
        <w:t>Premium</w:t>
      </w:r>
      <w:r>
        <w:rPr>
          <w:rFonts w:ascii="Calibri"/>
          <w:spacing w:val="-9"/>
          <w:sz w:val="20"/>
          <w:vertAlign w:val="baseline"/>
        </w:rPr>
        <w:t> </w:t>
      </w:r>
      <w:r>
        <w:rPr>
          <w:rFonts w:ascii="Calibri"/>
          <w:spacing w:val="-4"/>
          <w:sz w:val="20"/>
          <w:vertAlign w:val="baseline"/>
        </w:rPr>
        <w:t>DVD.</w:t>
      </w:r>
    </w:p>
    <w:p>
      <w:pPr>
        <w:spacing w:before="0"/>
        <w:ind w:left="308" w:right="339" w:firstLine="0"/>
        <w:jc w:val="left"/>
        <w:rPr>
          <w:rFonts w:ascii="Calibri" w:hAnsi="Calibri"/>
          <w:sz w:val="20"/>
        </w:rPr>
      </w:pPr>
      <w:r>
        <w:rPr>
          <w:rFonts w:ascii="Calibri" w:hAnsi="Calibri"/>
          <w:sz w:val="20"/>
          <w:vertAlign w:val="superscript"/>
        </w:rPr>
        <w:t>12</w:t>
      </w:r>
      <w:r>
        <w:rPr>
          <w:rFonts w:ascii="Calibri" w:hAnsi="Calibri"/>
          <w:sz w:val="20"/>
          <w:vertAlign w:val="baseline"/>
        </w:rPr>
        <w:t>Garner,</w:t>
      </w:r>
      <w:r>
        <w:rPr>
          <w:rFonts w:ascii="Calibri" w:hAnsi="Calibri"/>
          <w:spacing w:val="-1"/>
          <w:sz w:val="20"/>
          <w:vertAlign w:val="baseline"/>
        </w:rPr>
        <w:t> </w:t>
      </w:r>
      <w:r>
        <w:rPr>
          <w:rFonts w:ascii="Calibri" w:hAnsi="Calibri"/>
          <w:sz w:val="20"/>
          <w:vertAlign w:val="baseline"/>
        </w:rPr>
        <w:t>A.B.</w:t>
      </w:r>
      <w:r>
        <w:rPr>
          <w:rFonts w:ascii="Calibri" w:hAnsi="Calibri"/>
          <w:spacing w:val="-2"/>
          <w:sz w:val="20"/>
          <w:vertAlign w:val="baseline"/>
        </w:rPr>
        <w:t> </w:t>
      </w:r>
      <w:r>
        <w:rPr>
          <w:rFonts w:ascii="Calibri" w:hAnsi="Calibri"/>
          <w:sz w:val="20"/>
          <w:vertAlign w:val="baseline"/>
        </w:rPr>
        <w:t>(ed.).</w:t>
      </w:r>
      <w:r>
        <w:rPr>
          <w:rFonts w:ascii="Calibri" w:hAnsi="Calibri"/>
          <w:spacing w:val="-2"/>
          <w:sz w:val="20"/>
          <w:vertAlign w:val="baseline"/>
        </w:rPr>
        <w:t> </w:t>
      </w:r>
      <w:r>
        <w:rPr>
          <w:rFonts w:ascii="Calibri" w:hAnsi="Calibri"/>
          <w:sz w:val="20"/>
          <w:vertAlign w:val="baseline"/>
        </w:rPr>
        <w:t>(2004).</w:t>
      </w:r>
      <w:r>
        <w:rPr>
          <w:rFonts w:ascii="Calibri" w:hAnsi="Calibri"/>
          <w:i/>
          <w:sz w:val="20"/>
          <w:vertAlign w:val="baseline"/>
        </w:rPr>
        <w:t>Black’s</w:t>
      </w:r>
      <w:r>
        <w:rPr>
          <w:rFonts w:ascii="Calibri" w:hAnsi="Calibri"/>
          <w:i/>
          <w:spacing w:val="-1"/>
          <w:sz w:val="20"/>
          <w:vertAlign w:val="baseline"/>
        </w:rPr>
        <w:t> </w:t>
      </w:r>
      <w:r>
        <w:rPr>
          <w:rFonts w:ascii="Calibri" w:hAnsi="Calibri"/>
          <w:i/>
          <w:sz w:val="20"/>
          <w:vertAlign w:val="baseline"/>
        </w:rPr>
        <w:t>Law</w:t>
      </w:r>
      <w:r>
        <w:rPr>
          <w:rFonts w:ascii="Calibri" w:hAnsi="Calibri"/>
          <w:i/>
          <w:spacing w:val="-4"/>
          <w:sz w:val="20"/>
          <w:vertAlign w:val="baseline"/>
        </w:rPr>
        <w:t> </w:t>
      </w:r>
      <w:r>
        <w:rPr>
          <w:rFonts w:ascii="Calibri" w:hAnsi="Calibri"/>
          <w:i/>
          <w:sz w:val="20"/>
          <w:vertAlign w:val="baseline"/>
        </w:rPr>
        <w:t>Dictionary.</w:t>
      </w:r>
      <w:r>
        <w:rPr>
          <w:rFonts w:ascii="Calibri" w:hAnsi="Calibri"/>
          <w:sz w:val="20"/>
          <w:vertAlign w:val="baseline"/>
        </w:rPr>
        <w:t>8th</w:t>
      </w:r>
      <w:r>
        <w:rPr>
          <w:rFonts w:ascii="Calibri" w:hAnsi="Calibri"/>
          <w:spacing w:val="-4"/>
          <w:sz w:val="20"/>
          <w:vertAlign w:val="baseline"/>
        </w:rPr>
        <w:t> </w:t>
      </w:r>
      <w:r>
        <w:rPr>
          <w:rFonts w:ascii="Calibri" w:hAnsi="Calibri"/>
          <w:sz w:val="20"/>
          <w:vertAlign w:val="baseline"/>
        </w:rPr>
        <w:t>edition,</w:t>
      </w:r>
      <w:r>
        <w:rPr>
          <w:rFonts w:ascii="Calibri" w:hAnsi="Calibri"/>
          <w:spacing w:val="-1"/>
          <w:sz w:val="20"/>
          <w:vertAlign w:val="baseline"/>
        </w:rPr>
        <w:t> </w:t>
      </w:r>
      <w:r>
        <w:rPr>
          <w:rFonts w:ascii="Calibri" w:hAnsi="Calibri"/>
          <w:sz w:val="20"/>
          <w:vertAlign w:val="baseline"/>
        </w:rPr>
        <w:t>West</w:t>
      </w:r>
      <w:r>
        <w:rPr>
          <w:rFonts w:ascii="Calibri" w:hAnsi="Calibri"/>
          <w:spacing w:val="-4"/>
          <w:sz w:val="20"/>
          <w:vertAlign w:val="baseline"/>
        </w:rPr>
        <w:t> </w:t>
      </w:r>
      <w:r>
        <w:rPr>
          <w:rFonts w:ascii="Calibri" w:hAnsi="Calibri"/>
          <w:sz w:val="20"/>
          <w:vertAlign w:val="baseline"/>
        </w:rPr>
        <w:t>Publishing</w:t>
      </w:r>
      <w:r>
        <w:rPr>
          <w:rFonts w:ascii="Calibri" w:hAnsi="Calibri"/>
          <w:spacing w:val="-3"/>
          <w:sz w:val="20"/>
          <w:vertAlign w:val="baseline"/>
        </w:rPr>
        <w:t> </w:t>
      </w:r>
      <w:r>
        <w:rPr>
          <w:rFonts w:ascii="Calibri" w:hAnsi="Calibri"/>
          <w:sz w:val="20"/>
          <w:vertAlign w:val="baseline"/>
        </w:rPr>
        <w:t>Co.,</w:t>
      </w:r>
      <w:r>
        <w:rPr>
          <w:rFonts w:ascii="Calibri" w:hAnsi="Calibri"/>
          <w:spacing w:val="-6"/>
          <w:sz w:val="20"/>
          <w:vertAlign w:val="baseline"/>
        </w:rPr>
        <w:t> </w:t>
      </w:r>
      <w:r>
        <w:rPr>
          <w:rFonts w:ascii="Calibri" w:hAnsi="Calibri"/>
          <w:sz w:val="20"/>
          <w:vertAlign w:val="baseline"/>
        </w:rPr>
        <w:t>United States,</w:t>
      </w:r>
      <w:r>
        <w:rPr>
          <w:rFonts w:ascii="Calibri" w:hAnsi="Calibri"/>
          <w:spacing w:val="-1"/>
          <w:sz w:val="20"/>
          <w:vertAlign w:val="baseline"/>
        </w:rPr>
        <w:t> </w:t>
      </w:r>
      <w:r>
        <w:rPr>
          <w:rFonts w:ascii="Calibri" w:hAnsi="Calibri"/>
          <w:sz w:val="20"/>
          <w:vertAlign w:val="baseline"/>
        </w:rPr>
        <w:t>p. </w:t>
      </w:r>
      <w:r>
        <w:rPr>
          <w:rFonts w:ascii="Calibri" w:hAnsi="Calibri"/>
          <w:spacing w:val="-4"/>
          <w:sz w:val="20"/>
          <w:vertAlign w:val="baseline"/>
        </w:rPr>
        <w:t>543.</w:t>
      </w:r>
    </w:p>
    <w:p>
      <w:pPr>
        <w:spacing w:after="0"/>
        <w:jc w:val="left"/>
        <w:rPr>
          <w:rFonts w:ascii="Calibri" w:hAnsi="Calibri"/>
          <w:sz w:val="20"/>
        </w:rPr>
        <w:sectPr>
          <w:pgSz w:w="11910" w:h="16840"/>
          <w:pgMar w:header="0" w:footer="1003" w:top="1280" w:bottom="1200" w:left="1680" w:right="1180"/>
        </w:sectPr>
      </w:pPr>
    </w:p>
    <w:p>
      <w:pPr>
        <w:pStyle w:val="BodyText"/>
        <w:spacing w:line="480" w:lineRule="auto" w:before="70"/>
        <w:ind w:right="234"/>
        <w:jc w:val="both"/>
      </w:pPr>
      <w:r>
        <w:rPr/>
        <w:t>However, ‗shall‘ is generally considered old-fashioned today, when used to indicate obligation.</w:t>
      </w:r>
      <w:r>
        <w:rPr>
          <w:vertAlign w:val="superscript"/>
        </w:rPr>
        <w:t>13</w:t>
      </w:r>
      <w:r>
        <w:rPr>
          <w:vertAlign w:val="baseline"/>
        </w:rPr>
        <w:t> Nowadays, ‗must‘ is preferred to emphatically indicate duty.</w:t>
      </w:r>
      <w:r>
        <w:rPr>
          <w:vertAlign w:val="superscript"/>
        </w:rPr>
        <w:t>14</w:t>
      </w:r>
    </w:p>
    <w:p>
      <w:pPr>
        <w:pStyle w:val="BodyText"/>
        <w:spacing w:line="480" w:lineRule="auto"/>
        <w:ind w:right="228" w:firstLine="720"/>
        <w:jc w:val="both"/>
      </w:pPr>
      <w:r>
        <w:rPr/>
        <w:t>Generally, the duties of directors are broadly categorized into two main heads: duties of </w:t>
      </w:r>
      <w:r>
        <w:rPr>
          <w:i/>
        </w:rPr>
        <w:t>care </w:t>
      </w:r>
      <w:r>
        <w:rPr/>
        <w:t>and </w:t>
      </w:r>
      <w:r>
        <w:rPr>
          <w:i/>
        </w:rPr>
        <w:t>skill </w:t>
      </w:r>
      <w:r>
        <w:rPr/>
        <w:t>and fiduciary duties of </w:t>
      </w:r>
      <w:r>
        <w:rPr>
          <w:i/>
        </w:rPr>
        <w:t>loyalty </w:t>
      </w:r>
      <w:r>
        <w:rPr/>
        <w:t>and </w:t>
      </w:r>
      <w:r>
        <w:rPr>
          <w:i/>
        </w:rPr>
        <w:t>goodfaith. </w:t>
      </w:r>
      <w:r>
        <w:rPr/>
        <w:t>In particular, the duties of care and skill are an aspect of the common law tort of negligence while the fiduciary duties sprung from equity.</w:t>
      </w:r>
      <w:r>
        <w:rPr>
          <w:vertAlign w:val="superscript"/>
        </w:rPr>
        <w:t>15</w:t>
      </w:r>
      <w:r>
        <w:rPr>
          <w:vertAlign w:val="baseline"/>
        </w:rPr>
        <w:t> All are adaptations of the expectation of the offices of trustee and agent, which a director often invariably is. The provisions in the two legislations under review have, using different styles, largely attempted to codify those common law and equitable connotations of the director‘s duties.</w:t>
      </w:r>
    </w:p>
    <w:p>
      <w:pPr>
        <w:pStyle w:val="BodyText"/>
        <w:spacing w:line="480" w:lineRule="auto" w:before="2"/>
        <w:ind w:right="233" w:firstLine="720"/>
        <w:jc w:val="both"/>
      </w:pPr>
      <w:r>
        <w:rPr/>
        <w:t>Of</w:t>
      </w:r>
      <w:r>
        <w:rPr>
          <w:spacing w:val="-2"/>
        </w:rPr>
        <w:t> </w:t>
      </w:r>
      <w:r>
        <w:rPr/>
        <w:t>all the calls for the review of</w:t>
      </w:r>
      <w:r>
        <w:rPr>
          <w:spacing w:val="-2"/>
        </w:rPr>
        <w:t> </w:t>
      </w:r>
      <w:r>
        <w:rPr/>
        <w:t>the CAMA, none has been aimed at the crucial area of the duties of directors. Scholars writing on the topic often do no more than restate the duties as provided in the Act. The scarcity of judicial decisions further suggests either inadequacy or ambiguity in that area.</w:t>
      </w:r>
      <w:r>
        <w:rPr>
          <w:spacing w:val="40"/>
        </w:rPr>
        <w:t> </w:t>
      </w:r>
      <w:r>
        <w:rPr/>
        <w:t>Many companies rather resort to removal of erring directors</w:t>
      </w:r>
      <w:r>
        <w:rPr>
          <w:vertAlign w:val="superscript"/>
        </w:rPr>
        <w:t>16</w:t>
      </w:r>
      <w:r>
        <w:rPr>
          <w:vertAlign w:val="baseline"/>
        </w:rPr>
        <w:t> or other such measures, than litigation, in resolving corporate governance issues. More scandalous cases are taken up by government agencies, such as the Securities and Exchange Commission, the Central Bank of</w:t>
      </w:r>
      <w:r>
        <w:rPr>
          <w:spacing w:val="40"/>
          <w:vertAlign w:val="baseline"/>
        </w:rPr>
        <w:t> </w:t>
      </w:r>
      <w:r>
        <w:rPr>
          <w:vertAlign w:val="baseline"/>
        </w:rPr>
        <w:t>Nigeria, or the Economic and Financial Crimes Commission, often reputed to be mere political tools of the prevailing political administration. In the light of the above, the question whether and to what extent the statement of directors‘ duties should also be reviewed—or at least, restated—in the light of new legislation and court decisions available for reference within the Commonwealth, is appropriate for discussion.</w:t>
      </w:r>
    </w:p>
    <w:p>
      <w:pPr>
        <w:pStyle w:val="BodyText"/>
        <w:ind w:left="0"/>
        <w:rPr>
          <w:sz w:val="20"/>
        </w:rPr>
      </w:pPr>
    </w:p>
    <w:p>
      <w:pPr>
        <w:pStyle w:val="BodyText"/>
        <w:spacing w:before="112"/>
        <w:ind w:left="0"/>
        <w:rPr>
          <w:sz w:val="20"/>
        </w:rPr>
      </w:pPr>
      <w:r>
        <w:rPr/>
        <mc:AlternateContent>
          <mc:Choice Requires="wps">
            <w:drawing>
              <wp:anchor distT="0" distB="0" distL="0" distR="0" allowOverlap="1" layoutInCell="1" locked="0" behindDoc="1" simplePos="0" relativeHeight="487613952">
                <wp:simplePos x="0" y="0"/>
                <wp:positionH relativeFrom="page">
                  <wp:posOffset>1262481</wp:posOffset>
                </wp:positionH>
                <wp:positionV relativeFrom="paragraph">
                  <wp:posOffset>232412</wp:posOffset>
                </wp:positionV>
                <wp:extent cx="1829435" cy="9525"/>
                <wp:effectExtent l="0" t="0" r="0" b="0"/>
                <wp:wrapTopAndBottom/>
                <wp:docPr id="54" name="Graphic 54"/>
                <wp:cNvGraphicFramePr>
                  <a:graphicFrameLocks/>
                </wp:cNvGraphicFramePr>
                <a:graphic>
                  <a:graphicData uri="http://schemas.microsoft.com/office/word/2010/wordprocessingShape">
                    <wps:wsp>
                      <wps:cNvPr id="54" name="Graphic 5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300226pt;width:144.050pt;height:.71997pt;mso-position-horizontal-relative:page;mso-position-vertical-relative:paragraph;z-index:-15702528;mso-wrap-distance-left:0;mso-wrap-distance-right:0" id="docshape9" filled="true" fillcolor="#000000" stroked="false">
                <v:fill type="solid"/>
                <w10:wrap type="topAndBottom"/>
              </v:rect>
            </w:pict>
          </mc:Fallback>
        </mc:AlternateContent>
      </w:r>
    </w:p>
    <w:p>
      <w:pPr>
        <w:spacing w:before="97"/>
        <w:ind w:left="308" w:right="0" w:firstLine="0"/>
        <w:jc w:val="left"/>
        <w:rPr>
          <w:rFonts w:ascii="Calibri" w:hAnsi="Calibri"/>
          <w:sz w:val="20"/>
        </w:rPr>
      </w:pPr>
      <w:r>
        <w:rPr>
          <w:rFonts w:ascii="Calibri" w:hAnsi="Calibri"/>
          <w:sz w:val="20"/>
          <w:vertAlign w:val="superscript"/>
        </w:rPr>
        <w:t>13</w:t>
      </w:r>
      <w:r>
        <w:rPr>
          <w:rFonts w:ascii="Calibri" w:hAnsi="Calibri"/>
          <w:spacing w:val="-2"/>
          <w:sz w:val="20"/>
          <w:vertAlign w:val="baseline"/>
        </w:rPr>
        <w:t> </w:t>
      </w:r>
      <w:r>
        <w:rPr>
          <w:rFonts w:ascii="Calibri" w:hAnsi="Calibri"/>
          <w:sz w:val="20"/>
          <w:vertAlign w:val="baseline"/>
        </w:rPr>
        <w:t>See</w:t>
      </w:r>
      <w:r>
        <w:rPr>
          <w:rFonts w:ascii="Calibri" w:hAnsi="Calibri"/>
          <w:spacing w:val="-7"/>
          <w:sz w:val="20"/>
          <w:vertAlign w:val="baseline"/>
        </w:rPr>
        <w:t> </w:t>
      </w:r>
      <w:r>
        <w:rPr>
          <w:rFonts w:ascii="Calibri" w:hAnsi="Calibri"/>
          <w:sz w:val="20"/>
          <w:vertAlign w:val="baseline"/>
        </w:rPr>
        <w:t>Encarta</w:t>
      </w:r>
      <w:r>
        <w:rPr>
          <w:rFonts w:ascii="Calibri" w:hAnsi="Calibri"/>
          <w:spacing w:val="-8"/>
          <w:sz w:val="20"/>
          <w:vertAlign w:val="baseline"/>
        </w:rPr>
        <w:t> </w:t>
      </w:r>
      <w:r>
        <w:rPr>
          <w:rFonts w:ascii="Calibri" w:hAnsi="Calibri"/>
          <w:sz w:val="20"/>
          <w:vertAlign w:val="baseline"/>
        </w:rPr>
        <w:t>Dictionaries</w:t>
      </w:r>
      <w:r>
        <w:rPr>
          <w:rFonts w:ascii="Calibri" w:hAnsi="Calibri"/>
          <w:spacing w:val="-9"/>
          <w:sz w:val="20"/>
          <w:vertAlign w:val="baseline"/>
        </w:rPr>
        <w:t> </w:t>
      </w:r>
      <w:r>
        <w:rPr>
          <w:rFonts w:ascii="Calibri" w:hAnsi="Calibri"/>
          <w:sz w:val="20"/>
          <w:vertAlign w:val="baseline"/>
        </w:rPr>
        <w:t>(2009).</w:t>
      </w:r>
      <w:r>
        <w:rPr>
          <w:rFonts w:ascii="Calibri" w:hAnsi="Calibri"/>
          <w:spacing w:val="-2"/>
          <w:sz w:val="20"/>
          <w:vertAlign w:val="baseline"/>
        </w:rPr>
        <w:t> </w:t>
      </w:r>
      <w:r>
        <w:rPr>
          <w:rFonts w:ascii="Calibri" w:hAnsi="Calibri"/>
          <w:sz w:val="20"/>
          <w:vertAlign w:val="baseline"/>
        </w:rPr>
        <w:t>Microsoft</w:t>
      </w:r>
      <w:r>
        <w:rPr>
          <w:rFonts w:ascii="Calibri" w:hAnsi="Calibri"/>
          <w:spacing w:val="-12"/>
          <w:sz w:val="20"/>
          <w:vertAlign w:val="baseline"/>
        </w:rPr>
        <w:t> </w:t>
      </w:r>
      <w:r>
        <w:rPr>
          <w:rFonts w:ascii="Calibri" w:hAnsi="Calibri"/>
          <w:sz w:val="20"/>
          <w:vertAlign w:val="baseline"/>
        </w:rPr>
        <w:t>Encarta</w:t>
      </w:r>
      <w:r>
        <w:rPr>
          <w:rFonts w:ascii="Calibri" w:hAnsi="Calibri"/>
          <w:spacing w:val="-6"/>
          <w:sz w:val="20"/>
          <w:vertAlign w:val="baseline"/>
        </w:rPr>
        <w:t> </w:t>
      </w:r>
      <w:r>
        <w:rPr>
          <w:rFonts w:ascii="Calibri" w:hAnsi="Calibri"/>
          <w:sz w:val="20"/>
          <w:vertAlign w:val="baseline"/>
        </w:rPr>
        <w:t>Premium</w:t>
      </w:r>
      <w:r>
        <w:rPr>
          <w:rFonts w:ascii="Calibri" w:hAnsi="Calibri"/>
          <w:spacing w:val="-6"/>
          <w:sz w:val="20"/>
          <w:vertAlign w:val="baseline"/>
        </w:rPr>
        <w:t> </w:t>
      </w:r>
      <w:r>
        <w:rPr>
          <w:rFonts w:ascii="Calibri" w:hAnsi="Calibri"/>
          <w:sz w:val="20"/>
          <w:vertAlign w:val="baseline"/>
        </w:rPr>
        <w:t>DVD,</w:t>
      </w:r>
      <w:r>
        <w:rPr>
          <w:rFonts w:ascii="Calibri" w:hAnsi="Calibri"/>
          <w:spacing w:val="-5"/>
          <w:sz w:val="20"/>
          <w:vertAlign w:val="baseline"/>
        </w:rPr>
        <w:t> </w:t>
      </w:r>
      <w:r>
        <w:rPr>
          <w:rFonts w:ascii="Calibri" w:hAnsi="Calibri"/>
          <w:sz w:val="20"/>
          <w:vertAlign w:val="baseline"/>
        </w:rPr>
        <w:t>on</w:t>
      </w:r>
      <w:r>
        <w:rPr>
          <w:rFonts w:ascii="Calibri" w:hAnsi="Calibri"/>
          <w:spacing w:val="-7"/>
          <w:sz w:val="20"/>
          <w:vertAlign w:val="baseline"/>
        </w:rPr>
        <w:t> </w:t>
      </w:r>
      <w:r>
        <w:rPr>
          <w:rFonts w:ascii="Calibri" w:hAnsi="Calibri"/>
          <w:sz w:val="20"/>
          <w:vertAlign w:val="baseline"/>
        </w:rPr>
        <w:t>the</w:t>
      </w:r>
      <w:r>
        <w:rPr>
          <w:rFonts w:ascii="Calibri" w:hAnsi="Calibri"/>
          <w:spacing w:val="-8"/>
          <w:sz w:val="20"/>
          <w:vertAlign w:val="baseline"/>
        </w:rPr>
        <w:t> </w:t>
      </w:r>
      <w:r>
        <w:rPr>
          <w:rFonts w:ascii="Calibri" w:hAnsi="Calibri"/>
          <w:sz w:val="20"/>
          <w:vertAlign w:val="baseline"/>
        </w:rPr>
        <w:t>use</w:t>
      </w:r>
      <w:r>
        <w:rPr>
          <w:rFonts w:ascii="Calibri" w:hAnsi="Calibri"/>
          <w:spacing w:val="-2"/>
          <w:sz w:val="20"/>
          <w:vertAlign w:val="baseline"/>
        </w:rPr>
        <w:t> </w:t>
      </w:r>
      <w:r>
        <w:rPr>
          <w:rFonts w:ascii="Calibri" w:hAnsi="Calibri"/>
          <w:sz w:val="20"/>
          <w:vertAlign w:val="baseline"/>
        </w:rPr>
        <w:t>of</w:t>
      </w:r>
      <w:r>
        <w:rPr>
          <w:rFonts w:ascii="Calibri" w:hAnsi="Calibri"/>
          <w:spacing w:val="-2"/>
          <w:sz w:val="20"/>
          <w:vertAlign w:val="baseline"/>
        </w:rPr>
        <w:t> ‘shall’.</w:t>
      </w:r>
    </w:p>
    <w:p>
      <w:pPr>
        <w:spacing w:before="1"/>
        <w:ind w:left="308" w:right="0" w:firstLine="0"/>
        <w:jc w:val="left"/>
        <w:rPr>
          <w:rFonts w:ascii="Calibri"/>
          <w:sz w:val="20"/>
        </w:rPr>
      </w:pPr>
      <w:r>
        <w:rPr>
          <w:rFonts w:ascii="Calibri"/>
          <w:sz w:val="20"/>
          <w:vertAlign w:val="superscript"/>
        </w:rPr>
        <w:t>14</w:t>
      </w:r>
      <w:r>
        <w:rPr>
          <w:rFonts w:ascii="Calibri"/>
          <w:spacing w:val="40"/>
          <w:sz w:val="20"/>
          <w:vertAlign w:val="baseline"/>
        </w:rPr>
        <w:t> </w:t>
      </w:r>
      <w:r>
        <w:rPr>
          <w:rFonts w:ascii="Calibri"/>
          <w:sz w:val="20"/>
          <w:vertAlign w:val="baseline"/>
        </w:rPr>
        <w:t>See</w:t>
      </w:r>
      <w:r>
        <w:rPr>
          <w:rFonts w:ascii="Calibri"/>
          <w:spacing w:val="40"/>
          <w:sz w:val="20"/>
          <w:vertAlign w:val="baseline"/>
        </w:rPr>
        <w:t> </w:t>
      </w:r>
      <w:r>
        <w:rPr>
          <w:rFonts w:ascii="Calibri"/>
          <w:sz w:val="20"/>
          <w:vertAlign w:val="baseline"/>
        </w:rPr>
        <w:t>Longman</w:t>
      </w:r>
      <w:r>
        <w:rPr>
          <w:rFonts w:ascii="Calibri"/>
          <w:spacing w:val="40"/>
          <w:sz w:val="20"/>
          <w:vertAlign w:val="baseline"/>
        </w:rPr>
        <w:t> </w:t>
      </w:r>
      <w:r>
        <w:rPr>
          <w:rFonts w:ascii="Calibri"/>
          <w:sz w:val="20"/>
          <w:vertAlign w:val="baseline"/>
        </w:rPr>
        <w:t>Dictionary</w:t>
      </w:r>
      <w:r>
        <w:rPr>
          <w:rFonts w:ascii="Calibri"/>
          <w:spacing w:val="40"/>
          <w:sz w:val="20"/>
          <w:vertAlign w:val="baseline"/>
        </w:rPr>
        <w:t> </w:t>
      </w:r>
      <w:r>
        <w:rPr>
          <w:rFonts w:ascii="Calibri"/>
          <w:sz w:val="20"/>
          <w:vertAlign w:val="baseline"/>
        </w:rPr>
        <w:t>of</w:t>
      </w:r>
      <w:r>
        <w:rPr>
          <w:rFonts w:ascii="Calibri"/>
          <w:spacing w:val="40"/>
          <w:sz w:val="20"/>
          <w:vertAlign w:val="baseline"/>
        </w:rPr>
        <w:t> </w:t>
      </w:r>
      <w:r>
        <w:rPr>
          <w:rFonts w:ascii="Calibri"/>
          <w:sz w:val="20"/>
          <w:vertAlign w:val="baseline"/>
        </w:rPr>
        <w:t>Contemporary</w:t>
      </w:r>
      <w:r>
        <w:rPr>
          <w:rFonts w:ascii="Calibri"/>
          <w:spacing w:val="39"/>
          <w:sz w:val="20"/>
          <w:vertAlign w:val="baseline"/>
        </w:rPr>
        <w:t> </w:t>
      </w:r>
      <w:r>
        <w:rPr>
          <w:rFonts w:ascii="Calibri"/>
          <w:sz w:val="20"/>
          <w:vertAlign w:val="baseline"/>
        </w:rPr>
        <w:t>English.</w:t>
      </w:r>
      <w:r>
        <w:rPr>
          <w:rFonts w:ascii="Calibri"/>
          <w:spacing w:val="40"/>
          <w:sz w:val="20"/>
          <w:vertAlign w:val="baseline"/>
        </w:rPr>
        <w:t> </w:t>
      </w:r>
      <w:r>
        <w:rPr>
          <w:rFonts w:ascii="Calibri"/>
          <w:sz w:val="20"/>
          <w:vertAlign w:val="baseline"/>
        </w:rPr>
        <w:t>(2005).4</w:t>
      </w:r>
      <w:r>
        <w:rPr>
          <w:rFonts w:ascii="Calibri"/>
          <w:sz w:val="20"/>
          <w:vertAlign w:val="superscript"/>
        </w:rPr>
        <w:t>th</w:t>
      </w:r>
      <w:r>
        <w:rPr>
          <w:rFonts w:ascii="Calibri"/>
          <w:spacing w:val="40"/>
          <w:sz w:val="20"/>
          <w:vertAlign w:val="baseline"/>
        </w:rPr>
        <w:t> </w:t>
      </w:r>
      <w:r>
        <w:rPr>
          <w:rFonts w:ascii="Calibri"/>
          <w:sz w:val="20"/>
          <w:vertAlign w:val="baseline"/>
        </w:rPr>
        <w:t>edition,</w:t>
      </w:r>
      <w:r>
        <w:rPr>
          <w:rFonts w:ascii="Calibri"/>
          <w:spacing w:val="40"/>
          <w:sz w:val="20"/>
          <w:vertAlign w:val="baseline"/>
        </w:rPr>
        <w:t> </w:t>
      </w:r>
      <w:r>
        <w:rPr>
          <w:rFonts w:ascii="Calibri"/>
          <w:sz w:val="20"/>
          <w:vertAlign w:val="baseline"/>
        </w:rPr>
        <w:t>Pearson</w:t>
      </w:r>
      <w:r>
        <w:rPr>
          <w:rFonts w:ascii="Calibri"/>
          <w:spacing w:val="39"/>
          <w:sz w:val="20"/>
          <w:vertAlign w:val="baseline"/>
        </w:rPr>
        <w:t> </w:t>
      </w:r>
      <w:r>
        <w:rPr>
          <w:rFonts w:ascii="Calibri"/>
          <w:sz w:val="20"/>
          <w:vertAlign w:val="baseline"/>
        </w:rPr>
        <w:t>Education</w:t>
      </w:r>
      <w:r>
        <w:rPr>
          <w:rFonts w:ascii="Calibri"/>
          <w:spacing w:val="39"/>
          <w:sz w:val="20"/>
          <w:vertAlign w:val="baseline"/>
        </w:rPr>
        <w:t> </w:t>
      </w:r>
      <w:r>
        <w:rPr>
          <w:rFonts w:ascii="Calibri"/>
          <w:sz w:val="20"/>
          <w:vertAlign w:val="baseline"/>
        </w:rPr>
        <w:t>Limited, England, pp. 972-973.</w:t>
      </w:r>
    </w:p>
    <w:p>
      <w:pPr>
        <w:spacing w:before="2"/>
        <w:ind w:left="308" w:right="0" w:firstLine="0"/>
        <w:jc w:val="left"/>
        <w:rPr>
          <w:rFonts w:ascii="Calibri" w:hAnsi="Calibri"/>
          <w:sz w:val="20"/>
        </w:rPr>
      </w:pPr>
      <w:r>
        <w:rPr>
          <w:rFonts w:ascii="Calibri" w:hAnsi="Calibri"/>
          <w:sz w:val="20"/>
          <w:vertAlign w:val="superscript"/>
        </w:rPr>
        <w:t>15</w:t>
      </w:r>
      <w:r>
        <w:rPr>
          <w:rFonts w:ascii="Calibri" w:hAnsi="Calibri"/>
          <w:sz w:val="20"/>
          <w:vertAlign w:val="baseline"/>
        </w:rPr>
        <w:t>Wild,</w:t>
      </w:r>
      <w:r>
        <w:rPr>
          <w:rFonts w:ascii="Calibri" w:hAnsi="Calibri"/>
          <w:spacing w:val="34"/>
          <w:sz w:val="20"/>
          <w:vertAlign w:val="baseline"/>
        </w:rPr>
        <w:t> </w:t>
      </w:r>
      <w:r>
        <w:rPr>
          <w:rFonts w:ascii="Calibri" w:hAnsi="Calibri"/>
          <w:sz w:val="20"/>
          <w:vertAlign w:val="baseline"/>
        </w:rPr>
        <w:t>C.</w:t>
      </w:r>
      <w:r>
        <w:rPr>
          <w:rFonts w:ascii="Calibri" w:hAnsi="Calibri"/>
          <w:spacing w:val="38"/>
          <w:sz w:val="20"/>
          <w:vertAlign w:val="baseline"/>
        </w:rPr>
        <w:t> </w:t>
      </w:r>
      <w:r>
        <w:rPr>
          <w:rFonts w:ascii="Calibri" w:hAnsi="Calibri"/>
          <w:sz w:val="20"/>
          <w:vertAlign w:val="baseline"/>
        </w:rPr>
        <w:t>and</w:t>
      </w:r>
      <w:r>
        <w:rPr>
          <w:rFonts w:ascii="Calibri" w:hAnsi="Calibri"/>
          <w:spacing w:val="36"/>
          <w:sz w:val="20"/>
          <w:vertAlign w:val="baseline"/>
        </w:rPr>
        <w:t> </w:t>
      </w:r>
      <w:r>
        <w:rPr>
          <w:rFonts w:ascii="Calibri" w:hAnsi="Calibri"/>
          <w:sz w:val="20"/>
          <w:vertAlign w:val="baseline"/>
        </w:rPr>
        <w:t>Weinstein,</w:t>
      </w:r>
      <w:r>
        <w:rPr>
          <w:rFonts w:ascii="Calibri" w:hAnsi="Calibri"/>
          <w:spacing w:val="34"/>
          <w:sz w:val="20"/>
          <w:vertAlign w:val="baseline"/>
        </w:rPr>
        <w:t> </w:t>
      </w:r>
      <w:r>
        <w:rPr>
          <w:rFonts w:ascii="Calibri" w:hAnsi="Calibri"/>
          <w:sz w:val="20"/>
          <w:vertAlign w:val="baseline"/>
        </w:rPr>
        <w:t>S.</w:t>
      </w:r>
      <w:r>
        <w:rPr>
          <w:rFonts w:ascii="Calibri" w:hAnsi="Calibri"/>
          <w:spacing w:val="40"/>
          <w:sz w:val="20"/>
          <w:vertAlign w:val="baseline"/>
        </w:rPr>
        <w:t> </w:t>
      </w:r>
      <w:r>
        <w:rPr>
          <w:rFonts w:ascii="Calibri" w:hAnsi="Calibri"/>
          <w:sz w:val="20"/>
          <w:vertAlign w:val="baseline"/>
        </w:rPr>
        <w:t>(2009).</w:t>
      </w:r>
      <w:r>
        <w:rPr>
          <w:rFonts w:ascii="Calibri" w:hAnsi="Calibri"/>
          <w:i/>
          <w:sz w:val="20"/>
          <w:vertAlign w:val="baseline"/>
        </w:rPr>
        <w:t>Smith</w:t>
      </w:r>
      <w:r>
        <w:rPr>
          <w:rFonts w:ascii="Calibri" w:hAnsi="Calibri"/>
          <w:i/>
          <w:spacing w:val="38"/>
          <w:sz w:val="20"/>
          <w:vertAlign w:val="baseline"/>
        </w:rPr>
        <w:t> </w:t>
      </w:r>
      <w:r>
        <w:rPr>
          <w:rFonts w:ascii="Calibri" w:hAnsi="Calibri"/>
          <w:i/>
          <w:sz w:val="20"/>
          <w:vertAlign w:val="baseline"/>
        </w:rPr>
        <w:t>&amp;</w:t>
      </w:r>
      <w:r>
        <w:rPr>
          <w:rFonts w:ascii="Calibri" w:hAnsi="Calibri"/>
          <w:i/>
          <w:spacing w:val="38"/>
          <w:sz w:val="20"/>
          <w:vertAlign w:val="baseline"/>
        </w:rPr>
        <w:t> </w:t>
      </w:r>
      <w:r>
        <w:rPr>
          <w:rFonts w:ascii="Calibri" w:hAnsi="Calibri"/>
          <w:i/>
          <w:sz w:val="20"/>
          <w:vertAlign w:val="baseline"/>
        </w:rPr>
        <w:t>Keenan’s</w:t>
      </w:r>
      <w:r>
        <w:rPr>
          <w:rFonts w:ascii="Calibri" w:hAnsi="Calibri"/>
          <w:i/>
          <w:spacing w:val="35"/>
          <w:sz w:val="20"/>
          <w:vertAlign w:val="baseline"/>
        </w:rPr>
        <w:t> </w:t>
      </w:r>
      <w:r>
        <w:rPr>
          <w:rFonts w:ascii="Calibri" w:hAnsi="Calibri"/>
          <w:i/>
          <w:sz w:val="20"/>
          <w:vertAlign w:val="baseline"/>
        </w:rPr>
        <w:t>Company</w:t>
      </w:r>
      <w:r>
        <w:rPr>
          <w:rFonts w:ascii="Calibri" w:hAnsi="Calibri"/>
          <w:i/>
          <w:spacing w:val="37"/>
          <w:sz w:val="20"/>
          <w:vertAlign w:val="baseline"/>
        </w:rPr>
        <w:t> </w:t>
      </w:r>
      <w:r>
        <w:rPr>
          <w:rFonts w:ascii="Calibri" w:hAnsi="Calibri"/>
          <w:i/>
          <w:sz w:val="20"/>
          <w:vertAlign w:val="baseline"/>
        </w:rPr>
        <w:t>Law.</w:t>
      </w:r>
      <w:r>
        <w:rPr>
          <w:rFonts w:ascii="Calibri" w:hAnsi="Calibri"/>
          <w:sz w:val="20"/>
          <w:vertAlign w:val="baseline"/>
        </w:rPr>
        <w:t>14</w:t>
      </w:r>
      <w:r>
        <w:rPr>
          <w:rFonts w:ascii="Calibri" w:hAnsi="Calibri"/>
          <w:sz w:val="20"/>
          <w:vertAlign w:val="superscript"/>
        </w:rPr>
        <w:t>th</w:t>
      </w:r>
      <w:r>
        <w:rPr>
          <w:rFonts w:ascii="Calibri" w:hAnsi="Calibri"/>
          <w:spacing w:val="36"/>
          <w:sz w:val="20"/>
          <w:vertAlign w:val="baseline"/>
        </w:rPr>
        <w:t> </w:t>
      </w:r>
      <w:r>
        <w:rPr>
          <w:rFonts w:ascii="Calibri" w:hAnsi="Calibri"/>
          <w:sz w:val="20"/>
          <w:vertAlign w:val="baseline"/>
        </w:rPr>
        <w:t>edition,</w:t>
      </w:r>
      <w:r>
        <w:rPr>
          <w:rFonts w:ascii="Calibri" w:hAnsi="Calibri"/>
          <w:spacing w:val="34"/>
          <w:sz w:val="20"/>
          <w:vertAlign w:val="baseline"/>
        </w:rPr>
        <w:t> </w:t>
      </w:r>
      <w:r>
        <w:rPr>
          <w:rFonts w:ascii="Calibri" w:hAnsi="Calibri"/>
          <w:sz w:val="20"/>
          <w:vertAlign w:val="baseline"/>
        </w:rPr>
        <w:t>Pearson</w:t>
      </w:r>
      <w:r>
        <w:rPr>
          <w:rFonts w:ascii="Calibri" w:hAnsi="Calibri"/>
          <w:spacing w:val="36"/>
          <w:sz w:val="20"/>
          <w:vertAlign w:val="baseline"/>
        </w:rPr>
        <w:t> </w:t>
      </w:r>
      <w:r>
        <w:rPr>
          <w:rFonts w:ascii="Calibri" w:hAnsi="Calibri"/>
          <w:sz w:val="20"/>
          <w:vertAlign w:val="baseline"/>
        </w:rPr>
        <w:t>Education Limited, England, p. 334.</w:t>
      </w:r>
    </w:p>
    <w:p>
      <w:pPr>
        <w:spacing w:before="1"/>
        <w:ind w:left="308" w:right="339" w:firstLine="0"/>
        <w:jc w:val="left"/>
        <w:rPr>
          <w:rFonts w:ascii="Calibri"/>
          <w:sz w:val="20"/>
        </w:rPr>
      </w:pPr>
      <w:r>
        <w:rPr>
          <w:rFonts w:ascii="Calibri"/>
          <w:sz w:val="20"/>
          <w:vertAlign w:val="superscript"/>
        </w:rPr>
        <w:t>16</w:t>
      </w:r>
      <w:r>
        <w:rPr>
          <w:rFonts w:ascii="Calibri"/>
          <w:sz w:val="20"/>
          <w:vertAlign w:val="baseline"/>
        </w:rPr>
        <w:t>As</w:t>
      </w:r>
      <w:r>
        <w:rPr>
          <w:rFonts w:ascii="Calibri"/>
          <w:spacing w:val="-1"/>
          <w:sz w:val="20"/>
          <w:vertAlign w:val="baseline"/>
        </w:rPr>
        <w:t> </w:t>
      </w:r>
      <w:r>
        <w:rPr>
          <w:rFonts w:ascii="Calibri"/>
          <w:sz w:val="20"/>
          <w:vertAlign w:val="baseline"/>
        </w:rPr>
        <w:t>was</w:t>
      </w:r>
      <w:r>
        <w:rPr>
          <w:rFonts w:ascii="Calibri"/>
          <w:spacing w:val="-1"/>
          <w:sz w:val="20"/>
          <w:vertAlign w:val="baseline"/>
        </w:rPr>
        <w:t> </w:t>
      </w:r>
      <w:r>
        <w:rPr>
          <w:rFonts w:ascii="Calibri"/>
          <w:sz w:val="20"/>
          <w:vertAlign w:val="baseline"/>
        </w:rPr>
        <w:t>the</w:t>
      </w:r>
      <w:r>
        <w:rPr>
          <w:rFonts w:ascii="Calibri"/>
          <w:spacing w:val="-4"/>
          <w:sz w:val="20"/>
          <w:vertAlign w:val="baseline"/>
        </w:rPr>
        <w:t> </w:t>
      </w:r>
      <w:r>
        <w:rPr>
          <w:rFonts w:ascii="Calibri"/>
          <w:sz w:val="20"/>
          <w:vertAlign w:val="baseline"/>
        </w:rPr>
        <w:t>case</w:t>
      </w:r>
      <w:r>
        <w:rPr>
          <w:rFonts w:ascii="Calibri"/>
          <w:spacing w:val="-3"/>
          <w:sz w:val="20"/>
          <w:vertAlign w:val="baseline"/>
        </w:rPr>
        <w:t> </w:t>
      </w:r>
      <w:r>
        <w:rPr>
          <w:rFonts w:ascii="Calibri"/>
          <w:sz w:val="20"/>
          <w:vertAlign w:val="baseline"/>
        </w:rPr>
        <w:t>in</w:t>
      </w:r>
      <w:r>
        <w:rPr>
          <w:rFonts w:ascii="Calibri"/>
          <w:spacing w:val="-2"/>
          <w:sz w:val="20"/>
          <w:vertAlign w:val="baseline"/>
        </w:rPr>
        <w:t> </w:t>
      </w:r>
      <w:r>
        <w:rPr>
          <w:rFonts w:ascii="Calibri"/>
          <w:i/>
          <w:sz w:val="20"/>
          <w:vertAlign w:val="baseline"/>
        </w:rPr>
        <w:t>Longe</w:t>
      </w:r>
      <w:r>
        <w:rPr>
          <w:rFonts w:ascii="Calibri"/>
          <w:i/>
          <w:spacing w:val="-4"/>
          <w:sz w:val="20"/>
          <w:vertAlign w:val="baseline"/>
        </w:rPr>
        <w:t> </w:t>
      </w:r>
      <w:r>
        <w:rPr>
          <w:rFonts w:ascii="Calibri"/>
          <w:i/>
          <w:sz w:val="20"/>
          <w:vertAlign w:val="baseline"/>
        </w:rPr>
        <w:t>vs. First</w:t>
      </w:r>
      <w:r>
        <w:rPr>
          <w:rFonts w:ascii="Calibri"/>
          <w:i/>
          <w:spacing w:val="-4"/>
          <w:sz w:val="20"/>
          <w:vertAlign w:val="baseline"/>
        </w:rPr>
        <w:t> </w:t>
      </w:r>
      <w:r>
        <w:rPr>
          <w:rFonts w:ascii="Calibri"/>
          <w:i/>
          <w:sz w:val="20"/>
          <w:vertAlign w:val="baseline"/>
        </w:rPr>
        <w:t>Bank</w:t>
      </w:r>
      <w:r>
        <w:rPr>
          <w:rFonts w:ascii="Calibri"/>
          <w:i/>
          <w:spacing w:val="-4"/>
          <w:sz w:val="20"/>
          <w:vertAlign w:val="baseline"/>
        </w:rPr>
        <w:t> </w:t>
      </w:r>
      <w:r>
        <w:rPr>
          <w:rFonts w:ascii="Calibri"/>
          <w:i/>
          <w:sz w:val="20"/>
          <w:vertAlign w:val="baseline"/>
        </w:rPr>
        <w:t>of Nigeria</w:t>
      </w:r>
      <w:r>
        <w:rPr>
          <w:rFonts w:ascii="Calibri"/>
          <w:i/>
          <w:spacing w:val="-2"/>
          <w:sz w:val="20"/>
          <w:vertAlign w:val="baseline"/>
        </w:rPr>
        <w:t> </w:t>
      </w:r>
      <w:r>
        <w:rPr>
          <w:rFonts w:ascii="Calibri"/>
          <w:i/>
          <w:sz w:val="20"/>
          <w:vertAlign w:val="baseline"/>
        </w:rPr>
        <w:t>Plc</w:t>
      </w:r>
      <w:r>
        <w:rPr>
          <w:rFonts w:ascii="Calibri"/>
          <w:sz w:val="20"/>
          <w:vertAlign w:val="baseline"/>
        </w:rPr>
        <w:t>.</w:t>
      </w:r>
      <w:r>
        <w:rPr>
          <w:rFonts w:ascii="Calibri"/>
          <w:spacing w:val="-2"/>
          <w:sz w:val="20"/>
          <w:vertAlign w:val="baseline"/>
        </w:rPr>
        <w:t> </w:t>
      </w:r>
      <w:r>
        <w:rPr>
          <w:rFonts w:ascii="Calibri"/>
          <w:sz w:val="20"/>
          <w:vertAlign w:val="baseline"/>
        </w:rPr>
        <w:t>(2006)</w:t>
      </w:r>
      <w:r>
        <w:rPr>
          <w:rFonts w:ascii="Calibri"/>
          <w:spacing w:val="-2"/>
          <w:sz w:val="20"/>
          <w:vertAlign w:val="baseline"/>
        </w:rPr>
        <w:t> </w:t>
      </w:r>
      <w:r>
        <w:rPr>
          <w:rFonts w:ascii="Calibri"/>
          <w:sz w:val="20"/>
          <w:vertAlign w:val="baseline"/>
        </w:rPr>
        <w:t>3 NWLR</w:t>
      </w:r>
      <w:r>
        <w:rPr>
          <w:rFonts w:ascii="Calibri"/>
          <w:spacing w:val="-3"/>
          <w:sz w:val="20"/>
          <w:vertAlign w:val="baseline"/>
        </w:rPr>
        <w:t> </w:t>
      </w:r>
      <w:r>
        <w:rPr>
          <w:rFonts w:ascii="Calibri"/>
          <w:sz w:val="20"/>
          <w:vertAlign w:val="baseline"/>
        </w:rPr>
        <w:t>(pt.</w:t>
      </w:r>
      <w:r>
        <w:rPr>
          <w:rFonts w:ascii="Calibri"/>
          <w:spacing w:val="-2"/>
          <w:sz w:val="20"/>
          <w:vertAlign w:val="baseline"/>
        </w:rPr>
        <w:t> </w:t>
      </w:r>
      <w:r>
        <w:rPr>
          <w:rFonts w:ascii="Calibri"/>
          <w:sz w:val="20"/>
          <w:vertAlign w:val="baseline"/>
        </w:rPr>
        <w:t>967) 228;</w:t>
      </w:r>
      <w:r>
        <w:rPr>
          <w:rFonts w:ascii="Calibri"/>
          <w:spacing w:val="-5"/>
          <w:sz w:val="20"/>
          <w:vertAlign w:val="baseline"/>
        </w:rPr>
        <w:t> </w:t>
      </w:r>
      <w:r>
        <w:rPr>
          <w:rFonts w:ascii="Calibri"/>
          <w:sz w:val="20"/>
          <w:vertAlign w:val="baseline"/>
        </w:rPr>
        <w:t>(2010) All FWLR </w:t>
      </w:r>
      <w:r>
        <w:rPr>
          <w:rFonts w:ascii="Calibri"/>
          <w:spacing w:val="-4"/>
          <w:sz w:val="20"/>
          <w:vertAlign w:val="baseline"/>
        </w:rPr>
        <w:t>258.</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0" w:firstLine="720"/>
        <w:jc w:val="both"/>
      </w:pPr>
      <w:r>
        <w:rPr/>
        <w:t>A cursory look at the CAMA in the area of directors‘ duties suggests that there</w:t>
      </w:r>
      <w:r>
        <w:rPr>
          <w:spacing w:val="80"/>
        </w:rPr>
        <w:t> </w:t>
      </w:r>
      <w:r>
        <w:rPr/>
        <w:t>is substantial need for restatement, and in some cases, review. S.279(1) begins with a contradiction in human nature, requiring directors</w:t>
      </w:r>
      <w:r>
        <w:rPr>
          <w:spacing w:val="-2"/>
        </w:rPr>
        <w:t> </w:t>
      </w:r>
      <w:r>
        <w:rPr/>
        <w:t>to observe good faith not only during transactions on behalf of the company, but also during transactions with the company. S.279(2) purports to make directors agents of shareholders, even though only the company can enforce that fiduciary duty. S.279(3) proposes corporate objectives for every company and further confuses the standards by which the director‘s business judgment may be evaluated.</w:t>
      </w:r>
    </w:p>
    <w:p>
      <w:pPr>
        <w:pStyle w:val="BodyText"/>
        <w:spacing w:line="480" w:lineRule="auto" w:before="2"/>
        <w:ind w:right="236" w:firstLine="720"/>
        <w:jc w:val="both"/>
      </w:pPr>
      <w:r>
        <w:rPr/>
        <w:t>By far the most controversial</w:t>
      </w:r>
      <w:r>
        <w:rPr>
          <w:spacing w:val="-5"/>
        </w:rPr>
        <w:t> </w:t>
      </w:r>
      <w:r>
        <w:rPr/>
        <w:t>of</w:t>
      </w:r>
      <w:r>
        <w:rPr>
          <w:spacing w:val="-8"/>
        </w:rPr>
        <w:t> </w:t>
      </w:r>
      <w:r>
        <w:rPr/>
        <w:t>the statement of</w:t>
      </w:r>
      <w:r>
        <w:rPr>
          <w:spacing w:val="-3"/>
        </w:rPr>
        <w:t> </w:t>
      </w:r>
      <w:r>
        <w:rPr/>
        <w:t>the duties, is s.279(4), which,in the same tone, requires the director to consider the interests of employees and members,without any apparent enforcement levers for the former group. Although s.279(5) acknowledges that a director shall exercise powers, it is not immediately apparent what those powers are or their likely source, so that the wording of the provision needs reconsideration. S.279(6) does not recognise any restrictions to the exercise of the director‘s voting power, which position would hardly be suitable for business today.</w:t>
      </w:r>
    </w:p>
    <w:p>
      <w:pPr>
        <w:pStyle w:val="BodyText"/>
        <w:spacing w:line="480" w:lineRule="auto" w:before="1"/>
        <w:ind w:right="234" w:firstLine="720"/>
        <w:jc w:val="both"/>
      </w:pPr>
      <w:r>
        <w:rPr/>
        <w:t>S.280 appears to be a poor result of the attempt to codify the common law principle against use of corporate property, opportunity and information, while s.287 appears to restrict prohibition of secret benefits to cases with the motive of inducement. Finally, in the case of</w:t>
      </w:r>
      <w:r>
        <w:rPr>
          <w:spacing w:val="-7"/>
        </w:rPr>
        <w:t> </w:t>
      </w:r>
      <w:r>
        <w:rPr/>
        <w:t>the duty</w:t>
      </w:r>
      <w:r>
        <w:rPr>
          <w:spacing w:val="-9"/>
        </w:rPr>
        <w:t> </w:t>
      </w:r>
      <w:r>
        <w:rPr/>
        <w:t>of</w:t>
      </w:r>
      <w:r>
        <w:rPr>
          <w:spacing w:val="-2"/>
        </w:rPr>
        <w:t> </w:t>
      </w:r>
      <w:r>
        <w:rPr/>
        <w:t>care and skill, s.282 states</w:t>
      </w:r>
      <w:r>
        <w:rPr>
          <w:spacing w:val="-1"/>
        </w:rPr>
        <w:t> </w:t>
      </w:r>
      <w:r>
        <w:rPr/>
        <w:t>the standard to be objective for all directors. Evidence from foreign jurisdictions increasingly shows this to be </w:t>
      </w:r>
      <w:r>
        <w:rPr>
          <w:spacing w:val="-2"/>
        </w:rPr>
        <w:t>inadequate.</w:t>
      </w:r>
    </w:p>
    <w:p>
      <w:pPr>
        <w:pStyle w:val="BodyText"/>
        <w:spacing w:line="480" w:lineRule="auto" w:before="1"/>
        <w:ind w:right="228" w:firstLine="720"/>
        <w:jc w:val="both"/>
      </w:pPr>
      <w:r>
        <w:rPr/>
        <w:t>The latest review of the UK Companies Act is particularly notable for its codification of the duties of</w:t>
      </w:r>
      <w:r>
        <w:rPr>
          <w:spacing w:val="-1"/>
        </w:rPr>
        <w:t> </w:t>
      </w:r>
      <w:r>
        <w:rPr/>
        <w:t>directors. Hitherto, these were simply anchored in common law and</w:t>
      </w:r>
      <w:r>
        <w:rPr>
          <w:spacing w:val="5"/>
        </w:rPr>
        <w:t> </w:t>
      </w:r>
      <w:r>
        <w:rPr/>
        <w:t>principles</w:t>
      </w:r>
      <w:r>
        <w:rPr>
          <w:spacing w:val="-1"/>
        </w:rPr>
        <w:t> </w:t>
      </w:r>
      <w:r>
        <w:rPr/>
        <w:t>of</w:t>
      </w:r>
      <w:r>
        <w:rPr>
          <w:spacing w:val="-7"/>
        </w:rPr>
        <w:t> </w:t>
      </w:r>
      <w:r>
        <w:rPr/>
        <w:t>equity</w:t>
      </w:r>
      <w:r>
        <w:rPr>
          <w:spacing w:val="1"/>
        </w:rPr>
        <w:t> </w:t>
      </w:r>
      <w:r>
        <w:rPr/>
        <w:t>standardized</w:t>
      </w:r>
      <w:r>
        <w:rPr>
          <w:spacing w:val="5"/>
        </w:rPr>
        <w:t> </w:t>
      </w:r>
      <w:r>
        <w:rPr/>
        <w:t>by</w:t>
      </w:r>
      <w:r>
        <w:rPr>
          <w:spacing w:val="2"/>
        </w:rPr>
        <w:t> </w:t>
      </w:r>
      <w:r>
        <w:rPr/>
        <w:t>case</w:t>
      </w:r>
      <w:r>
        <w:rPr>
          <w:spacing w:val="5"/>
        </w:rPr>
        <w:t> </w:t>
      </w:r>
      <w:r>
        <w:rPr/>
        <w:t>law.</w:t>
      </w:r>
      <w:r>
        <w:rPr>
          <w:spacing w:val="3"/>
        </w:rPr>
        <w:t> </w:t>
      </w:r>
      <w:r>
        <w:rPr/>
        <w:t>The policy</w:t>
      </w:r>
      <w:r>
        <w:rPr>
          <w:spacing w:val="1"/>
        </w:rPr>
        <w:t> </w:t>
      </w:r>
      <w:r>
        <w:rPr/>
        <w:t>makers</w:t>
      </w:r>
      <w:r>
        <w:rPr>
          <w:spacing w:val="3"/>
        </w:rPr>
        <w:t> </w:t>
      </w:r>
      <w:r>
        <w:rPr/>
        <w:t>entrusted</w:t>
      </w:r>
      <w:r>
        <w:rPr>
          <w:spacing w:val="2"/>
        </w:rPr>
        <w:t> </w:t>
      </w:r>
      <w:r>
        <w:rPr>
          <w:spacing w:val="-4"/>
        </w:rPr>
        <w:t>with</w:t>
      </w:r>
    </w:p>
    <w:p>
      <w:pPr>
        <w:spacing w:after="0" w:line="480" w:lineRule="auto"/>
        <w:jc w:val="both"/>
        <w:sectPr>
          <w:pgSz w:w="11910" w:h="16840"/>
          <w:pgMar w:header="0" w:footer="1003" w:top="1320" w:bottom="1200" w:left="1680" w:right="1180"/>
        </w:sectPr>
      </w:pPr>
    </w:p>
    <w:p>
      <w:pPr>
        <w:pStyle w:val="BodyText"/>
        <w:spacing w:line="480" w:lineRule="auto" w:before="70"/>
        <w:ind w:right="232"/>
        <w:jc w:val="both"/>
      </w:pPr>
      <w:r>
        <w:rPr/>
        <w:t>the review—the Company Law Review Steering Group (CLRSG)—aimed to clarify</w:t>
      </w:r>
      <w:r>
        <w:rPr>
          <w:spacing w:val="80"/>
        </w:rPr>
        <w:t> </w:t>
      </w:r>
      <w:r>
        <w:rPr/>
        <w:t>and simplify the area for the average director in the hope of eventually improving corporate governance and also restating the corporate objective.</w:t>
      </w:r>
      <w:r>
        <w:rPr>
          <w:vertAlign w:val="superscript"/>
        </w:rPr>
        <w:t>17</w:t>
      </w:r>
    </w:p>
    <w:p>
      <w:pPr>
        <w:pStyle w:val="BodyText"/>
        <w:spacing w:line="480" w:lineRule="auto"/>
        <w:ind w:right="234" w:firstLine="720"/>
        <w:jc w:val="both"/>
      </w:pPr>
      <w:r>
        <w:rPr/>
        <w:t>The CA has now redefined the standard of skill and care required of the</w:t>
      </w:r>
      <w:r>
        <w:rPr>
          <w:spacing w:val="40"/>
        </w:rPr>
        <w:t> </w:t>
      </w:r>
      <w:r>
        <w:rPr/>
        <w:t>company director. Formerly under the earlier common law, the director‘s conduct was measured by</w:t>
      </w:r>
      <w:r>
        <w:rPr>
          <w:spacing w:val="-1"/>
        </w:rPr>
        <w:t> </w:t>
      </w:r>
      <w:r>
        <w:rPr/>
        <w:t>purely subjective standardsand many court decisions in the late nineteenth and early twentieth century continuously endorsed this notion. Following criticisms from many quarters, however, the court eventually gave in and began to demand more from the director. Court decisions in the early 90‘s reflected that the company director was to be subjected to both subjective and objective standards. It is this modern view that is now reflected in s.174 of the CA.</w:t>
      </w:r>
    </w:p>
    <w:p>
      <w:pPr>
        <w:pStyle w:val="BodyText"/>
        <w:spacing w:line="480" w:lineRule="auto" w:before="2"/>
        <w:ind w:right="237" w:firstLine="720"/>
        <w:jc w:val="both"/>
      </w:pPr>
      <w:r>
        <w:rPr/>
        <w:t>On the various fiduciary duties, the CA has clarified the law and also made considerable changes. On the duty to act within powers conferred, the Act notes the company‘s constitution as the source of such powers. Importantly, the constitution includes any special resolution of members, not necessarily provisions of the articles.</w:t>
      </w:r>
      <w:r>
        <w:rPr>
          <w:spacing w:val="40"/>
        </w:rPr>
        <w:t> </w:t>
      </w:r>
      <w:r>
        <w:rPr/>
        <w:t>On the duty to exercise independent judgment, the Act recognizes that the director would not be in breach of the rule where he acts in accordance with any restrictive agreement entered into by the company or where his actions are sanctioned by the company‘s constitution. This is another area where the new law codified developments in case-law.</w:t>
      </w:r>
    </w:p>
    <w:p>
      <w:pPr>
        <w:pStyle w:val="BodyText"/>
        <w:spacing w:line="480" w:lineRule="auto" w:before="2"/>
        <w:ind w:right="234" w:firstLine="720"/>
        <w:jc w:val="both"/>
      </w:pPr>
      <w:r>
        <w:rPr/>
        <w:t>The general principles against conflict of interests involving exploitation of corporate property, corporate profiteering and self dealing, have been separated into three main heads of duties for clarity. S.175 deals with situational conflicts applying to exploitation</w:t>
      </w:r>
      <w:r>
        <w:rPr>
          <w:spacing w:val="41"/>
        </w:rPr>
        <w:t> </w:t>
      </w:r>
      <w:r>
        <w:rPr/>
        <w:t>of</w:t>
      </w:r>
      <w:r>
        <w:rPr>
          <w:spacing w:val="38"/>
        </w:rPr>
        <w:t> </w:t>
      </w:r>
      <w:r>
        <w:rPr/>
        <w:t>corporate</w:t>
      </w:r>
      <w:r>
        <w:rPr>
          <w:spacing w:val="46"/>
        </w:rPr>
        <w:t> </w:t>
      </w:r>
      <w:r>
        <w:rPr/>
        <w:t>property,</w:t>
      </w:r>
      <w:r>
        <w:rPr>
          <w:spacing w:val="53"/>
        </w:rPr>
        <w:t> </w:t>
      </w:r>
      <w:r>
        <w:rPr/>
        <w:t>information</w:t>
      </w:r>
      <w:r>
        <w:rPr>
          <w:spacing w:val="46"/>
        </w:rPr>
        <w:t> </w:t>
      </w:r>
      <w:r>
        <w:rPr/>
        <w:t>or</w:t>
      </w:r>
      <w:r>
        <w:rPr>
          <w:spacing w:val="39"/>
        </w:rPr>
        <w:t> </w:t>
      </w:r>
      <w:r>
        <w:rPr/>
        <w:t>opportunity.</w:t>
      </w:r>
      <w:r>
        <w:rPr>
          <w:spacing w:val="48"/>
        </w:rPr>
        <w:t> </w:t>
      </w:r>
      <w:r>
        <w:rPr/>
        <w:t>Although</w:t>
      </w:r>
      <w:r>
        <w:rPr>
          <w:spacing w:val="41"/>
        </w:rPr>
        <w:t> </w:t>
      </w:r>
      <w:r>
        <w:rPr/>
        <w:t>the</w:t>
      </w:r>
      <w:r>
        <w:rPr>
          <w:spacing w:val="45"/>
        </w:rPr>
        <w:t> </w:t>
      </w:r>
      <w:r>
        <w:rPr/>
        <w:t>CA,</w:t>
      </w:r>
      <w:r>
        <w:rPr>
          <w:spacing w:val="54"/>
        </w:rPr>
        <w:t> </w:t>
      </w:r>
      <w:r>
        <w:rPr>
          <w:spacing w:val="-5"/>
        </w:rPr>
        <w:t>in</w:t>
      </w:r>
    </w:p>
    <w:p>
      <w:pPr>
        <w:pStyle w:val="BodyText"/>
        <w:spacing w:before="6"/>
        <w:ind w:left="0"/>
        <w:rPr>
          <w:sz w:val="9"/>
        </w:rPr>
      </w:pPr>
      <w:r>
        <w:rPr/>
        <mc:AlternateContent>
          <mc:Choice Requires="wps">
            <w:drawing>
              <wp:anchor distT="0" distB="0" distL="0" distR="0" allowOverlap="1" layoutInCell="1" locked="0" behindDoc="1" simplePos="0" relativeHeight="487614464">
                <wp:simplePos x="0" y="0"/>
                <wp:positionH relativeFrom="page">
                  <wp:posOffset>1262481</wp:posOffset>
                </wp:positionH>
                <wp:positionV relativeFrom="paragraph">
                  <wp:posOffset>85042</wp:posOffset>
                </wp:positionV>
                <wp:extent cx="1829435" cy="9525"/>
                <wp:effectExtent l="0" t="0" r="0" b="0"/>
                <wp:wrapTopAndBottom/>
                <wp:docPr id="55" name="Graphic 55"/>
                <wp:cNvGraphicFramePr>
                  <a:graphicFrameLocks/>
                </wp:cNvGraphicFramePr>
                <a:graphic>
                  <a:graphicData uri="http://schemas.microsoft.com/office/word/2010/wordprocessingShape">
                    <wps:wsp>
                      <wps:cNvPr id="55" name="Graphic 5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6.69628pt;width:144.050pt;height:.71997pt;mso-position-horizontal-relative:page;mso-position-vertical-relative:paragraph;z-index:-15702016;mso-wrap-distance-left:0;mso-wrap-distance-right:0" id="docshape10" filled="true" fillcolor="#000000" stroked="false">
                <v:fill type="solid"/>
                <w10:wrap type="topAndBottom"/>
              </v:rect>
            </w:pict>
          </mc:Fallback>
        </mc:AlternateContent>
      </w:r>
    </w:p>
    <w:p>
      <w:pPr>
        <w:spacing w:line="244" w:lineRule="auto" w:before="121"/>
        <w:ind w:left="308" w:right="233" w:firstLine="0"/>
        <w:jc w:val="left"/>
        <w:rPr>
          <w:rFonts w:ascii="Calibri" w:hAnsi="Calibri"/>
          <w:sz w:val="20"/>
        </w:rPr>
      </w:pPr>
      <w:r>
        <w:rPr>
          <w:rFonts w:ascii="Calibri" w:hAnsi="Calibri"/>
          <w:sz w:val="20"/>
          <w:vertAlign w:val="superscript"/>
        </w:rPr>
        <w:t>17</w:t>
      </w:r>
      <w:r>
        <w:rPr>
          <w:rFonts w:ascii="Calibri" w:hAnsi="Calibri"/>
          <w:sz w:val="20"/>
          <w:vertAlign w:val="baseline"/>
        </w:rPr>
        <w:t>See</w:t>
      </w:r>
      <w:r>
        <w:rPr>
          <w:rFonts w:ascii="Calibri" w:hAnsi="Calibri"/>
          <w:spacing w:val="37"/>
          <w:sz w:val="20"/>
          <w:vertAlign w:val="baseline"/>
        </w:rPr>
        <w:t> </w:t>
      </w:r>
      <w:r>
        <w:rPr>
          <w:rFonts w:ascii="Calibri" w:hAnsi="Calibri"/>
          <w:sz w:val="20"/>
          <w:vertAlign w:val="baseline"/>
        </w:rPr>
        <w:t>generally</w:t>
      </w:r>
      <w:r>
        <w:rPr>
          <w:rFonts w:ascii="Calibri" w:hAnsi="Calibri"/>
          <w:spacing w:val="35"/>
          <w:sz w:val="20"/>
          <w:vertAlign w:val="baseline"/>
        </w:rPr>
        <w:t> </w:t>
      </w:r>
      <w:r>
        <w:rPr>
          <w:rFonts w:ascii="Calibri" w:hAnsi="Calibri"/>
          <w:sz w:val="20"/>
          <w:vertAlign w:val="baseline"/>
        </w:rPr>
        <w:t>the</w:t>
      </w:r>
      <w:r>
        <w:rPr>
          <w:rFonts w:ascii="Calibri" w:hAnsi="Calibri"/>
          <w:spacing w:val="36"/>
          <w:sz w:val="20"/>
          <w:vertAlign w:val="baseline"/>
        </w:rPr>
        <w:t> </w:t>
      </w:r>
      <w:r>
        <w:rPr>
          <w:rFonts w:ascii="Calibri" w:hAnsi="Calibri"/>
          <w:sz w:val="20"/>
          <w:vertAlign w:val="baseline"/>
        </w:rPr>
        <w:t>Department</w:t>
      </w:r>
      <w:r>
        <w:rPr>
          <w:rFonts w:ascii="Calibri" w:hAnsi="Calibri"/>
          <w:spacing w:val="35"/>
          <w:sz w:val="20"/>
          <w:vertAlign w:val="baseline"/>
        </w:rPr>
        <w:t> </w:t>
      </w:r>
      <w:r>
        <w:rPr>
          <w:rFonts w:ascii="Calibri" w:hAnsi="Calibri"/>
          <w:sz w:val="20"/>
          <w:vertAlign w:val="baseline"/>
        </w:rPr>
        <w:t>of</w:t>
      </w:r>
      <w:r>
        <w:rPr>
          <w:rFonts w:ascii="Calibri" w:hAnsi="Calibri"/>
          <w:spacing w:val="36"/>
          <w:sz w:val="20"/>
          <w:vertAlign w:val="baseline"/>
        </w:rPr>
        <w:t> </w:t>
      </w:r>
      <w:r>
        <w:rPr>
          <w:rFonts w:ascii="Calibri" w:hAnsi="Calibri"/>
          <w:sz w:val="20"/>
          <w:vertAlign w:val="baseline"/>
        </w:rPr>
        <w:t>Trade</w:t>
      </w:r>
      <w:r>
        <w:rPr>
          <w:rFonts w:ascii="Calibri" w:hAnsi="Calibri"/>
          <w:spacing w:val="36"/>
          <w:sz w:val="20"/>
          <w:vertAlign w:val="baseline"/>
        </w:rPr>
        <w:t> </w:t>
      </w:r>
      <w:r>
        <w:rPr>
          <w:rFonts w:ascii="Calibri" w:hAnsi="Calibri"/>
          <w:sz w:val="20"/>
          <w:vertAlign w:val="baseline"/>
        </w:rPr>
        <w:t>and</w:t>
      </w:r>
      <w:r>
        <w:rPr>
          <w:rFonts w:ascii="Calibri" w:hAnsi="Calibri"/>
          <w:spacing w:val="30"/>
          <w:sz w:val="20"/>
          <w:vertAlign w:val="baseline"/>
        </w:rPr>
        <w:t> </w:t>
      </w:r>
      <w:r>
        <w:rPr>
          <w:rFonts w:ascii="Calibri" w:hAnsi="Calibri"/>
          <w:sz w:val="20"/>
          <w:vertAlign w:val="baseline"/>
        </w:rPr>
        <w:t>Industry’s</w:t>
      </w:r>
      <w:r>
        <w:rPr>
          <w:rFonts w:ascii="Calibri" w:hAnsi="Calibri"/>
          <w:spacing w:val="33"/>
          <w:sz w:val="20"/>
          <w:vertAlign w:val="baseline"/>
        </w:rPr>
        <w:t> </w:t>
      </w:r>
      <w:r>
        <w:rPr>
          <w:rFonts w:ascii="Calibri" w:hAnsi="Calibri"/>
          <w:sz w:val="20"/>
          <w:vertAlign w:val="baseline"/>
        </w:rPr>
        <w:t>publication,</w:t>
      </w:r>
      <w:r>
        <w:rPr>
          <w:rFonts w:ascii="Calibri" w:hAnsi="Calibri"/>
          <w:spacing w:val="37"/>
          <w:sz w:val="20"/>
          <w:vertAlign w:val="baseline"/>
        </w:rPr>
        <w:t> </w:t>
      </w:r>
      <w:r>
        <w:rPr>
          <w:rFonts w:ascii="Calibri" w:hAnsi="Calibri"/>
          <w:i/>
          <w:sz w:val="20"/>
          <w:vertAlign w:val="baseline"/>
        </w:rPr>
        <w:t>Companies</w:t>
      </w:r>
      <w:r>
        <w:rPr>
          <w:rFonts w:ascii="Calibri" w:hAnsi="Calibri"/>
          <w:i/>
          <w:spacing w:val="33"/>
          <w:sz w:val="20"/>
          <w:vertAlign w:val="baseline"/>
        </w:rPr>
        <w:t> </w:t>
      </w:r>
      <w:r>
        <w:rPr>
          <w:rFonts w:ascii="Calibri" w:hAnsi="Calibri"/>
          <w:i/>
          <w:sz w:val="20"/>
          <w:vertAlign w:val="baseline"/>
        </w:rPr>
        <w:t>Act</w:t>
      </w:r>
      <w:r>
        <w:rPr>
          <w:rFonts w:ascii="Calibri" w:hAnsi="Calibri"/>
          <w:i/>
          <w:spacing w:val="35"/>
          <w:sz w:val="20"/>
          <w:vertAlign w:val="baseline"/>
        </w:rPr>
        <w:t> </w:t>
      </w:r>
      <w:r>
        <w:rPr>
          <w:rFonts w:ascii="Calibri" w:hAnsi="Calibri"/>
          <w:i/>
          <w:sz w:val="20"/>
          <w:vertAlign w:val="baseline"/>
        </w:rPr>
        <w:t>2006:</w:t>
      </w:r>
      <w:r>
        <w:rPr>
          <w:rFonts w:ascii="Calibri" w:hAnsi="Calibri"/>
          <w:i/>
          <w:spacing w:val="34"/>
          <w:sz w:val="20"/>
          <w:vertAlign w:val="baseline"/>
        </w:rPr>
        <w:t> </w:t>
      </w:r>
      <w:r>
        <w:rPr>
          <w:rFonts w:ascii="Calibri" w:hAnsi="Calibri"/>
          <w:i/>
          <w:sz w:val="20"/>
          <w:vertAlign w:val="baseline"/>
        </w:rPr>
        <w:t>Duties</w:t>
      </w:r>
      <w:r>
        <w:rPr>
          <w:rFonts w:ascii="Calibri" w:hAnsi="Calibri"/>
          <w:i/>
          <w:spacing w:val="33"/>
          <w:sz w:val="20"/>
          <w:vertAlign w:val="baseline"/>
        </w:rPr>
        <w:t> </w:t>
      </w:r>
      <w:r>
        <w:rPr>
          <w:rFonts w:ascii="Calibri" w:hAnsi="Calibri"/>
          <w:i/>
          <w:sz w:val="20"/>
          <w:vertAlign w:val="baseline"/>
        </w:rPr>
        <w:t>of Company Directors.</w:t>
      </w:r>
      <w:r>
        <w:rPr>
          <w:rFonts w:ascii="Calibri" w:hAnsi="Calibri"/>
          <w:sz w:val="20"/>
          <w:vertAlign w:val="baseline"/>
        </w:rPr>
        <w:t>Retrieved April 26, 2014, from </w:t>
      </w:r>
      <w:hyperlink r:id="rId12">
        <w:r>
          <w:rPr>
            <w:rFonts w:ascii="Calibri" w:hAnsi="Calibri"/>
            <w:color w:val="0000FF"/>
            <w:sz w:val="20"/>
            <w:u w:val="single" w:color="0000FF"/>
            <w:vertAlign w:val="baseline"/>
          </w:rPr>
          <w:t>http://www.berr.gov.uk/files/file40139.pdf</w:t>
        </w:r>
        <w:r>
          <w:rPr>
            <w:rFonts w:ascii="Calibri" w:hAnsi="Calibri"/>
            <w:sz w:val="20"/>
            <w:vertAlign w:val="baseline"/>
          </w:rPr>
          <w:t>.</w:t>
        </w:r>
      </w:hyperlink>
    </w:p>
    <w:p>
      <w:pPr>
        <w:spacing w:after="0" w:line="244" w:lineRule="auto"/>
        <w:jc w:val="left"/>
        <w:rPr>
          <w:rFonts w:ascii="Calibri" w:hAnsi="Calibri"/>
          <w:sz w:val="20"/>
        </w:rPr>
        <w:sectPr>
          <w:pgSz w:w="11910" w:h="16840"/>
          <w:pgMar w:header="0" w:footer="1003" w:top="1320" w:bottom="1200" w:left="1680" w:right="1180"/>
        </w:sectPr>
      </w:pPr>
    </w:p>
    <w:p>
      <w:pPr>
        <w:pStyle w:val="BodyText"/>
        <w:spacing w:line="480" w:lineRule="auto" w:before="70"/>
        <w:ind w:right="232"/>
        <w:jc w:val="both"/>
      </w:pPr>
      <w:r>
        <w:rPr/>
        <w:t>contrast to the common law here, allows authorisation of</w:t>
      </w:r>
      <w:r>
        <w:rPr>
          <w:spacing w:val="-2"/>
        </w:rPr>
        <w:t> </w:t>
      </w:r>
      <w:r>
        <w:rPr/>
        <w:t>the conflict to be given by the board of directors, such an authorising board is required to be a disinterested one. On</w:t>
      </w:r>
      <w:r>
        <w:rPr>
          <w:spacing w:val="40"/>
        </w:rPr>
        <w:t> </w:t>
      </w:r>
      <w:r>
        <w:rPr/>
        <w:t>the duty against accepting benefits, the concept of reasonability is applicable in determining breach, just as it is in the duty above. Also, an associated company or persons acting</w:t>
      </w:r>
      <w:r>
        <w:rPr>
          <w:spacing w:val="4"/>
        </w:rPr>
        <w:t> </w:t>
      </w:r>
      <w:r>
        <w:rPr/>
        <w:t>on</w:t>
      </w:r>
      <w:r>
        <w:rPr>
          <w:spacing w:val="4"/>
        </w:rPr>
        <w:t> </w:t>
      </w:r>
      <w:r>
        <w:rPr/>
        <w:t>its</w:t>
      </w:r>
      <w:r>
        <w:rPr>
          <w:spacing w:val="2"/>
        </w:rPr>
        <w:t> </w:t>
      </w:r>
      <w:r>
        <w:rPr/>
        <w:t>behalf</w:t>
      </w:r>
      <w:r>
        <w:rPr>
          <w:spacing w:val="1"/>
        </w:rPr>
        <w:t> </w:t>
      </w:r>
      <w:r>
        <w:rPr/>
        <w:t>as</w:t>
      </w:r>
      <w:r>
        <w:rPr>
          <w:spacing w:val="2"/>
        </w:rPr>
        <w:t> </w:t>
      </w:r>
      <w:r>
        <w:rPr/>
        <w:t>well as</w:t>
      </w:r>
      <w:r>
        <w:rPr>
          <w:spacing w:val="2"/>
        </w:rPr>
        <w:t> </w:t>
      </w:r>
      <w:r>
        <w:rPr/>
        <w:t>the</w:t>
      </w:r>
      <w:r>
        <w:rPr>
          <w:spacing w:val="4"/>
        </w:rPr>
        <w:t> </w:t>
      </w:r>
      <w:r>
        <w:rPr/>
        <w:t>director‘s</w:t>
      </w:r>
      <w:r>
        <w:rPr>
          <w:spacing w:val="2"/>
        </w:rPr>
        <w:t> </w:t>
      </w:r>
      <w:r>
        <w:rPr/>
        <w:t>nominator,</w:t>
      </w:r>
      <w:r>
        <w:rPr>
          <w:spacing w:val="7"/>
        </w:rPr>
        <w:t> </w:t>
      </w:r>
      <w:r>
        <w:rPr/>
        <w:t>clearly</w:t>
      </w:r>
      <w:r>
        <w:rPr>
          <w:spacing w:val="-4"/>
        </w:rPr>
        <w:t> </w:t>
      </w:r>
      <w:r>
        <w:rPr/>
        <w:t>do</w:t>
      </w:r>
      <w:r>
        <w:rPr>
          <w:spacing w:val="9"/>
        </w:rPr>
        <w:t> </w:t>
      </w:r>
      <w:r>
        <w:rPr/>
        <w:t>not</w:t>
      </w:r>
      <w:r>
        <w:rPr>
          <w:spacing w:val="5"/>
        </w:rPr>
        <w:t> </w:t>
      </w:r>
      <w:r>
        <w:rPr>
          <w:spacing w:val="-2"/>
        </w:rPr>
        <w:t>constitute</w:t>
      </w:r>
    </w:p>
    <w:p>
      <w:pPr>
        <w:pStyle w:val="BodyText"/>
        <w:spacing w:line="480" w:lineRule="auto" w:before="1"/>
        <w:ind w:right="239"/>
        <w:jc w:val="both"/>
      </w:pPr>
      <w:r>
        <w:rPr/>
        <w:t>―third party‖ from whom the director must not accept benefits. As for transactional conflicts, declaration is required to be made to the other directors although nothing is mentioned of the authorising authority. Importantly, instances where such a declaration would not be required, have been made clear.</w:t>
      </w:r>
    </w:p>
    <w:p>
      <w:pPr>
        <w:pStyle w:val="BodyText"/>
        <w:spacing w:line="480" w:lineRule="auto" w:before="1"/>
        <w:ind w:right="227" w:firstLine="720"/>
        <w:jc w:val="both"/>
      </w:pPr>
      <w:r>
        <w:rPr/>
        <w:t>By far the most notable aspect of the codified duties in the CA, is s.172, which has generated the most debate, making it the most controversial. Here, the Act recognizes that although the foremost fiduciary duty of the director is to act in good</w:t>
      </w:r>
      <w:r>
        <w:rPr>
          <w:spacing w:val="40"/>
        </w:rPr>
        <w:t> </w:t>
      </w:r>
      <w:r>
        <w:rPr/>
        <w:t>faith to promote the success of the company for the benefit of the company‘s members as a whole, the director is required to consider other interests in achieving that aim. Hence, the interests of the company‘s employees, customers, suppliers, other business partners, host community as well as the environment, are factors which the director</w:t>
      </w:r>
      <w:r>
        <w:rPr>
          <w:spacing w:val="80"/>
        </w:rPr>
        <w:t> </w:t>
      </w:r>
      <w:r>
        <w:rPr>
          <w:i/>
        </w:rPr>
        <w:t>must </w:t>
      </w:r>
      <w:r>
        <w:rPr/>
        <w:t>consider. Furthermore, in the case of large or public companies, a business review is</w:t>
      </w:r>
      <w:r>
        <w:rPr>
          <w:spacing w:val="-2"/>
        </w:rPr>
        <w:t> </w:t>
      </w:r>
      <w:r>
        <w:rPr/>
        <w:t>required to be</w:t>
      </w:r>
      <w:r>
        <w:rPr>
          <w:spacing w:val="-6"/>
        </w:rPr>
        <w:t> </w:t>
      </w:r>
      <w:r>
        <w:rPr/>
        <w:t>tabled by</w:t>
      </w:r>
      <w:r>
        <w:rPr>
          <w:spacing w:val="-5"/>
        </w:rPr>
        <w:t> </w:t>
      </w:r>
      <w:r>
        <w:rPr/>
        <w:t>the</w:t>
      </w:r>
      <w:r>
        <w:rPr>
          <w:spacing w:val="-1"/>
        </w:rPr>
        <w:t> </w:t>
      </w:r>
      <w:r>
        <w:rPr/>
        <w:t>directors</w:t>
      </w:r>
      <w:r>
        <w:rPr>
          <w:spacing w:val="-2"/>
        </w:rPr>
        <w:t> </w:t>
      </w:r>
      <w:r>
        <w:rPr/>
        <w:t>in</w:t>
      </w:r>
      <w:r>
        <w:rPr>
          <w:spacing w:val="-5"/>
        </w:rPr>
        <w:t> </w:t>
      </w:r>
      <w:r>
        <w:rPr/>
        <w:t>their report, in</w:t>
      </w:r>
      <w:r>
        <w:rPr>
          <w:spacing w:val="-5"/>
        </w:rPr>
        <w:t> </w:t>
      </w:r>
      <w:r>
        <w:rPr/>
        <w:t>which</w:t>
      </w:r>
      <w:r>
        <w:rPr>
          <w:spacing w:val="-5"/>
        </w:rPr>
        <w:t> </w:t>
      </w:r>
      <w:r>
        <w:rPr/>
        <w:t>will</w:t>
      </w:r>
      <w:r>
        <w:rPr>
          <w:spacing w:val="-5"/>
        </w:rPr>
        <w:t> </w:t>
      </w:r>
      <w:r>
        <w:rPr/>
        <w:t>be</w:t>
      </w:r>
      <w:r>
        <w:rPr>
          <w:spacing w:val="-1"/>
        </w:rPr>
        <w:t> </w:t>
      </w:r>
      <w:r>
        <w:rPr/>
        <w:t>stated</w:t>
      </w:r>
      <w:r>
        <w:rPr>
          <w:spacing w:val="-5"/>
        </w:rPr>
        <w:t> </w:t>
      </w:r>
      <w:r>
        <w:rPr/>
        <w:t>how</w:t>
      </w:r>
      <w:r>
        <w:rPr>
          <w:spacing w:val="-1"/>
        </w:rPr>
        <w:t> </w:t>
      </w:r>
      <w:r>
        <w:rPr/>
        <w:t>far, if at all, any</w:t>
      </w:r>
      <w:r>
        <w:rPr>
          <w:spacing w:val="-5"/>
        </w:rPr>
        <w:t> </w:t>
      </w:r>
      <w:r>
        <w:rPr/>
        <w:t>of</w:t>
      </w:r>
      <w:r>
        <w:rPr>
          <w:spacing w:val="-3"/>
        </w:rPr>
        <w:t> </w:t>
      </w:r>
      <w:r>
        <w:rPr/>
        <w:t>the factors mentioned have been considered and, if not,</w:t>
      </w:r>
      <w:r>
        <w:rPr>
          <w:spacing w:val="-2"/>
        </w:rPr>
        <w:t> </w:t>
      </w:r>
      <w:r>
        <w:rPr/>
        <w:t>the reason(s) why.</w:t>
      </w:r>
    </w:p>
    <w:p>
      <w:pPr>
        <w:pStyle w:val="BodyText"/>
        <w:spacing w:line="480" w:lineRule="auto" w:before="2"/>
        <w:ind w:right="227" w:firstLine="720"/>
        <w:jc w:val="both"/>
      </w:pPr>
      <w:r>
        <w:rPr/>
        <w:t>In arriving at this provision, the CLRSG had considered both the pluralist approach, characterised by giving equal status to all the company‘s stakeholders and shareholder primacy approach, which is a strategy that considers only the interests of</w:t>
      </w:r>
      <w:r>
        <w:rPr>
          <w:spacing w:val="40"/>
        </w:rPr>
        <w:t> </w:t>
      </w:r>
      <w:r>
        <w:rPr/>
        <w:t>the</w:t>
      </w:r>
      <w:r>
        <w:rPr>
          <w:spacing w:val="-3"/>
        </w:rPr>
        <w:t> </w:t>
      </w:r>
      <w:r>
        <w:rPr/>
        <w:t>shareholders.In</w:t>
      </w:r>
      <w:r>
        <w:rPr>
          <w:spacing w:val="-2"/>
        </w:rPr>
        <w:t> </w:t>
      </w:r>
      <w:r>
        <w:rPr/>
        <w:t>making</w:t>
      </w:r>
      <w:r>
        <w:rPr>
          <w:spacing w:val="-2"/>
        </w:rPr>
        <w:t> </w:t>
      </w:r>
      <w:r>
        <w:rPr/>
        <w:t>their</w:t>
      </w:r>
      <w:r>
        <w:rPr>
          <w:spacing w:val="-1"/>
        </w:rPr>
        <w:t> </w:t>
      </w:r>
      <w:r>
        <w:rPr/>
        <w:t>recommendations for</w:t>
      </w:r>
      <w:r>
        <w:rPr>
          <w:spacing w:val="-5"/>
        </w:rPr>
        <w:t> </w:t>
      </w:r>
      <w:r>
        <w:rPr/>
        <w:t>the</w:t>
      </w:r>
      <w:r>
        <w:rPr>
          <w:spacing w:val="-3"/>
        </w:rPr>
        <w:t> </w:t>
      </w:r>
      <w:r>
        <w:rPr/>
        <w:t>new</w:t>
      </w:r>
      <w:r>
        <w:rPr>
          <w:spacing w:val="-3"/>
        </w:rPr>
        <w:t> </w:t>
      </w:r>
      <w:r>
        <w:rPr/>
        <w:t>companies law before its enactment,</w:t>
      </w:r>
      <w:r>
        <w:rPr>
          <w:spacing w:val="-1"/>
        </w:rPr>
        <w:t> </w:t>
      </w:r>
      <w:r>
        <w:rPr/>
        <w:t>the</w:t>
      </w:r>
      <w:r>
        <w:rPr>
          <w:spacing w:val="-1"/>
        </w:rPr>
        <w:t> </w:t>
      </w:r>
      <w:r>
        <w:rPr/>
        <w:t>CLRSG saw</w:t>
      </w:r>
      <w:r>
        <w:rPr>
          <w:spacing w:val="-1"/>
        </w:rPr>
        <w:t> </w:t>
      </w:r>
      <w:r>
        <w:rPr/>
        <w:t>the</w:t>
      </w:r>
      <w:r>
        <w:rPr>
          <w:spacing w:val="-1"/>
        </w:rPr>
        <w:t> </w:t>
      </w:r>
      <w:r>
        <w:rPr/>
        <w:t>overall</w:t>
      </w:r>
      <w:r>
        <w:rPr>
          <w:spacing w:val="-5"/>
        </w:rPr>
        <w:t> </w:t>
      </w:r>
      <w:r>
        <w:rPr/>
        <w:t>objective</w:t>
      </w:r>
      <w:r>
        <w:rPr>
          <w:spacing w:val="-1"/>
        </w:rPr>
        <w:t> </w:t>
      </w:r>
      <w:r>
        <w:rPr/>
        <w:t>of</w:t>
      </w:r>
      <w:r>
        <w:rPr>
          <w:spacing w:val="-3"/>
        </w:rPr>
        <w:t> </w:t>
      </w:r>
      <w:r>
        <w:rPr/>
        <w:t>codifying the</w:t>
      </w:r>
      <w:r>
        <w:rPr>
          <w:spacing w:val="-1"/>
        </w:rPr>
        <w:t> </w:t>
      </w:r>
      <w:r>
        <w:rPr/>
        <w:t>directors</w:t>
      </w:r>
      <w:r>
        <w:rPr>
          <w:spacing w:val="-2"/>
        </w:rPr>
        <w:t> </w:t>
      </w:r>
      <w:r>
        <w:rPr/>
        <w:t>duties</w:t>
      </w:r>
      <w:r>
        <w:rPr>
          <w:spacing w:val="-2"/>
        </w:rPr>
        <w:t> </w:t>
      </w:r>
      <w:r>
        <w:rPr/>
        <w:t>as</w:t>
      </w:r>
      <w:r>
        <w:rPr>
          <w:spacing w:val="-2"/>
        </w:rPr>
        <w:t> </w:t>
      </w:r>
      <w:r>
        <w:rPr/>
        <w:t>one of</w:t>
      </w:r>
      <w:r>
        <w:rPr>
          <w:spacing w:val="17"/>
        </w:rPr>
        <w:t> </w:t>
      </w:r>
      <w:r>
        <w:rPr/>
        <w:t>achieving</w:t>
      </w:r>
      <w:r>
        <w:rPr>
          <w:spacing w:val="24"/>
        </w:rPr>
        <w:t> </w:t>
      </w:r>
      <w:r>
        <w:rPr/>
        <w:t>a</w:t>
      </w:r>
      <w:r>
        <w:rPr>
          <w:spacing w:val="27"/>
        </w:rPr>
        <w:t> </w:t>
      </w:r>
      <w:r>
        <w:rPr/>
        <w:t>―shareholder</w:t>
      </w:r>
      <w:r>
        <w:rPr>
          <w:spacing w:val="25"/>
        </w:rPr>
        <w:t> </w:t>
      </w:r>
      <w:r>
        <w:rPr/>
        <w:t>oriented,</w:t>
      </w:r>
      <w:r>
        <w:rPr>
          <w:spacing w:val="25"/>
        </w:rPr>
        <w:t> </w:t>
      </w:r>
      <w:r>
        <w:rPr/>
        <w:t>but</w:t>
      </w:r>
      <w:r>
        <w:rPr>
          <w:spacing w:val="28"/>
        </w:rPr>
        <w:t> </w:t>
      </w:r>
      <w:r>
        <w:rPr/>
        <w:t>inclusively</w:t>
      </w:r>
      <w:r>
        <w:rPr>
          <w:spacing w:val="24"/>
        </w:rPr>
        <w:t> </w:t>
      </w:r>
      <w:r>
        <w:rPr/>
        <w:t>framed,</w:t>
      </w:r>
      <w:r>
        <w:rPr>
          <w:spacing w:val="25"/>
        </w:rPr>
        <w:t> </w:t>
      </w:r>
      <w:r>
        <w:rPr/>
        <w:t>duty of</w:t>
      </w:r>
      <w:r>
        <w:rPr>
          <w:spacing w:val="21"/>
        </w:rPr>
        <w:t> </w:t>
      </w:r>
      <w:r>
        <w:rPr/>
        <w:t>loyalty‖,</w:t>
      </w:r>
      <w:r>
        <w:rPr>
          <w:spacing w:val="25"/>
        </w:rPr>
        <w:t> </w:t>
      </w:r>
      <w:r>
        <w:rPr/>
        <w:t>which</w:t>
      </w:r>
    </w:p>
    <w:p>
      <w:pPr>
        <w:spacing w:after="0" w:line="480" w:lineRule="auto"/>
        <w:jc w:val="both"/>
        <w:sectPr>
          <w:pgSz w:w="11910" w:h="16840"/>
          <w:pgMar w:header="0" w:footer="1003" w:top="1320" w:bottom="1200" w:left="1680" w:right="1180"/>
        </w:sectPr>
      </w:pPr>
    </w:p>
    <w:p>
      <w:pPr>
        <w:pStyle w:val="BodyText"/>
        <w:spacing w:line="480" w:lineRule="auto" w:before="70"/>
        <w:ind w:right="224"/>
        <w:jc w:val="both"/>
      </w:pPr>
      <w:r>
        <w:rPr/>
        <w:t>involved the recognition that, whilst the objective was to act in the collective best interests of shareholders, this could only be achieved by taking due account of wider interests.</w:t>
      </w:r>
      <w:r>
        <w:rPr>
          <w:vertAlign w:val="superscript"/>
        </w:rPr>
        <w:t>18</w:t>
      </w:r>
      <w:r>
        <w:rPr>
          <w:vertAlign w:val="baseline"/>
        </w:rPr>
        <w:t> The intention was to find a solution to the prevalent short-termism in the management of companies, by which management more often concentrated on simply making profits and declaring dividends, which attitude often resulted in unfavourable results for</w:t>
      </w:r>
      <w:r>
        <w:rPr>
          <w:spacing w:val="-1"/>
          <w:vertAlign w:val="baseline"/>
        </w:rPr>
        <w:t> </w:t>
      </w:r>
      <w:r>
        <w:rPr>
          <w:vertAlign w:val="baseline"/>
        </w:rPr>
        <w:t>the company‘s</w:t>
      </w:r>
      <w:r>
        <w:rPr>
          <w:spacing w:val="-1"/>
          <w:vertAlign w:val="baseline"/>
        </w:rPr>
        <w:t> </w:t>
      </w:r>
      <w:r>
        <w:rPr>
          <w:vertAlign w:val="baseline"/>
        </w:rPr>
        <w:t>stakeholders, particularly</w:t>
      </w:r>
      <w:r>
        <w:rPr>
          <w:spacing w:val="-2"/>
          <w:vertAlign w:val="baseline"/>
        </w:rPr>
        <w:t> </w:t>
      </w:r>
      <w:r>
        <w:rPr>
          <w:vertAlign w:val="baseline"/>
        </w:rPr>
        <w:t>the members, in</w:t>
      </w:r>
      <w:r>
        <w:rPr>
          <w:spacing w:val="-2"/>
          <w:vertAlign w:val="baseline"/>
        </w:rPr>
        <w:t> </w:t>
      </w:r>
      <w:r>
        <w:rPr>
          <w:vertAlign w:val="baseline"/>
        </w:rPr>
        <w:t>the long run. It was considered that an enlightened shareholder value approach would better achieve wealth and prosperity for all. This view recognizes that</w:t>
      </w:r>
    </w:p>
    <w:p>
      <w:pPr>
        <w:spacing w:line="240" w:lineRule="auto" w:before="2"/>
        <w:ind w:left="2007" w:right="1888" w:firstLine="0"/>
        <w:jc w:val="both"/>
        <w:rPr>
          <w:i/>
          <w:sz w:val="24"/>
        </w:rPr>
      </w:pPr>
      <w:r>
        <w:rPr>
          <w:i/>
          <w:sz w:val="24"/>
        </w:rPr>
        <w:t>directors will be more likely to achieve long term sustainable success for the benefit of their shareholders if their companies pay attention to a wider range of matters…Directors will be required</w:t>
      </w:r>
      <w:r>
        <w:rPr>
          <w:i/>
          <w:spacing w:val="40"/>
          <w:sz w:val="24"/>
        </w:rPr>
        <w:t> </w:t>
      </w:r>
      <w:r>
        <w:rPr>
          <w:i/>
          <w:sz w:val="24"/>
        </w:rPr>
        <w:t>to promote the success of the company in the collective best interest of the shareholders, but in doing so they will have to have regard to a wider range of factors, including the interests of employees and the environment</w:t>
      </w:r>
      <w:r>
        <w:rPr>
          <w:i/>
          <w:sz w:val="24"/>
          <w:vertAlign w:val="superscript"/>
        </w:rPr>
        <w:t>19</w:t>
      </w:r>
    </w:p>
    <w:p>
      <w:pPr>
        <w:pStyle w:val="BodyText"/>
        <w:ind w:left="0"/>
        <w:rPr>
          <w:i/>
        </w:rPr>
      </w:pPr>
    </w:p>
    <w:p>
      <w:pPr>
        <w:pStyle w:val="BodyText"/>
        <w:spacing w:line="480" w:lineRule="auto"/>
        <w:ind w:right="236" w:firstLine="720"/>
        <w:jc w:val="both"/>
      </w:pPr>
      <w:r>
        <w:rPr/>
        <w:t>The duty in s.172 has been severely debated. While some have lauded it as improvement in the law,</w:t>
      </w:r>
      <w:r>
        <w:rPr>
          <w:vertAlign w:val="superscript"/>
        </w:rPr>
        <w:t>20</w:t>
      </w:r>
      <w:r>
        <w:rPr>
          <w:vertAlign w:val="baseline"/>
        </w:rPr>
        <w:t> others have found fault with the provision in varying degrees.</w:t>
      </w:r>
      <w:r>
        <w:rPr>
          <w:vertAlign w:val="superscript"/>
        </w:rPr>
        <w:t>21</w:t>
      </w:r>
      <w:r>
        <w:rPr>
          <w:spacing w:val="2"/>
          <w:vertAlign w:val="baseline"/>
        </w:rPr>
        <w:t> </w:t>
      </w:r>
      <w:r>
        <w:rPr>
          <w:vertAlign w:val="baseline"/>
        </w:rPr>
        <w:t>Unhelpfully,</w:t>
      </w:r>
      <w:r>
        <w:rPr>
          <w:spacing w:val="2"/>
          <w:vertAlign w:val="baseline"/>
        </w:rPr>
        <w:t> </w:t>
      </w:r>
      <w:r>
        <w:rPr>
          <w:vertAlign w:val="baseline"/>
        </w:rPr>
        <w:t>the</w:t>
      </w:r>
      <w:r>
        <w:rPr>
          <w:spacing w:val="-1"/>
          <w:vertAlign w:val="baseline"/>
        </w:rPr>
        <w:t> </w:t>
      </w:r>
      <w:r>
        <w:rPr>
          <w:vertAlign w:val="baseline"/>
        </w:rPr>
        <w:t>provision has</w:t>
      </w:r>
      <w:r>
        <w:rPr>
          <w:spacing w:val="3"/>
          <w:vertAlign w:val="baseline"/>
        </w:rPr>
        <w:t> </w:t>
      </w:r>
      <w:r>
        <w:rPr>
          <w:vertAlign w:val="baseline"/>
        </w:rPr>
        <w:t>not</w:t>
      </w:r>
      <w:r>
        <w:rPr>
          <w:spacing w:val="10"/>
          <w:vertAlign w:val="baseline"/>
        </w:rPr>
        <w:t> </w:t>
      </w:r>
      <w:r>
        <w:rPr>
          <w:vertAlign w:val="baseline"/>
        </w:rPr>
        <w:t>been</w:t>
      </w:r>
      <w:r>
        <w:rPr>
          <w:spacing w:val="1"/>
          <w:vertAlign w:val="baseline"/>
        </w:rPr>
        <w:t> </w:t>
      </w:r>
      <w:r>
        <w:rPr>
          <w:vertAlign w:val="baseline"/>
        </w:rPr>
        <w:t>in force</w:t>
      </w:r>
      <w:r>
        <w:rPr>
          <w:spacing w:val="4"/>
          <w:vertAlign w:val="baseline"/>
        </w:rPr>
        <w:t> </w:t>
      </w:r>
      <w:r>
        <w:rPr>
          <w:vertAlign w:val="baseline"/>
        </w:rPr>
        <w:t>long</w:t>
      </w:r>
      <w:r>
        <w:rPr>
          <w:spacing w:val="4"/>
          <w:vertAlign w:val="baseline"/>
        </w:rPr>
        <w:t> </w:t>
      </w:r>
      <w:r>
        <w:rPr>
          <w:vertAlign w:val="baseline"/>
        </w:rPr>
        <w:t>enough for</w:t>
      </w:r>
      <w:r>
        <w:rPr>
          <w:spacing w:val="2"/>
          <w:vertAlign w:val="baseline"/>
        </w:rPr>
        <w:t> </w:t>
      </w:r>
      <w:r>
        <w:rPr>
          <w:vertAlign w:val="baseline"/>
        </w:rPr>
        <w:t>the</w:t>
      </w:r>
      <w:r>
        <w:rPr>
          <w:spacing w:val="-1"/>
          <w:vertAlign w:val="baseline"/>
        </w:rPr>
        <w:t> </w:t>
      </w:r>
      <w:r>
        <w:rPr>
          <w:vertAlign w:val="baseline"/>
        </w:rPr>
        <w:t>courts</w:t>
      </w:r>
      <w:r>
        <w:rPr>
          <w:spacing w:val="-7"/>
          <w:vertAlign w:val="baseline"/>
        </w:rPr>
        <w:t> </w:t>
      </w:r>
      <w:r>
        <w:rPr>
          <w:spacing w:val="-5"/>
          <w:vertAlign w:val="baseline"/>
        </w:rPr>
        <w:t>to</w:t>
      </w:r>
    </w:p>
    <w:p>
      <w:pPr>
        <w:pStyle w:val="BodyText"/>
        <w:spacing w:before="86"/>
        <w:ind w:left="0"/>
        <w:rPr>
          <w:sz w:val="20"/>
        </w:rPr>
      </w:pPr>
      <w:r>
        <w:rPr/>
        <mc:AlternateContent>
          <mc:Choice Requires="wps">
            <w:drawing>
              <wp:anchor distT="0" distB="0" distL="0" distR="0" allowOverlap="1" layoutInCell="1" locked="0" behindDoc="1" simplePos="0" relativeHeight="487614976">
                <wp:simplePos x="0" y="0"/>
                <wp:positionH relativeFrom="page">
                  <wp:posOffset>1262481</wp:posOffset>
                </wp:positionH>
                <wp:positionV relativeFrom="paragraph">
                  <wp:posOffset>216122</wp:posOffset>
                </wp:positionV>
                <wp:extent cx="1829435" cy="9525"/>
                <wp:effectExtent l="0" t="0" r="0" b="0"/>
                <wp:wrapTopAndBottom/>
                <wp:docPr id="56" name="Graphic 56"/>
                <wp:cNvGraphicFramePr>
                  <a:graphicFrameLocks/>
                </wp:cNvGraphicFramePr>
                <a:graphic>
                  <a:graphicData uri="http://schemas.microsoft.com/office/word/2010/wordprocessingShape">
                    <wps:wsp>
                      <wps:cNvPr id="56" name="Graphic 5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01753pt;width:144.050pt;height:.71997pt;mso-position-horizontal-relative:page;mso-position-vertical-relative:paragraph;z-index:-15701504;mso-wrap-distance-left:0;mso-wrap-distance-right:0" id="docshape11" filled="true" fillcolor="#000000" stroked="false">
                <v:fill type="solid"/>
                <w10:wrap type="topAndBottom"/>
              </v:rect>
            </w:pict>
          </mc:Fallback>
        </mc:AlternateContent>
      </w:r>
    </w:p>
    <w:p>
      <w:pPr>
        <w:spacing w:before="103"/>
        <w:ind w:left="308" w:right="226" w:firstLine="0"/>
        <w:jc w:val="both"/>
        <w:rPr>
          <w:rFonts w:ascii="Calibri"/>
          <w:sz w:val="20"/>
        </w:rPr>
      </w:pPr>
      <w:r>
        <w:rPr>
          <w:rFonts w:ascii="Calibri"/>
          <w:sz w:val="20"/>
          <w:vertAlign w:val="superscript"/>
        </w:rPr>
        <w:t>18</w:t>
      </w:r>
      <w:r>
        <w:rPr>
          <w:rFonts w:ascii="Calibri"/>
          <w:i/>
          <w:sz w:val="20"/>
          <w:vertAlign w:val="baseline"/>
        </w:rPr>
        <w:t>Developing the Framework, </w:t>
      </w:r>
      <w:r>
        <w:rPr>
          <w:rFonts w:ascii="Calibri"/>
          <w:sz w:val="20"/>
          <w:vertAlign w:val="baseline"/>
        </w:rPr>
        <w:t>a report of the Company Law Review Steering Group (CLRSG), published March, 2000, paragraph 2.22. It can be accessed at </w:t>
      </w:r>
      <w:hyperlink r:id="rId13">
        <w:r>
          <w:rPr>
            <w:rFonts w:ascii="Calibri"/>
            <w:color w:val="0000FF"/>
            <w:sz w:val="20"/>
            <w:u w:val="single" w:color="0000FF"/>
            <w:vertAlign w:val="baseline"/>
          </w:rPr>
          <w:t>http://www.berr.gov.uk/bbf/co-act-2006/clr-</w:t>
        </w:r>
      </w:hyperlink>
      <w:r>
        <w:rPr>
          <w:rFonts w:ascii="Calibri"/>
          <w:color w:val="0000FF"/>
          <w:sz w:val="20"/>
          <w:vertAlign w:val="baseline"/>
        </w:rPr>
        <w:t> </w:t>
      </w:r>
      <w:hyperlink r:id="rId13">
        <w:r>
          <w:rPr>
            <w:rFonts w:ascii="Calibri"/>
            <w:color w:val="0000FF"/>
            <w:spacing w:val="-2"/>
            <w:sz w:val="20"/>
            <w:u w:val="single" w:color="0000FF"/>
            <w:vertAlign w:val="baseline"/>
          </w:rPr>
          <w:t>review/page25086.html</w:t>
        </w:r>
      </w:hyperlink>
      <w:r>
        <w:rPr>
          <w:rFonts w:ascii="Calibri"/>
          <w:spacing w:val="-2"/>
          <w:sz w:val="20"/>
          <w:vertAlign w:val="baseline"/>
        </w:rPr>
        <w:t>.</w:t>
      </w:r>
    </w:p>
    <w:p>
      <w:pPr>
        <w:spacing w:before="83"/>
        <w:ind w:left="308" w:right="0" w:firstLine="0"/>
        <w:jc w:val="both"/>
        <w:rPr>
          <w:rFonts w:ascii="Calibri"/>
          <w:sz w:val="20"/>
        </w:rPr>
      </w:pPr>
      <w:r>
        <w:rPr>
          <w:rFonts w:ascii="Calibri"/>
          <w:sz w:val="20"/>
          <w:vertAlign w:val="superscript"/>
        </w:rPr>
        <w:t>19</w:t>
      </w:r>
      <w:r>
        <w:rPr>
          <w:rFonts w:ascii="Calibri"/>
          <w:spacing w:val="-3"/>
          <w:sz w:val="20"/>
          <w:vertAlign w:val="baseline"/>
        </w:rPr>
        <w:t> </w:t>
      </w:r>
      <w:r>
        <w:rPr>
          <w:rFonts w:ascii="Calibri"/>
          <w:sz w:val="20"/>
          <w:vertAlign w:val="baseline"/>
        </w:rPr>
        <w:t>Alistair</w:t>
      </w:r>
      <w:r>
        <w:rPr>
          <w:rFonts w:ascii="Calibri"/>
          <w:spacing w:val="-7"/>
          <w:sz w:val="20"/>
          <w:vertAlign w:val="baseline"/>
        </w:rPr>
        <w:t> </w:t>
      </w:r>
      <w:r>
        <w:rPr>
          <w:rFonts w:ascii="Calibri"/>
          <w:sz w:val="20"/>
          <w:vertAlign w:val="baseline"/>
        </w:rPr>
        <w:t>Darling.</w:t>
      </w:r>
      <w:r>
        <w:rPr>
          <w:rFonts w:ascii="Calibri"/>
          <w:spacing w:val="-8"/>
          <w:sz w:val="20"/>
          <w:vertAlign w:val="baseline"/>
        </w:rPr>
        <w:t> </w:t>
      </w:r>
      <w:r>
        <w:rPr>
          <w:rFonts w:ascii="Calibri"/>
          <w:sz w:val="20"/>
          <w:vertAlign w:val="baseline"/>
        </w:rPr>
        <w:t>Hansard.</w:t>
      </w:r>
      <w:r>
        <w:rPr>
          <w:rFonts w:ascii="Calibri"/>
          <w:spacing w:val="-7"/>
          <w:sz w:val="20"/>
          <w:vertAlign w:val="baseline"/>
        </w:rPr>
        <w:t> </w:t>
      </w:r>
      <w:r>
        <w:rPr>
          <w:rFonts w:ascii="Calibri"/>
          <w:sz w:val="20"/>
          <w:vertAlign w:val="baseline"/>
        </w:rPr>
        <w:t>Commons</w:t>
      </w:r>
      <w:r>
        <w:rPr>
          <w:rFonts w:ascii="Calibri"/>
          <w:spacing w:val="-6"/>
          <w:sz w:val="20"/>
          <w:vertAlign w:val="baseline"/>
        </w:rPr>
        <w:t> </w:t>
      </w:r>
      <w:r>
        <w:rPr>
          <w:rFonts w:ascii="Calibri"/>
          <w:sz w:val="20"/>
          <w:vertAlign w:val="baseline"/>
        </w:rPr>
        <w:t>Second</w:t>
      </w:r>
      <w:r>
        <w:rPr>
          <w:rFonts w:ascii="Calibri"/>
          <w:spacing w:val="-9"/>
          <w:sz w:val="20"/>
          <w:vertAlign w:val="baseline"/>
        </w:rPr>
        <w:t> </w:t>
      </w:r>
      <w:r>
        <w:rPr>
          <w:rFonts w:ascii="Calibri"/>
          <w:sz w:val="20"/>
          <w:vertAlign w:val="baseline"/>
        </w:rPr>
        <w:t>Reading,</w:t>
      </w:r>
      <w:r>
        <w:rPr>
          <w:rFonts w:ascii="Calibri"/>
          <w:spacing w:val="-10"/>
          <w:sz w:val="20"/>
          <w:vertAlign w:val="baseline"/>
        </w:rPr>
        <w:t> </w:t>
      </w:r>
      <w:r>
        <w:rPr>
          <w:rFonts w:ascii="Calibri"/>
          <w:sz w:val="20"/>
          <w:vertAlign w:val="baseline"/>
        </w:rPr>
        <w:t>June</w:t>
      </w:r>
      <w:r>
        <w:rPr>
          <w:rFonts w:ascii="Calibri"/>
          <w:spacing w:val="-5"/>
          <w:sz w:val="20"/>
          <w:vertAlign w:val="baseline"/>
        </w:rPr>
        <w:t> </w:t>
      </w:r>
      <w:r>
        <w:rPr>
          <w:rFonts w:ascii="Calibri"/>
          <w:sz w:val="20"/>
          <w:vertAlign w:val="baseline"/>
        </w:rPr>
        <w:t>6,</w:t>
      </w:r>
      <w:r>
        <w:rPr>
          <w:rFonts w:ascii="Calibri"/>
          <w:spacing w:val="-6"/>
          <w:sz w:val="20"/>
          <w:vertAlign w:val="baseline"/>
        </w:rPr>
        <w:t> </w:t>
      </w:r>
      <w:r>
        <w:rPr>
          <w:rFonts w:ascii="Calibri"/>
          <w:sz w:val="20"/>
          <w:vertAlign w:val="baseline"/>
        </w:rPr>
        <w:t>2006,</w:t>
      </w:r>
      <w:r>
        <w:rPr>
          <w:rFonts w:ascii="Calibri"/>
          <w:spacing w:val="-6"/>
          <w:sz w:val="20"/>
          <w:vertAlign w:val="baseline"/>
        </w:rPr>
        <w:t> </w:t>
      </w:r>
      <w:r>
        <w:rPr>
          <w:rFonts w:ascii="Calibri"/>
          <w:sz w:val="20"/>
          <w:vertAlign w:val="baseline"/>
        </w:rPr>
        <w:t>column</w:t>
      </w:r>
      <w:r>
        <w:rPr>
          <w:rFonts w:ascii="Calibri"/>
          <w:spacing w:val="-5"/>
          <w:sz w:val="20"/>
          <w:vertAlign w:val="baseline"/>
        </w:rPr>
        <w:t> </w:t>
      </w:r>
      <w:r>
        <w:rPr>
          <w:rFonts w:ascii="Calibri"/>
          <w:spacing w:val="-4"/>
          <w:sz w:val="20"/>
          <w:vertAlign w:val="baseline"/>
        </w:rPr>
        <w:t>125.</w:t>
      </w:r>
    </w:p>
    <w:p>
      <w:pPr>
        <w:spacing w:line="240" w:lineRule="auto" w:before="1"/>
        <w:ind w:left="308" w:right="226" w:firstLine="0"/>
        <w:jc w:val="both"/>
        <w:rPr>
          <w:rFonts w:ascii="Calibri" w:hAnsi="Calibri"/>
          <w:sz w:val="20"/>
        </w:rPr>
      </w:pPr>
      <w:r>
        <w:rPr>
          <w:rFonts w:ascii="Calibri" w:hAnsi="Calibri"/>
          <w:sz w:val="20"/>
          <w:vertAlign w:val="superscript"/>
        </w:rPr>
        <w:t>20</w:t>
      </w:r>
      <w:r>
        <w:rPr>
          <w:rFonts w:ascii="Calibri" w:hAnsi="Calibri"/>
          <w:sz w:val="20"/>
          <w:vertAlign w:val="baseline"/>
        </w:rPr>
        <w:t> See Arden, D.B.E. (2007). Companies’ Act 2006 (UK): A New Approach to Directors’ Duties. </w:t>
      </w:r>
      <w:r>
        <w:rPr>
          <w:rFonts w:ascii="Calibri" w:hAnsi="Calibri"/>
          <w:i/>
          <w:sz w:val="20"/>
          <w:vertAlign w:val="baseline"/>
        </w:rPr>
        <w:t>Australia Law Journal,</w:t>
      </w:r>
      <w:r>
        <w:rPr>
          <w:rFonts w:ascii="Calibri" w:hAnsi="Calibri"/>
          <w:sz w:val="20"/>
          <w:vertAlign w:val="baseline"/>
        </w:rPr>
        <w:t>81: 162-179; Clark, G.L. and Knight, E.R., (2008)</w:t>
      </w:r>
      <w:r>
        <w:rPr>
          <w:rFonts w:ascii="Calibri" w:hAnsi="Calibri"/>
          <w:i/>
          <w:sz w:val="20"/>
          <w:vertAlign w:val="baseline"/>
        </w:rPr>
        <w:t>Implications of the UK Companies Act 2006 for Institutional Investors and the Market for Corporate Social Responsibility</w:t>
      </w:r>
      <w:r>
        <w:rPr>
          <w:rFonts w:ascii="Calibri" w:hAnsi="Calibri"/>
          <w:sz w:val="20"/>
          <w:vertAlign w:val="baseline"/>
        </w:rPr>
        <w:t>.University of Pennsylvania Journal of Business Law. 11(2): 259-296. Retrieved April 22, 2014 from </w:t>
      </w:r>
      <w:hyperlink r:id="rId14">
        <w:r>
          <w:rPr>
            <w:rFonts w:ascii="Calibri" w:hAnsi="Calibri"/>
            <w:color w:val="0000FF"/>
            <w:spacing w:val="-2"/>
            <w:sz w:val="20"/>
            <w:u w:val="single" w:color="0000FF"/>
            <w:vertAlign w:val="baseline"/>
          </w:rPr>
          <w:t>https://www.law.upenn.edu/journals/jbl/articles/volume11/issue2/ClarkKnight11U.Pa.J.Bus.L.259(2009</w:t>
        </w:r>
      </w:hyperlink>
    </w:p>
    <w:p>
      <w:pPr>
        <w:spacing w:line="240" w:lineRule="auto" w:before="0"/>
        <w:ind w:left="308" w:right="225" w:firstLine="0"/>
        <w:jc w:val="both"/>
        <w:rPr>
          <w:rFonts w:ascii="Calibri" w:hAnsi="Calibri"/>
          <w:sz w:val="20"/>
        </w:rPr>
      </w:pPr>
      <w:hyperlink r:id="rId14">
        <w:r>
          <w:rPr>
            <w:rFonts w:ascii="Calibri" w:hAnsi="Calibri"/>
            <w:color w:val="0000FF"/>
            <w:sz w:val="20"/>
            <w:u w:val="single" w:color="0000FF"/>
          </w:rPr>
          <w:t>).pdf</w:t>
        </w:r>
      </w:hyperlink>
      <w:r>
        <w:rPr>
          <w:rFonts w:ascii="Calibri" w:hAnsi="Calibri"/>
          <w:sz w:val="20"/>
        </w:rPr>
        <w:t>;Hollington R. (2008, April 22).</w:t>
      </w:r>
      <w:r>
        <w:rPr>
          <w:rFonts w:ascii="Calibri" w:hAnsi="Calibri"/>
          <w:i/>
          <w:sz w:val="20"/>
        </w:rPr>
        <w:t>Directors’ Duties under the Companies Act 2006: Have the Lunatics Taken Over the Asylum? </w:t>
      </w:r>
      <w:r>
        <w:rPr>
          <w:rFonts w:ascii="Calibri" w:hAnsi="Calibri"/>
          <w:sz w:val="20"/>
        </w:rPr>
        <w:t>A lecture delivered at Ian Fairbairn Lecture Theatre, University of Buckingham. Retrieved March 23 2013 from </w:t>
      </w:r>
      <w:hyperlink r:id="rId15">
        <w:r>
          <w:rPr>
            <w:rFonts w:ascii="Calibri" w:hAnsi="Calibri"/>
            <w:color w:val="0000FF"/>
            <w:sz w:val="20"/>
            <w:u w:val="single" w:color="0000FF"/>
          </w:rPr>
          <w:t>http://www.newsquarechambers.co.uk/files/Publications</w:t>
        </w:r>
      </w:hyperlink>
      <w:r>
        <w:rPr>
          <w:rFonts w:ascii="Calibri" w:hAnsi="Calibri"/>
          <w:sz w:val="20"/>
        </w:rPr>
        <w:t>; Keay, A. (2007). Tackling the Issue of the Corporate Objective: An Analysis of the United Kingdom’s Enlightened Shareholder Value Approach.</w:t>
      </w:r>
      <w:r>
        <w:rPr>
          <w:rFonts w:ascii="Calibri" w:hAnsi="Calibri"/>
          <w:i/>
          <w:sz w:val="20"/>
        </w:rPr>
        <w:t>Sydney Law Review. </w:t>
      </w:r>
      <w:r>
        <w:rPr>
          <w:rFonts w:ascii="Calibri" w:hAnsi="Calibri"/>
          <w:sz w:val="20"/>
        </w:rPr>
        <w:t>29: 577-612, at 577.</w:t>
      </w:r>
    </w:p>
    <w:p>
      <w:pPr>
        <w:spacing w:before="0"/>
        <w:ind w:left="308" w:right="223" w:firstLine="0"/>
        <w:jc w:val="both"/>
        <w:rPr>
          <w:rFonts w:ascii="Calibri" w:hAnsi="Calibri"/>
          <w:sz w:val="20"/>
        </w:rPr>
      </w:pPr>
      <w:r>
        <w:rPr>
          <w:rFonts w:ascii="Calibri" w:hAnsi="Calibri"/>
          <w:sz w:val="20"/>
          <w:vertAlign w:val="superscript"/>
        </w:rPr>
        <w:t>21</w:t>
      </w:r>
      <w:r>
        <w:rPr>
          <w:rFonts w:ascii="Calibri" w:hAnsi="Calibri"/>
          <w:sz w:val="20"/>
          <w:vertAlign w:val="baseline"/>
        </w:rPr>
        <w:t>Woodley, J. (2011).Company Law Module Guide.</w:t>
      </w:r>
      <w:r>
        <w:rPr>
          <w:rFonts w:ascii="Calibri" w:hAnsi="Calibri"/>
          <w:i/>
          <w:sz w:val="20"/>
          <w:vertAlign w:val="baseline"/>
        </w:rPr>
        <w:t>University of Hertfordshire School of Law</w:t>
      </w:r>
      <w:r>
        <w:rPr>
          <w:rFonts w:ascii="Calibri" w:hAnsi="Calibri"/>
          <w:sz w:val="20"/>
          <w:vertAlign w:val="baseline"/>
        </w:rPr>
        <w:t>.2010/11, pp.62-63.</w:t>
      </w:r>
      <w:r>
        <w:rPr>
          <w:rFonts w:ascii="Calibri" w:hAnsi="Calibri"/>
          <w:spacing w:val="-5"/>
          <w:sz w:val="20"/>
          <w:vertAlign w:val="baseline"/>
        </w:rPr>
        <w:t> </w:t>
      </w:r>
      <w:r>
        <w:rPr>
          <w:rFonts w:ascii="Calibri" w:hAnsi="Calibri"/>
          <w:sz w:val="20"/>
          <w:vertAlign w:val="baseline"/>
        </w:rPr>
        <w:t>Retrieved</w:t>
      </w:r>
      <w:r>
        <w:rPr>
          <w:rFonts w:ascii="Calibri" w:hAnsi="Calibri"/>
          <w:spacing w:val="-6"/>
          <w:sz w:val="20"/>
          <w:vertAlign w:val="baseline"/>
        </w:rPr>
        <w:t> </w:t>
      </w:r>
      <w:r>
        <w:rPr>
          <w:rFonts w:ascii="Calibri" w:hAnsi="Calibri"/>
          <w:sz w:val="20"/>
          <w:vertAlign w:val="baseline"/>
        </w:rPr>
        <w:t>March</w:t>
      </w:r>
      <w:r>
        <w:rPr>
          <w:rFonts w:ascii="Calibri" w:hAnsi="Calibri"/>
          <w:spacing w:val="-2"/>
          <w:sz w:val="20"/>
          <w:vertAlign w:val="baseline"/>
        </w:rPr>
        <w:t> </w:t>
      </w:r>
      <w:r>
        <w:rPr>
          <w:rFonts w:ascii="Calibri" w:hAnsi="Calibri"/>
          <w:sz w:val="20"/>
          <w:vertAlign w:val="baseline"/>
        </w:rPr>
        <w:t>26,</w:t>
      </w:r>
      <w:r>
        <w:rPr>
          <w:rFonts w:ascii="Calibri" w:hAnsi="Calibri"/>
          <w:spacing w:val="-4"/>
          <w:sz w:val="20"/>
          <w:vertAlign w:val="baseline"/>
        </w:rPr>
        <w:t> </w:t>
      </w:r>
      <w:r>
        <w:rPr>
          <w:rFonts w:ascii="Calibri" w:hAnsi="Calibri"/>
          <w:sz w:val="20"/>
          <w:vertAlign w:val="baseline"/>
        </w:rPr>
        <w:t>2013,</w:t>
      </w:r>
      <w:r>
        <w:rPr>
          <w:rFonts w:ascii="Calibri" w:hAnsi="Calibri"/>
          <w:spacing w:val="-4"/>
          <w:sz w:val="20"/>
          <w:vertAlign w:val="baseline"/>
        </w:rPr>
        <w:t> </w:t>
      </w:r>
      <w:r>
        <w:rPr>
          <w:rFonts w:ascii="Calibri" w:hAnsi="Calibri"/>
          <w:sz w:val="20"/>
          <w:vertAlign w:val="baseline"/>
        </w:rPr>
        <w:t>from </w:t>
      </w:r>
      <w:hyperlink r:id="rId16">
        <w:r>
          <w:rPr>
            <w:rFonts w:ascii="Calibri" w:hAnsi="Calibri"/>
            <w:color w:val="0000FF"/>
            <w:sz w:val="20"/>
            <w:u w:val="single" w:color="0000FF"/>
            <w:vertAlign w:val="baseline"/>
          </w:rPr>
          <w:t>http://www.scribd.com/doc/99319274/6LAW0087-Company-</w:t>
        </w:r>
      </w:hyperlink>
      <w:r>
        <w:rPr>
          <w:rFonts w:ascii="Calibri" w:hAnsi="Calibri"/>
          <w:color w:val="0000FF"/>
          <w:sz w:val="20"/>
          <w:vertAlign w:val="baseline"/>
        </w:rPr>
        <w:t> </w:t>
      </w:r>
      <w:hyperlink r:id="rId16">
        <w:r>
          <w:rPr>
            <w:rFonts w:ascii="Calibri" w:hAnsi="Calibri"/>
            <w:color w:val="0000FF"/>
            <w:sz w:val="20"/>
            <w:u w:val="single" w:color="0000FF"/>
            <w:vertAlign w:val="baseline"/>
          </w:rPr>
          <w:t>Law-2010-2011-Module-Guide</w:t>
        </w:r>
      </w:hyperlink>
      <w:r>
        <w:rPr>
          <w:rFonts w:ascii="Calibri" w:hAnsi="Calibri"/>
          <w:sz w:val="20"/>
          <w:vertAlign w:val="baseline"/>
        </w:rPr>
        <w:t>; Davies, L.P. and Worthington, S. (2012).</w:t>
      </w:r>
      <w:r>
        <w:rPr>
          <w:rFonts w:ascii="Calibri" w:hAnsi="Calibri"/>
          <w:i/>
          <w:sz w:val="20"/>
          <w:vertAlign w:val="baseline"/>
        </w:rPr>
        <w:t>Gower and Davies: Principles of Modern Company Law, </w:t>
      </w:r>
      <w:r>
        <w:rPr>
          <w:rFonts w:ascii="Calibri" w:hAnsi="Calibri"/>
          <w:sz w:val="20"/>
          <w:vertAlign w:val="baseline"/>
        </w:rPr>
        <w:t>9</w:t>
      </w:r>
      <w:r>
        <w:rPr>
          <w:rFonts w:ascii="Calibri" w:hAnsi="Calibri"/>
          <w:sz w:val="20"/>
          <w:vertAlign w:val="superscript"/>
        </w:rPr>
        <w:t>th</w:t>
      </w:r>
      <w:r>
        <w:rPr>
          <w:rFonts w:ascii="Calibri" w:hAnsi="Calibri"/>
          <w:sz w:val="20"/>
          <w:vertAlign w:val="baseline"/>
        </w:rPr>
        <w:t> edition, Sweet and Maxwell, London; Birds, J., et al. (2011).</w:t>
      </w:r>
      <w:r>
        <w:rPr>
          <w:rFonts w:ascii="Calibri" w:hAnsi="Calibri"/>
          <w:i/>
          <w:sz w:val="20"/>
          <w:vertAlign w:val="baseline"/>
        </w:rPr>
        <w:t>Boyle and Birds’ Company Law.</w:t>
      </w:r>
      <w:r>
        <w:rPr>
          <w:rFonts w:ascii="Calibri" w:hAnsi="Calibri"/>
          <w:sz w:val="20"/>
          <w:vertAlign w:val="baseline"/>
        </w:rPr>
        <w:t>8</w:t>
      </w:r>
      <w:r>
        <w:rPr>
          <w:rFonts w:ascii="Calibri" w:hAnsi="Calibri"/>
          <w:sz w:val="20"/>
          <w:vertAlign w:val="superscript"/>
        </w:rPr>
        <w:t>th</w:t>
      </w:r>
      <w:r>
        <w:rPr>
          <w:rFonts w:ascii="Calibri" w:hAnsi="Calibri"/>
          <w:sz w:val="20"/>
          <w:vertAlign w:val="baseline"/>
        </w:rPr>
        <w:t> edition, Jordan Publishing Limited, Bristol.</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70"/>
        <w:ind w:right="243"/>
        <w:jc w:val="both"/>
      </w:pPr>
      <w:r>
        <w:rPr/>
        <w:t>provide any meaningful direction on the impact it may have. Yet already, many doubt that it would</w:t>
      </w:r>
      <w:r>
        <w:rPr>
          <w:spacing w:val="-1"/>
        </w:rPr>
        <w:t> </w:t>
      </w:r>
      <w:r>
        <w:rPr/>
        <w:t>change</w:t>
      </w:r>
      <w:r>
        <w:rPr>
          <w:spacing w:val="-2"/>
        </w:rPr>
        <w:t> </w:t>
      </w:r>
      <w:r>
        <w:rPr/>
        <w:t>the</w:t>
      </w:r>
      <w:r>
        <w:rPr>
          <w:spacing w:val="-2"/>
        </w:rPr>
        <w:t> </w:t>
      </w:r>
      <w:r>
        <w:rPr/>
        <w:t>attitude</w:t>
      </w:r>
      <w:r>
        <w:rPr>
          <w:spacing w:val="-2"/>
        </w:rPr>
        <w:t> </w:t>
      </w:r>
      <w:r>
        <w:rPr/>
        <w:t>of</w:t>
      </w:r>
      <w:r>
        <w:rPr>
          <w:spacing w:val="-8"/>
        </w:rPr>
        <w:t> </w:t>
      </w:r>
      <w:r>
        <w:rPr/>
        <w:t>directors</w:t>
      </w:r>
      <w:r>
        <w:rPr>
          <w:spacing w:val="-7"/>
        </w:rPr>
        <w:t> </w:t>
      </w:r>
      <w:r>
        <w:rPr/>
        <w:t>towards management or for</w:t>
      </w:r>
      <w:r>
        <w:rPr>
          <w:spacing w:val="-4"/>
        </w:rPr>
        <w:t> </w:t>
      </w:r>
      <w:r>
        <w:rPr/>
        <w:t>that matter,</w:t>
      </w:r>
      <w:r>
        <w:rPr>
          <w:spacing w:val="-4"/>
        </w:rPr>
        <w:t> </w:t>
      </w:r>
      <w:r>
        <w:rPr/>
        <w:t>the </w:t>
      </w:r>
      <w:r>
        <w:rPr>
          <w:spacing w:val="-2"/>
        </w:rPr>
        <w:t>courts.</w:t>
      </w:r>
      <w:r>
        <w:rPr>
          <w:spacing w:val="-2"/>
          <w:vertAlign w:val="superscript"/>
        </w:rPr>
        <w:t>22</w:t>
      </w:r>
    </w:p>
    <w:p>
      <w:pPr>
        <w:pStyle w:val="BodyText"/>
        <w:spacing w:line="480" w:lineRule="auto"/>
        <w:ind w:right="233" w:firstLine="720"/>
        <w:jc w:val="both"/>
      </w:pPr>
      <w:r>
        <w:rPr/>
        <w:t>During the review of</w:t>
      </w:r>
      <w:r>
        <w:rPr>
          <w:spacing w:val="-3"/>
        </w:rPr>
        <w:t> </w:t>
      </w:r>
      <w:r>
        <w:rPr/>
        <w:t>the Nigerian Companies Act 1968, the English Companies Act of 1985 was one of the laws considered by the Nigerian Law Reform Commission, at the time. The informed expectation is that, should the Commission be saddled with a similar responsibility today, the present English Companies Act, which is relatively</w:t>
      </w:r>
      <w:r>
        <w:rPr>
          <w:spacing w:val="40"/>
        </w:rPr>
        <w:t> </w:t>
      </w:r>
      <w:r>
        <w:rPr/>
        <w:t>new, would be one of its foremost reference points. Therefore, comparative studies of the two laws would seem to be in order. The expectation is that the UK Act has taken into consideration certain developments which the CAMA, by virtue of the epoch of its enactment, could not have contemplated.</w:t>
      </w:r>
    </w:p>
    <w:p>
      <w:pPr>
        <w:pStyle w:val="BodyText"/>
        <w:spacing w:line="480" w:lineRule="auto" w:before="2"/>
        <w:ind w:right="238" w:firstLine="720"/>
        <w:jc w:val="both"/>
      </w:pPr>
      <w:r>
        <w:rPr/>
        <w:t>Due to the common origin of the two laws, similarities have been observed common to both legislations. For example, the director is still held to his good faith obligations when he acts on behalf of the company and his business judgment is still evaluated by subjective standards. However, where the director is required to consider the interests</w:t>
      </w:r>
      <w:r>
        <w:rPr>
          <w:spacing w:val="-3"/>
        </w:rPr>
        <w:t> </w:t>
      </w:r>
      <w:r>
        <w:rPr/>
        <w:t>of</w:t>
      </w:r>
      <w:r>
        <w:rPr>
          <w:spacing w:val="-9"/>
        </w:rPr>
        <w:t> </w:t>
      </w:r>
      <w:r>
        <w:rPr/>
        <w:t>a number of</w:t>
      </w:r>
      <w:r>
        <w:rPr>
          <w:spacing w:val="-4"/>
        </w:rPr>
        <w:t> </w:t>
      </w:r>
      <w:r>
        <w:rPr/>
        <w:t>factors</w:t>
      </w:r>
      <w:r>
        <w:rPr>
          <w:spacing w:val="-3"/>
        </w:rPr>
        <w:t> </w:t>
      </w:r>
      <w:r>
        <w:rPr/>
        <w:t>under the</w:t>
      </w:r>
      <w:r>
        <w:rPr>
          <w:spacing w:val="-2"/>
        </w:rPr>
        <w:t> </w:t>
      </w:r>
      <w:r>
        <w:rPr/>
        <w:t>CA, he is required</w:t>
      </w:r>
      <w:r>
        <w:rPr>
          <w:spacing w:val="-1"/>
        </w:rPr>
        <w:t> </w:t>
      </w:r>
      <w:r>
        <w:rPr/>
        <w:t>to consider the interests of primarily the company‘s employees and members under the CAMA. Whether or not this translates to any difference in practice, is debatable. Notably, the standard of care and skill</w:t>
      </w:r>
      <w:r>
        <w:rPr>
          <w:spacing w:val="-5"/>
        </w:rPr>
        <w:t> </w:t>
      </w:r>
      <w:r>
        <w:rPr/>
        <w:t>required</w:t>
      </w:r>
      <w:r>
        <w:rPr>
          <w:spacing w:val="-1"/>
        </w:rPr>
        <w:t> </w:t>
      </w:r>
      <w:r>
        <w:rPr/>
        <w:t>under the</w:t>
      </w:r>
      <w:r>
        <w:rPr>
          <w:spacing w:val="-2"/>
        </w:rPr>
        <w:t> </w:t>
      </w:r>
      <w:r>
        <w:rPr/>
        <w:t>CA</w:t>
      </w:r>
      <w:r>
        <w:rPr>
          <w:spacing w:val="-2"/>
        </w:rPr>
        <w:t> </w:t>
      </w:r>
      <w:r>
        <w:rPr/>
        <w:t>is markedly</w:t>
      </w:r>
      <w:r>
        <w:rPr>
          <w:spacing w:val="-6"/>
        </w:rPr>
        <w:t> </w:t>
      </w:r>
      <w:r>
        <w:rPr/>
        <w:t>different from</w:t>
      </w:r>
      <w:r>
        <w:rPr>
          <w:spacing w:val="-10"/>
        </w:rPr>
        <w:t> </w:t>
      </w:r>
      <w:r>
        <w:rPr/>
        <w:t>that under the CAMA. In</w:t>
      </w:r>
      <w:r>
        <w:rPr>
          <w:spacing w:val="-6"/>
        </w:rPr>
        <w:t> </w:t>
      </w:r>
      <w:r>
        <w:rPr/>
        <w:t>the former, the director is judged by both objective and subjective standards, taking into consideration the job he performs and the experience and qualifications that he has. Under the CAMA, on the other hand, a uniform objective standard is applied.</w:t>
      </w:r>
    </w:p>
    <w:p>
      <w:pPr>
        <w:pStyle w:val="BodyText"/>
        <w:spacing w:line="480" w:lineRule="auto" w:before="2"/>
        <w:ind w:right="236" w:firstLine="720"/>
        <w:jc w:val="both"/>
      </w:pPr>
      <w:r>
        <w:rPr/>
        <w:t>Whether or not the duties as codified under the CA constitute the better legislation,</w:t>
      </w:r>
      <w:r>
        <w:rPr>
          <w:spacing w:val="37"/>
        </w:rPr>
        <w:t> </w:t>
      </w:r>
      <w:r>
        <w:rPr/>
        <w:t>is</w:t>
      </w:r>
      <w:r>
        <w:rPr>
          <w:spacing w:val="29"/>
        </w:rPr>
        <w:t> </w:t>
      </w:r>
      <w:r>
        <w:rPr/>
        <w:t>arguable.</w:t>
      </w:r>
      <w:r>
        <w:rPr>
          <w:spacing w:val="33"/>
        </w:rPr>
        <w:t> </w:t>
      </w:r>
      <w:r>
        <w:rPr/>
        <w:t>However,</w:t>
      </w:r>
      <w:r>
        <w:rPr>
          <w:spacing w:val="29"/>
        </w:rPr>
        <w:t> </w:t>
      </w:r>
      <w:r>
        <w:rPr/>
        <w:t>the</w:t>
      </w:r>
      <w:r>
        <w:rPr>
          <w:spacing w:val="34"/>
        </w:rPr>
        <w:t> </w:t>
      </w:r>
      <w:r>
        <w:rPr/>
        <w:t>fact</w:t>
      </w:r>
      <w:r>
        <w:rPr>
          <w:spacing w:val="35"/>
        </w:rPr>
        <w:t> </w:t>
      </w:r>
      <w:r>
        <w:rPr/>
        <w:t>remains</w:t>
      </w:r>
      <w:r>
        <w:rPr>
          <w:spacing w:val="29"/>
        </w:rPr>
        <w:t> </w:t>
      </w:r>
      <w:r>
        <w:rPr/>
        <w:t>that</w:t>
      </w:r>
      <w:r>
        <w:rPr>
          <w:spacing w:val="35"/>
        </w:rPr>
        <w:t> </w:t>
      </w:r>
      <w:r>
        <w:rPr/>
        <w:t>CLRSG‘s</w:t>
      </w:r>
      <w:r>
        <w:rPr>
          <w:spacing w:val="29"/>
        </w:rPr>
        <w:t> </w:t>
      </w:r>
      <w:r>
        <w:rPr/>
        <w:t>objective</w:t>
      </w:r>
      <w:r>
        <w:rPr>
          <w:spacing w:val="30"/>
        </w:rPr>
        <w:t> </w:t>
      </w:r>
      <w:r>
        <w:rPr/>
        <w:t>of</w:t>
      </w:r>
      <w:r>
        <w:rPr>
          <w:spacing w:val="23"/>
        </w:rPr>
        <w:t> </w:t>
      </w:r>
      <w:r>
        <w:rPr/>
        <w:t>clarity</w:t>
      </w:r>
    </w:p>
    <w:p>
      <w:pPr>
        <w:pStyle w:val="BodyText"/>
        <w:spacing w:before="148"/>
        <w:ind w:left="0"/>
        <w:rPr>
          <w:sz w:val="20"/>
        </w:rPr>
      </w:pPr>
      <w:r>
        <w:rPr/>
        <mc:AlternateContent>
          <mc:Choice Requires="wps">
            <w:drawing>
              <wp:anchor distT="0" distB="0" distL="0" distR="0" allowOverlap="1" layoutInCell="1" locked="0" behindDoc="1" simplePos="0" relativeHeight="487615488">
                <wp:simplePos x="0" y="0"/>
                <wp:positionH relativeFrom="page">
                  <wp:posOffset>1262481</wp:posOffset>
                </wp:positionH>
                <wp:positionV relativeFrom="paragraph">
                  <wp:posOffset>255679</wp:posOffset>
                </wp:positionV>
                <wp:extent cx="1829435" cy="9525"/>
                <wp:effectExtent l="0" t="0" r="0" b="0"/>
                <wp:wrapTopAndBottom/>
                <wp:docPr id="57" name="Graphic 57"/>
                <wp:cNvGraphicFramePr>
                  <a:graphicFrameLocks/>
                </wp:cNvGraphicFramePr>
                <a:graphic>
                  <a:graphicData uri="http://schemas.microsoft.com/office/word/2010/wordprocessingShape">
                    <wps:wsp>
                      <wps:cNvPr id="57" name="Graphic 5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32280pt;width:144.050pt;height:.71997pt;mso-position-horizontal-relative:page;mso-position-vertical-relative:paragraph;z-index:-15700992;mso-wrap-distance-left:0;mso-wrap-distance-right:0" id="docshape1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22</w:t>
      </w:r>
      <w:r>
        <w:rPr>
          <w:rFonts w:ascii="Calibri"/>
          <w:spacing w:val="-2"/>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Birds,</w:t>
      </w:r>
      <w:r>
        <w:rPr>
          <w:rFonts w:ascii="Calibri"/>
          <w:spacing w:val="-5"/>
          <w:sz w:val="20"/>
          <w:vertAlign w:val="baseline"/>
        </w:rPr>
        <w:t> </w:t>
      </w:r>
      <w:r>
        <w:rPr>
          <w:rFonts w:ascii="Calibri"/>
          <w:sz w:val="20"/>
          <w:vertAlign w:val="baseline"/>
        </w:rPr>
        <w:t>J.</w:t>
      </w:r>
      <w:r>
        <w:rPr>
          <w:rFonts w:ascii="Calibri"/>
          <w:spacing w:val="-6"/>
          <w:sz w:val="20"/>
          <w:vertAlign w:val="baseline"/>
        </w:rPr>
        <w:t> </w:t>
      </w:r>
      <w:r>
        <w:rPr>
          <w:rFonts w:ascii="Calibri"/>
          <w:sz w:val="20"/>
          <w:vertAlign w:val="baseline"/>
        </w:rPr>
        <w:t>et</w:t>
      </w:r>
      <w:r>
        <w:rPr>
          <w:rFonts w:ascii="Calibri"/>
          <w:spacing w:val="-7"/>
          <w:sz w:val="20"/>
          <w:vertAlign w:val="baseline"/>
        </w:rPr>
        <w:t> </w:t>
      </w:r>
      <w:r>
        <w:rPr>
          <w:rFonts w:ascii="Calibri"/>
          <w:sz w:val="20"/>
          <w:vertAlign w:val="baseline"/>
        </w:rPr>
        <w:t>al.,</w:t>
      </w:r>
      <w:r>
        <w:rPr>
          <w:rFonts w:ascii="Calibri"/>
          <w:spacing w:val="-10"/>
          <w:sz w:val="20"/>
          <w:vertAlign w:val="baseline"/>
        </w:rPr>
        <w:t> </w:t>
      </w:r>
      <w:r>
        <w:rPr>
          <w:rFonts w:ascii="Calibri"/>
          <w:sz w:val="20"/>
          <w:vertAlign w:val="baseline"/>
        </w:rPr>
        <w:t>op.cit.</w:t>
      </w:r>
      <w:r>
        <w:rPr>
          <w:rFonts w:ascii="Calibri"/>
          <w:spacing w:val="-1"/>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p.638</w:t>
      </w:r>
      <w:r>
        <w:rPr>
          <w:rFonts w:ascii="Calibri"/>
          <w:spacing w:val="-8"/>
          <w:sz w:val="20"/>
          <w:vertAlign w:val="baseline"/>
        </w:rPr>
        <w:t> </w:t>
      </w:r>
      <w:r>
        <w:rPr>
          <w:rFonts w:ascii="Calibri"/>
          <w:sz w:val="20"/>
          <w:vertAlign w:val="baseline"/>
        </w:rPr>
        <w:t>and</w:t>
      </w:r>
      <w:r>
        <w:rPr>
          <w:rFonts w:ascii="Calibri"/>
          <w:spacing w:val="-4"/>
          <w:sz w:val="20"/>
          <w:vertAlign w:val="baseline"/>
        </w:rPr>
        <w:t> </w:t>
      </w:r>
      <w:r>
        <w:rPr>
          <w:rFonts w:ascii="Calibri"/>
          <w:sz w:val="20"/>
          <w:vertAlign w:val="baseline"/>
        </w:rPr>
        <w:t>Davies,</w:t>
      </w:r>
      <w:r>
        <w:rPr>
          <w:rFonts w:ascii="Calibri"/>
          <w:spacing w:val="-5"/>
          <w:sz w:val="20"/>
          <w:vertAlign w:val="baseline"/>
        </w:rPr>
        <w:t> </w:t>
      </w:r>
      <w:r>
        <w:rPr>
          <w:rFonts w:ascii="Calibri"/>
          <w:sz w:val="20"/>
          <w:vertAlign w:val="baseline"/>
        </w:rPr>
        <w:t>L.P.</w:t>
      </w:r>
      <w:r>
        <w:rPr>
          <w:rFonts w:ascii="Calibri"/>
          <w:spacing w:val="-1"/>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S.op.cit.</w:t>
      </w:r>
      <w:r>
        <w:rPr>
          <w:rFonts w:ascii="Calibri"/>
          <w:spacing w:val="-1"/>
          <w:sz w:val="20"/>
          <w:vertAlign w:val="baseline"/>
        </w:rPr>
        <w:t> </w:t>
      </w:r>
      <w:r>
        <w:rPr>
          <w:rFonts w:ascii="Calibri"/>
          <w:sz w:val="20"/>
          <w:vertAlign w:val="baseline"/>
        </w:rPr>
        <w:t>at</w:t>
      </w:r>
      <w:r>
        <w:rPr>
          <w:rFonts w:ascii="Calibri"/>
          <w:spacing w:val="-9"/>
          <w:sz w:val="20"/>
          <w:vertAlign w:val="baseline"/>
        </w:rPr>
        <w:t> </w:t>
      </w:r>
      <w:r>
        <w:rPr>
          <w:rFonts w:ascii="Calibri"/>
          <w:spacing w:val="-2"/>
          <w:sz w:val="20"/>
          <w:vertAlign w:val="baseline"/>
        </w:rPr>
        <w:t>p.543.</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9"/>
        <w:jc w:val="both"/>
      </w:pPr>
      <w:r>
        <w:rPr/>
        <w:t>and simplicity has undoubtedly been achieved. In this work, the extent of review/restatement required under the</w:t>
      </w:r>
      <w:r>
        <w:rPr>
          <w:spacing w:val="-1"/>
        </w:rPr>
        <w:t> </w:t>
      </w:r>
      <w:r>
        <w:rPr/>
        <w:t>CAMA</w:t>
      </w:r>
      <w:r>
        <w:rPr>
          <w:spacing w:val="-6"/>
        </w:rPr>
        <w:t> </w:t>
      </w:r>
      <w:r>
        <w:rPr/>
        <w:t>as well as</w:t>
      </w:r>
      <w:r>
        <w:rPr>
          <w:spacing w:val="-2"/>
        </w:rPr>
        <w:t> </w:t>
      </w:r>
      <w:r>
        <w:rPr/>
        <w:t>the extent to which the</w:t>
      </w:r>
      <w:r>
        <w:rPr>
          <w:spacing w:val="-1"/>
        </w:rPr>
        <w:t> </w:t>
      </w:r>
      <w:r>
        <w:rPr/>
        <w:t>CA</w:t>
      </w:r>
      <w:r>
        <w:rPr>
          <w:spacing w:val="-1"/>
        </w:rPr>
        <w:t> </w:t>
      </w:r>
      <w:r>
        <w:rPr/>
        <w:t>can be a model on that point, is considered.</w:t>
      </w:r>
    </w:p>
    <w:p>
      <w:pPr>
        <w:pStyle w:val="Heading2"/>
        <w:numPr>
          <w:ilvl w:val="1"/>
          <w:numId w:val="7"/>
        </w:numPr>
        <w:tabs>
          <w:tab w:pos="1027" w:val="left" w:leader="none"/>
        </w:tabs>
        <w:spacing w:line="240" w:lineRule="auto" w:before="207" w:after="0"/>
        <w:ind w:left="1027" w:right="0" w:hanging="719"/>
        <w:jc w:val="both"/>
      </w:pPr>
      <w:bookmarkStart w:name="_TOC_250050" w:id="2"/>
      <w:r>
        <w:rPr/>
        <w:t>Statement</w:t>
      </w:r>
      <w:r>
        <w:rPr>
          <w:spacing w:val="1"/>
        </w:rPr>
        <w:t> </w:t>
      </w:r>
      <w:r>
        <w:rPr/>
        <w:t>of</w:t>
      </w:r>
      <w:r>
        <w:rPr>
          <w:spacing w:val="-2"/>
        </w:rPr>
        <w:t> </w:t>
      </w:r>
      <w:r>
        <w:rPr/>
        <w:t>the</w:t>
      </w:r>
      <w:r>
        <w:rPr>
          <w:spacing w:val="-4"/>
        </w:rPr>
        <w:t> </w:t>
      </w:r>
      <w:bookmarkEnd w:id="2"/>
      <w:r>
        <w:rPr>
          <w:spacing w:val="-2"/>
        </w:rPr>
        <w:t>Problem</w:t>
      </w:r>
    </w:p>
    <w:p>
      <w:pPr>
        <w:pStyle w:val="BodyText"/>
        <w:spacing w:line="480" w:lineRule="auto" w:before="132"/>
        <w:ind w:right="234"/>
        <w:jc w:val="both"/>
      </w:pPr>
      <w:r>
        <w:rPr/>
        <w:t>The CAMA has been in force some twenty-five years now. The many calls for its</w:t>
      </w:r>
      <w:r>
        <w:rPr>
          <w:spacing w:val="40"/>
        </w:rPr>
        <w:t> </w:t>
      </w:r>
      <w:r>
        <w:rPr/>
        <w:t>review have not addressed the area of</w:t>
      </w:r>
      <w:r>
        <w:rPr>
          <w:spacing w:val="-3"/>
        </w:rPr>
        <w:t> </w:t>
      </w:r>
      <w:r>
        <w:rPr/>
        <w:t>directors‘ duties. Many of</w:t>
      </w:r>
      <w:r>
        <w:rPr>
          <w:spacing w:val="-3"/>
        </w:rPr>
        <w:t> </w:t>
      </w:r>
      <w:r>
        <w:rPr/>
        <w:t>the scholars writing on this aspect</w:t>
      </w:r>
      <w:r>
        <w:rPr>
          <w:spacing w:val="16"/>
        </w:rPr>
        <w:t> </w:t>
      </w:r>
      <w:r>
        <w:rPr/>
        <w:t>of the legislation were more explanatory than critical of the provisions. Yet,</w:t>
      </w:r>
      <w:r>
        <w:rPr>
          <w:spacing w:val="40"/>
        </w:rPr>
        <w:t> </w:t>
      </w:r>
      <w:r>
        <w:rPr/>
        <w:t>a cursory look at the provisions on directors‘ duties in the CAMA suggested a need for review. Added to this is the scarcity of domestic case-law in this area. The new UK Companies Act 2006</w:t>
      </w:r>
      <w:r>
        <w:rPr>
          <w:spacing w:val="-2"/>
        </w:rPr>
        <w:t> </w:t>
      </w:r>
      <w:r>
        <w:rPr/>
        <w:t>had for</w:t>
      </w:r>
      <w:r>
        <w:rPr>
          <w:spacing w:val="-1"/>
        </w:rPr>
        <w:t> </w:t>
      </w:r>
      <w:r>
        <w:rPr/>
        <w:t>the first time</w:t>
      </w:r>
      <w:r>
        <w:rPr>
          <w:spacing w:val="-3"/>
        </w:rPr>
        <w:t> </w:t>
      </w:r>
      <w:r>
        <w:rPr/>
        <w:t>codified</w:t>
      </w:r>
      <w:r>
        <w:rPr>
          <w:spacing w:val="-2"/>
        </w:rPr>
        <w:t> </w:t>
      </w:r>
      <w:r>
        <w:rPr/>
        <w:t>the</w:t>
      </w:r>
      <w:r>
        <w:rPr>
          <w:spacing w:val="-3"/>
        </w:rPr>
        <w:t> </w:t>
      </w:r>
      <w:r>
        <w:rPr/>
        <w:t>duties</w:t>
      </w:r>
      <w:r>
        <w:rPr>
          <w:spacing w:val="-4"/>
        </w:rPr>
        <w:t> </w:t>
      </w:r>
      <w:r>
        <w:rPr/>
        <w:t>of</w:t>
      </w:r>
      <w:r>
        <w:rPr>
          <w:spacing w:val="-9"/>
        </w:rPr>
        <w:t> </w:t>
      </w:r>
      <w:r>
        <w:rPr/>
        <w:t>directors, breaking new grounds</w:t>
      </w:r>
      <w:r>
        <w:rPr>
          <w:spacing w:val="-4"/>
        </w:rPr>
        <w:t> </w:t>
      </w:r>
      <w:r>
        <w:rPr/>
        <w:t>and</w:t>
      </w:r>
      <w:r>
        <w:rPr>
          <w:spacing w:val="-2"/>
        </w:rPr>
        <w:t> </w:t>
      </w:r>
      <w:r>
        <w:rPr/>
        <w:t>standardizing</w:t>
      </w:r>
      <w:r>
        <w:rPr>
          <w:spacing w:val="-2"/>
        </w:rPr>
        <w:t> </w:t>
      </w:r>
      <w:r>
        <w:rPr/>
        <w:t>developments from</w:t>
      </w:r>
      <w:r>
        <w:rPr>
          <w:spacing w:val="-11"/>
        </w:rPr>
        <w:t> </w:t>
      </w:r>
      <w:r>
        <w:rPr/>
        <w:t>case-law.</w:t>
      </w:r>
      <w:r>
        <w:rPr>
          <w:spacing w:val="-1"/>
        </w:rPr>
        <w:t> </w:t>
      </w:r>
      <w:r>
        <w:rPr/>
        <w:t>The</w:t>
      </w:r>
      <w:r>
        <w:rPr>
          <w:spacing w:val="-3"/>
        </w:rPr>
        <w:t> </w:t>
      </w:r>
      <w:r>
        <w:rPr/>
        <w:t>question</w:t>
      </w:r>
      <w:r>
        <w:rPr>
          <w:spacing w:val="-2"/>
        </w:rPr>
        <w:t> </w:t>
      </w:r>
      <w:r>
        <w:rPr/>
        <w:t>is, comparatively, whether and to what extent the UK</w:t>
      </w:r>
      <w:r>
        <w:rPr>
          <w:spacing w:val="-3"/>
        </w:rPr>
        <w:t> </w:t>
      </w:r>
      <w:r>
        <w:rPr/>
        <w:t>Companies Act 2006 can</w:t>
      </w:r>
      <w:r>
        <w:rPr>
          <w:spacing w:val="-2"/>
        </w:rPr>
        <w:t> </w:t>
      </w:r>
      <w:r>
        <w:rPr/>
        <w:t>be a model</w:t>
      </w:r>
      <w:r>
        <w:rPr>
          <w:spacing w:val="-2"/>
        </w:rPr>
        <w:t> </w:t>
      </w:r>
      <w:r>
        <w:rPr/>
        <w:t>for</w:t>
      </w:r>
      <w:r>
        <w:rPr>
          <w:spacing w:val="-1"/>
        </w:rPr>
        <w:t> </w:t>
      </w:r>
      <w:r>
        <w:rPr/>
        <w:t>the CAMA in the area of directors‘ general duties of care and skill and fiduciary duties of loyalty and good faith.</w:t>
      </w:r>
    </w:p>
    <w:p>
      <w:pPr>
        <w:pStyle w:val="Heading2"/>
        <w:numPr>
          <w:ilvl w:val="1"/>
          <w:numId w:val="7"/>
        </w:numPr>
        <w:tabs>
          <w:tab w:pos="1027" w:val="left" w:leader="none"/>
        </w:tabs>
        <w:spacing w:line="240" w:lineRule="auto" w:before="208" w:after="0"/>
        <w:ind w:left="1027" w:right="0" w:hanging="719"/>
        <w:jc w:val="both"/>
      </w:pPr>
      <w:bookmarkStart w:name="_TOC_250049" w:id="3"/>
      <w:r>
        <w:rPr/>
        <w:t>Aim</w:t>
      </w:r>
      <w:r>
        <w:rPr>
          <w:spacing w:val="-1"/>
        </w:rPr>
        <w:t> </w:t>
      </w:r>
      <w:r>
        <w:rPr/>
        <w:t>and</w:t>
      </w:r>
      <w:r>
        <w:rPr>
          <w:spacing w:val="2"/>
        </w:rPr>
        <w:t> </w:t>
      </w:r>
      <w:bookmarkEnd w:id="3"/>
      <w:r>
        <w:rPr>
          <w:spacing w:val="-2"/>
        </w:rPr>
        <w:t>Objective</w:t>
      </w:r>
    </w:p>
    <w:p>
      <w:pPr>
        <w:spacing w:line="480" w:lineRule="auto" w:before="132"/>
        <w:ind w:left="308" w:right="229" w:firstLine="0"/>
        <w:jc w:val="both"/>
        <w:rPr>
          <w:sz w:val="24"/>
        </w:rPr>
      </w:pPr>
      <w:r>
        <w:rPr>
          <w:sz w:val="22"/>
        </w:rPr>
        <w:t>The research aimed to clarify the statement of directors‘ duties under the CAMA as</w:t>
      </w:r>
      <w:r>
        <w:rPr>
          <w:spacing w:val="40"/>
          <w:sz w:val="22"/>
        </w:rPr>
        <w:t> </w:t>
      </w:r>
      <w:r>
        <w:rPr>
          <w:sz w:val="22"/>
        </w:rPr>
        <w:t>well as bring them up to date with modern trends.</w:t>
      </w:r>
      <w:r>
        <w:rPr>
          <w:sz w:val="24"/>
        </w:rPr>
        <w:t>Theresearch objective was to comparedirectors‘ general</w:t>
      </w:r>
      <w:r>
        <w:rPr>
          <w:spacing w:val="-3"/>
          <w:sz w:val="24"/>
        </w:rPr>
        <w:t> </w:t>
      </w:r>
      <w:r>
        <w:rPr>
          <w:sz w:val="24"/>
        </w:rPr>
        <w:t>duties of</w:t>
      </w:r>
      <w:r>
        <w:rPr>
          <w:spacing w:val="-6"/>
          <w:sz w:val="24"/>
        </w:rPr>
        <w:t> </w:t>
      </w:r>
      <w:r>
        <w:rPr>
          <w:sz w:val="24"/>
        </w:rPr>
        <w:t>care and skill and fiduciary</w:t>
      </w:r>
      <w:r>
        <w:rPr>
          <w:spacing w:val="-3"/>
          <w:sz w:val="24"/>
        </w:rPr>
        <w:t> </w:t>
      </w:r>
      <w:r>
        <w:rPr>
          <w:sz w:val="24"/>
        </w:rPr>
        <w:t>duties of loyalty</w:t>
      </w:r>
      <w:r>
        <w:rPr>
          <w:spacing w:val="-3"/>
          <w:sz w:val="24"/>
        </w:rPr>
        <w:t> </w:t>
      </w:r>
      <w:r>
        <w:rPr>
          <w:sz w:val="24"/>
        </w:rPr>
        <w:t>and good faith as codified under the</w:t>
      </w:r>
      <w:r>
        <w:rPr>
          <w:spacing w:val="-2"/>
          <w:sz w:val="24"/>
        </w:rPr>
        <w:t> </w:t>
      </w:r>
      <w:r>
        <w:rPr>
          <w:sz w:val="24"/>
        </w:rPr>
        <w:t>CAMA</w:t>
      </w:r>
      <w:r>
        <w:rPr>
          <w:spacing w:val="-7"/>
          <w:sz w:val="24"/>
        </w:rPr>
        <w:t> </w:t>
      </w:r>
      <w:r>
        <w:rPr>
          <w:sz w:val="24"/>
        </w:rPr>
        <w:t>and</w:t>
      </w:r>
      <w:r>
        <w:rPr>
          <w:spacing w:val="-1"/>
          <w:sz w:val="24"/>
        </w:rPr>
        <w:t> </w:t>
      </w:r>
      <w:r>
        <w:rPr>
          <w:sz w:val="24"/>
        </w:rPr>
        <w:t>the CA, in</w:t>
      </w:r>
      <w:r>
        <w:rPr>
          <w:spacing w:val="-6"/>
          <w:sz w:val="24"/>
        </w:rPr>
        <w:t> </w:t>
      </w:r>
      <w:r>
        <w:rPr>
          <w:sz w:val="24"/>
        </w:rPr>
        <w:t>order</w:t>
      </w:r>
      <w:r>
        <w:rPr>
          <w:spacing w:val="-4"/>
          <w:sz w:val="24"/>
        </w:rPr>
        <w:t> </w:t>
      </w:r>
      <w:r>
        <w:rPr>
          <w:sz w:val="24"/>
        </w:rPr>
        <w:t>to show</w:t>
      </w:r>
      <w:r>
        <w:rPr>
          <w:spacing w:val="-6"/>
          <w:sz w:val="24"/>
        </w:rPr>
        <w:t> </w:t>
      </w:r>
      <w:r>
        <w:rPr>
          <w:sz w:val="24"/>
        </w:rPr>
        <w:t>that</w:t>
      </w:r>
      <w:r>
        <w:rPr>
          <w:spacing w:val="-1"/>
          <w:sz w:val="24"/>
        </w:rPr>
        <w:t> </w:t>
      </w:r>
      <w:r>
        <w:rPr>
          <w:sz w:val="24"/>
        </w:rPr>
        <w:t>the</w:t>
      </w:r>
      <w:r>
        <w:rPr>
          <w:spacing w:val="-2"/>
          <w:sz w:val="24"/>
        </w:rPr>
        <w:t> </w:t>
      </w:r>
      <w:r>
        <w:rPr>
          <w:sz w:val="24"/>
        </w:rPr>
        <w:t>CAMA, after over 20 years, was far from</w:t>
      </w:r>
      <w:r>
        <w:rPr>
          <w:spacing w:val="-6"/>
          <w:sz w:val="24"/>
        </w:rPr>
        <w:t> </w:t>
      </w:r>
      <w:r>
        <w:rPr>
          <w:sz w:val="24"/>
        </w:rPr>
        <w:t>being</w:t>
      </w:r>
      <w:r>
        <w:rPr>
          <w:spacing w:val="-1"/>
          <w:sz w:val="24"/>
        </w:rPr>
        <w:t> </w:t>
      </w:r>
      <w:r>
        <w:rPr>
          <w:sz w:val="24"/>
        </w:rPr>
        <w:t>a model</w:t>
      </w:r>
      <w:r>
        <w:rPr>
          <w:spacing w:val="-6"/>
          <w:sz w:val="24"/>
        </w:rPr>
        <w:t> </w:t>
      </w:r>
      <w:r>
        <w:rPr>
          <w:sz w:val="24"/>
        </w:rPr>
        <w:t>company</w:t>
      </w:r>
      <w:r>
        <w:rPr>
          <w:spacing w:val="-1"/>
          <w:sz w:val="24"/>
        </w:rPr>
        <w:t> </w:t>
      </w:r>
      <w:r>
        <w:rPr>
          <w:sz w:val="24"/>
        </w:rPr>
        <w:t>law for Nigeria</w:t>
      </w:r>
      <w:r>
        <w:rPr>
          <w:spacing w:val="-2"/>
          <w:sz w:val="24"/>
        </w:rPr>
        <w:t> </w:t>
      </w:r>
      <w:r>
        <w:rPr>
          <w:sz w:val="24"/>
        </w:rPr>
        <w:t>today</w:t>
      </w:r>
      <w:r>
        <w:rPr>
          <w:spacing w:val="-11"/>
          <w:sz w:val="24"/>
        </w:rPr>
        <w:t> </w:t>
      </w:r>
      <w:r>
        <w:rPr>
          <w:sz w:val="24"/>
        </w:rPr>
        <w:t>and</w:t>
      </w:r>
      <w:r>
        <w:rPr>
          <w:spacing w:val="-1"/>
          <w:sz w:val="24"/>
        </w:rPr>
        <w:t> </w:t>
      </w:r>
      <w:r>
        <w:rPr>
          <w:sz w:val="24"/>
        </w:rPr>
        <w:t>therefore, required</w:t>
      </w:r>
      <w:r>
        <w:rPr>
          <w:spacing w:val="-1"/>
          <w:sz w:val="24"/>
        </w:rPr>
        <w:t> </w:t>
      </w:r>
      <w:r>
        <w:rPr>
          <w:sz w:val="24"/>
        </w:rPr>
        <w:t>review in line with the CA.</w:t>
      </w:r>
    </w:p>
    <w:p>
      <w:pPr>
        <w:pStyle w:val="Heading2"/>
        <w:numPr>
          <w:ilvl w:val="1"/>
          <w:numId w:val="7"/>
        </w:numPr>
        <w:tabs>
          <w:tab w:pos="1027" w:val="left" w:leader="none"/>
        </w:tabs>
        <w:spacing w:line="240" w:lineRule="auto" w:before="206" w:after="0"/>
        <w:ind w:left="1027" w:right="0" w:hanging="719"/>
        <w:jc w:val="both"/>
      </w:pPr>
      <w:bookmarkStart w:name="_TOC_250048" w:id="4"/>
      <w:r>
        <w:rPr/>
        <w:t>Scope</w:t>
      </w:r>
      <w:r>
        <w:rPr>
          <w:spacing w:val="1"/>
        </w:rPr>
        <w:t> </w:t>
      </w:r>
      <w:r>
        <w:rPr/>
        <w:t>of</w:t>
      </w:r>
      <w:r>
        <w:rPr>
          <w:spacing w:val="-1"/>
        </w:rPr>
        <w:t> </w:t>
      </w:r>
      <w:r>
        <w:rPr/>
        <w:t>the</w:t>
      </w:r>
      <w:r>
        <w:rPr>
          <w:spacing w:val="1"/>
        </w:rPr>
        <w:t> </w:t>
      </w:r>
      <w:bookmarkEnd w:id="4"/>
      <w:r>
        <w:rPr>
          <w:spacing w:val="-2"/>
        </w:rPr>
        <w:t>Research</w:t>
      </w:r>
    </w:p>
    <w:p>
      <w:pPr>
        <w:pStyle w:val="BodyText"/>
        <w:spacing w:line="480" w:lineRule="auto" w:before="132"/>
        <w:ind w:right="240"/>
        <w:jc w:val="both"/>
      </w:pPr>
      <w:r>
        <w:rPr/>
        <w:t>The research area was confined to the general duties of care and skill and the various manifestations</w:t>
      </w:r>
      <w:r>
        <w:rPr>
          <w:spacing w:val="-1"/>
        </w:rPr>
        <w:t> </w:t>
      </w:r>
      <w:r>
        <w:rPr/>
        <w:t>of</w:t>
      </w:r>
      <w:r>
        <w:rPr>
          <w:spacing w:val="-7"/>
        </w:rPr>
        <w:t> </w:t>
      </w:r>
      <w:r>
        <w:rPr/>
        <w:t>the fiduciary</w:t>
      </w:r>
      <w:r>
        <w:rPr>
          <w:spacing w:val="-4"/>
        </w:rPr>
        <w:t> </w:t>
      </w:r>
      <w:r>
        <w:rPr/>
        <w:t>duties</w:t>
      </w:r>
      <w:r>
        <w:rPr>
          <w:spacing w:val="-1"/>
        </w:rPr>
        <w:t> </w:t>
      </w:r>
      <w:r>
        <w:rPr/>
        <w:t>of</w:t>
      </w:r>
      <w:r>
        <w:rPr>
          <w:spacing w:val="-2"/>
        </w:rPr>
        <w:t> </w:t>
      </w:r>
      <w:r>
        <w:rPr/>
        <w:t>loyalty</w:t>
      </w:r>
      <w:r>
        <w:rPr>
          <w:spacing w:val="-4"/>
        </w:rPr>
        <w:t> </w:t>
      </w:r>
      <w:r>
        <w:rPr/>
        <w:t>and good faith</w:t>
      </w:r>
      <w:r>
        <w:rPr>
          <w:spacing w:val="-4"/>
        </w:rPr>
        <w:t> </w:t>
      </w:r>
      <w:r>
        <w:rPr/>
        <w:t>as codified under the CA and the CAMA. The law was stated as at January 1, 2015.</w:t>
      </w:r>
    </w:p>
    <w:p>
      <w:pPr>
        <w:spacing w:after="0" w:line="480" w:lineRule="auto"/>
        <w:jc w:val="both"/>
        <w:sectPr>
          <w:pgSz w:w="11910" w:h="16840"/>
          <w:pgMar w:header="0" w:footer="1003" w:top="1320" w:bottom="1200" w:left="1680" w:right="1180"/>
        </w:sectPr>
      </w:pPr>
    </w:p>
    <w:p>
      <w:pPr>
        <w:pStyle w:val="Heading2"/>
        <w:numPr>
          <w:ilvl w:val="1"/>
          <w:numId w:val="7"/>
        </w:numPr>
        <w:tabs>
          <w:tab w:pos="1027" w:val="left" w:leader="none"/>
        </w:tabs>
        <w:spacing w:line="240" w:lineRule="auto" w:before="74" w:after="0"/>
        <w:ind w:left="1027" w:right="0" w:hanging="719"/>
        <w:jc w:val="both"/>
      </w:pPr>
      <w:bookmarkStart w:name="_TOC_250047" w:id="5"/>
      <w:bookmarkEnd w:id="5"/>
      <w:r>
        <w:rPr>
          <w:spacing w:val="-2"/>
        </w:rPr>
        <w:t>Methodology</w:t>
      </w:r>
    </w:p>
    <w:p>
      <w:pPr>
        <w:pStyle w:val="BodyText"/>
        <w:spacing w:line="480" w:lineRule="auto" w:before="137"/>
        <w:ind w:right="228"/>
        <w:jc w:val="both"/>
      </w:pPr>
      <w:r>
        <w:rPr/>
        <w:t>The research was doctrinal. The tool of comparison was used. The main legislations in the two jurisdictions, namely the English CA and the Nigerian CAMA, and case law, werethe primary sources for this work. The secondary sources included text books, theses, scholarly journals as well as newspapers, consulted appropriately. Internet sources featured considerably regarding the UK aspect of the work, being a foreign </w:t>
      </w:r>
      <w:r>
        <w:rPr>
          <w:spacing w:val="-2"/>
        </w:rPr>
        <w:t>jurisdiction.</w:t>
      </w:r>
    </w:p>
    <w:p>
      <w:pPr>
        <w:pStyle w:val="Heading2"/>
        <w:numPr>
          <w:ilvl w:val="1"/>
          <w:numId w:val="7"/>
        </w:numPr>
        <w:tabs>
          <w:tab w:pos="1027" w:val="left" w:leader="none"/>
        </w:tabs>
        <w:spacing w:line="240" w:lineRule="auto" w:before="203" w:after="0"/>
        <w:ind w:left="1027" w:right="0" w:hanging="719"/>
        <w:jc w:val="both"/>
      </w:pPr>
      <w:bookmarkStart w:name="_TOC_250046" w:id="6"/>
      <w:r>
        <w:rPr/>
        <w:t>Literature</w:t>
      </w:r>
      <w:r>
        <w:rPr>
          <w:spacing w:val="-7"/>
        </w:rPr>
        <w:t> </w:t>
      </w:r>
      <w:bookmarkEnd w:id="6"/>
      <w:r>
        <w:rPr>
          <w:spacing w:val="-2"/>
        </w:rPr>
        <w:t>Review</w:t>
      </w:r>
    </w:p>
    <w:p>
      <w:pPr>
        <w:pStyle w:val="BodyText"/>
        <w:spacing w:line="480" w:lineRule="auto" w:before="138"/>
        <w:ind w:right="235"/>
        <w:jc w:val="both"/>
      </w:pPr>
      <w:r>
        <w:rPr/>
        <w:t>Nigerian authors addressed directors‘ duties in the light of the statutory provisions currently in force without more. Much of the literature considered in this area, were more</w:t>
      </w:r>
      <w:r>
        <w:rPr>
          <w:spacing w:val="-1"/>
        </w:rPr>
        <w:t> </w:t>
      </w:r>
      <w:r>
        <w:rPr/>
        <w:t>explanatory</w:t>
      </w:r>
      <w:r>
        <w:rPr>
          <w:spacing w:val="-10"/>
        </w:rPr>
        <w:t> </w:t>
      </w:r>
      <w:r>
        <w:rPr/>
        <w:t>than</w:t>
      </w:r>
      <w:r>
        <w:rPr>
          <w:spacing w:val="-5"/>
        </w:rPr>
        <w:t> </w:t>
      </w:r>
      <w:r>
        <w:rPr/>
        <w:t>critical. Importantly, none of</w:t>
      </w:r>
      <w:r>
        <w:rPr>
          <w:spacing w:val="-8"/>
        </w:rPr>
        <w:t> </w:t>
      </w:r>
      <w:r>
        <w:rPr/>
        <w:t>the</w:t>
      </w:r>
      <w:r>
        <w:rPr>
          <w:spacing w:val="-1"/>
        </w:rPr>
        <w:t> </w:t>
      </w:r>
      <w:r>
        <w:rPr/>
        <w:t>writers set out with</w:t>
      </w:r>
      <w:r>
        <w:rPr>
          <w:spacing w:val="-5"/>
        </w:rPr>
        <w:t> </w:t>
      </w:r>
      <w:r>
        <w:rPr/>
        <w:t>an</w:t>
      </w:r>
      <w:r>
        <w:rPr>
          <w:spacing w:val="-5"/>
        </w:rPr>
        <w:t> </w:t>
      </w:r>
      <w:r>
        <w:rPr/>
        <w:t>objective as the one in this work: to compare directors‘ duties under the CAMA with those under some other jurisdiction.</w:t>
      </w:r>
    </w:p>
    <w:p>
      <w:pPr>
        <w:pStyle w:val="BodyText"/>
        <w:spacing w:line="480" w:lineRule="auto"/>
        <w:ind w:right="224" w:firstLine="720"/>
        <w:jc w:val="both"/>
      </w:pPr>
      <w:r>
        <w:rPr/>
        <w:t>Ogbuanya understoods.279(2) as imposing fiduciary duties on the director in favour of shareholders and any persons dealing with the company‘s securities.</w:t>
      </w:r>
      <w:r>
        <w:rPr>
          <w:vertAlign w:val="superscript"/>
        </w:rPr>
        <w:t>23</w:t>
      </w:r>
      <w:r>
        <w:rPr>
          <w:vertAlign w:val="baseline"/>
        </w:rPr>
        <w:t> Apparently, it did not occur to the author that the provision could be controversial especially considering s.279(9) allows the duty to be enforceable only by the company, to whom the director in fact owes his duties. Ali,</w:t>
      </w:r>
      <w:r>
        <w:rPr>
          <w:vertAlign w:val="superscript"/>
        </w:rPr>
        <w:t>24</w:t>
      </w:r>
      <w:r>
        <w:rPr>
          <w:vertAlign w:val="baseline"/>
        </w:rPr>
        <w:t> on the other hand noted the</w:t>
      </w:r>
      <w:r>
        <w:rPr>
          <w:spacing w:val="40"/>
          <w:vertAlign w:val="baseline"/>
        </w:rPr>
        <w:t> </w:t>
      </w:r>
      <w:r>
        <w:rPr>
          <w:vertAlign w:val="baseline"/>
        </w:rPr>
        <w:t>confusion suggested by the tenor of s.279(2) and suggested that the entire subsection is unnecessary</w:t>
      </w:r>
      <w:r>
        <w:rPr>
          <w:spacing w:val="-5"/>
          <w:vertAlign w:val="baseline"/>
        </w:rPr>
        <w:t> </w:t>
      </w:r>
      <w:r>
        <w:rPr>
          <w:vertAlign w:val="baseline"/>
        </w:rPr>
        <w:t>due to the further statement in s.279(9) that the duty is enforceable only by the company.</w:t>
      </w:r>
      <w:r>
        <w:rPr>
          <w:vertAlign w:val="superscript"/>
        </w:rPr>
        <w:t>25</w:t>
      </w:r>
      <w:r>
        <w:rPr>
          <w:vertAlign w:val="baseline"/>
        </w:rPr>
        <w:t> These and more obvious flaws in the provision are observed further in this work.</w:t>
      </w:r>
    </w:p>
    <w:p>
      <w:pPr>
        <w:pStyle w:val="BodyText"/>
        <w:spacing w:before="102"/>
        <w:ind w:left="0"/>
        <w:rPr>
          <w:sz w:val="20"/>
        </w:rPr>
      </w:pPr>
      <w:r>
        <w:rPr/>
        <mc:AlternateContent>
          <mc:Choice Requires="wps">
            <w:drawing>
              <wp:anchor distT="0" distB="0" distL="0" distR="0" allowOverlap="1" layoutInCell="1" locked="0" behindDoc="1" simplePos="0" relativeHeight="487616000">
                <wp:simplePos x="0" y="0"/>
                <wp:positionH relativeFrom="page">
                  <wp:posOffset>1262481</wp:posOffset>
                </wp:positionH>
                <wp:positionV relativeFrom="paragraph">
                  <wp:posOffset>226050</wp:posOffset>
                </wp:positionV>
                <wp:extent cx="1829435" cy="9525"/>
                <wp:effectExtent l="0" t="0" r="0" b="0"/>
                <wp:wrapTopAndBottom/>
                <wp:docPr id="58" name="Graphic 58"/>
                <wp:cNvGraphicFramePr>
                  <a:graphicFrameLocks/>
                </wp:cNvGraphicFramePr>
                <a:graphic>
                  <a:graphicData uri="http://schemas.microsoft.com/office/word/2010/wordprocessingShape">
                    <wps:wsp>
                      <wps:cNvPr id="58" name="Graphic 5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79925pt;width:144.050pt;height:.71997pt;mso-position-horizontal-relative:page;mso-position-vertical-relative:paragraph;z-index:-15700480;mso-wrap-distance-left:0;mso-wrap-distance-right:0" id="docshape13" filled="true" fillcolor="#000000" stroked="false">
                <v:fill type="solid"/>
                <w10:wrap type="topAndBottom"/>
              </v:rect>
            </w:pict>
          </mc:Fallback>
        </mc:AlternateContent>
      </w:r>
    </w:p>
    <w:p>
      <w:pPr>
        <w:spacing w:before="102"/>
        <w:ind w:left="308" w:right="306" w:firstLine="0"/>
        <w:jc w:val="both"/>
        <w:rPr>
          <w:rFonts w:ascii="Calibri"/>
          <w:sz w:val="20"/>
        </w:rPr>
      </w:pPr>
      <w:r>
        <w:rPr>
          <w:rFonts w:ascii="Calibri"/>
          <w:sz w:val="20"/>
          <w:vertAlign w:val="superscript"/>
        </w:rPr>
        <w:t>23</w:t>
      </w:r>
      <w:r>
        <w:rPr>
          <w:rFonts w:ascii="Calibri"/>
          <w:sz w:val="20"/>
          <w:vertAlign w:val="baseline"/>
        </w:rPr>
        <w:t>Ogbuanya,</w:t>
      </w:r>
      <w:r>
        <w:rPr>
          <w:rFonts w:ascii="Calibri"/>
          <w:spacing w:val="-6"/>
          <w:sz w:val="20"/>
          <w:vertAlign w:val="baseline"/>
        </w:rPr>
        <w:t> </w:t>
      </w:r>
      <w:r>
        <w:rPr>
          <w:rFonts w:ascii="Calibri"/>
          <w:sz w:val="20"/>
          <w:vertAlign w:val="baseline"/>
        </w:rPr>
        <w:t>N.C.S.</w:t>
      </w:r>
      <w:r>
        <w:rPr>
          <w:rFonts w:ascii="Calibri"/>
          <w:spacing w:val="-2"/>
          <w:sz w:val="20"/>
          <w:vertAlign w:val="baseline"/>
        </w:rPr>
        <w:t> </w:t>
      </w:r>
      <w:r>
        <w:rPr>
          <w:rFonts w:ascii="Calibri"/>
          <w:sz w:val="20"/>
          <w:vertAlign w:val="baseline"/>
        </w:rPr>
        <w:t>(2010).</w:t>
      </w:r>
      <w:r>
        <w:rPr>
          <w:rFonts w:ascii="Calibri"/>
          <w:i/>
          <w:sz w:val="20"/>
          <w:vertAlign w:val="baseline"/>
        </w:rPr>
        <w:t>Essentials</w:t>
      </w:r>
      <w:r>
        <w:rPr>
          <w:rFonts w:ascii="Calibri"/>
          <w:i/>
          <w:spacing w:val="-5"/>
          <w:sz w:val="20"/>
          <w:vertAlign w:val="baseline"/>
        </w:rPr>
        <w:t> </w:t>
      </w:r>
      <w:r>
        <w:rPr>
          <w:rFonts w:ascii="Calibri"/>
          <w:i/>
          <w:sz w:val="20"/>
          <w:vertAlign w:val="baseline"/>
        </w:rPr>
        <w:t>of</w:t>
      </w:r>
      <w:r>
        <w:rPr>
          <w:rFonts w:ascii="Calibri"/>
          <w:i/>
          <w:spacing w:val="-3"/>
          <w:sz w:val="20"/>
          <w:vertAlign w:val="baseline"/>
        </w:rPr>
        <w:t> </w:t>
      </w:r>
      <w:r>
        <w:rPr>
          <w:rFonts w:ascii="Calibri"/>
          <w:i/>
          <w:sz w:val="20"/>
          <w:vertAlign w:val="baseline"/>
        </w:rPr>
        <w:t>Corporate</w:t>
      </w:r>
      <w:r>
        <w:rPr>
          <w:rFonts w:ascii="Calibri"/>
          <w:i/>
          <w:spacing w:val="-4"/>
          <w:sz w:val="20"/>
          <w:vertAlign w:val="baseline"/>
        </w:rPr>
        <w:t> </w:t>
      </w:r>
      <w:r>
        <w:rPr>
          <w:rFonts w:ascii="Calibri"/>
          <w:i/>
          <w:sz w:val="20"/>
          <w:vertAlign w:val="baseline"/>
        </w:rPr>
        <w:t>Law</w:t>
      </w:r>
      <w:r>
        <w:rPr>
          <w:rFonts w:ascii="Calibri"/>
          <w:i/>
          <w:spacing w:val="-9"/>
          <w:sz w:val="20"/>
          <w:vertAlign w:val="baseline"/>
        </w:rPr>
        <w:t> </w:t>
      </w:r>
      <w:r>
        <w:rPr>
          <w:rFonts w:ascii="Calibri"/>
          <w:i/>
          <w:sz w:val="20"/>
          <w:vertAlign w:val="baseline"/>
        </w:rPr>
        <w:t>Practice in Nigeria.</w:t>
      </w:r>
      <w:r>
        <w:rPr>
          <w:rFonts w:ascii="Calibri"/>
          <w:sz w:val="20"/>
          <w:vertAlign w:val="baseline"/>
        </w:rPr>
        <w:t>Novena</w:t>
      </w:r>
      <w:r>
        <w:rPr>
          <w:rFonts w:ascii="Calibri"/>
          <w:spacing w:val="-4"/>
          <w:sz w:val="20"/>
          <w:vertAlign w:val="baseline"/>
        </w:rPr>
        <w:t> </w:t>
      </w:r>
      <w:r>
        <w:rPr>
          <w:rFonts w:ascii="Calibri"/>
          <w:sz w:val="20"/>
          <w:vertAlign w:val="baseline"/>
        </w:rPr>
        <w:t>Publishers</w:t>
      </w:r>
      <w:r>
        <w:rPr>
          <w:rFonts w:ascii="Calibri"/>
          <w:spacing w:val="-6"/>
          <w:sz w:val="20"/>
          <w:vertAlign w:val="baseline"/>
        </w:rPr>
        <w:t> </w:t>
      </w:r>
      <w:r>
        <w:rPr>
          <w:rFonts w:ascii="Calibri"/>
          <w:sz w:val="20"/>
          <w:vertAlign w:val="baseline"/>
        </w:rPr>
        <w:t>Ltd.,</w:t>
      </w:r>
      <w:r>
        <w:rPr>
          <w:rFonts w:ascii="Calibri"/>
          <w:spacing w:val="-1"/>
          <w:sz w:val="20"/>
          <w:vertAlign w:val="baseline"/>
        </w:rPr>
        <w:t> </w:t>
      </w:r>
      <w:r>
        <w:rPr>
          <w:rFonts w:ascii="Calibri"/>
          <w:sz w:val="20"/>
          <w:vertAlign w:val="baseline"/>
        </w:rPr>
        <w:t>Lagos, at p.336.</w:t>
      </w:r>
    </w:p>
    <w:p>
      <w:pPr>
        <w:spacing w:before="2"/>
        <w:ind w:left="308" w:right="225" w:firstLine="0"/>
        <w:jc w:val="both"/>
        <w:rPr>
          <w:rFonts w:ascii="Calibri"/>
          <w:sz w:val="20"/>
        </w:rPr>
      </w:pPr>
      <w:r>
        <w:rPr>
          <w:rFonts w:ascii="Calibri"/>
          <w:sz w:val="20"/>
          <w:vertAlign w:val="superscript"/>
        </w:rPr>
        <w:t>24</w:t>
      </w:r>
      <w:r>
        <w:rPr>
          <w:rFonts w:ascii="Calibri"/>
          <w:sz w:val="20"/>
          <w:vertAlign w:val="baseline"/>
        </w:rPr>
        <w:t>Ali, H.L. (1996).</w:t>
      </w:r>
      <w:r>
        <w:rPr>
          <w:rFonts w:ascii="Calibri"/>
          <w:i/>
          <w:sz w:val="20"/>
          <w:vertAlign w:val="baseline"/>
        </w:rPr>
        <w:t>The Powers of Directors in Nigerian Company Law: An Analysis of the Dynamic of Directors Dominance in Modern Companies.</w:t>
      </w:r>
      <w:r>
        <w:rPr>
          <w:rFonts w:ascii="Calibri"/>
          <w:sz w:val="20"/>
          <w:vertAlign w:val="baseline"/>
        </w:rPr>
        <w:t>(Unpublished LL.M. thesis).Faculty of Law, Ahmadu Bello University</w:t>
      </w:r>
      <w:r>
        <w:rPr>
          <w:rFonts w:ascii="Calibri"/>
          <w:spacing w:val="-1"/>
          <w:sz w:val="20"/>
          <w:vertAlign w:val="baseline"/>
        </w:rPr>
        <w:t> </w:t>
      </w:r>
      <w:r>
        <w:rPr>
          <w:rFonts w:ascii="Calibri"/>
          <w:sz w:val="20"/>
          <w:vertAlign w:val="baseline"/>
        </w:rPr>
        <w:t>Zaria.</w:t>
      </w:r>
    </w:p>
    <w:p>
      <w:pPr>
        <w:spacing w:before="2"/>
        <w:ind w:left="308" w:right="0" w:firstLine="0"/>
        <w:jc w:val="both"/>
        <w:rPr>
          <w:rFonts w:ascii="Calibri"/>
          <w:sz w:val="20"/>
        </w:rPr>
      </w:pPr>
      <w:r>
        <w:rPr>
          <w:rFonts w:ascii="Calibri"/>
          <w:sz w:val="20"/>
          <w:vertAlign w:val="superscript"/>
        </w:rPr>
        <w:t>25</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2"/>
          <w:sz w:val="20"/>
          <w:vertAlign w:val="baseline"/>
        </w:rPr>
        <w:t>p.168.</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7" w:firstLine="720"/>
        <w:jc w:val="both"/>
      </w:pPr>
      <w:r>
        <w:rPr/>
        <w:t>Regarding s.279(3), Emiola observed that the best interest of the company according to the subsection, is the faithful, diligent preservation of its assets to further</w:t>
      </w:r>
      <w:r>
        <w:rPr>
          <w:spacing w:val="40"/>
        </w:rPr>
        <w:t> </w:t>
      </w:r>
      <w:r>
        <w:rPr/>
        <w:t>its business and promote the purposes for which it was formed.</w:t>
      </w:r>
      <w:r>
        <w:rPr>
          <w:vertAlign w:val="superscript"/>
        </w:rPr>
        <w:t>26</w:t>
      </w:r>
      <w:r>
        <w:rPr>
          <w:vertAlign w:val="baseline"/>
        </w:rPr>
        <w:t> The fact will be debated in this work that companies, having been created for different purposes, may find their objectives changing with</w:t>
      </w:r>
      <w:r>
        <w:rPr>
          <w:spacing w:val="-1"/>
          <w:vertAlign w:val="baseline"/>
        </w:rPr>
        <w:t> </w:t>
      </w:r>
      <w:r>
        <w:rPr>
          <w:vertAlign w:val="baseline"/>
        </w:rPr>
        <w:t>circumstances, so that corporate law cannot propose to set corporate objectives for them.</w:t>
      </w:r>
    </w:p>
    <w:p>
      <w:pPr>
        <w:pStyle w:val="BodyText"/>
        <w:spacing w:line="480" w:lineRule="auto" w:before="1"/>
        <w:ind w:right="233" w:firstLine="720"/>
        <w:jc w:val="both"/>
      </w:pPr>
      <w:r>
        <w:rPr/>
        <w:t>After observing that the duty to act in the best interests of the company is a subjective one, Bhadmus further noted that from the concluding part of s.279(3), the court would require some reasonableness, in the sense that the belief of the director</w:t>
      </w:r>
      <w:r>
        <w:rPr>
          <w:spacing w:val="40"/>
        </w:rPr>
        <w:t> </w:t>
      </w:r>
      <w:r>
        <w:rPr/>
        <w:t>must lead him to act in the manner of an ordinarily skilful director.</w:t>
      </w:r>
      <w:r>
        <w:rPr>
          <w:vertAlign w:val="superscript"/>
        </w:rPr>
        <w:t>27</w:t>
      </w:r>
      <w:r>
        <w:rPr>
          <w:vertAlign w:val="baseline"/>
        </w:rPr>
        <w:t> It is obvious that the author did not find anything untoward with the statement of the law here. This perception is challenged further in this work.</w:t>
      </w:r>
    </w:p>
    <w:p>
      <w:pPr>
        <w:pStyle w:val="BodyText"/>
        <w:spacing w:line="480" w:lineRule="auto" w:before="1"/>
        <w:ind w:right="226" w:firstLine="720"/>
        <w:jc w:val="both"/>
      </w:pPr>
      <w:r>
        <w:rPr/>
        <w:t>By far the one aspect of the fiduciary duties considered most controversial was the requirement in s.279(4) that the director regard the interests of employees in his duties. Emiola noted that the interests</w:t>
      </w:r>
      <w:r>
        <w:rPr>
          <w:spacing w:val="-2"/>
        </w:rPr>
        <w:t> </w:t>
      </w:r>
      <w:r>
        <w:rPr/>
        <w:t>of</w:t>
      </w:r>
      <w:r>
        <w:rPr>
          <w:spacing w:val="-2"/>
        </w:rPr>
        <w:t> </w:t>
      </w:r>
      <w:r>
        <w:rPr/>
        <w:t>the company‘s employees in general as well</w:t>
      </w:r>
      <w:r>
        <w:rPr>
          <w:spacing w:val="-3"/>
        </w:rPr>
        <w:t> </w:t>
      </w:r>
      <w:r>
        <w:rPr/>
        <w:t>as the interests</w:t>
      </w:r>
      <w:r>
        <w:rPr>
          <w:spacing w:val="-7"/>
        </w:rPr>
        <w:t> </w:t>
      </w:r>
      <w:r>
        <w:rPr/>
        <w:t>of</w:t>
      </w:r>
      <w:r>
        <w:rPr>
          <w:spacing w:val="-4"/>
        </w:rPr>
        <w:t> </w:t>
      </w:r>
      <w:r>
        <w:rPr/>
        <w:t>its members were now</w:t>
      </w:r>
      <w:r>
        <w:rPr>
          <w:spacing w:val="-2"/>
        </w:rPr>
        <w:t> </w:t>
      </w:r>
      <w:r>
        <w:rPr/>
        <w:t>assimilated</w:t>
      </w:r>
      <w:r>
        <w:rPr>
          <w:spacing w:val="-1"/>
        </w:rPr>
        <w:t> </w:t>
      </w:r>
      <w:r>
        <w:rPr/>
        <w:t>into</w:t>
      </w:r>
      <w:r>
        <w:rPr>
          <w:spacing w:val="-1"/>
        </w:rPr>
        <w:t> </w:t>
      </w:r>
      <w:r>
        <w:rPr/>
        <w:t>the</w:t>
      </w:r>
      <w:r>
        <w:rPr>
          <w:spacing w:val="-2"/>
        </w:rPr>
        <w:t> </w:t>
      </w:r>
      <w:r>
        <w:rPr/>
        <w:t>best interests</w:t>
      </w:r>
      <w:r>
        <w:rPr>
          <w:spacing w:val="-7"/>
        </w:rPr>
        <w:t> </w:t>
      </w:r>
      <w:r>
        <w:rPr/>
        <w:t>of</w:t>
      </w:r>
      <w:r>
        <w:rPr>
          <w:spacing w:val="-8"/>
        </w:rPr>
        <w:t> </w:t>
      </w:r>
      <w:r>
        <w:rPr/>
        <w:t>the</w:t>
      </w:r>
      <w:r>
        <w:rPr>
          <w:spacing w:val="-2"/>
        </w:rPr>
        <w:t> </w:t>
      </w:r>
      <w:r>
        <w:rPr/>
        <w:t>company, by virtue of s.279(4).</w:t>
      </w:r>
      <w:r>
        <w:rPr>
          <w:vertAlign w:val="superscript"/>
        </w:rPr>
        <w:t>28</w:t>
      </w:r>
      <w:r>
        <w:rPr>
          <w:vertAlign w:val="baseline"/>
        </w:rPr>
        <w:t> Ali on the other hand remarked that, though the provision bode well for employees and other stakeholders of the company, it</w:t>
      </w:r>
      <w:r>
        <w:rPr>
          <w:spacing w:val="40"/>
          <w:vertAlign w:val="baseline"/>
        </w:rPr>
        <w:t> </w:t>
      </w:r>
      <w:r>
        <w:rPr>
          <w:vertAlign w:val="baseline"/>
        </w:rPr>
        <w:t>was unfortunate that it</w:t>
      </w:r>
      <w:r>
        <w:rPr>
          <w:spacing w:val="40"/>
          <w:vertAlign w:val="baseline"/>
        </w:rPr>
        <w:t> </w:t>
      </w:r>
      <w:r>
        <w:rPr>
          <w:vertAlign w:val="baseline"/>
        </w:rPr>
        <w:t>was enforceable only at the company‘s discretion by virtue ofs.279(9).</w:t>
      </w:r>
      <w:r>
        <w:rPr>
          <w:vertAlign w:val="superscript"/>
        </w:rPr>
        <w:t>29</w:t>
      </w:r>
      <w:r>
        <w:rPr>
          <w:vertAlign w:val="baseline"/>
        </w:rPr>
        <w:t>Bhadmus also observed how the law neither provided the employees with means of</w:t>
      </w:r>
      <w:r>
        <w:rPr>
          <w:spacing w:val="-4"/>
          <w:vertAlign w:val="baseline"/>
        </w:rPr>
        <w:t> </w:t>
      </w:r>
      <w:r>
        <w:rPr>
          <w:vertAlign w:val="baseline"/>
        </w:rPr>
        <w:t>enforcing the duty therein, nor even attempted to resolve the position where the interests of the members conflicts with those of the employees.</w:t>
      </w:r>
      <w:r>
        <w:rPr>
          <w:vertAlign w:val="superscript"/>
        </w:rPr>
        <w:t>30</w:t>
      </w:r>
      <w:r>
        <w:rPr>
          <w:vertAlign w:val="baseline"/>
        </w:rPr>
        <w:t>Ogbuanya</w:t>
      </w:r>
      <w:r>
        <w:rPr>
          <w:spacing w:val="18"/>
          <w:vertAlign w:val="baseline"/>
        </w:rPr>
        <w:t> </w:t>
      </w:r>
      <w:r>
        <w:rPr>
          <w:vertAlign w:val="baseline"/>
        </w:rPr>
        <w:t>simply considereds.279(4) a ―mere</w:t>
      </w:r>
    </w:p>
    <w:p>
      <w:pPr>
        <w:pStyle w:val="BodyText"/>
        <w:ind w:left="0"/>
        <w:rPr>
          <w:sz w:val="20"/>
        </w:rPr>
      </w:pPr>
    </w:p>
    <w:p>
      <w:pPr>
        <w:pStyle w:val="BodyText"/>
        <w:spacing w:before="44"/>
        <w:ind w:left="0"/>
        <w:rPr>
          <w:sz w:val="20"/>
        </w:rPr>
      </w:pPr>
      <w:r>
        <w:rPr/>
        <mc:AlternateContent>
          <mc:Choice Requires="wps">
            <w:drawing>
              <wp:anchor distT="0" distB="0" distL="0" distR="0" allowOverlap="1" layoutInCell="1" locked="0" behindDoc="1" simplePos="0" relativeHeight="487616512">
                <wp:simplePos x="0" y="0"/>
                <wp:positionH relativeFrom="page">
                  <wp:posOffset>1262481</wp:posOffset>
                </wp:positionH>
                <wp:positionV relativeFrom="paragraph">
                  <wp:posOffset>189769</wp:posOffset>
                </wp:positionV>
                <wp:extent cx="1829435" cy="9525"/>
                <wp:effectExtent l="0" t="0" r="0" b="0"/>
                <wp:wrapTopAndBottom/>
                <wp:docPr id="59" name="Graphic 59"/>
                <wp:cNvGraphicFramePr>
                  <a:graphicFrameLocks/>
                </wp:cNvGraphicFramePr>
                <a:graphic>
                  <a:graphicData uri="http://schemas.microsoft.com/office/word/2010/wordprocessingShape">
                    <wps:wsp>
                      <wps:cNvPr id="59" name="Graphic 5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942509pt;width:144.050pt;height:.72003pt;mso-position-horizontal-relative:page;mso-position-vertical-relative:paragraph;z-index:-15699968;mso-wrap-distance-left:0;mso-wrap-distance-right:0" id="docshape14"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26</w:t>
      </w:r>
      <w:r>
        <w:rPr>
          <w:rFonts w:ascii="Calibri"/>
          <w:sz w:val="20"/>
          <w:vertAlign w:val="baseline"/>
        </w:rPr>
        <w:t>Emiola,</w:t>
      </w:r>
      <w:r>
        <w:rPr>
          <w:rFonts w:ascii="Calibri"/>
          <w:spacing w:val="-12"/>
          <w:sz w:val="20"/>
          <w:vertAlign w:val="baseline"/>
        </w:rPr>
        <w:t> </w:t>
      </w:r>
      <w:r>
        <w:rPr>
          <w:rFonts w:ascii="Calibri"/>
          <w:sz w:val="20"/>
          <w:vertAlign w:val="baseline"/>
        </w:rPr>
        <w:t>A.</w:t>
      </w:r>
      <w:r>
        <w:rPr>
          <w:rFonts w:ascii="Calibri"/>
          <w:spacing w:val="-7"/>
          <w:sz w:val="20"/>
          <w:vertAlign w:val="baseline"/>
        </w:rPr>
        <w:t> </w:t>
      </w:r>
      <w:r>
        <w:rPr>
          <w:rFonts w:ascii="Calibri"/>
          <w:sz w:val="20"/>
          <w:vertAlign w:val="baseline"/>
        </w:rPr>
        <w:t>(2008).</w:t>
      </w:r>
      <w:r>
        <w:rPr>
          <w:rFonts w:ascii="Calibri"/>
          <w:spacing w:val="-6"/>
          <w:sz w:val="20"/>
          <w:vertAlign w:val="baseline"/>
        </w:rPr>
        <w:t> </w:t>
      </w:r>
      <w:r>
        <w:rPr>
          <w:rFonts w:ascii="Calibri"/>
          <w:i/>
          <w:sz w:val="20"/>
          <w:vertAlign w:val="baseline"/>
        </w:rPr>
        <w:t>Nigerian</w:t>
      </w:r>
      <w:r>
        <w:rPr>
          <w:rFonts w:ascii="Calibri"/>
          <w:i/>
          <w:spacing w:val="-7"/>
          <w:sz w:val="20"/>
          <w:vertAlign w:val="baseline"/>
        </w:rPr>
        <w:t> </w:t>
      </w:r>
      <w:r>
        <w:rPr>
          <w:rFonts w:ascii="Calibri"/>
          <w:i/>
          <w:sz w:val="20"/>
          <w:vertAlign w:val="baseline"/>
        </w:rPr>
        <w:t>Company</w:t>
      </w:r>
      <w:r>
        <w:rPr>
          <w:rFonts w:ascii="Calibri"/>
          <w:i/>
          <w:spacing w:val="-7"/>
          <w:sz w:val="20"/>
          <w:vertAlign w:val="baseline"/>
        </w:rPr>
        <w:t> </w:t>
      </w:r>
      <w:r>
        <w:rPr>
          <w:rFonts w:ascii="Calibri"/>
          <w:i/>
          <w:sz w:val="20"/>
          <w:vertAlign w:val="baseline"/>
        </w:rPr>
        <w:t>Law.</w:t>
      </w:r>
      <w:r>
        <w:rPr>
          <w:rFonts w:ascii="Calibri"/>
          <w:sz w:val="20"/>
          <w:vertAlign w:val="baseline"/>
        </w:rPr>
        <w:t>2</w:t>
      </w:r>
      <w:r>
        <w:rPr>
          <w:rFonts w:ascii="Calibri"/>
          <w:sz w:val="20"/>
          <w:vertAlign w:val="superscript"/>
        </w:rPr>
        <w:t>nd</w:t>
      </w:r>
      <w:r>
        <w:rPr>
          <w:rFonts w:ascii="Calibri"/>
          <w:sz w:val="20"/>
          <w:vertAlign w:val="baseline"/>
        </w:rPr>
        <w:t>editon,</w:t>
      </w:r>
      <w:r>
        <w:rPr>
          <w:rFonts w:ascii="Calibri"/>
          <w:spacing w:val="-11"/>
          <w:sz w:val="20"/>
          <w:vertAlign w:val="baseline"/>
        </w:rPr>
        <w:t> </w:t>
      </w:r>
      <w:r>
        <w:rPr>
          <w:rFonts w:ascii="Calibri"/>
          <w:sz w:val="20"/>
          <w:vertAlign w:val="baseline"/>
        </w:rPr>
        <w:t>Emiola</w:t>
      </w:r>
      <w:r>
        <w:rPr>
          <w:rFonts w:ascii="Calibri"/>
          <w:spacing w:val="-11"/>
          <w:sz w:val="20"/>
          <w:vertAlign w:val="baseline"/>
        </w:rPr>
        <w:t> </w:t>
      </w:r>
      <w:r>
        <w:rPr>
          <w:rFonts w:ascii="Calibri"/>
          <w:sz w:val="20"/>
          <w:vertAlign w:val="baseline"/>
        </w:rPr>
        <w:t>Publishers</w:t>
      </w:r>
      <w:r>
        <w:rPr>
          <w:rFonts w:ascii="Calibri"/>
          <w:spacing w:val="-10"/>
          <w:sz w:val="20"/>
          <w:vertAlign w:val="baseline"/>
        </w:rPr>
        <w:t> </w:t>
      </w:r>
      <w:r>
        <w:rPr>
          <w:rFonts w:ascii="Calibri"/>
          <w:sz w:val="20"/>
          <w:vertAlign w:val="baseline"/>
        </w:rPr>
        <w:t>Limited,</w:t>
      </w:r>
      <w:r>
        <w:rPr>
          <w:rFonts w:ascii="Calibri"/>
          <w:spacing w:val="-10"/>
          <w:sz w:val="20"/>
          <w:vertAlign w:val="baseline"/>
        </w:rPr>
        <w:t> </w:t>
      </w:r>
      <w:r>
        <w:rPr>
          <w:rFonts w:ascii="Calibri"/>
          <w:sz w:val="20"/>
          <w:vertAlign w:val="baseline"/>
        </w:rPr>
        <w:t>Ogbomosho,</w:t>
      </w:r>
      <w:r>
        <w:rPr>
          <w:rFonts w:ascii="Calibri"/>
          <w:spacing w:val="-6"/>
          <w:sz w:val="20"/>
          <w:vertAlign w:val="baseline"/>
        </w:rPr>
        <w:t> </w:t>
      </w:r>
      <w:r>
        <w:rPr>
          <w:rFonts w:ascii="Calibri"/>
          <w:sz w:val="20"/>
          <w:vertAlign w:val="baseline"/>
        </w:rPr>
        <w:t>p.</w:t>
      </w:r>
      <w:r>
        <w:rPr>
          <w:rFonts w:ascii="Calibri"/>
          <w:spacing w:val="-7"/>
          <w:sz w:val="20"/>
          <w:vertAlign w:val="baseline"/>
        </w:rPr>
        <w:t> </w:t>
      </w:r>
      <w:r>
        <w:rPr>
          <w:rFonts w:ascii="Calibri"/>
          <w:spacing w:val="-5"/>
          <w:sz w:val="20"/>
          <w:vertAlign w:val="baseline"/>
        </w:rPr>
        <w:t>396</w:t>
      </w:r>
    </w:p>
    <w:p>
      <w:pPr>
        <w:spacing w:before="0"/>
        <w:ind w:left="308" w:right="0" w:firstLine="0"/>
        <w:jc w:val="left"/>
        <w:rPr>
          <w:rFonts w:ascii="Calibri"/>
          <w:sz w:val="20"/>
        </w:rPr>
      </w:pPr>
      <w:r>
        <w:rPr>
          <w:rFonts w:ascii="Calibri"/>
          <w:sz w:val="20"/>
          <w:vertAlign w:val="superscript"/>
        </w:rPr>
        <w:t>27</w:t>
      </w:r>
      <w:r>
        <w:rPr>
          <w:rFonts w:ascii="Calibri"/>
          <w:sz w:val="20"/>
          <w:vertAlign w:val="baseline"/>
        </w:rPr>
        <w:t>Bhadmus,</w:t>
      </w:r>
      <w:r>
        <w:rPr>
          <w:rFonts w:ascii="Calibri"/>
          <w:spacing w:val="-12"/>
          <w:sz w:val="20"/>
          <w:vertAlign w:val="baseline"/>
        </w:rPr>
        <w:t> </w:t>
      </w:r>
      <w:r>
        <w:rPr>
          <w:rFonts w:ascii="Calibri"/>
          <w:sz w:val="20"/>
          <w:vertAlign w:val="baseline"/>
        </w:rPr>
        <w:t>Y.H.</w:t>
      </w:r>
      <w:r>
        <w:rPr>
          <w:rFonts w:ascii="Calibri"/>
          <w:spacing w:val="-8"/>
          <w:sz w:val="20"/>
          <w:vertAlign w:val="baseline"/>
        </w:rPr>
        <w:t> </w:t>
      </w:r>
      <w:r>
        <w:rPr>
          <w:rFonts w:ascii="Calibri"/>
          <w:sz w:val="20"/>
          <w:vertAlign w:val="baseline"/>
        </w:rPr>
        <w:t>(2009).</w:t>
      </w:r>
      <w:r>
        <w:rPr>
          <w:rFonts w:ascii="Calibri"/>
          <w:i/>
          <w:sz w:val="20"/>
          <w:vertAlign w:val="baseline"/>
        </w:rPr>
        <w:t>Bhadmus</w:t>
      </w:r>
      <w:r>
        <w:rPr>
          <w:rFonts w:ascii="Calibri"/>
          <w:i/>
          <w:spacing w:val="-12"/>
          <w:sz w:val="20"/>
          <w:vertAlign w:val="baseline"/>
        </w:rPr>
        <w:t> </w:t>
      </w:r>
      <w:r>
        <w:rPr>
          <w:rFonts w:ascii="Calibri"/>
          <w:i/>
          <w:sz w:val="20"/>
          <w:vertAlign w:val="baseline"/>
        </w:rPr>
        <w:t>on</w:t>
      </w:r>
      <w:r>
        <w:rPr>
          <w:rFonts w:ascii="Calibri"/>
          <w:i/>
          <w:spacing w:val="-4"/>
          <w:sz w:val="20"/>
          <w:vertAlign w:val="baseline"/>
        </w:rPr>
        <w:t> </w:t>
      </w:r>
      <w:r>
        <w:rPr>
          <w:rFonts w:ascii="Calibri"/>
          <w:i/>
          <w:sz w:val="20"/>
          <w:vertAlign w:val="baseline"/>
        </w:rPr>
        <w:t>Corporate</w:t>
      </w:r>
      <w:r>
        <w:rPr>
          <w:rFonts w:ascii="Calibri"/>
          <w:i/>
          <w:spacing w:val="-11"/>
          <w:sz w:val="20"/>
          <w:vertAlign w:val="baseline"/>
        </w:rPr>
        <w:t> </w:t>
      </w:r>
      <w:r>
        <w:rPr>
          <w:rFonts w:ascii="Calibri"/>
          <w:i/>
          <w:sz w:val="20"/>
          <w:vertAlign w:val="baseline"/>
        </w:rPr>
        <w:t>Law</w:t>
      </w:r>
      <w:r>
        <w:rPr>
          <w:rFonts w:ascii="Calibri"/>
          <w:i/>
          <w:spacing w:val="-11"/>
          <w:sz w:val="20"/>
          <w:vertAlign w:val="baseline"/>
        </w:rPr>
        <w:t> </w:t>
      </w:r>
      <w:r>
        <w:rPr>
          <w:rFonts w:ascii="Calibri"/>
          <w:i/>
          <w:sz w:val="20"/>
          <w:vertAlign w:val="baseline"/>
        </w:rPr>
        <w:t>Practice.</w:t>
      </w:r>
      <w:r>
        <w:rPr>
          <w:rFonts w:ascii="Calibri"/>
          <w:sz w:val="20"/>
          <w:vertAlign w:val="baseline"/>
        </w:rPr>
        <w:t>Chenglo</w:t>
      </w:r>
      <w:r>
        <w:rPr>
          <w:rFonts w:ascii="Calibri"/>
          <w:spacing w:val="-10"/>
          <w:sz w:val="20"/>
          <w:vertAlign w:val="baseline"/>
        </w:rPr>
        <w:t> </w:t>
      </w:r>
      <w:r>
        <w:rPr>
          <w:rFonts w:ascii="Calibri"/>
          <w:sz w:val="20"/>
          <w:vertAlign w:val="baseline"/>
        </w:rPr>
        <w:t>Limited,</w:t>
      </w:r>
      <w:r>
        <w:rPr>
          <w:rFonts w:ascii="Calibri"/>
          <w:spacing w:val="-11"/>
          <w:sz w:val="20"/>
          <w:vertAlign w:val="baseline"/>
        </w:rPr>
        <w:t> </w:t>
      </w:r>
      <w:r>
        <w:rPr>
          <w:rFonts w:ascii="Calibri"/>
          <w:sz w:val="20"/>
          <w:vertAlign w:val="baseline"/>
        </w:rPr>
        <w:t>Enugu,</w:t>
      </w:r>
      <w:r>
        <w:rPr>
          <w:rFonts w:ascii="Calibri"/>
          <w:spacing w:val="-8"/>
          <w:sz w:val="20"/>
          <w:vertAlign w:val="baseline"/>
        </w:rPr>
        <w:t> </w:t>
      </w:r>
      <w:r>
        <w:rPr>
          <w:rFonts w:ascii="Calibri"/>
          <w:sz w:val="20"/>
          <w:vertAlign w:val="baseline"/>
        </w:rPr>
        <w:t>pp.192-</w:t>
      </w:r>
      <w:r>
        <w:rPr>
          <w:rFonts w:ascii="Calibri"/>
          <w:spacing w:val="-4"/>
          <w:sz w:val="20"/>
          <w:vertAlign w:val="baseline"/>
        </w:rPr>
        <w:t>193.</w:t>
      </w:r>
    </w:p>
    <w:p>
      <w:pPr>
        <w:spacing w:before="1"/>
        <w:ind w:left="308" w:right="6298" w:firstLine="0"/>
        <w:jc w:val="left"/>
        <w:rPr>
          <w:rFonts w:ascii="Calibri"/>
          <w:sz w:val="20"/>
        </w:rPr>
      </w:pPr>
      <w:r>
        <w:rPr>
          <w:rFonts w:ascii="Calibri"/>
          <w:sz w:val="20"/>
          <w:vertAlign w:val="superscript"/>
        </w:rPr>
        <w:t>28</w:t>
      </w:r>
      <w:r>
        <w:rPr>
          <w:rFonts w:ascii="Calibri"/>
          <w:sz w:val="20"/>
          <w:vertAlign w:val="baseline"/>
        </w:rPr>
        <w:t>Emiola, A. op.cit.at p.397. </w:t>
      </w:r>
      <w:r>
        <w:rPr>
          <w:rFonts w:ascii="Calibri"/>
          <w:sz w:val="20"/>
          <w:vertAlign w:val="superscript"/>
        </w:rPr>
        <w:t>29</w:t>
      </w:r>
      <w:r>
        <w:rPr>
          <w:rFonts w:ascii="Calibri"/>
          <w:sz w:val="20"/>
          <w:vertAlign w:val="baseline"/>
        </w:rPr>
        <w:t>Ali, H.L. op.cit.at p.185. </w:t>
      </w:r>
      <w:r>
        <w:rPr>
          <w:rFonts w:ascii="Calibri"/>
          <w:sz w:val="20"/>
          <w:vertAlign w:val="superscript"/>
        </w:rPr>
        <w:t>30</w:t>
      </w:r>
      <w:r>
        <w:rPr>
          <w:rFonts w:ascii="Calibri"/>
          <w:sz w:val="20"/>
          <w:vertAlign w:val="baseline"/>
        </w:rPr>
        <w:t>Bhadmus,</w:t>
      </w:r>
      <w:r>
        <w:rPr>
          <w:rFonts w:ascii="Calibri"/>
          <w:spacing w:val="-12"/>
          <w:sz w:val="20"/>
          <w:vertAlign w:val="baseline"/>
        </w:rPr>
        <w:t> </w:t>
      </w:r>
      <w:r>
        <w:rPr>
          <w:rFonts w:ascii="Calibri"/>
          <w:sz w:val="20"/>
          <w:vertAlign w:val="baseline"/>
        </w:rPr>
        <w:t>Y.H.</w:t>
      </w:r>
      <w:r>
        <w:rPr>
          <w:rFonts w:ascii="Calibri"/>
          <w:spacing w:val="-11"/>
          <w:sz w:val="20"/>
          <w:vertAlign w:val="baseline"/>
        </w:rPr>
        <w:t> </w:t>
      </w:r>
      <w:r>
        <w:rPr>
          <w:rFonts w:ascii="Calibri"/>
          <w:sz w:val="20"/>
          <w:vertAlign w:val="baseline"/>
        </w:rPr>
        <w:t>op.cit.p.193.</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30"/>
        <w:jc w:val="both"/>
      </w:pPr>
      <w:r>
        <w:rPr/>
        <w:t>pious</w:t>
      </w:r>
      <w:r>
        <w:rPr>
          <w:spacing w:val="-2"/>
        </w:rPr>
        <w:t> </w:t>
      </w:r>
      <w:r>
        <w:rPr/>
        <w:t>declaration,‖ as</w:t>
      </w:r>
      <w:r>
        <w:rPr>
          <w:spacing w:val="-2"/>
        </w:rPr>
        <w:t> </w:t>
      </w:r>
      <w:r>
        <w:rPr/>
        <w:t>the right to enforce observance was not available for employees.</w:t>
      </w:r>
      <w:r>
        <w:rPr>
          <w:vertAlign w:val="superscript"/>
        </w:rPr>
        <w:t>31</w:t>
      </w:r>
      <w:r>
        <w:rPr>
          <w:vertAlign w:val="baseline"/>
        </w:rPr>
        <w:t> These criticisms suggest that a further analysis of the issue in this work is necessary.</w:t>
      </w:r>
    </w:p>
    <w:p>
      <w:pPr>
        <w:pStyle w:val="BodyText"/>
        <w:spacing w:line="480" w:lineRule="auto"/>
        <w:ind w:right="233" w:firstLine="720"/>
        <w:jc w:val="both"/>
      </w:pPr>
      <w:r>
        <w:rPr/>
        <w:t>Ogbuanya described the duties against conflicts of interest and secret benefits as the most challenging of directors duties.</w:t>
      </w:r>
      <w:r>
        <w:rPr>
          <w:vertAlign w:val="superscript"/>
        </w:rPr>
        <w:t>32</w:t>
      </w:r>
      <w:r>
        <w:rPr>
          <w:vertAlign w:val="baseline"/>
        </w:rPr>
        <w:t> On the duty of disclosure with respect to transactions with the company, he suggested that since the fine of N100.00 stipulated was ridiculous today, the general meeting may use a director‘s non-disclosure as grounds to remove him.</w:t>
      </w:r>
      <w:r>
        <w:rPr>
          <w:vertAlign w:val="superscript"/>
        </w:rPr>
        <w:t>33</w:t>
      </w:r>
    </w:p>
    <w:p>
      <w:pPr>
        <w:pStyle w:val="BodyText"/>
        <w:spacing w:line="480" w:lineRule="auto" w:before="1"/>
        <w:ind w:right="227" w:firstLine="720"/>
        <w:jc w:val="both"/>
      </w:pPr>
      <w:r>
        <w:rPr/>
        <w:t>As for the duty</w:t>
      </w:r>
      <w:r>
        <w:rPr>
          <w:spacing w:val="-4"/>
        </w:rPr>
        <w:t> </w:t>
      </w:r>
      <w:r>
        <w:rPr/>
        <w:t>of</w:t>
      </w:r>
      <w:r>
        <w:rPr>
          <w:spacing w:val="-2"/>
        </w:rPr>
        <w:t> </w:t>
      </w:r>
      <w:r>
        <w:rPr/>
        <w:t>care and skill, Orojo</w:t>
      </w:r>
      <w:r>
        <w:rPr>
          <w:vertAlign w:val="superscript"/>
        </w:rPr>
        <w:t>34</w:t>
      </w:r>
      <w:r>
        <w:rPr>
          <w:vertAlign w:val="baseline"/>
        </w:rPr>
        <w:t> suggested that the statement of</w:t>
      </w:r>
      <w:r>
        <w:rPr>
          <w:spacing w:val="-2"/>
          <w:vertAlign w:val="baseline"/>
        </w:rPr>
        <w:t> </w:t>
      </w:r>
      <w:r>
        <w:rPr>
          <w:vertAlign w:val="baseline"/>
        </w:rPr>
        <w:t>the law in s.282 was as summarized by Romer J. in </w:t>
      </w:r>
      <w:r>
        <w:rPr>
          <w:b/>
          <w:vertAlign w:val="baseline"/>
        </w:rPr>
        <w:t>Re City Equitable Fire Insurance Co. Ltd</w:t>
      </w:r>
      <w:r>
        <w:rPr>
          <w:vertAlign w:val="baseline"/>
        </w:rPr>
        <w:t>.</w:t>
      </w:r>
      <w:r>
        <w:rPr>
          <w:vertAlign w:val="superscript"/>
        </w:rPr>
        <w:t>35</w:t>
      </w:r>
      <w:r>
        <w:rPr>
          <w:vertAlign w:val="baseline"/>
        </w:rPr>
        <w:t> This work will show why the learned author is mistaken here, with due respect. As rightly observed by Ogbuanya, the CAMA improved significantly from that</w:t>
      </w:r>
      <w:r>
        <w:rPr>
          <w:spacing w:val="40"/>
          <w:vertAlign w:val="baseline"/>
        </w:rPr>
        <w:t> </w:t>
      </w:r>
      <w:r>
        <w:rPr>
          <w:vertAlign w:val="baseline"/>
        </w:rPr>
        <w:t>common law position, so that the position in s. 282 is that the scale for judging the director‘s standard of conduct is objective, whereas this was subjective under the then common</w:t>
      </w:r>
      <w:r>
        <w:rPr>
          <w:spacing w:val="-1"/>
          <w:vertAlign w:val="baseline"/>
        </w:rPr>
        <w:t> </w:t>
      </w:r>
      <w:r>
        <w:rPr>
          <w:vertAlign w:val="baseline"/>
        </w:rPr>
        <w:t>law.</w:t>
      </w:r>
      <w:r>
        <w:rPr>
          <w:vertAlign w:val="superscript"/>
        </w:rPr>
        <w:t>36</w:t>
      </w:r>
      <w:r>
        <w:rPr>
          <w:vertAlign w:val="baseline"/>
        </w:rPr>
        <w:t> The</w:t>
      </w:r>
      <w:r>
        <w:rPr>
          <w:spacing w:val="-2"/>
          <w:vertAlign w:val="baseline"/>
        </w:rPr>
        <w:t> </w:t>
      </w:r>
      <w:r>
        <w:rPr>
          <w:vertAlign w:val="baseline"/>
        </w:rPr>
        <w:t>author believed that the imposition</w:t>
      </w:r>
      <w:r>
        <w:rPr>
          <w:spacing w:val="-5"/>
          <w:vertAlign w:val="baseline"/>
        </w:rPr>
        <w:t> </w:t>
      </w:r>
      <w:r>
        <w:rPr>
          <w:vertAlign w:val="baseline"/>
        </w:rPr>
        <w:t>of</w:t>
      </w:r>
      <w:r>
        <w:rPr>
          <w:spacing w:val="-8"/>
          <w:vertAlign w:val="baseline"/>
        </w:rPr>
        <w:t> </w:t>
      </w:r>
      <w:r>
        <w:rPr>
          <w:vertAlign w:val="baseline"/>
        </w:rPr>
        <w:t>such</w:t>
      </w:r>
      <w:r>
        <w:rPr>
          <w:spacing w:val="-5"/>
          <w:vertAlign w:val="baseline"/>
        </w:rPr>
        <w:t> </w:t>
      </w:r>
      <w:r>
        <w:rPr>
          <w:vertAlign w:val="baseline"/>
        </w:rPr>
        <w:t>standards</w:t>
      </w:r>
      <w:r>
        <w:rPr>
          <w:spacing w:val="-2"/>
          <w:vertAlign w:val="baseline"/>
        </w:rPr>
        <w:t> </w:t>
      </w:r>
      <w:r>
        <w:rPr>
          <w:vertAlign w:val="baseline"/>
        </w:rPr>
        <w:t>on</w:t>
      </w:r>
      <w:r>
        <w:rPr>
          <w:spacing w:val="-5"/>
          <w:vertAlign w:val="baseline"/>
        </w:rPr>
        <w:t> </w:t>
      </w:r>
      <w:r>
        <w:rPr>
          <w:vertAlign w:val="baseline"/>
        </w:rPr>
        <w:t>the</w:t>
      </w:r>
      <w:r>
        <w:rPr>
          <w:spacing w:val="-2"/>
          <w:vertAlign w:val="baseline"/>
        </w:rPr>
        <w:t> </w:t>
      </w:r>
      <w:r>
        <w:rPr>
          <w:vertAlign w:val="baseline"/>
        </w:rPr>
        <w:t>director by s. 282 thereby introduced professionalism to the office and was in line with the enormous powers vested in the company director under s. 63(3).</w:t>
      </w:r>
      <w:r>
        <w:rPr>
          <w:vertAlign w:val="superscript"/>
        </w:rPr>
        <w:t>37</w:t>
      </w:r>
      <w:r>
        <w:rPr>
          <w:vertAlign w:val="baseline"/>
        </w:rPr>
        <w:t> This work will show that there is room for improvement on the standard of care, considering developments from jurisdictions outside Nigeria.</w:t>
      </w:r>
    </w:p>
    <w:p>
      <w:pPr>
        <w:pStyle w:val="BodyText"/>
        <w:spacing w:line="480" w:lineRule="auto" w:before="2"/>
        <w:ind w:right="231" w:firstLine="720"/>
        <w:jc w:val="both"/>
      </w:pPr>
      <w:r>
        <w:rPr/>
        <w:t>Interestingly, it did not appear to have occurred to any of the aforementioned authors that the very first statement of the duties, i.e. s.279(1) was contradictory. Nor that many of the statement of the duties require disambiguation.</w:t>
      </w:r>
      <w:r>
        <w:rPr>
          <w:spacing w:val="17"/>
        </w:rPr>
        <w:t> </w:t>
      </w:r>
      <w:r>
        <w:rPr/>
        <w:t>All the authors mostly</w:t>
      </w:r>
    </w:p>
    <w:p>
      <w:pPr>
        <w:pStyle w:val="BodyText"/>
        <w:spacing w:before="96"/>
        <w:ind w:left="0"/>
        <w:rPr>
          <w:sz w:val="20"/>
        </w:rPr>
      </w:pPr>
      <w:r>
        <w:rPr/>
        <mc:AlternateContent>
          <mc:Choice Requires="wps">
            <w:drawing>
              <wp:anchor distT="0" distB="0" distL="0" distR="0" allowOverlap="1" layoutInCell="1" locked="0" behindDoc="1" simplePos="0" relativeHeight="487617024">
                <wp:simplePos x="0" y="0"/>
                <wp:positionH relativeFrom="page">
                  <wp:posOffset>1262481</wp:posOffset>
                </wp:positionH>
                <wp:positionV relativeFrom="paragraph">
                  <wp:posOffset>222367</wp:posOffset>
                </wp:positionV>
                <wp:extent cx="1829435" cy="9525"/>
                <wp:effectExtent l="0" t="0" r="0" b="0"/>
                <wp:wrapTopAndBottom/>
                <wp:docPr id="60" name="Graphic 60"/>
                <wp:cNvGraphicFramePr>
                  <a:graphicFrameLocks/>
                </wp:cNvGraphicFramePr>
                <a:graphic>
                  <a:graphicData uri="http://schemas.microsoft.com/office/word/2010/wordprocessingShape">
                    <wps:wsp>
                      <wps:cNvPr id="60" name="Graphic 6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09249pt;width:144.050pt;height:.71997pt;mso-position-horizontal-relative:page;mso-position-vertical-relative:paragraph;z-index:-15699456;mso-wrap-distance-left:0;mso-wrap-distance-right:0" id="docshape15"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31</w:t>
      </w:r>
      <w:r>
        <w:rPr>
          <w:rFonts w:ascii="Calibri"/>
          <w:sz w:val="20"/>
          <w:vertAlign w:val="baseline"/>
        </w:rPr>
        <w:t>Ogbuanya,</w:t>
      </w:r>
      <w:r>
        <w:rPr>
          <w:rFonts w:ascii="Calibri"/>
          <w:spacing w:val="-10"/>
          <w:sz w:val="20"/>
          <w:vertAlign w:val="baseline"/>
        </w:rPr>
        <w:t> </w:t>
      </w:r>
      <w:r>
        <w:rPr>
          <w:rFonts w:ascii="Calibri"/>
          <w:sz w:val="20"/>
          <w:vertAlign w:val="baseline"/>
        </w:rPr>
        <w:t>N.C.S.</w:t>
      </w:r>
      <w:r>
        <w:rPr>
          <w:rFonts w:ascii="Calibri"/>
          <w:spacing w:val="-1"/>
          <w:sz w:val="20"/>
          <w:vertAlign w:val="baseline"/>
        </w:rPr>
        <w:t> </w:t>
      </w:r>
      <w:r>
        <w:rPr>
          <w:rFonts w:ascii="Calibri"/>
          <w:spacing w:val="-2"/>
          <w:sz w:val="20"/>
          <w:vertAlign w:val="baseline"/>
        </w:rPr>
        <w:t>op.cit.atp.337.</w:t>
      </w:r>
    </w:p>
    <w:p>
      <w:pPr>
        <w:spacing w:line="242" w:lineRule="exact" w:before="0"/>
        <w:ind w:left="308" w:right="0" w:firstLine="0"/>
        <w:jc w:val="left"/>
        <w:rPr>
          <w:rFonts w:ascii="Calibri"/>
          <w:sz w:val="20"/>
        </w:rPr>
      </w:pPr>
      <w:r>
        <w:rPr>
          <w:rFonts w:ascii="Calibri"/>
          <w:sz w:val="20"/>
          <w:vertAlign w:val="superscript"/>
        </w:rPr>
        <w:t>32</w:t>
      </w:r>
      <w:r>
        <w:rPr>
          <w:rFonts w:ascii="Calibri"/>
          <w:spacing w:val="2"/>
          <w:sz w:val="20"/>
          <w:vertAlign w:val="baseline"/>
        </w:rPr>
        <w:t> </w:t>
      </w:r>
      <w:r>
        <w:rPr>
          <w:rFonts w:ascii="Calibri"/>
          <w:sz w:val="20"/>
          <w:vertAlign w:val="baseline"/>
        </w:rPr>
        <w:t>Ibid.</w:t>
      </w:r>
      <w:r>
        <w:rPr>
          <w:rFonts w:ascii="Calibri"/>
          <w:spacing w:val="-3"/>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3"/>
          <w:sz w:val="20"/>
          <w:vertAlign w:val="baseline"/>
        </w:rPr>
        <w:t> </w:t>
      </w:r>
      <w:r>
        <w:rPr>
          <w:rFonts w:ascii="Calibri"/>
          <w:spacing w:val="-5"/>
          <w:sz w:val="20"/>
          <w:vertAlign w:val="baseline"/>
        </w:rPr>
        <w:t>340</w:t>
      </w:r>
    </w:p>
    <w:p>
      <w:pPr>
        <w:spacing w:before="1"/>
        <w:ind w:left="308" w:right="0" w:firstLine="0"/>
        <w:jc w:val="left"/>
        <w:rPr>
          <w:rFonts w:ascii="Calibri"/>
          <w:sz w:val="20"/>
        </w:rPr>
      </w:pPr>
      <w:r>
        <w:rPr>
          <w:rFonts w:ascii="Calibri"/>
          <w:sz w:val="20"/>
          <w:vertAlign w:val="superscript"/>
        </w:rPr>
        <w:t>33</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2"/>
          <w:sz w:val="20"/>
          <w:vertAlign w:val="baseline"/>
        </w:rPr>
        <w:t>p.339.</w:t>
      </w:r>
    </w:p>
    <w:p>
      <w:pPr>
        <w:spacing w:before="1"/>
        <w:ind w:left="308" w:right="0" w:firstLine="0"/>
        <w:jc w:val="left"/>
        <w:rPr>
          <w:rFonts w:ascii="Calibri"/>
          <w:sz w:val="20"/>
        </w:rPr>
      </w:pPr>
      <w:r>
        <w:rPr>
          <w:rFonts w:ascii="Calibri"/>
          <w:sz w:val="20"/>
          <w:vertAlign w:val="superscript"/>
        </w:rPr>
        <w:t>34</w:t>
      </w:r>
      <w:r>
        <w:rPr>
          <w:rFonts w:ascii="Calibri"/>
          <w:sz w:val="20"/>
          <w:vertAlign w:val="baseline"/>
        </w:rPr>
        <w:t>Orojo, J.O. (2008).</w:t>
      </w:r>
      <w:r>
        <w:rPr>
          <w:rFonts w:ascii="Calibri"/>
          <w:i/>
          <w:sz w:val="20"/>
          <w:vertAlign w:val="baseline"/>
        </w:rPr>
        <w:t>Company Law and Practice in Nigeria.</w:t>
      </w:r>
      <w:r>
        <w:rPr>
          <w:rFonts w:ascii="Calibri"/>
          <w:sz w:val="20"/>
          <w:vertAlign w:val="baseline"/>
        </w:rPr>
        <w:t>5th edition, LexisNexis Butterworths, Durban, South Africa, at p.269.</w:t>
      </w:r>
    </w:p>
    <w:p>
      <w:pPr>
        <w:spacing w:before="1"/>
        <w:ind w:left="308" w:right="0" w:firstLine="0"/>
        <w:jc w:val="left"/>
        <w:rPr>
          <w:rFonts w:ascii="Calibri"/>
          <w:sz w:val="20"/>
        </w:rPr>
      </w:pPr>
      <w:r>
        <w:rPr>
          <w:rFonts w:ascii="Calibri"/>
          <w:sz w:val="20"/>
          <w:vertAlign w:val="superscript"/>
        </w:rPr>
        <w:t>35</w:t>
      </w:r>
      <w:r>
        <w:rPr>
          <w:rFonts w:ascii="Calibri"/>
          <w:sz w:val="20"/>
          <w:vertAlign w:val="baseline"/>
        </w:rPr>
        <w:t>(1925)</w:t>
      </w:r>
      <w:r>
        <w:rPr>
          <w:rFonts w:ascii="Calibri"/>
          <w:spacing w:val="-2"/>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425.</w:t>
      </w:r>
      <w:r>
        <w:rPr>
          <w:rFonts w:ascii="Calibri"/>
          <w:spacing w:val="-6"/>
          <w:sz w:val="20"/>
          <w:vertAlign w:val="baseline"/>
        </w:rPr>
        <w:t> </w:t>
      </w:r>
      <w:r>
        <w:rPr>
          <w:rFonts w:ascii="Calibri"/>
          <w:sz w:val="20"/>
          <w:vertAlign w:val="baseline"/>
        </w:rPr>
        <w:t>See</w:t>
      </w:r>
      <w:r>
        <w:rPr>
          <w:rFonts w:ascii="Calibri"/>
          <w:spacing w:val="-6"/>
          <w:sz w:val="20"/>
          <w:vertAlign w:val="baseline"/>
        </w:rPr>
        <w:t> </w:t>
      </w:r>
      <w:r>
        <w:rPr>
          <w:rFonts w:ascii="Calibri"/>
          <w:spacing w:val="-4"/>
          <w:sz w:val="20"/>
          <w:vertAlign w:val="baseline"/>
        </w:rPr>
        <w:t>Ibid.</w:t>
      </w:r>
    </w:p>
    <w:p>
      <w:pPr>
        <w:spacing w:before="1"/>
        <w:ind w:left="308" w:right="0" w:firstLine="0"/>
        <w:jc w:val="left"/>
        <w:rPr>
          <w:rFonts w:ascii="Calibri"/>
          <w:sz w:val="20"/>
        </w:rPr>
      </w:pPr>
      <w:r>
        <w:rPr>
          <w:rFonts w:ascii="Calibri"/>
          <w:sz w:val="20"/>
          <w:vertAlign w:val="superscript"/>
        </w:rPr>
        <w:t>36</w:t>
      </w:r>
      <w:r>
        <w:rPr>
          <w:rFonts w:ascii="Calibri"/>
          <w:sz w:val="20"/>
          <w:vertAlign w:val="baseline"/>
        </w:rPr>
        <w:t>Ogbuany,</w:t>
      </w:r>
      <w:r>
        <w:rPr>
          <w:rFonts w:ascii="Calibri"/>
          <w:spacing w:val="-11"/>
          <w:sz w:val="20"/>
          <w:vertAlign w:val="baseline"/>
        </w:rPr>
        <w:t> </w:t>
      </w:r>
      <w:r>
        <w:rPr>
          <w:rFonts w:ascii="Calibri"/>
          <w:sz w:val="20"/>
          <w:vertAlign w:val="baseline"/>
        </w:rPr>
        <w:t>N.C.S.</w:t>
      </w:r>
      <w:r>
        <w:rPr>
          <w:rFonts w:ascii="Calibri"/>
          <w:spacing w:val="-2"/>
          <w:sz w:val="20"/>
          <w:vertAlign w:val="baseline"/>
        </w:rPr>
        <w:t> </w:t>
      </w:r>
      <w:r>
        <w:rPr>
          <w:rFonts w:ascii="Calibri"/>
          <w:sz w:val="20"/>
          <w:vertAlign w:val="baseline"/>
        </w:rPr>
        <w:t>op.cit.at</w:t>
      </w:r>
      <w:r>
        <w:rPr>
          <w:rFonts w:ascii="Calibri"/>
          <w:spacing w:val="-10"/>
          <w:sz w:val="20"/>
          <w:vertAlign w:val="baseline"/>
        </w:rPr>
        <w:t> </w:t>
      </w:r>
      <w:r>
        <w:rPr>
          <w:rFonts w:ascii="Calibri"/>
          <w:spacing w:val="-2"/>
          <w:sz w:val="20"/>
          <w:vertAlign w:val="baseline"/>
        </w:rPr>
        <w:t>p.345.</w:t>
      </w:r>
    </w:p>
    <w:p>
      <w:pPr>
        <w:spacing w:before="1"/>
        <w:ind w:left="308" w:right="0" w:firstLine="0"/>
        <w:jc w:val="left"/>
        <w:rPr>
          <w:rFonts w:ascii="Calibri"/>
          <w:sz w:val="20"/>
        </w:rPr>
      </w:pPr>
      <w:r>
        <w:rPr>
          <w:rFonts w:ascii="Calibri"/>
          <w:sz w:val="20"/>
          <w:vertAlign w:val="superscript"/>
        </w:rPr>
        <w:t>37</w:t>
      </w:r>
      <w:r>
        <w:rPr>
          <w:rFonts w:ascii="Calibri"/>
          <w:spacing w:val="3"/>
          <w:sz w:val="20"/>
          <w:vertAlign w:val="baseline"/>
        </w:rPr>
        <w:t> </w:t>
      </w:r>
      <w:r>
        <w:rPr>
          <w:rFonts w:ascii="Calibri"/>
          <w:spacing w:val="-2"/>
          <w:sz w:val="20"/>
          <w:vertAlign w:val="baseline"/>
        </w:rPr>
        <w:t>Ibid.</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29"/>
        <w:jc w:val="both"/>
      </w:pPr>
      <w:r>
        <w:rPr/>
        <w:t>cited foreign</w:t>
      </w:r>
      <w:r>
        <w:rPr>
          <w:spacing w:val="-4"/>
        </w:rPr>
        <w:t> </w:t>
      </w:r>
      <w:r>
        <w:rPr/>
        <w:t>decisions in explaining the principles of</w:t>
      </w:r>
      <w:r>
        <w:rPr>
          <w:spacing w:val="-7"/>
        </w:rPr>
        <w:t> </w:t>
      </w:r>
      <w:r>
        <w:rPr/>
        <w:t>directors‘</w:t>
      </w:r>
      <w:r>
        <w:rPr>
          <w:spacing w:val="-2"/>
        </w:rPr>
        <w:t> </w:t>
      </w:r>
      <w:r>
        <w:rPr/>
        <w:t>duties and none of</w:t>
      </w:r>
      <w:r>
        <w:rPr>
          <w:spacing w:val="-7"/>
        </w:rPr>
        <w:t> </w:t>
      </w:r>
      <w:r>
        <w:rPr/>
        <w:t>them noted this interesting fact of</w:t>
      </w:r>
      <w:r>
        <w:rPr>
          <w:spacing w:val="-2"/>
        </w:rPr>
        <w:t> </w:t>
      </w:r>
      <w:r>
        <w:rPr/>
        <w:t>the scarcity</w:t>
      </w:r>
      <w:r>
        <w:rPr>
          <w:spacing w:val="-4"/>
        </w:rPr>
        <w:t> </w:t>
      </w:r>
      <w:r>
        <w:rPr/>
        <w:t>of local decisions on the point.On the whole, it can also be concluded that,except in the few instances stated, they have not been overly critical of the CAMA in the area of discussion.</w:t>
      </w:r>
    </w:p>
    <w:p>
      <w:pPr>
        <w:pStyle w:val="BodyText"/>
        <w:spacing w:line="480" w:lineRule="auto"/>
        <w:ind w:right="223" w:firstLine="720"/>
        <w:jc w:val="both"/>
      </w:pPr>
      <w:r>
        <w:rPr/>
        <w:t>As for the CA, from ss.170-177</w:t>
      </w:r>
      <w:r>
        <w:rPr>
          <w:vertAlign w:val="superscript"/>
        </w:rPr>
        <w:t>38</w:t>
      </w:r>
      <w:r>
        <w:rPr>
          <w:vertAlign w:val="baseline"/>
        </w:rPr>
        <w:t> in the chapter appropriately titled ―general duties of directors‖, a company directoris charged, under particular heads, with the</w:t>
      </w:r>
      <w:r>
        <w:rPr>
          <w:spacing w:val="40"/>
          <w:vertAlign w:val="baseline"/>
        </w:rPr>
        <w:t> </w:t>
      </w:r>
      <w:r>
        <w:rPr>
          <w:vertAlign w:val="baseline"/>
        </w:rPr>
        <w:t>duties to act within powers; promote the success of the company; exercise independent judgment, reasonable care, skill and diligence; avoid conflicts of interest; not to accept benefits from third parties; and to declare interests in proposed transactions or arrangements. For the first time, the duties which directors owe in England are clearly stated in unambiguous terms. Before now, much was left to the courts to decide on a case by case basis, based on principles of common law and equity.</w:t>
      </w:r>
      <w:r>
        <w:rPr>
          <w:vertAlign w:val="superscript"/>
        </w:rPr>
        <w:t>39</w:t>
      </w:r>
      <w:r>
        <w:rPr>
          <w:vertAlign w:val="baseline"/>
        </w:rPr>
        <w:t> Birds et al</w:t>
      </w:r>
      <w:r>
        <w:rPr>
          <w:spacing w:val="40"/>
          <w:vertAlign w:val="baseline"/>
        </w:rPr>
        <w:t> </w:t>
      </w:r>
      <w:r>
        <w:rPr>
          <w:vertAlign w:val="baseline"/>
        </w:rPr>
        <w:t>observed that it seemed clear from s.170(4) CA</w:t>
      </w:r>
      <w:r>
        <w:rPr>
          <w:spacing w:val="-1"/>
          <w:vertAlign w:val="baseline"/>
        </w:rPr>
        <w:t> </w:t>
      </w:r>
      <w:r>
        <w:rPr>
          <w:vertAlign w:val="baseline"/>
        </w:rPr>
        <w:t>that the large body of case law that had established the duties in equity and at common law, would continue to be highly relevant, as would new case-law exploring the duties of fiduciaries in general.</w:t>
      </w:r>
      <w:r>
        <w:rPr>
          <w:vertAlign w:val="superscript"/>
        </w:rPr>
        <w:t>40</w:t>
      </w:r>
      <w:r>
        <w:rPr>
          <w:vertAlign w:val="baseline"/>
        </w:rPr>
        <w:t> As for the core duties of proper purpose and good faith, under ss.171 and 172 CA, the same authors were of the view that they appeared to do little more than set out the pre- existing law. This notion has been challenged by some optimists of the codified duties, particularly of s.172, as noted later in this work.</w:t>
      </w:r>
    </w:p>
    <w:p>
      <w:pPr>
        <w:pStyle w:val="BodyText"/>
        <w:spacing w:line="480" w:lineRule="auto" w:before="4"/>
        <w:ind w:right="227" w:firstLine="720"/>
        <w:jc w:val="both"/>
      </w:pPr>
      <w:r>
        <w:rPr/>
        <w:t>By far the most controversial aspect of the codified duties, was the provision in s.172,</w:t>
      </w:r>
      <w:r>
        <w:rPr>
          <w:vertAlign w:val="superscript"/>
        </w:rPr>
        <w:t>41</w:t>
      </w:r>
      <w:r>
        <w:rPr>
          <w:spacing w:val="3"/>
          <w:vertAlign w:val="baseline"/>
        </w:rPr>
        <w:t> </w:t>
      </w:r>
      <w:r>
        <w:rPr>
          <w:vertAlign w:val="baseline"/>
        </w:rPr>
        <w:t>which</w:t>
      </w:r>
      <w:r>
        <w:rPr>
          <w:spacing w:val="-4"/>
          <w:vertAlign w:val="baseline"/>
        </w:rPr>
        <w:t> </w:t>
      </w:r>
      <w:r>
        <w:rPr>
          <w:vertAlign w:val="baseline"/>
        </w:rPr>
        <w:t>required</w:t>
      </w:r>
      <w:r>
        <w:rPr>
          <w:spacing w:val="2"/>
          <w:vertAlign w:val="baseline"/>
        </w:rPr>
        <w:t> </w:t>
      </w:r>
      <w:r>
        <w:rPr>
          <w:vertAlign w:val="baseline"/>
        </w:rPr>
        <w:t>directors</w:t>
      </w:r>
      <w:r>
        <w:rPr>
          <w:spacing w:val="-6"/>
          <w:vertAlign w:val="baseline"/>
        </w:rPr>
        <w:t> </w:t>
      </w:r>
      <w:r>
        <w:rPr>
          <w:vertAlign w:val="baseline"/>
        </w:rPr>
        <w:t>to</w:t>
      </w:r>
      <w:r>
        <w:rPr>
          <w:spacing w:val="6"/>
          <w:vertAlign w:val="baseline"/>
        </w:rPr>
        <w:t> </w:t>
      </w:r>
      <w:r>
        <w:rPr>
          <w:vertAlign w:val="baseline"/>
        </w:rPr>
        <w:t>act</w:t>
      </w:r>
      <w:r>
        <w:rPr>
          <w:spacing w:val="7"/>
          <w:vertAlign w:val="baseline"/>
        </w:rPr>
        <w:t> </w:t>
      </w:r>
      <w:r>
        <w:rPr>
          <w:vertAlign w:val="baseline"/>
        </w:rPr>
        <w:t>in</w:t>
      </w:r>
      <w:r>
        <w:rPr>
          <w:spacing w:val="-4"/>
          <w:vertAlign w:val="baseline"/>
        </w:rPr>
        <w:t> </w:t>
      </w:r>
      <w:r>
        <w:rPr>
          <w:vertAlign w:val="baseline"/>
        </w:rPr>
        <w:t>good</w:t>
      </w:r>
      <w:r>
        <w:rPr>
          <w:spacing w:val="1"/>
          <w:vertAlign w:val="baseline"/>
        </w:rPr>
        <w:t> </w:t>
      </w:r>
      <w:r>
        <w:rPr>
          <w:vertAlign w:val="baseline"/>
        </w:rPr>
        <w:t>faith</w:t>
      </w:r>
      <w:r>
        <w:rPr>
          <w:spacing w:val="6"/>
          <w:vertAlign w:val="baseline"/>
        </w:rPr>
        <w:t> </w:t>
      </w:r>
      <w:r>
        <w:rPr>
          <w:vertAlign w:val="baseline"/>
        </w:rPr>
        <w:t>in</w:t>
      </w:r>
      <w:r>
        <w:rPr>
          <w:spacing w:val="1"/>
          <w:vertAlign w:val="baseline"/>
        </w:rPr>
        <w:t> </w:t>
      </w:r>
      <w:r>
        <w:rPr>
          <w:vertAlign w:val="baseline"/>
        </w:rPr>
        <w:t>a</w:t>
      </w:r>
      <w:r>
        <w:rPr>
          <w:spacing w:val="5"/>
          <w:vertAlign w:val="baseline"/>
        </w:rPr>
        <w:t> </w:t>
      </w:r>
      <w:r>
        <w:rPr>
          <w:vertAlign w:val="baseline"/>
        </w:rPr>
        <w:t>manner</w:t>
      </w:r>
      <w:r>
        <w:rPr>
          <w:spacing w:val="7"/>
          <w:vertAlign w:val="baseline"/>
        </w:rPr>
        <w:t> </w:t>
      </w:r>
      <w:r>
        <w:rPr>
          <w:vertAlign w:val="baseline"/>
        </w:rPr>
        <w:t>most</w:t>
      </w:r>
      <w:r>
        <w:rPr>
          <w:spacing w:val="12"/>
          <w:vertAlign w:val="baseline"/>
        </w:rPr>
        <w:t> </w:t>
      </w:r>
      <w:r>
        <w:rPr>
          <w:vertAlign w:val="baseline"/>
        </w:rPr>
        <w:t>likely</w:t>
      </w:r>
      <w:r>
        <w:rPr>
          <w:spacing w:val="-4"/>
          <w:vertAlign w:val="baseline"/>
        </w:rPr>
        <w:t> </w:t>
      </w:r>
      <w:r>
        <w:rPr>
          <w:vertAlign w:val="baseline"/>
        </w:rPr>
        <w:t>to</w:t>
      </w:r>
      <w:r>
        <w:rPr>
          <w:spacing w:val="5"/>
          <w:vertAlign w:val="baseline"/>
        </w:rPr>
        <w:t> </w:t>
      </w:r>
      <w:r>
        <w:rPr>
          <w:spacing w:val="-2"/>
          <w:vertAlign w:val="baseline"/>
        </w:rPr>
        <w:t>promote</w:t>
      </w:r>
    </w:p>
    <w:p>
      <w:pPr>
        <w:pStyle w:val="BodyText"/>
        <w:spacing w:before="95"/>
        <w:ind w:left="0"/>
        <w:rPr>
          <w:sz w:val="20"/>
        </w:rPr>
      </w:pPr>
      <w:r>
        <w:rPr/>
        <mc:AlternateContent>
          <mc:Choice Requires="wps">
            <w:drawing>
              <wp:anchor distT="0" distB="0" distL="0" distR="0" allowOverlap="1" layoutInCell="1" locked="0" behindDoc="1" simplePos="0" relativeHeight="487617536">
                <wp:simplePos x="0" y="0"/>
                <wp:positionH relativeFrom="page">
                  <wp:posOffset>1262481</wp:posOffset>
                </wp:positionH>
                <wp:positionV relativeFrom="paragraph">
                  <wp:posOffset>221732</wp:posOffset>
                </wp:positionV>
                <wp:extent cx="1829435" cy="9525"/>
                <wp:effectExtent l="0" t="0" r="0" b="0"/>
                <wp:wrapTopAndBottom/>
                <wp:docPr id="61" name="Graphic 61"/>
                <wp:cNvGraphicFramePr>
                  <a:graphicFrameLocks/>
                </wp:cNvGraphicFramePr>
                <a:graphic>
                  <a:graphicData uri="http://schemas.microsoft.com/office/word/2010/wordprocessingShape">
                    <wps:wsp>
                      <wps:cNvPr id="61" name="Graphic 6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459249pt;width:144.050pt;height:.71997pt;mso-position-horizontal-relative:page;mso-position-vertical-relative:paragraph;z-index:-15698944;mso-wrap-distance-left:0;mso-wrap-distance-right:0" id="docshape16"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38</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AppendixA</w:t>
      </w:r>
      <w:r>
        <w:rPr>
          <w:rFonts w:ascii="Calibri"/>
          <w:spacing w:val="-4"/>
          <w:sz w:val="20"/>
          <w:vertAlign w:val="baseline"/>
        </w:rPr>
        <w:t> </w:t>
      </w:r>
      <w:r>
        <w:rPr>
          <w:rFonts w:ascii="Calibri"/>
          <w:spacing w:val="-2"/>
          <w:sz w:val="20"/>
          <w:vertAlign w:val="baseline"/>
        </w:rPr>
        <w:t>attached.</w:t>
      </w:r>
    </w:p>
    <w:p>
      <w:pPr>
        <w:spacing w:line="240" w:lineRule="auto" w:before="0"/>
        <w:ind w:left="308" w:right="0" w:firstLine="0"/>
        <w:jc w:val="left"/>
        <w:rPr>
          <w:rFonts w:ascii="Calibri" w:hAnsi="Calibri"/>
          <w:sz w:val="20"/>
        </w:rPr>
      </w:pPr>
      <w:r>
        <w:rPr>
          <w:rFonts w:ascii="Calibri" w:hAnsi="Calibri"/>
          <w:sz w:val="20"/>
          <w:vertAlign w:val="superscript"/>
        </w:rPr>
        <w:t>39</w:t>
      </w:r>
      <w:r>
        <w:rPr>
          <w:rFonts w:ascii="Calibri" w:hAnsi="Calibri"/>
          <w:sz w:val="20"/>
          <w:vertAlign w:val="baseline"/>
        </w:rPr>
        <w:t>Hollington</w:t>
      </w:r>
      <w:r>
        <w:rPr>
          <w:rFonts w:ascii="Calibri" w:hAnsi="Calibri"/>
          <w:spacing w:val="-4"/>
          <w:sz w:val="20"/>
          <w:vertAlign w:val="baseline"/>
        </w:rPr>
        <w:t> </w:t>
      </w:r>
      <w:r>
        <w:rPr>
          <w:rFonts w:ascii="Calibri" w:hAnsi="Calibri"/>
          <w:sz w:val="20"/>
          <w:vertAlign w:val="baseline"/>
        </w:rPr>
        <w:t>R. (2008).</w:t>
      </w:r>
      <w:r>
        <w:rPr>
          <w:rFonts w:ascii="Calibri" w:hAnsi="Calibri"/>
          <w:i/>
          <w:sz w:val="20"/>
          <w:vertAlign w:val="baseline"/>
        </w:rPr>
        <w:t>Directors’</w:t>
      </w:r>
      <w:r>
        <w:rPr>
          <w:rFonts w:ascii="Calibri" w:hAnsi="Calibri"/>
          <w:i/>
          <w:spacing w:val="-1"/>
          <w:sz w:val="20"/>
          <w:vertAlign w:val="baseline"/>
        </w:rPr>
        <w:t> </w:t>
      </w:r>
      <w:r>
        <w:rPr>
          <w:rFonts w:ascii="Calibri" w:hAnsi="Calibri"/>
          <w:i/>
          <w:sz w:val="20"/>
          <w:vertAlign w:val="baseline"/>
        </w:rPr>
        <w:t>Duties</w:t>
      </w:r>
      <w:r>
        <w:rPr>
          <w:rFonts w:ascii="Calibri" w:hAnsi="Calibri"/>
          <w:i/>
          <w:spacing w:val="-6"/>
          <w:sz w:val="20"/>
          <w:vertAlign w:val="baseline"/>
        </w:rPr>
        <w:t> </w:t>
      </w:r>
      <w:r>
        <w:rPr>
          <w:rFonts w:ascii="Calibri" w:hAnsi="Calibri"/>
          <w:i/>
          <w:sz w:val="20"/>
          <w:vertAlign w:val="baseline"/>
        </w:rPr>
        <w:t>under</w:t>
      </w:r>
      <w:r>
        <w:rPr>
          <w:rFonts w:ascii="Calibri" w:hAnsi="Calibri"/>
          <w:i/>
          <w:spacing w:val="-6"/>
          <w:sz w:val="20"/>
          <w:vertAlign w:val="baseline"/>
        </w:rPr>
        <w:t> </w:t>
      </w:r>
      <w:r>
        <w:rPr>
          <w:rFonts w:ascii="Calibri" w:hAnsi="Calibri"/>
          <w:i/>
          <w:sz w:val="20"/>
          <w:vertAlign w:val="baseline"/>
        </w:rPr>
        <w:t>the</w:t>
      </w:r>
      <w:r>
        <w:rPr>
          <w:rFonts w:ascii="Calibri" w:hAnsi="Calibri"/>
          <w:i/>
          <w:spacing w:val="-4"/>
          <w:sz w:val="20"/>
          <w:vertAlign w:val="baseline"/>
        </w:rPr>
        <w:t> </w:t>
      </w:r>
      <w:r>
        <w:rPr>
          <w:rFonts w:ascii="Calibri" w:hAnsi="Calibri"/>
          <w:i/>
          <w:sz w:val="20"/>
          <w:vertAlign w:val="baseline"/>
        </w:rPr>
        <w:t>Companies</w:t>
      </w:r>
      <w:r>
        <w:rPr>
          <w:rFonts w:ascii="Calibri" w:hAnsi="Calibri"/>
          <w:i/>
          <w:spacing w:val="-6"/>
          <w:sz w:val="20"/>
          <w:vertAlign w:val="baseline"/>
        </w:rPr>
        <w:t> </w:t>
      </w:r>
      <w:r>
        <w:rPr>
          <w:rFonts w:ascii="Calibri" w:hAnsi="Calibri"/>
          <w:i/>
          <w:sz w:val="20"/>
          <w:vertAlign w:val="baseline"/>
        </w:rPr>
        <w:t>Act 2006: Have</w:t>
      </w:r>
      <w:r>
        <w:rPr>
          <w:rFonts w:ascii="Calibri" w:hAnsi="Calibri"/>
          <w:i/>
          <w:spacing w:val="-4"/>
          <w:sz w:val="20"/>
          <w:vertAlign w:val="baseline"/>
        </w:rPr>
        <w:t> </w:t>
      </w:r>
      <w:r>
        <w:rPr>
          <w:rFonts w:ascii="Calibri" w:hAnsi="Calibri"/>
          <w:i/>
          <w:sz w:val="20"/>
          <w:vertAlign w:val="baseline"/>
        </w:rPr>
        <w:t>the</w:t>
      </w:r>
      <w:r>
        <w:rPr>
          <w:rFonts w:ascii="Calibri" w:hAnsi="Calibri"/>
          <w:i/>
          <w:spacing w:val="-4"/>
          <w:sz w:val="20"/>
          <w:vertAlign w:val="baseline"/>
        </w:rPr>
        <w:t> </w:t>
      </w:r>
      <w:r>
        <w:rPr>
          <w:rFonts w:ascii="Calibri" w:hAnsi="Calibri"/>
          <w:i/>
          <w:sz w:val="20"/>
          <w:vertAlign w:val="baseline"/>
        </w:rPr>
        <w:t>Lunatics</w:t>
      </w:r>
      <w:r>
        <w:rPr>
          <w:rFonts w:ascii="Calibri" w:hAnsi="Calibri"/>
          <w:i/>
          <w:spacing w:val="-1"/>
          <w:sz w:val="20"/>
          <w:vertAlign w:val="baseline"/>
        </w:rPr>
        <w:t> </w:t>
      </w:r>
      <w:r>
        <w:rPr>
          <w:rFonts w:ascii="Calibri" w:hAnsi="Calibri"/>
          <w:i/>
          <w:sz w:val="20"/>
          <w:vertAlign w:val="baseline"/>
        </w:rPr>
        <w:t>Taken</w:t>
      </w:r>
      <w:r>
        <w:rPr>
          <w:rFonts w:ascii="Calibri" w:hAnsi="Calibri"/>
          <w:i/>
          <w:spacing w:val="-2"/>
          <w:sz w:val="20"/>
          <w:vertAlign w:val="baseline"/>
        </w:rPr>
        <w:t> </w:t>
      </w:r>
      <w:r>
        <w:rPr>
          <w:rFonts w:ascii="Calibri" w:hAnsi="Calibri"/>
          <w:i/>
          <w:sz w:val="20"/>
          <w:vertAlign w:val="baseline"/>
        </w:rPr>
        <w:t>Over</w:t>
      </w:r>
      <w:r>
        <w:rPr>
          <w:rFonts w:ascii="Calibri" w:hAnsi="Calibri"/>
          <w:i/>
          <w:spacing w:val="-1"/>
          <w:sz w:val="20"/>
          <w:vertAlign w:val="baseline"/>
        </w:rPr>
        <w:t> </w:t>
      </w:r>
      <w:r>
        <w:rPr>
          <w:rFonts w:ascii="Calibri" w:hAnsi="Calibri"/>
          <w:i/>
          <w:sz w:val="20"/>
          <w:vertAlign w:val="baseline"/>
        </w:rPr>
        <w:t>the Asylum? </w:t>
      </w:r>
      <w:r>
        <w:rPr>
          <w:rFonts w:ascii="Calibri" w:hAnsi="Calibri"/>
          <w:sz w:val="20"/>
          <w:vertAlign w:val="baseline"/>
        </w:rPr>
        <w:t>A lecture delivered at Ian Fairbairn Lecture Theatre, University of Buckingham, April 22, 2008.Retrieved March 23 2013 from </w:t>
      </w:r>
      <w:hyperlink r:id="rId17">
        <w:r>
          <w:rPr>
            <w:rFonts w:ascii="Calibri" w:hAnsi="Calibri"/>
            <w:color w:val="0000FF"/>
            <w:spacing w:val="-2"/>
            <w:sz w:val="20"/>
            <w:u w:val="single" w:color="0000FF"/>
            <w:vertAlign w:val="baseline"/>
          </w:rPr>
          <w:t>http://www.newsquarechambers.co.uk/files/Publications/Directors%20duties%20under%20the%20Co</w:t>
        </w:r>
      </w:hyperlink>
      <w:r>
        <w:rPr>
          <w:rFonts w:ascii="Calibri" w:hAnsi="Calibri"/>
          <w:color w:val="0000FF"/>
          <w:spacing w:val="-2"/>
          <w:sz w:val="20"/>
          <w:vertAlign w:val="baseline"/>
        </w:rPr>
        <w:t> </w:t>
      </w:r>
      <w:hyperlink r:id="rId17">
        <w:r>
          <w:rPr>
            <w:rFonts w:ascii="Calibri" w:hAnsi="Calibri"/>
            <w:color w:val="0000FF"/>
            <w:spacing w:val="-2"/>
            <w:sz w:val="20"/>
            <w:u w:val="single" w:color="0000FF"/>
            <w:vertAlign w:val="baseline"/>
          </w:rPr>
          <w:t>mpanies%20Act%202006%20(Robin%20Hollington%20QC).pdf</w:t>
        </w:r>
      </w:hyperlink>
      <w:r>
        <w:rPr>
          <w:rFonts w:ascii="Calibri" w:hAnsi="Calibri"/>
          <w:spacing w:val="-2"/>
          <w:sz w:val="20"/>
          <w:vertAlign w:val="baseline"/>
        </w:rPr>
        <w:t>.</w:t>
      </w:r>
    </w:p>
    <w:p>
      <w:pPr>
        <w:spacing w:before="2"/>
        <w:ind w:left="308" w:right="0" w:firstLine="0"/>
        <w:jc w:val="left"/>
        <w:rPr>
          <w:rFonts w:ascii="Calibri"/>
          <w:sz w:val="20"/>
        </w:rPr>
      </w:pPr>
      <w:r>
        <w:rPr>
          <w:rFonts w:ascii="Calibri"/>
          <w:sz w:val="20"/>
          <w:vertAlign w:val="superscript"/>
        </w:rPr>
        <w:t>40</w:t>
      </w:r>
      <w:r>
        <w:rPr>
          <w:rFonts w:ascii="Calibri"/>
          <w:sz w:val="20"/>
          <w:vertAlign w:val="baseline"/>
        </w:rPr>
        <w:t> Birds,</w:t>
      </w:r>
      <w:r>
        <w:rPr>
          <w:rFonts w:ascii="Calibri"/>
          <w:spacing w:val="-3"/>
          <w:sz w:val="20"/>
          <w:vertAlign w:val="baseline"/>
        </w:rPr>
        <w:t> </w:t>
      </w:r>
      <w:r>
        <w:rPr>
          <w:rFonts w:ascii="Calibri"/>
          <w:sz w:val="20"/>
          <w:vertAlign w:val="baseline"/>
        </w:rPr>
        <w:t>et</w:t>
      </w:r>
      <w:r>
        <w:rPr>
          <w:rFonts w:ascii="Calibri"/>
          <w:spacing w:val="-7"/>
          <w:sz w:val="20"/>
          <w:vertAlign w:val="baseline"/>
        </w:rPr>
        <w:t> </w:t>
      </w:r>
      <w:r>
        <w:rPr>
          <w:rFonts w:ascii="Calibri"/>
          <w:sz w:val="20"/>
          <w:vertAlign w:val="baseline"/>
        </w:rPr>
        <w:t>al,</w:t>
      </w:r>
      <w:r>
        <w:rPr>
          <w:rFonts w:ascii="Calibri"/>
          <w:spacing w:val="-3"/>
          <w:sz w:val="20"/>
          <w:vertAlign w:val="baseline"/>
        </w:rPr>
        <w:t> </w:t>
      </w:r>
      <w:r>
        <w:rPr>
          <w:rFonts w:ascii="Calibri"/>
          <w:sz w:val="20"/>
          <w:vertAlign w:val="baseline"/>
        </w:rPr>
        <w:t>op.cit.,</w:t>
      </w:r>
      <w:r>
        <w:rPr>
          <w:rFonts w:ascii="Calibri"/>
          <w:spacing w:val="-8"/>
          <w:sz w:val="20"/>
          <w:vertAlign w:val="baseline"/>
        </w:rPr>
        <w:t> </w:t>
      </w:r>
      <w:r>
        <w:rPr>
          <w:rFonts w:ascii="Calibri"/>
          <w:spacing w:val="-2"/>
          <w:sz w:val="20"/>
          <w:vertAlign w:val="baseline"/>
        </w:rPr>
        <w:t>p.630.</w:t>
      </w:r>
    </w:p>
    <w:p>
      <w:pPr>
        <w:spacing w:before="0"/>
        <w:ind w:left="308" w:right="0" w:firstLine="0"/>
        <w:jc w:val="left"/>
        <w:rPr>
          <w:rFonts w:ascii="Calibri"/>
          <w:sz w:val="20"/>
        </w:rPr>
      </w:pPr>
      <w:r>
        <w:rPr>
          <w:rFonts w:ascii="Calibri"/>
          <w:sz w:val="20"/>
          <w:vertAlign w:val="superscript"/>
        </w:rPr>
        <w:t>41</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Appendix</w:t>
      </w:r>
      <w:r>
        <w:rPr>
          <w:rFonts w:ascii="Calibri"/>
          <w:spacing w:val="-4"/>
          <w:sz w:val="20"/>
          <w:vertAlign w:val="baseline"/>
        </w:rPr>
        <w:t> </w:t>
      </w:r>
      <w:r>
        <w:rPr>
          <w:rFonts w:ascii="Calibri"/>
          <w:spacing w:val="-5"/>
          <w:sz w:val="20"/>
          <w:vertAlign w:val="baseline"/>
        </w:rPr>
        <w:t>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7"/>
        <w:jc w:val="both"/>
      </w:pPr>
      <w:r>
        <w:rPr/>
        <w:t>the success of the company for the benefit of its members as a whole, while having regard to a number of listed factors. Woodley</w:t>
      </w:r>
      <w:r>
        <w:rPr>
          <w:vertAlign w:val="superscript"/>
        </w:rPr>
        <w:t>42</w:t>
      </w:r>
      <w:r>
        <w:rPr>
          <w:vertAlign w:val="baseline"/>
        </w:rPr>
        <w:t> expressed the suspicion that the provision may have been an attempt atintroducing stakeholder theory by the backdoor. Birds et al</w:t>
      </w:r>
      <w:r>
        <w:rPr>
          <w:vertAlign w:val="superscript"/>
        </w:rPr>
        <w:t>43</w:t>
      </w:r>
      <w:r>
        <w:rPr>
          <w:vertAlign w:val="baseline"/>
        </w:rPr>
        <w:t>and Davies and Worthington</w:t>
      </w:r>
      <w:r>
        <w:rPr>
          <w:vertAlign w:val="superscript"/>
        </w:rPr>
        <w:t>44</w:t>
      </w:r>
      <w:r>
        <w:rPr>
          <w:vertAlign w:val="baseline"/>
        </w:rPr>
        <w:t> were of</w:t>
      </w:r>
      <w:r>
        <w:rPr>
          <w:spacing w:val="-3"/>
          <w:vertAlign w:val="baseline"/>
        </w:rPr>
        <w:t> </w:t>
      </w:r>
      <w:r>
        <w:rPr>
          <w:vertAlign w:val="baseline"/>
        </w:rPr>
        <w:t>the view that s.172 changed nothing from</w:t>
      </w:r>
      <w:r>
        <w:rPr>
          <w:spacing w:val="-4"/>
          <w:vertAlign w:val="baseline"/>
        </w:rPr>
        <w:t> </w:t>
      </w:r>
      <w:r>
        <w:rPr>
          <w:vertAlign w:val="baseline"/>
        </w:rPr>
        <w:t>the previous law which required the director to, inter alia, consider the interests of employees.</w:t>
      </w:r>
      <w:r>
        <w:rPr>
          <w:vertAlign w:val="superscript"/>
        </w:rPr>
        <w:t>45</w:t>
      </w:r>
      <w:r>
        <w:rPr>
          <w:vertAlign w:val="baseline"/>
        </w:rPr>
        <w:t> They believed that in spite of the provision, directors would continue to reach the same decisions and the courts would continue to view these the same way. This may very well be the case.</w:t>
      </w:r>
      <w:r>
        <w:rPr>
          <w:vertAlign w:val="superscript"/>
        </w:rPr>
        <w:t>46</w:t>
      </w:r>
      <w:r>
        <w:rPr>
          <w:vertAlign w:val="baseline"/>
        </w:rPr>
        <w:t> However, Wild and Weinstein observed that the duty was beyond good faith, so that the six factors must find their way into every decision a director makes.</w:t>
      </w:r>
      <w:r>
        <w:rPr>
          <w:vertAlign w:val="superscript"/>
        </w:rPr>
        <w:t>47</w:t>
      </w:r>
      <w:r>
        <w:rPr>
          <w:vertAlign w:val="baseline"/>
        </w:rPr>
        <w:t> Thus, the factors to be considered are subservient only to the duty of directors to promote the success of the company.</w:t>
      </w:r>
      <w:r>
        <w:rPr>
          <w:vertAlign w:val="superscript"/>
        </w:rPr>
        <w:t>48</w:t>
      </w:r>
    </w:p>
    <w:p>
      <w:pPr>
        <w:pStyle w:val="BodyText"/>
        <w:spacing w:line="480" w:lineRule="auto" w:before="2"/>
        <w:ind w:right="223" w:firstLine="720"/>
        <w:jc w:val="both"/>
      </w:pPr>
      <w:r>
        <w:rPr/>
        <mc:AlternateContent>
          <mc:Choice Requires="wps">
            <w:drawing>
              <wp:anchor distT="0" distB="0" distL="0" distR="0" allowOverlap="1" layoutInCell="1" locked="0" behindDoc="0" simplePos="0" relativeHeight="15758848">
                <wp:simplePos x="0" y="0"/>
                <wp:positionH relativeFrom="page">
                  <wp:posOffset>1262481</wp:posOffset>
                </wp:positionH>
                <wp:positionV relativeFrom="paragraph">
                  <wp:posOffset>2790136</wp:posOffset>
                </wp:positionV>
                <wp:extent cx="1829435" cy="9525"/>
                <wp:effectExtent l="0" t="0" r="0" b="0"/>
                <wp:wrapNone/>
                <wp:docPr id="62" name="Graphic 62"/>
                <wp:cNvGraphicFramePr>
                  <a:graphicFrameLocks/>
                </wp:cNvGraphicFramePr>
                <a:graphic>
                  <a:graphicData uri="http://schemas.microsoft.com/office/word/2010/wordprocessingShape">
                    <wps:wsp>
                      <wps:cNvPr id="62" name="Graphic 62"/>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9.695755pt;width:144.050pt;height:.72003pt;mso-position-horizontal-relative:page;mso-position-vertical-relative:paragraph;z-index:15758848" id="docshape17" filled="true" fillcolor="#000000" stroked="false">
                <v:fill type="solid"/>
                <w10:wrap type="none"/>
              </v:rect>
            </w:pict>
          </mc:Fallback>
        </mc:AlternateContent>
      </w:r>
      <w:r>
        <w:rPr/>
        <w:t>Sealy and Worthington</w:t>
      </w:r>
      <w:r>
        <w:rPr>
          <w:vertAlign w:val="superscript"/>
        </w:rPr>
        <w:t>49</w:t>
      </w:r>
      <w:r>
        <w:rPr>
          <w:vertAlign w:val="baseline"/>
        </w:rPr>
        <w:t> remarked that s.172 CA explicitly favoured a long- term, rather than short term, outlook in corporate decision making. Indeed, as observed further in this work, this was the effect the CLRSG intended the provision to have in theory. Whether or not it could potentially influence practice, is a different issue. Hollington argued that s.172 proposed to teach the business man how he should make business decisions</w:t>
      </w:r>
      <w:r>
        <w:rPr>
          <w:vertAlign w:val="superscript"/>
        </w:rPr>
        <w:t>50</w:t>
      </w:r>
      <w:r>
        <w:rPr>
          <w:vertAlign w:val="baseline"/>
        </w:rPr>
        <w:t> by venturing to state what the director must think,</w:t>
      </w:r>
      <w:r>
        <w:rPr>
          <w:vertAlign w:val="superscript"/>
        </w:rPr>
        <w:t>51</w:t>
      </w:r>
      <w:r>
        <w:rPr>
          <w:vertAlign w:val="baseline"/>
        </w:rPr>
        <w:t> whenthis should be the proper role of</w:t>
      </w:r>
      <w:r>
        <w:rPr>
          <w:spacing w:val="-2"/>
          <w:vertAlign w:val="baseline"/>
        </w:rPr>
        <w:t> </w:t>
      </w:r>
      <w:r>
        <w:rPr>
          <w:vertAlign w:val="baseline"/>
        </w:rPr>
        <w:t>voluntary</w:t>
      </w:r>
      <w:r>
        <w:rPr>
          <w:spacing w:val="-9"/>
          <w:vertAlign w:val="baseline"/>
        </w:rPr>
        <w:t> </w:t>
      </w:r>
      <w:r>
        <w:rPr>
          <w:vertAlign w:val="baseline"/>
        </w:rPr>
        <w:t>codes</w:t>
      </w:r>
      <w:r>
        <w:rPr>
          <w:spacing w:val="-1"/>
          <w:vertAlign w:val="baseline"/>
        </w:rPr>
        <w:t> </w:t>
      </w:r>
      <w:r>
        <w:rPr>
          <w:vertAlign w:val="baseline"/>
        </w:rPr>
        <w:t>and business schools.</w:t>
      </w:r>
      <w:r>
        <w:rPr>
          <w:vertAlign w:val="superscript"/>
        </w:rPr>
        <w:t>52</w:t>
      </w:r>
      <w:r>
        <w:rPr>
          <w:vertAlign w:val="baseline"/>
        </w:rPr>
        <w:t> Arden, on</w:t>
      </w:r>
      <w:r>
        <w:rPr>
          <w:spacing w:val="-4"/>
          <w:vertAlign w:val="baseline"/>
        </w:rPr>
        <w:t> </w:t>
      </w:r>
      <w:r>
        <w:rPr>
          <w:vertAlign w:val="baseline"/>
        </w:rPr>
        <w:t>the other hand, considered the section likely to improve the quality of corporate decision-making</w:t>
      </w:r>
    </w:p>
    <w:p>
      <w:pPr>
        <w:spacing w:before="93"/>
        <w:ind w:left="308" w:right="0" w:firstLine="0"/>
        <w:jc w:val="left"/>
        <w:rPr>
          <w:rFonts w:ascii="Calibri"/>
          <w:sz w:val="20"/>
        </w:rPr>
      </w:pPr>
      <w:r>
        <w:rPr>
          <w:rFonts w:ascii="Calibri"/>
          <w:sz w:val="20"/>
          <w:vertAlign w:val="superscript"/>
        </w:rPr>
        <w:t>42</w:t>
      </w:r>
      <w:r>
        <w:rPr>
          <w:rFonts w:ascii="Calibri"/>
          <w:sz w:val="20"/>
          <w:vertAlign w:val="baseline"/>
        </w:rPr>
        <w:t>Woodley,</w:t>
      </w:r>
      <w:r>
        <w:rPr>
          <w:rFonts w:ascii="Calibri"/>
          <w:spacing w:val="-9"/>
          <w:sz w:val="20"/>
          <w:vertAlign w:val="baseline"/>
        </w:rPr>
        <w:t> </w:t>
      </w:r>
      <w:r>
        <w:rPr>
          <w:rFonts w:ascii="Calibri"/>
          <w:sz w:val="20"/>
          <w:vertAlign w:val="baseline"/>
        </w:rPr>
        <w:t>J.op.cit.,</w:t>
      </w:r>
      <w:r>
        <w:rPr>
          <w:rFonts w:ascii="Calibri"/>
          <w:spacing w:val="-11"/>
          <w:sz w:val="20"/>
          <w:vertAlign w:val="baseline"/>
        </w:rPr>
        <w:t> </w:t>
      </w:r>
      <w:r>
        <w:rPr>
          <w:rFonts w:ascii="Calibri"/>
          <w:sz w:val="20"/>
          <w:vertAlign w:val="baseline"/>
        </w:rPr>
        <w:t>pp.62-</w:t>
      </w:r>
      <w:r>
        <w:rPr>
          <w:rFonts w:ascii="Calibri"/>
          <w:spacing w:val="-5"/>
          <w:sz w:val="20"/>
          <w:vertAlign w:val="baseline"/>
        </w:rPr>
        <w:t>63.</w:t>
      </w:r>
    </w:p>
    <w:p>
      <w:pPr>
        <w:spacing w:before="0"/>
        <w:ind w:left="308" w:right="0" w:firstLine="0"/>
        <w:jc w:val="left"/>
        <w:rPr>
          <w:rFonts w:ascii="Calibri"/>
          <w:sz w:val="20"/>
        </w:rPr>
      </w:pPr>
      <w:r>
        <w:rPr>
          <w:rFonts w:ascii="Calibri"/>
          <w:sz w:val="20"/>
          <w:vertAlign w:val="superscript"/>
        </w:rPr>
        <w:t>43</w:t>
      </w:r>
      <w:r>
        <w:rPr>
          <w:rFonts w:ascii="Calibri"/>
          <w:sz w:val="20"/>
          <w:vertAlign w:val="baseline"/>
        </w:rPr>
        <w:t>Birds,</w:t>
      </w:r>
      <w:r>
        <w:rPr>
          <w:rFonts w:ascii="Calibri"/>
          <w:spacing w:val="-2"/>
          <w:sz w:val="20"/>
          <w:vertAlign w:val="baseline"/>
        </w:rPr>
        <w:t> </w:t>
      </w:r>
      <w:r>
        <w:rPr>
          <w:rFonts w:ascii="Calibri"/>
          <w:sz w:val="20"/>
          <w:vertAlign w:val="baseline"/>
        </w:rPr>
        <w:t>J.</w:t>
      </w:r>
      <w:r>
        <w:rPr>
          <w:rFonts w:ascii="Calibri"/>
          <w:spacing w:val="-2"/>
          <w:sz w:val="20"/>
          <w:vertAlign w:val="baseline"/>
        </w:rPr>
        <w:t> </w:t>
      </w:r>
      <w:r>
        <w:rPr>
          <w:rFonts w:ascii="Calibri"/>
          <w:sz w:val="20"/>
          <w:vertAlign w:val="baseline"/>
        </w:rPr>
        <w:t>et</w:t>
      </w:r>
      <w:r>
        <w:rPr>
          <w:rFonts w:ascii="Calibri"/>
          <w:spacing w:val="-5"/>
          <w:sz w:val="20"/>
          <w:vertAlign w:val="baseline"/>
        </w:rPr>
        <w:t> </w:t>
      </w:r>
      <w:r>
        <w:rPr>
          <w:rFonts w:ascii="Calibri"/>
          <w:sz w:val="20"/>
          <w:vertAlign w:val="baseline"/>
        </w:rPr>
        <w:t>al.op.cit</w:t>
      </w:r>
      <w:r>
        <w:rPr>
          <w:rFonts w:ascii="Calibri"/>
          <w:spacing w:val="-5"/>
          <w:sz w:val="20"/>
          <w:vertAlign w:val="baseline"/>
        </w:rPr>
        <w:t> </w:t>
      </w:r>
      <w:r>
        <w:rPr>
          <w:rFonts w:ascii="Calibri"/>
          <w:sz w:val="20"/>
          <w:vertAlign w:val="baseline"/>
        </w:rPr>
        <w:t>at</w:t>
      </w:r>
      <w:r>
        <w:rPr>
          <w:rFonts w:ascii="Calibri"/>
          <w:spacing w:val="-6"/>
          <w:sz w:val="20"/>
          <w:vertAlign w:val="baseline"/>
        </w:rPr>
        <w:t> </w:t>
      </w:r>
      <w:r>
        <w:rPr>
          <w:rFonts w:ascii="Calibri"/>
          <w:spacing w:val="-2"/>
          <w:sz w:val="20"/>
          <w:vertAlign w:val="baseline"/>
        </w:rPr>
        <w:t>p.638.</w:t>
      </w:r>
    </w:p>
    <w:p>
      <w:pPr>
        <w:spacing w:before="1"/>
        <w:ind w:left="308" w:right="0" w:firstLine="0"/>
        <w:jc w:val="left"/>
        <w:rPr>
          <w:rFonts w:ascii="Calibri"/>
          <w:sz w:val="20"/>
        </w:rPr>
      </w:pPr>
      <w:r>
        <w:rPr>
          <w:rFonts w:ascii="Calibri"/>
          <w:sz w:val="20"/>
          <w:vertAlign w:val="superscript"/>
        </w:rPr>
        <w:t>44</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5"/>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S.Op.cit.</w:t>
      </w:r>
      <w:r>
        <w:rPr>
          <w:rFonts w:ascii="Calibri"/>
          <w:spacing w:val="-5"/>
          <w:sz w:val="20"/>
          <w:vertAlign w:val="baseline"/>
        </w:rPr>
        <w:t> </w:t>
      </w:r>
      <w:r>
        <w:rPr>
          <w:rFonts w:ascii="Calibri"/>
          <w:sz w:val="20"/>
          <w:vertAlign w:val="baseline"/>
        </w:rPr>
        <w:t>at</w:t>
      </w:r>
      <w:r>
        <w:rPr>
          <w:rFonts w:ascii="Calibri"/>
          <w:spacing w:val="-8"/>
          <w:sz w:val="20"/>
          <w:vertAlign w:val="baseline"/>
        </w:rPr>
        <w:t> </w:t>
      </w:r>
      <w:r>
        <w:rPr>
          <w:rFonts w:ascii="Calibri"/>
          <w:spacing w:val="-2"/>
          <w:sz w:val="20"/>
          <w:vertAlign w:val="baseline"/>
        </w:rPr>
        <w:t>p.543.</w:t>
      </w:r>
    </w:p>
    <w:p>
      <w:pPr>
        <w:spacing w:before="1"/>
        <w:ind w:left="308" w:right="0" w:firstLine="0"/>
        <w:jc w:val="left"/>
        <w:rPr>
          <w:rFonts w:ascii="Calibri"/>
          <w:sz w:val="20"/>
        </w:rPr>
      </w:pPr>
      <w:r>
        <w:rPr>
          <w:rFonts w:ascii="Calibri"/>
          <w:sz w:val="20"/>
          <w:vertAlign w:val="superscript"/>
        </w:rPr>
        <w:t>45</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s.309</w:t>
      </w:r>
      <w:r>
        <w:rPr>
          <w:rFonts w:ascii="Calibri"/>
          <w:spacing w:val="-4"/>
          <w:sz w:val="20"/>
          <w:vertAlign w:val="baseline"/>
        </w:rPr>
        <w:t> </w:t>
      </w:r>
      <w:r>
        <w:rPr>
          <w:rFonts w:ascii="Calibri"/>
          <w:sz w:val="20"/>
          <w:vertAlign w:val="baseline"/>
        </w:rPr>
        <w:t>UK</w:t>
      </w:r>
      <w:r>
        <w:rPr>
          <w:rFonts w:ascii="Calibri"/>
          <w:spacing w:val="-1"/>
          <w:sz w:val="20"/>
          <w:vertAlign w:val="baseline"/>
        </w:rPr>
        <w:t> </w:t>
      </w:r>
      <w:r>
        <w:rPr>
          <w:rFonts w:ascii="Calibri"/>
          <w:sz w:val="20"/>
          <w:vertAlign w:val="baseline"/>
        </w:rPr>
        <w:t>Companies</w:t>
      </w:r>
      <w:r>
        <w:rPr>
          <w:rFonts w:ascii="Calibri"/>
          <w:spacing w:val="-5"/>
          <w:sz w:val="20"/>
          <w:vertAlign w:val="baseline"/>
        </w:rPr>
        <w:t> </w:t>
      </w:r>
      <w:r>
        <w:rPr>
          <w:rFonts w:ascii="Calibri"/>
          <w:sz w:val="20"/>
          <w:vertAlign w:val="baseline"/>
        </w:rPr>
        <w:t>Act</w:t>
      </w:r>
      <w:r>
        <w:rPr>
          <w:rFonts w:ascii="Calibri"/>
          <w:spacing w:val="-7"/>
          <w:sz w:val="20"/>
          <w:vertAlign w:val="baseline"/>
        </w:rPr>
        <w:t> </w:t>
      </w:r>
      <w:r>
        <w:rPr>
          <w:rFonts w:ascii="Calibri"/>
          <w:spacing w:val="-2"/>
          <w:sz w:val="20"/>
          <w:vertAlign w:val="baseline"/>
        </w:rPr>
        <w:t>1985.</w:t>
      </w:r>
    </w:p>
    <w:p>
      <w:pPr>
        <w:spacing w:line="240" w:lineRule="auto" w:before="1"/>
        <w:ind w:left="308" w:right="255" w:firstLine="0"/>
        <w:jc w:val="left"/>
        <w:rPr>
          <w:rFonts w:ascii="Calibri"/>
          <w:sz w:val="20"/>
        </w:rPr>
      </w:pPr>
      <w:r>
        <w:rPr>
          <w:rFonts w:ascii="Calibri"/>
          <w:sz w:val="20"/>
          <w:vertAlign w:val="superscript"/>
        </w:rPr>
        <w:t>46</w:t>
      </w:r>
      <w:r>
        <w:rPr>
          <w:rFonts w:ascii="Calibri"/>
          <w:spacing w:val="40"/>
          <w:sz w:val="20"/>
          <w:vertAlign w:val="baseline"/>
        </w:rPr>
        <w:t> </w:t>
      </w:r>
      <w:r>
        <w:rPr>
          <w:rFonts w:ascii="Calibri"/>
          <w:sz w:val="20"/>
          <w:vertAlign w:val="baseline"/>
        </w:rPr>
        <w:t>See</w:t>
      </w:r>
      <w:r>
        <w:rPr>
          <w:rFonts w:ascii="Calibri"/>
          <w:spacing w:val="40"/>
          <w:sz w:val="20"/>
          <w:vertAlign w:val="baseline"/>
        </w:rPr>
        <w:t> </w:t>
      </w:r>
      <w:r>
        <w:rPr>
          <w:rFonts w:ascii="Calibri"/>
          <w:sz w:val="20"/>
          <w:vertAlign w:val="baseline"/>
        </w:rPr>
        <w:t>Taylor,</w:t>
      </w:r>
      <w:r>
        <w:rPr>
          <w:rFonts w:ascii="Calibri"/>
          <w:spacing w:val="40"/>
          <w:sz w:val="20"/>
          <w:vertAlign w:val="baseline"/>
        </w:rPr>
        <w:t> </w:t>
      </w:r>
      <w:r>
        <w:rPr>
          <w:rFonts w:ascii="Calibri"/>
          <w:sz w:val="20"/>
          <w:vertAlign w:val="baseline"/>
        </w:rPr>
        <w:t>P.</w:t>
      </w:r>
      <w:r>
        <w:rPr>
          <w:rFonts w:ascii="Calibri"/>
          <w:spacing w:val="40"/>
          <w:sz w:val="20"/>
          <w:vertAlign w:val="baseline"/>
        </w:rPr>
        <w:t> </w:t>
      </w:r>
      <w:r>
        <w:rPr>
          <w:rFonts w:ascii="Calibri"/>
          <w:sz w:val="20"/>
          <w:vertAlign w:val="baseline"/>
        </w:rPr>
        <w:t>(2010).</w:t>
      </w:r>
      <w:r>
        <w:rPr>
          <w:rFonts w:ascii="Calibri"/>
          <w:spacing w:val="40"/>
          <w:sz w:val="20"/>
          <w:vertAlign w:val="baseline"/>
        </w:rPr>
        <w:t> </w:t>
      </w:r>
      <w:r>
        <w:rPr>
          <w:rFonts w:ascii="Calibri"/>
          <w:i/>
          <w:sz w:val="20"/>
          <w:vertAlign w:val="baseline"/>
        </w:rPr>
        <w:t>Enlightened</w:t>
      </w:r>
      <w:r>
        <w:rPr>
          <w:rFonts w:ascii="Calibri"/>
          <w:i/>
          <w:spacing w:val="40"/>
          <w:sz w:val="20"/>
          <w:vertAlign w:val="baseline"/>
        </w:rPr>
        <w:t> </w:t>
      </w:r>
      <w:r>
        <w:rPr>
          <w:rFonts w:ascii="Calibri"/>
          <w:i/>
          <w:sz w:val="20"/>
          <w:vertAlign w:val="baseline"/>
        </w:rPr>
        <w:t>Shareholder</w:t>
      </w:r>
      <w:r>
        <w:rPr>
          <w:rFonts w:ascii="Calibri"/>
          <w:i/>
          <w:spacing w:val="40"/>
          <w:sz w:val="20"/>
          <w:vertAlign w:val="baseline"/>
        </w:rPr>
        <w:t> </w:t>
      </w:r>
      <w:r>
        <w:rPr>
          <w:rFonts w:ascii="Calibri"/>
          <w:i/>
          <w:sz w:val="20"/>
          <w:vertAlign w:val="baseline"/>
        </w:rPr>
        <w:t>Value</w:t>
      </w:r>
      <w:r>
        <w:rPr>
          <w:rFonts w:ascii="Calibri"/>
          <w:i/>
          <w:spacing w:val="40"/>
          <w:sz w:val="20"/>
          <w:vertAlign w:val="baseline"/>
        </w:rPr>
        <w:t> </w:t>
      </w:r>
      <w:r>
        <w:rPr>
          <w:rFonts w:ascii="Calibri"/>
          <w:i/>
          <w:sz w:val="20"/>
          <w:vertAlign w:val="baseline"/>
        </w:rPr>
        <w:t>and</w:t>
      </w:r>
      <w:r>
        <w:rPr>
          <w:rFonts w:ascii="Calibri"/>
          <w:i/>
          <w:spacing w:val="40"/>
          <w:sz w:val="20"/>
          <w:vertAlign w:val="baseline"/>
        </w:rPr>
        <w:t> </w:t>
      </w:r>
      <w:r>
        <w:rPr>
          <w:rFonts w:ascii="Calibri"/>
          <w:i/>
          <w:sz w:val="20"/>
          <w:vertAlign w:val="baseline"/>
        </w:rPr>
        <w:t>the</w:t>
      </w:r>
      <w:r>
        <w:rPr>
          <w:rFonts w:ascii="Calibri"/>
          <w:i/>
          <w:spacing w:val="40"/>
          <w:sz w:val="20"/>
          <w:vertAlign w:val="baseline"/>
        </w:rPr>
        <w:t> </w:t>
      </w:r>
      <w:r>
        <w:rPr>
          <w:rFonts w:ascii="Calibri"/>
          <w:i/>
          <w:sz w:val="20"/>
          <w:vertAlign w:val="baseline"/>
        </w:rPr>
        <w:t>Companies</w:t>
      </w:r>
      <w:r>
        <w:rPr>
          <w:rFonts w:ascii="Calibri"/>
          <w:i/>
          <w:spacing w:val="40"/>
          <w:sz w:val="20"/>
          <w:vertAlign w:val="baseline"/>
        </w:rPr>
        <w:t> </w:t>
      </w:r>
      <w:r>
        <w:rPr>
          <w:rFonts w:ascii="Calibri"/>
          <w:i/>
          <w:sz w:val="20"/>
          <w:vertAlign w:val="baseline"/>
        </w:rPr>
        <w:t>Act</w:t>
      </w:r>
      <w:r>
        <w:rPr>
          <w:rFonts w:ascii="Calibri"/>
          <w:i/>
          <w:spacing w:val="40"/>
          <w:sz w:val="20"/>
          <w:vertAlign w:val="baseline"/>
        </w:rPr>
        <w:t> </w:t>
      </w:r>
      <w:r>
        <w:rPr>
          <w:rFonts w:ascii="Calibri"/>
          <w:i/>
          <w:sz w:val="20"/>
          <w:vertAlign w:val="baseline"/>
        </w:rPr>
        <w:t>2006.</w:t>
      </w:r>
      <w:r>
        <w:rPr>
          <w:rFonts w:ascii="Calibri"/>
          <w:sz w:val="20"/>
          <w:vertAlign w:val="baseline"/>
        </w:rPr>
        <w:t>(Unpublished doctoral dissertation).Birbeck College, University of London, England, p. 162.</w:t>
      </w:r>
      <w:r>
        <w:rPr>
          <w:rFonts w:ascii="Calibri"/>
          <w:spacing w:val="28"/>
          <w:sz w:val="20"/>
          <w:vertAlign w:val="baseline"/>
        </w:rPr>
        <w:t> </w:t>
      </w:r>
      <w:r>
        <w:rPr>
          <w:rFonts w:ascii="Calibri"/>
          <w:sz w:val="20"/>
          <w:vertAlign w:val="baseline"/>
        </w:rPr>
        <w:t>Retrieved May 24, 2014, from </w:t>
      </w:r>
      <w:hyperlink r:id="rId18">
        <w:r>
          <w:rPr>
            <w:rFonts w:ascii="Calibri"/>
            <w:color w:val="0000FF"/>
            <w:sz w:val="20"/>
            <w:u w:val="single" w:color="0000FF"/>
            <w:vertAlign w:val="baseline"/>
          </w:rPr>
          <w:t>http://www.lccge.bbk.ac.uk/publications-and-resources/docs/PhDThesisPNTaylorJune2010.pdf</w:t>
        </w:r>
      </w:hyperlink>
      <w:r>
        <w:rPr>
          <w:rFonts w:ascii="Tahoma"/>
          <w:sz w:val="20"/>
          <w:vertAlign w:val="baseline"/>
        </w:rPr>
        <w:t>. </w:t>
      </w:r>
      <w:r>
        <w:rPr>
          <w:rFonts w:ascii="Calibri"/>
          <w:sz w:val="20"/>
          <w:vertAlign w:val="superscript"/>
        </w:rPr>
        <w:t>47</w:t>
      </w:r>
      <w:r>
        <w:rPr>
          <w:rFonts w:ascii="Calibri"/>
          <w:sz w:val="20"/>
          <w:vertAlign w:val="baseline"/>
        </w:rPr>
        <w:t>Wild, C. and Weinstein, S.op.cit., at p.331-332.</w:t>
      </w:r>
    </w:p>
    <w:p>
      <w:pPr>
        <w:spacing w:line="242" w:lineRule="exact" w:before="0"/>
        <w:ind w:left="308" w:right="0" w:firstLine="0"/>
        <w:jc w:val="left"/>
        <w:rPr>
          <w:rFonts w:ascii="Calibri"/>
          <w:sz w:val="20"/>
        </w:rPr>
      </w:pPr>
      <w:r>
        <w:rPr>
          <w:rFonts w:ascii="Calibri"/>
          <w:sz w:val="20"/>
          <w:vertAlign w:val="superscript"/>
        </w:rPr>
        <w:t>48</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pacing w:val="-2"/>
          <w:sz w:val="20"/>
          <w:vertAlign w:val="baseline"/>
        </w:rPr>
        <w:t>p.332.</w:t>
      </w:r>
    </w:p>
    <w:p>
      <w:pPr>
        <w:spacing w:before="1"/>
        <w:ind w:left="308" w:right="0" w:firstLine="0"/>
        <w:jc w:val="left"/>
        <w:rPr>
          <w:rFonts w:ascii="Calibri" w:hAnsi="Calibri"/>
          <w:sz w:val="20"/>
        </w:rPr>
      </w:pPr>
      <w:r>
        <w:rPr>
          <w:rFonts w:ascii="Calibri" w:hAnsi="Calibri"/>
          <w:sz w:val="20"/>
          <w:vertAlign w:val="superscript"/>
        </w:rPr>
        <w:t>49</w:t>
      </w:r>
      <w:r>
        <w:rPr>
          <w:rFonts w:ascii="Calibri" w:hAnsi="Calibri"/>
          <w:sz w:val="20"/>
          <w:vertAlign w:val="baseline"/>
        </w:rPr>
        <w:t> Sealy, L. and Worthington, S. (2010). </w:t>
      </w:r>
      <w:r>
        <w:rPr>
          <w:rFonts w:ascii="Calibri" w:hAnsi="Calibri"/>
          <w:i/>
          <w:sz w:val="20"/>
          <w:vertAlign w:val="baseline"/>
        </w:rPr>
        <w:t>Sealy’s Cases and Materials in Company Law</w:t>
      </w:r>
      <w:r>
        <w:rPr>
          <w:rFonts w:ascii="Calibri" w:hAnsi="Calibri"/>
          <w:sz w:val="20"/>
          <w:vertAlign w:val="baseline"/>
        </w:rPr>
        <w:t>.9</w:t>
      </w:r>
      <w:r>
        <w:rPr>
          <w:rFonts w:ascii="Calibri" w:hAnsi="Calibri"/>
          <w:sz w:val="20"/>
          <w:vertAlign w:val="superscript"/>
        </w:rPr>
        <w:t>th</w:t>
      </w:r>
      <w:r>
        <w:rPr>
          <w:rFonts w:ascii="Calibri" w:hAnsi="Calibri"/>
          <w:sz w:val="20"/>
          <w:vertAlign w:val="baseline"/>
        </w:rPr>
        <w:t> edition, Oxford University Press, New York, p.320.</w:t>
      </w:r>
    </w:p>
    <w:p>
      <w:pPr>
        <w:spacing w:before="1"/>
        <w:ind w:left="308" w:right="0" w:firstLine="0"/>
        <w:jc w:val="left"/>
        <w:rPr>
          <w:rFonts w:ascii="Calibri"/>
          <w:sz w:val="20"/>
        </w:rPr>
      </w:pPr>
      <w:r>
        <w:rPr>
          <w:rFonts w:ascii="Calibri"/>
          <w:sz w:val="20"/>
          <w:vertAlign w:val="superscript"/>
        </w:rPr>
        <w:t>50</w:t>
      </w:r>
      <w:r>
        <w:rPr>
          <w:rFonts w:ascii="Calibri"/>
          <w:sz w:val="20"/>
          <w:vertAlign w:val="baseline"/>
        </w:rPr>
        <w:t> See</w:t>
      </w:r>
      <w:r>
        <w:rPr>
          <w:rFonts w:ascii="Calibri"/>
          <w:spacing w:val="-5"/>
          <w:sz w:val="20"/>
          <w:vertAlign w:val="baseline"/>
        </w:rPr>
        <w:t> </w:t>
      </w:r>
      <w:r>
        <w:rPr>
          <w:rFonts w:ascii="Calibri"/>
          <w:sz w:val="20"/>
          <w:vertAlign w:val="baseline"/>
        </w:rPr>
        <w:t>Hollington</w:t>
      </w:r>
      <w:r>
        <w:rPr>
          <w:rFonts w:ascii="Calibri"/>
          <w:spacing w:val="-5"/>
          <w:sz w:val="20"/>
          <w:vertAlign w:val="baseline"/>
        </w:rPr>
        <w:t> </w:t>
      </w:r>
      <w:r>
        <w:rPr>
          <w:rFonts w:ascii="Calibri"/>
          <w:sz w:val="20"/>
          <w:vertAlign w:val="baseline"/>
        </w:rPr>
        <w:t>R.Op.cit.</w:t>
      </w:r>
      <w:r>
        <w:rPr>
          <w:rFonts w:ascii="Calibri"/>
          <w:spacing w:val="-4"/>
          <w:sz w:val="20"/>
          <w:vertAlign w:val="baseline"/>
        </w:rPr>
        <w:t> </w:t>
      </w:r>
      <w:r>
        <w:rPr>
          <w:rFonts w:ascii="Calibri"/>
          <w:sz w:val="20"/>
          <w:vertAlign w:val="baseline"/>
        </w:rPr>
        <w:t>at</w:t>
      </w:r>
      <w:r>
        <w:rPr>
          <w:rFonts w:ascii="Calibri"/>
          <w:spacing w:val="-6"/>
          <w:sz w:val="20"/>
          <w:vertAlign w:val="baseline"/>
        </w:rPr>
        <w:t> </w:t>
      </w:r>
      <w:r>
        <w:rPr>
          <w:rFonts w:ascii="Calibri"/>
          <w:sz w:val="20"/>
          <w:vertAlign w:val="baseline"/>
        </w:rPr>
        <w:t>pp.</w:t>
      </w:r>
      <w:r>
        <w:rPr>
          <w:rFonts w:ascii="Calibri"/>
          <w:spacing w:val="-4"/>
          <w:sz w:val="20"/>
          <w:vertAlign w:val="baseline"/>
        </w:rPr>
        <w:t> </w:t>
      </w:r>
      <w:r>
        <w:rPr>
          <w:rFonts w:ascii="Calibri"/>
          <w:sz w:val="20"/>
          <w:vertAlign w:val="baseline"/>
        </w:rPr>
        <w:t>4</w:t>
      </w:r>
      <w:r>
        <w:rPr>
          <w:rFonts w:ascii="Calibri"/>
          <w:spacing w:val="-7"/>
          <w:sz w:val="20"/>
          <w:vertAlign w:val="baseline"/>
        </w:rPr>
        <w:t> </w:t>
      </w:r>
      <w:r>
        <w:rPr>
          <w:rFonts w:ascii="Calibri"/>
          <w:sz w:val="20"/>
          <w:vertAlign w:val="baseline"/>
        </w:rPr>
        <w:t>and</w:t>
      </w:r>
      <w:r>
        <w:rPr>
          <w:rFonts w:ascii="Calibri"/>
          <w:spacing w:val="-1"/>
          <w:sz w:val="20"/>
          <w:vertAlign w:val="baseline"/>
        </w:rPr>
        <w:t> </w:t>
      </w:r>
      <w:r>
        <w:rPr>
          <w:rFonts w:ascii="Calibri"/>
          <w:spacing w:val="-5"/>
          <w:sz w:val="20"/>
          <w:vertAlign w:val="baseline"/>
        </w:rPr>
        <w:t>7.</w:t>
      </w:r>
    </w:p>
    <w:p>
      <w:pPr>
        <w:spacing w:before="1"/>
        <w:ind w:left="308" w:right="0" w:firstLine="0"/>
        <w:jc w:val="left"/>
        <w:rPr>
          <w:rFonts w:ascii="Calibri"/>
          <w:sz w:val="20"/>
        </w:rPr>
      </w:pPr>
      <w:r>
        <w:rPr>
          <w:rFonts w:ascii="Calibri"/>
          <w:sz w:val="20"/>
          <w:vertAlign w:val="superscript"/>
        </w:rPr>
        <w:t>51</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4"/>
          <w:sz w:val="20"/>
          <w:vertAlign w:val="baseline"/>
        </w:rPr>
        <w:t>p.1.</w:t>
      </w:r>
    </w:p>
    <w:p>
      <w:pPr>
        <w:spacing w:before="1"/>
        <w:ind w:left="308" w:right="0" w:firstLine="0"/>
        <w:jc w:val="left"/>
        <w:rPr>
          <w:rFonts w:ascii="Calibri"/>
          <w:sz w:val="20"/>
        </w:rPr>
      </w:pPr>
      <w:r>
        <w:rPr>
          <w:rFonts w:ascii="Calibri"/>
          <w:sz w:val="20"/>
          <w:vertAlign w:val="superscript"/>
        </w:rPr>
        <w:t>52</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4"/>
          <w:sz w:val="20"/>
          <w:vertAlign w:val="baseline"/>
        </w:rPr>
        <w:t>p.7.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0"/>
        <w:jc w:val="both"/>
      </w:pPr>
      <w:r>
        <w:rPr/>
        <w:t>with benefits for the rest of society, in addition to leading to a much greater consciousness on</w:t>
      </w:r>
      <w:r>
        <w:rPr>
          <w:spacing w:val="-3"/>
        </w:rPr>
        <w:t> </w:t>
      </w:r>
      <w:r>
        <w:rPr/>
        <w:t>the part of</w:t>
      </w:r>
      <w:r>
        <w:rPr>
          <w:spacing w:val="-6"/>
        </w:rPr>
        <w:t> </w:t>
      </w:r>
      <w:r>
        <w:rPr/>
        <w:t>companies of</w:t>
      </w:r>
      <w:r>
        <w:rPr>
          <w:spacing w:val="-6"/>
        </w:rPr>
        <w:t> </w:t>
      </w:r>
      <w:r>
        <w:rPr/>
        <w:t>the debt they</w:t>
      </w:r>
      <w:r>
        <w:rPr>
          <w:spacing w:val="-3"/>
        </w:rPr>
        <w:t> </w:t>
      </w:r>
      <w:r>
        <w:rPr/>
        <w:t>owed to the other groups which contributed to their success, in</w:t>
      </w:r>
      <w:r>
        <w:rPr>
          <w:spacing w:val="-1"/>
        </w:rPr>
        <w:t> </w:t>
      </w:r>
      <w:r>
        <w:rPr/>
        <w:t>particular employees and the communities in which</w:t>
      </w:r>
      <w:r>
        <w:rPr>
          <w:spacing w:val="-1"/>
        </w:rPr>
        <w:t> </w:t>
      </w:r>
      <w:r>
        <w:rPr/>
        <w:t>they operated.</w:t>
      </w:r>
      <w:r>
        <w:rPr>
          <w:vertAlign w:val="superscript"/>
        </w:rPr>
        <w:t>53</w:t>
      </w:r>
      <w:r>
        <w:rPr>
          <w:vertAlign w:val="baseline"/>
        </w:rPr>
        <w:t>Clark and Knight</w:t>
      </w:r>
      <w:r>
        <w:rPr>
          <w:vertAlign w:val="superscript"/>
        </w:rPr>
        <w:t>54</w:t>
      </w:r>
      <w:r>
        <w:rPr>
          <w:vertAlign w:val="baseline"/>
        </w:rPr>
        <w:t>also commended the provisions in s.172 at least in terms of</w:t>
      </w:r>
      <w:r>
        <w:rPr>
          <w:spacing w:val="-7"/>
          <w:vertAlign w:val="baseline"/>
        </w:rPr>
        <w:t> </w:t>
      </w:r>
      <w:r>
        <w:rPr>
          <w:vertAlign w:val="baseline"/>
        </w:rPr>
        <w:t>giving legitimate voice to social and environmental</w:t>
      </w:r>
      <w:r>
        <w:rPr>
          <w:spacing w:val="-4"/>
          <w:vertAlign w:val="baseline"/>
        </w:rPr>
        <w:t> </w:t>
      </w:r>
      <w:r>
        <w:rPr>
          <w:vertAlign w:val="baseline"/>
        </w:rPr>
        <w:t>issues</w:t>
      </w:r>
      <w:r>
        <w:rPr>
          <w:spacing w:val="-1"/>
          <w:vertAlign w:val="baseline"/>
        </w:rPr>
        <w:t> </w:t>
      </w:r>
      <w:r>
        <w:rPr>
          <w:vertAlign w:val="baseline"/>
        </w:rPr>
        <w:t>and its ability</w:t>
      </w:r>
      <w:r>
        <w:rPr>
          <w:spacing w:val="-4"/>
          <w:vertAlign w:val="baseline"/>
        </w:rPr>
        <w:t> </w:t>
      </w:r>
      <w:r>
        <w:rPr>
          <w:vertAlign w:val="baseline"/>
        </w:rPr>
        <w:t>to positively affect corporate social and environmental responsibility. The various differing views regarding this foremost fiduciary duty of directors clearly require closer consideration further in this work.</w:t>
      </w:r>
    </w:p>
    <w:p>
      <w:pPr>
        <w:pStyle w:val="BodyText"/>
        <w:spacing w:line="480" w:lineRule="auto" w:before="2"/>
        <w:ind w:right="228" w:firstLine="720"/>
        <w:jc w:val="both"/>
      </w:pPr>
      <w:r>
        <w:rPr/>
        <w:t>Regarding conflicts of interests, Hudson</w:t>
      </w:r>
      <w:r>
        <w:rPr>
          <w:vertAlign w:val="superscript"/>
        </w:rPr>
        <w:t>55</w:t>
      </w:r>
      <w:r>
        <w:rPr>
          <w:vertAlign w:val="baseline"/>
        </w:rPr>
        <w:t> opined that the principal effect of the statutory code was to provide directors with clear instructions as to how they could avoid their duties, so that under s.175, for example, directors could give one another authorization to take profits from their fiduciary duties. This, the author considered as having the potential to reduce the strictness of the fiduciary duty.</w:t>
      </w:r>
      <w:r>
        <w:rPr>
          <w:vertAlign w:val="superscript"/>
        </w:rPr>
        <w:t>56</w:t>
      </w:r>
      <w:r>
        <w:rPr>
          <w:vertAlign w:val="baseline"/>
        </w:rPr>
        <w:t> As observed further in this work, this may not have been the intendment of Parliament, as the latter simply wanted to introduce and simplify authorization in order to remove the taint of prohibition. Importantly, the requirement for a disinterested board to give the authorization, is expected to improve transparency in corporate governance.</w:t>
      </w:r>
    </w:p>
    <w:p>
      <w:pPr>
        <w:pStyle w:val="BodyText"/>
        <w:spacing w:line="480" w:lineRule="auto" w:before="1"/>
        <w:ind w:right="229" w:firstLine="720"/>
        <w:jc w:val="both"/>
      </w:pPr>
      <w:r>
        <w:rPr/>
        <w:t>On the duties of care, skill and diligence, Arden commended the fact that s.174 CAreflected the law as developed by the courts over time, as it took account of the special background, qualifications and management responsibilities of a particular director,</w:t>
      </w:r>
      <w:r>
        <w:rPr>
          <w:spacing w:val="27"/>
        </w:rPr>
        <w:t> </w:t>
      </w:r>
      <w:r>
        <w:rPr/>
        <w:t>while</w:t>
      </w:r>
      <w:r>
        <w:rPr>
          <w:spacing w:val="35"/>
        </w:rPr>
        <w:t> </w:t>
      </w:r>
      <w:r>
        <w:rPr/>
        <w:t>not</w:t>
      </w:r>
      <w:r>
        <w:rPr>
          <w:spacing w:val="36"/>
        </w:rPr>
        <w:t> </w:t>
      </w:r>
      <w:r>
        <w:rPr/>
        <w:t>excusing</w:t>
      </w:r>
      <w:r>
        <w:rPr>
          <w:spacing w:val="31"/>
        </w:rPr>
        <w:t> </w:t>
      </w:r>
      <w:r>
        <w:rPr/>
        <w:t>a</w:t>
      </w:r>
      <w:r>
        <w:rPr>
          <w:spacing w:val="31"/>
        </w:rPr>
        <w:t> </w:t>
      </w:r>
      <w:r>
        <w:rPr/>
        <w:t>director</w:t>
      </w:r>
      <w:r>
        <w:rPr>
          <w:spacing w:val="28"/>
        </w:rPr>
        <w:t> </w:t>
      </w:r>
      <w:r>
        <w:rPr/>
        <w:t>who</w:t>
      </w:r>
      <w:r>
        <w:rPr>
          <w:spacing w:val="36"/>
        </w:rPr>
        <w:t> </w:t>
      </w:r>
      <w:r>
        <w:rPr/>
        <w:t>lacked</w:t>
      </w:r>
      <w:r>
        <w:rPr>
          <w:spacing w:val="37"/>
        </w:rPr>
        <w:t> </w:t>
      </w:r>
      <w:r>
        <w:rPr/>
        <w:t>the</w:t>
      </w:r>
      <w:r>
        <w:rPr>
          <w:spacing w:val="30"/>
        </w:rPr>
        <w:t> </w:t>
      </w:r>
      <w:r>
        <w:rPr/>
        <w:t>basic</w:t>
      </w:r>
      <w:r>
        <w:rPr>
          <w:spacing w:val="31"/>
        </w:rPr>
        <w:t> </w:t>
      </w:r>
      <w:r>
        <w:rPr/>
        <w:t>attributes</w:t>
      </w:r>
      <w:r>
        <w:rPr>
          <w:spacing w:val="32"/>
        </w:rPr>
        <w:t> </w:t>
      </w:r>
      <w:r>
        <w:rPr/>
        <w:t>that</w:t>
      </w:r>
      <w:r>
        <w:rPr>
          <w:spacing w:val="36"/>
        </w:rPr>
        <w:t> </w:t>
      </w:r>
      <w:r>
        <w:rPr/>
        <w:t>a</w:t>
      </w:r>
      <w:r>
        <w:rPr>
          <w:spacing w:val="27"/>
        </w:rPr>
        <w:t> </w:t>
      </w:r>
      <w:r>
        <w:rPr>
          <w:spacing w:val="-2"/>
        </w:rPr>
        <w:t>director</w:t>
      </w:r>
    </w:p>
    <w:p>
      <w:pPr>
        <w:pStyle w:val="BodyText"/>
        <w:spacing w:before="72"/>
        <w:ind w:left="0"/>
        <w:rPr>
          <w:sz w:val="20"/>
        </w:rPr>
      </w:pPr>
      <w:r>
        <w:rPr/>
        <mc:AlternateContent>
          <mc:Choice Requires="wps">
            <w:drawing>
              <wp:anchor distT="0" distB="0" distL="0" distR="0" allowOverlap="1" layoutInCell="1" locked="0" behindDoc="1" simplePos="0" relativeHeight="487618560">
                <wp:simplePos x="0" y="0"/>
                <wp:positionH relativeFrom="page">
                  <wp:posOffset>1262481</wp:posOffset>
                </wp:positionH>
                <wp:positionV relativeFrom="paragraph">
                  <wp:posOffset>207127</wp:posOffset>
                </wp:positionV>
                <wp:extent cx="1829435" cy="9525"/>
                <wp:effectExtent l="0" t="0" r="0" b="0"/>
                <wp:wrapTopAndBottom/>
                <wp:docPr id="63" name="Graphic 63"/>
                <wp:cNvGraphicFramePr>
                  <a:graphicFrameLocks/>
                </wp:cNvGraphicFramePr>
                <a:graphic>
                  <a:graphicData uri="http://schemas.microsoft.com/office/word/2010/wordprocessingShape">
                    <wps:wsp>
                      <wps:cNvPr id="63" name="Graphic 6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309248pt;width:144.050pt;height:.71997pt;mso-position-horizontal-relative:page;mso-position-vertical-relative:paragraph;z-index:-15697920;mso-wrap-distance-left:0;mso-wrap-distance-right:0" id="docshape18" filled="true" fillcolor="#000000" stroked="false">
                <v:fill type="solid"/>
                <w10:wrap type="topAndBottom"/>
              </v:rect>
            </w:pict>
          </mc:Fallback>
        </mc:AlternateContent>
      </w:r>
    </w:p>
    <w:p>
      <w:pPr>
        <w:spacing w:line="242" w:lineRule="exact" w:before="102"/>
        <w:ind w:left="308" w:right="0" w:firstLine="0"/>
        <w:jc w:val="both"/>
        <w:rPr>
          <w:rFonts w:ascii="Calibri"/>
          <w:sz w:val="20"/>
        </w:rPr>
      </w:pPr>
      <w:r>
        <w:rPr>
          <w:rFonts w:ascii="Calibri"/>
          <w:sz w:val="20"/>
          <w:vertAlign w:val="superscript"/>
        </w:rPr>
        <w:t>53</w:t>
      </w:r>
      <w:r>
        <w:rPr>
          <w:rFonts w:ascii="Calibri"/>
          <w:spacing w:val="1"/>
          <w:sz w:val="20"/>
          <w:vertAlign w:val="baseline"/>
        </w:rPr>
        <w:t> </w:t>
      </w:r>
      <w:r>
        <w:rPr>
          <w:rFonts w:ascii="Calibri"/>
          <w:sz w:val="20"/>
          <w:vertAlign w:val="baseline"/>
        </w:rPr>
        <w:t>Arden,</w:t>
      </w:r>
      <w:r>
        <w:rPr>
          <w:rFonts w:ascii="Calibri"/>
          <w:spacing w:val="-8"/>
          <w:sz w:val="20"/>
          <w:vertAlign w:val="baseline"/>
        </w:rPr>
        <w:t> </w:t>
      </w:r>
      <w:r>
        <w:rPr>
          <w:rFonts w:ascii="Calibri"/>
          <w:sz w:val="20"/>
          <w:vertAlign w:val="baseline"/>
        </w:rPr>
        <w:t>D.B.E.</w:t>
      </w:r>
      <w:r>
        <w:rPr>
          <w:rFonts w:ascii="Calibri"/>
          <w:spacing w:val="-4"/>
          <w:sz w:val="20"/>
          <w:vertAlign w:val="baseline"/>
        </w:rPr>
        <w:t> </w:t>
      </w:r>
      <w:r>
        <w:rPr>
          <w:rFonts w:ascii="Calibri"/>
          <w:sz w:val="20"/>
          <w:vertAlign w:val="baseline"/>
        </w:rPr>
        <w:t>Op.cit.</w:t>
      </w:r>
      <w:r>
        <w:rPr>
          <w:rFonts w:ascii="Calibri"/>
          <w:spacing w:val="-3"/>
          <w:sz w:val="20"/>
          <w:vertAlign w:val="baseline"/>
        </w:rPr>
        <w:t> </w:t>
      </w:r>
      <w:r>
        <w:rPr>
          <w:rFonts w:ascii="Calibri"/>
          <w:sz w:val="20"/>
          <w:vertAlign w:val="baseline"/>
        </w:rPr>
        <w:t>at</w:t>
      </w:r>
      <w:r>
        <w:rPr>
          <w:rFonts w:ascii="Calibri"/>
          <w:spacing w:val="-7"/>
          <w:sz w:val="20"/>
          <w:vertAlign w:val="baseline"/>
        </w:rPr>
        <w:t> </w:t>
      </w:r>
      <w:r>
        <w:rPr>
          <w:rFonts w:ascii="Calibri"/>
          <w:spacing w:val="-4"/>
          <w:sz w:val="20"/>
          <w:vertAlign w:val="baseline"/>
        </w:rPr>
        <w:t>173.</w:t>
      </w:r>
    </w:p>
    <w:p>
      <w:pPr>
        <w:spacing w:line="242" w:lineRule="exact" w:before="0"/>
        <w:ind w:left="308" w:right="0" w:firstLine="0"/>
        <w:jc w:val="both"/>
        <w:rPr>
          <w:rFonts w:ascii="Calibri"/>
          <w:sz w:val="20"/>
        </w:rPr>
      </w:pPr>
      <w:r>
        <w:rPr>
          <w:rFonts w:ascii="Calibri"/>
          <w:sz w:val="20"/>
          <w:vertAlign w:val="superscript"/>
        </w:rPr>
        <w:t>54</w:t>
      </w:r>
      <w:r>
        <w:rPr>
          <w:rFonts w:ascii="Calibri"/>
          <w:sz w:val="20"/>
          <w:vertAlign w:val="baseline"/>
        </w:rPr>
        <w:t>Clark,</w:t>
      </w:r>
      <w:r>
        <w:rPr>
          <w:rFonts w:ascii="Calibri"/>
          <w:spacing w:val="-8"/>
          <w:sz w:val="20"/>
          <w:vertAlign w:val="baseline"/>
        </w:rPr>
        <w:t> </w:t>
      </w:r>
      <w:r>
        <w:rPr>
          <w:rFonts w:ascii="Calibri"/>
          <w:sz w:val="20"/>
          <w:vertAlign w:val="baseline"/>
        </w:rPr>
        <w:t>G.L.</w:t>
      </w:r>
      <w:r>
        <w:rPr>
          <w:rFonts w:ascii="Calibri"/>
          <w:spacing w:val="-3"/>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Knight,</w:t>
      </w:r>
      <w:r>
        <w:rPr>
          <w:rFonts w:ascii="Calibri"/>
          <w:spacing w:val="-7"/>
          <w:sz w:val="20"/>
          <w:vertAlign w:val="baseline"/>
        </w:rPr>
        <w:t> </w:t>
      </w:r>
      <w:r>
        <w:rPr>
          <w:rFonts w:ascii="Calibri"/>
          <w:sz w:val="20"/>
          <w:vertAlign w:val="baseline"/>
        </w:rPr>
        <w:t>E.R.</w:t>
      </w:r>
      <w:r>
        <w:rPr>
          <w:rFonts w:ascii="Calibri"/>
          <w:spacing w:val="-4"/>
          <w:sz w:val="20"/>
          <w:vertAlign w:val="baseline"/>
        </w:rPr>
        <w:t> </w:t>
      </w:r>
      <w:r>
        <w:rPr>
          <w:rFonts w:ascii="Calibri"/>
          <w:sz w:val="20"/>
          <w:vertAlign w:val="baseline"/>
        </w:rPr>
        <w:t>op.cit.,</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z w:val="20"/>
          <w:vertAlign w:val="baseline"/>
        </w:rPr>
        <w:t>p.</w:t>
      </w:r>
      <w:r>
        <w:rPr>
          <w:rFonts w:ascii="Calibri"/>
          <w:spacing w:val="-4"/>
          <w:sz w:val="20"/>
          <w:vertAlign w:val="baseline"/>
        </w:rPr>
        <w:t> 295.</w:t>
      </w:r>
    </w:p>
    <w:p>
      <w:pPr>
        <w:spacing w:line="242" w:lineRule="auto" w:before="20"/>
        <w:ind w:left="308" w:right="226" w:firstLine="0"/>
        <w:jc w:val="both"/>
        <w:rPr>
          <w:rFonts w:ascii="Calibri" w:hAnsi="Calibri"/>
          <w:sz w:val="20"/>
        </w:rPr>
      </w:pPr>
      <w:r>
        <w:rPr>
          <w:rFonts w:ascii="Calibri" w:hAnsi="Calibri"/>
          <w:sz w:val="20"/>
          <w:vertAlign w:val="superscript"/>
        </w:rPr>
        <w:t>55</w:t>
      </w:r>
      <w:r>
        <w:rPr>
          <w:rFonts w:ascii="Calibri" w:hAnsi="Calibri"/>
          <w:sz w:val="20"/>
          <w:vertAlign w:val="baseline"/>
        </w:rPr>
        <w:t>Hudson, A. (2009). </w:t>
      </w:r>
      <w:r>
        <w:rPr>
          <w:rFonts w:ascii="Calibri" w:hAnsi="Calibri"/>
          <w:i/>
          <w:sz w:val="20"/>
          <w:vertAlign w:val="baseline"/>
        </w:rPr>
        <w:t>Equity &amp; Trusts.</w:t>
      </w:r>
      <w:r>
        <w:rPr>
          <w:rFonts w:ascii="Calibri" w:hAnsi="Calibri"/>
          <w:sz w:val="20"/>
          <w:vertAlign w:val="baseline"/>
        </w:rPr>
        <w:t>6</w:t>
      </w:r>
      <w:r>
        <w:rPr>
          <w:rFonts w:ascii="Calibri" w:hAnsi="Calibri"/>
          <w:sz w:val="20"/>
          <w:vertAlign w:val="superscript"/>
        </w:rPr>
        <w:t>th</w:t>
      </w:r>
      <w:r>
        <w:rPr>
          <w:rFonts w:ascii="Calibri" w:hAnsi="Calibri"/>
          <w:sz w:val="20"/>
          <w:vertAlign w:val="baseline"/>
        </w:rPr>
        <w:t> edition, Routledge-Cavendish, section 12.5. Cited in Hudson, A. </w:t>
      </w:r>
      <w:r>
        <w:rPr>
          <w:rFonts w:ascii="Calibri" w:hAnsi="Calibri"/>
          <w:i/>
          <w:sz w:val="20"/>
          <w:vertAlign w:val="baseline"/>
        </w:rPr>
        <w:t>Directors’ Duties</w:t>
      </w:r>
      <w:r>
        <w:rPr>
          <w:rFonts w:ascii="Calibri" w:hAnsi="Calibri"/>
          <w:sz w:val="20"/>
          <w:vertAlign w:val="baseline"/>
        </w:rPr>
        <w:t>. Being an early draft of a part of the author’s contribution to Girvin, S., Hudson, A. and Frisby, S. (2010). </w:t>
      </w:r>
      <w:r>
        <w:rPr>
          <w:rFonts w:ascii="Calibri" w:hAnsi="Calibri"/>
          <w:sz w:val="20"/>
          <w:u w:val="single"/>
          <w:vertAlign w:val="baseline"/>
        </w:rPr>
        <w:t>Charlesworth’s Company Law</w:t>
      </w:r>
      <w:r>
        <w:rPr>
          <w:rFonts w:ascii="Calibri" w:hAnsi="Calibri"/>
          <w:sz w:val="20"/>
          <w:vertAlign w:val="baseline"/>
        </w:rPr>
        <w:t>, 18</w:t>
      </w:r>
      <w:r>
        <w:rPr>
          <w:rFonts w:ascii="Calibri" w:hAnsi="Calibri"/>
          <w:sz w:val="20"/>
          <w:vertAlign w:val="superscript"/>
        </w:rPr>
        <w:t>th</w:t>
      </w:r>
      <w:r>
        <w:rPr>
          <w:rFonts w:ascii="Calibri" w:hAnsi="Calibri"/>
          <w:sz w:val="20"/>
          <w:vertAlign w:val="baseline"/>
        </w:rPr>
        <w:t> edition, Sweet and Maxwell.Retrieved December</w:t>
      </w:r>
      <w:r>
        <w:rPr>
          <w:rFonts w:ascii="Calibri" w:hAnsi="Calibri"/>
          <w:spacing w:val="80"/>
          <w:sz w:val="20"/>
          <w:vertAlign w:val="baseline"/>
        </w:rPr>
        <w:t> </w:t>
      </w:r>
      <w:r>
        <w:rPr>
          <w:rFonts w:ascii="Calibri" w:hAnsi="Calibri"/>
          <w:sz w:val="20"/>
          <w:vertAlign w:val="baseline"/>
        </w:rPr>
        <w:t>26,</w:t>
      </w:r>
      <w:r>
        <w:rPr>
          <w:rFonts w:ascii="Calibri" w:hAnsi="Calibri"/>
          <w:spacing w:val="80"/>
          <w:w w:val="150"/>
          <w:sz w:val="20"/>
          <w:vertAlign w:val="baseline"/>
        </w:rPr>
        <w:t> </w:t>
      </w:r>
      <w:r>
        <w:rPr>
          <w:rFonts w:ascii="Calibri" w:hAnsi="Calibri"/>
          <w:sz w:val="20"/>
          <w:vertAlign w:val="baseline"/>
        </w:rPr>
        <w:t>2013,</w:t>
      </w:r>
      <w:r>
        <w:rPr>
          <w:rFonts w:ascii="Calibri" w:hAnsi="Calibri"/>
          <w:spacing w:val="80"/>
          <w:w w:val="150"/>
          <w:sz w:val="20"/>
          <w:vertAlign w:val="baseline"/>
        </w:rPr>
        <w:t> </w:t>
      </w:r>
      <w:r>
        <w:rPr>
          <w:rFonts w:ascii="Calibri" w:hAnsi="Calibri"/>
          <w:sz w:val="20"/>
          <w:vertAlign w:val="baseline"/>
        </w:rPr>
        <w:t>from</w:t>
      </w:r>
      <w:r>
        <w:rPr>
          <w:rFonts w:ascii="Calibri" w:hAnsi="Calibri"/>
          <w:spacing w:val="80"/>
          <w:w w:val="150"/>
          <w:sz w:val="20"/>
          <w:vertAlign w:val="baseline"/>
        </w:rPr>
        <w:t> </w:t>
      </w:r>
      <w:hyperlink r:id="rId19">
        <w:r>
          <w:rPr>
            <w:rFonts w:ascii="Calibri" w:hAnsi="Calibri"/>
            <w:color w:val="0000FF"/>
            <w:sz w:val="20"/>
            <w:u w:val="single" w:color="0000FF"/>
            <w:vertAlign w:val="baseline"/>
          </w:rPr>
          <w:t>http://www.alastairhudson.com/companylaw/07%20-%20Directors%20duties%20-</w:t>
        </w:r>
      </w:hyperlink>
    </w:p>
    <w:p>
      <w:pPr>
        <w:spacing w:line="242" w:lineRule="exact" w:before="0"/>
        <w:ind w:left="308" w:right="0" w:firstLine="0"/>
        <w:jc w:val="left"/>
        <w:rPr>
          <w:rFonts w:ascii="Calibri"/>
          <w:sz w:val="20"/>
        </w:rPr>
      </w:pPr>
      <w:hyperlink r:id="rId19">
        <w:r>
          <w:rPr>
            <w:rFonts w:ascii="Calibri"/>
            <w:color w:val="0000FF"/>
            <w:spacing w:val="-2"/>
            <w:sz w:val="20"/>
            <w:u w:val="single" w:color="0000FF"/>
          </w:rPr>
          <w:t>%20early%20web%20draft.pdf</w:t>
        </w:r>
      </w:hyperlink>
      <w:r>
        <w:rPr>
          <w:rFonts w:ascii="Calibri"/>
          <w:spacing w:val="-2"/>
          <w:sz w:val="20"/>
        </w:rPr>
        <w:t>.</w:t>
      </w:r>
    </w:p>
    <w:p>
      <w:pPr>
        <w:spacing w:before="1"/>
        <w:ind w:left="308" w:right="0" w:firstLine="0"/>
        <w:jc w:val="both"/>
        <w:rPr>
          <w:rFonts w:ascii="Calibri"/>
          <w:sz w:val="20"/>
        </w:rPr>
      </w:pPr>
      <w:r>
        <w:rPr>
          <w:rFonts w:ascii="Calibri"/>
          <w:sz w:val="20"/>
          <w:vertAlign w:val="superscript"/>
        </w:rPr>
        <w:t>56</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4"/>
          <w:sz w:val="20"/>
          <w:vertAlign w:val="baseline"/>
        </w:rPr>
        <w:t>p.7.</w:t>
      </w:r>
    </w:p>
    <w:p>
      <w:pPr>
        <w:spacing w:after="0"/>
        <w:jc w:val="both"/>
        <w:rPr>
          <w:rFonts w:ascii="Calibri"/>
          <w:sz w:val="20"/>
        </w:rPr>
        <w:sectPr>
          <w:pgSz w:w="11910" w:h="16840"/>
          <w:pgMar w:header="0" w:footer="1003" w:top="1320" w:bottom="1200" w:left="1680" w:right="1180"/>
        </w:sectPr>
      </w:pPr>
    </w:p>
    <w:p>
      <w:pPr>
        <w:pStyle w:val="BodyText"/>
        <w:spacing w:line="480" w:lineRule="auto" w:before="110"/>
        <w:ind w:right="238"/>
        <w:jc w:val="both"/>
      </w:pPr>
      <w:r>
        <w:rPr/>
        <w:t>ought to have.</w:t>
      </w:r>
      <w:r>
        <w:rPr>
          <w:vertAlign w:val="superscript"/>
        </w:rPr>
        <w:t>57</w:t>
      </w:r>
      <w:r>
        <w:rPr>
          <w:vertAlign w:val="baseline"/>
        </w:rPr>
        <w:t> As noted later in this work, this view is increasingly becoming the modern trend, in spite of the fact that the company director is not required to have any particular qualification.</w:t>
      </w:r>
    </w:p>
    <w:p>
      <w:pPr>
        <w:pStyle w:val="BodyText"/>
        <w:spacing w:line="480" w:lineRule="auto"/>
        <w:ind w:right="224" w:firstLine="720"/>
        <w:jc w:val="both"/>
      </w:pPr>
      <w:r>
        <w:rPr/>
        <w:t>It is pertinent to note that none of the literatureconsidered even remotely attempted the task undertaken in this work, i.e. comparing the provisions on directors‘ duties in the two legislations under consideration. Thus, as far as is known, this work may very probably be the first of its kind.</w:t>
      </w:r>
    </w:p>
    <w:p>
      <w:pPr>
        <w:pStyle w:val="Heading2"/>
        <w:numPr>
          <w:ilvl w:val="1"/>
          <w:numId w:val="7"/>
        </w:numPr>
        <w:tabs>
          <w:tab w:pos="1027" w:val="left" w:leader="none"/>
        </w:tabs>
        <w:spacing w:line="240" w:lineRule="auto" w:before="207" w:after="0"/>
        <w:ind w:left="1027" w:right="0" w:hanging="719"/>
        <w:jc w:val="both"/>
      </w:pPr>
      <w:bookmarkStart w:name="_TOC_250045" w:id="7"/>
      <w:bookmarkEnd w:id="7"/>
      <w:r>
        <w:rPr>
          <w:spacing w:val="-2"/>
        </w:rPr>
        <w:t>Justification</w:t>
      </w:r>
    </w:p>
    <w:p>
      <w:pPr>
        <w:pStyle w:val="BodyText"/>
        <w:spacing w:line="480" w:lineRule="auto" w:before="133"/>
        <w:ind w:right="224"/>
        <w:jc w:val="both"/>
      </w:pPr>
      <w:r>
        <w:rPr/>
        <w:t>This research is justified by the concerns raised in the Statement of the Problem. The</w:t>
      </w:r>
      <w:r>
        <w:rPr>
          <w:spacing w:val="40"/>
        </w:rPr>
        <w:t> </w:t>
      </w:r>
      <w:r>
        <w:rPr/>
        <w:t>law on companies in Nigeria, the CAMA, is long overdue for reform. A comparison of this law with the CA, would provide an idea of the direction and extent of review necessary</w:t>
      </w:r>
      <w:r>
        <w:rPr>
          <w:spacing w:val="-2"/>
        </w:rPr>
        <w:t> </w:t>
      </w:r>
      <w:r>
        <w:rPr/>
        <w:t>in the area of</w:t>
      </w:r>
      <w:r>
        <w:rPr>
          <w:spacing w:val="-5"/>
        </w:rPr>
        <w:t> </w:t>
      </w:r>
      <w:r>
        <w:rPr/>
        <w:t>directors‘ general</w:t>
      </w:r>
      <w:r>
        <w:rPr>
          <w:spacing w:val="-2"/>
        </w:rPr>
        <w:t> </w:t>
      </w:r>
      <w:r>
        <w:rPr/>
        <w:t>duties of care and skill</w:t>
      </w:r>
      <w:r>
        <w:rPr>
          <w:spacing w:val="-2"/>
        </w:rPr>
        <w:t> </w:t>
      </w:r>
      <w:r>
        <w:rPr/>
        <w:t>and fiduciary</w:t>
      </w:r>
      <w:r>
        <w:rPr>
          <w:spacing w:val="-2"/>
        </w:rPr>
        <w:t> </w:t>
      </w:r>
      <w:r>
        <w:rPr/>
        <w:t>duties of loyalty and good faith. It is hoped that this would eventually be of immense benefit to investors, policy makers, other researchers and students. Most importantly, directors would gain enormously from a simpler re-statement of their duties, whose interpretationscurrently have to be extricated from a large corpus of case-law, most of which are from foreign jurisdictions.</w:t>
      </w:r>
    </w:p>
    <w:p>
      <w:pPr>
        <w:pStyle w:val="Heading2"/>
        <w:numPr>
          <w:ilvl w:val="1"/>
          <w:numId w:val="7"/>
        </w:numPr>
        <w:tabs>
          <w:tab w:pos="1027" w:val="left" w:leader="none"/>
        </w:tabs>
        <w:spacing w:line="240" w:lineRule="auto" w:before="208" w:after="0"/>
        <w:ind w:left="1027" w:right="0" w:hanging="719"/>
        <w:jc w:val="both"/>
      </w:pPr>
      <w:bookmarkStart w:name="_TOC_250044" w:id="8"/>
      <w:r>
        <w:rPr/>
        <w:t>Organizational</w:t>
      </w:r>
      <w:r>
        <w:rPr>
          <w:spacing w:val="-8"/>
        </w:rPr>
        <w:t> </w:t>
      </w:r>
      <w:bookmarkEnd w:id="8"/>
      <w:r>
        <w:rPr>
          <w:spacing w:val="-2"/>
        </w:rPr>
        <w:t>Layout</w:t>
      </w:r>
    </w:p>
    <w:p>
      <w:pPr>
        <w:pStyle w:val="BodyText"/>
        <w:spacing w:line="480" w:lineRule="auto" w:before="132"/>
        <w:ind w:right="229"/>
        <w:jc w:val="both"/>
      </w:pPr>
      <w:r>
        <w:rPr/>
        <w:t>This work is divided into six chapterswith</w:t>
      </w:r>
      <w:r>
        <w:rPr>
          <w:spacing w:val="-1"/>
        </w:rPr>
        <w:t> </w:t>
      </w:r>
      <w:r>
        <w:rPr/>
        <w:t>each chapter concentrating, in the main, on a particular aspect of the work. Chapter One introduces the topic of the research. It starts by setting the background for the thesis. Here, the origins of the legislations under review are considered. But more importantly, this chapter singles out the research problem; outlines the scope; sets out the aims and objectives; analyzes literature on the point;</w:t>
      </w:r>
      <w:r>
        <w:rPr>
          <w:spacing w:val="51"/>
        </w:rPr>
        <w:t> </w:t>
      </w:r>
      <w:r>
        <w:rPr/>
        <w:t>reveals</w:t>
      </w:r>
      <w:r>
        <w:rPr>
          <w:spacing w:val="55"/>
        </w:rPr>
        <w:t> </w:t>
      </w:r>
      <w:r>
        <w:rPr/>
        <w:t>the</w:t>
      </w:r>
      <w:r>
        <w:rPr>
          <w:spacing w:val="66"/>
        </w:rPr>
        <w:t> </w:t>
      </w:r>
      <w:r>
        <w:rPr/>
        <w:t>methodology;</w:t>
      </w:r>
      <w:r>
        <w:rPr>
          <w:spacing w:val="58"/>
        </w:rPr>
        <w:t> </w:t>
      </w:r>
      <w:r>
        <w:rPr/>
        <w:t>and</w:t>
      </w:r>
      <w:r>
        <w:rPr>
          <w:spacing w:val="57"/>
        </w:rPr>
        <w:t> </w:t>
      </w:r>
      <w:r>
        <w:rPr/>
        <w:t>attempts</w:t>
      </w:r>
      <w:r>
        <w:rPr>
          <w:spacing w:val="55"/>
        </w:rPr>
        <w:t> </w:t>
      </w:r>
      <w:r>
        <w:rPr/>
        <w:t>to</w:t>
      </w:r>
      <w:r>
        <w:rPr>
          <w:spacing w:val="62"/>
        </w:rPr>
        <w:t> </w:t>
      </w:r>
      <w:r>
        <w:rPr/>
        <w:t>justify</w:t>
      </w:r>
      <w:r>
        <w:rPr>
          <w:spacing w:val="52"/>
        </w:rPr>
        <w:t> </w:t>
      </w:r>
      <w:r>
        <w:rPr/>
        <w:t>the</w:t>
      </w:r>
      <w:r>
        <w:rPr>
          <w:spacing w:val="56"/>
        </w:rPr>
        <w:t> </w:t>
      </w:r>
      <w:r>
        <w:rPr/>
        <w:t>research.</w:t>
      </w:r>
      <w:r>
        <w:rPr>
          <w:spacing w:val="71"/>
        </w:rPr>
        <w:t> </w:t>
      </w:r>
      <w:r>
        <w:rPr/>
        <w:t>Chapter</w:t>
      </w:r>
      <w:r>
        <w:rPr>
          <w:spacing w:val="59"/>
        </w:rPr>
        <w:t> </w:t>
      </w:r>
      <w:r>
        <w:rPr>
          <w:spacing w:val="-5"/>
        </w:rPr>
        <w:t>Two</w:t>
      </w:r>
    </w:p>
    <w:p>
      <w:pPr>
        <w:pStyle w:val="BodyText"/>
        <w:spacing w:before="24"/>
        <w:ind w:left="0"/>
        <w:rPr>
          <w:sz w:val="20"/>
        </w:rPr>
      </w:pPr>
      <w:r>
        <w:rPr/>
        <mc:AlternateContent>
          <mc:Choice Requires="wps">
            <w:drawing>
              <wp:anchor distT="0" distB="0" distL="0" distR="0" allowOverlap="1" layoutInCell="1" locked="0" behindDoc="1" simplePos="0" relativeHeight="487619072">
                <wp:simplePos x="0" y="0"/>
                <wp:positionH relativeFrom="page">
                  <wp:posOffset>1262481</wp:posOffset>
                </wp:positionH>
                <wp:positionV relativeFrom="paragraph">
                  <wp:posOffset>176910</wp:posOffset>
                </wp:positionV>
                <wp:extent cx="1829435" cy="9525"/>
                <wp:effectExtent l="0" t="0" r="0" b="0"/>
                <wp:wrapTopAndBottom/>
                <wp:docPr id="64" name="Graphic 64"/>
                <wp:cNvGraphicFramePr>
                  <a:graphicFrameLocks/>
                </wp:cNvGraphicFramePr>
                <a:graphic>
                  <a:graphicData uri="http://schemas.microsoft.com/office/word/2010/wordprocessingShape">
                    <wps:wsp>
                      <wps:cNvPr id="64" name="Graphic 6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3.929936pt;width:144.050pt;height:.71997pt;mso-position-horizontal-relative:page;mso-position-vertical-relative:paragraph;z-index:-15697408;mso-wrap-distance-left:0;mso-wrap-distance-right:0" id="docshape1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57</w:t>
      </w:r>
      <w:r>
        <w:rPr>
          <w:rFonts w:ascii="Calibri"/>
          <w:sz w:val="20"/>
          <w:vertAlign w:val="baseline"/>
        </w:rPr>
        <w:t>Arden,</w:t>
      </w:r>
      <w:r>
        <w:rPr>
          <w:rFonts w:ascii="Calibri"/>
          <w:spacing w:val="-6"/>
          <w:sz w:val="20"/>
          <w:vertAlign w:val="baseline"/>
        </w:rPr>
        <w:t> </w:t>
      </w:r>
      <w:r>
        <w:rPr>
          <w:rFonts w:ascii="Calibri"/>
          <w:sz w:val="20"/>
          <w:vertAlign w:val="baseline"/>
        </w:rPr>
        <w:t>D.B.E.</w:t>
      </w:r>
      <w:r>
        <w:rPr>
          <w:rFonts w:ascii="Calibri"/>
          <w:spacing w:val="-1"/>
          <w:sz w:val="20"/>
          <w:vertAlign w:val="baseline"/>
        </w:rPr>
        <w:t> </w:t>
      </w:r>
      <w:r>
        <w:rPr>
          <w:rFonts w:ascii="Calibri"/>
          <w:sz w:val="20"/>
          <w:vertAlign w:val="baseline"/>
        </w:rPr>
        <w:t>op.cit</w:t>
      </w:r>
      <w:r>
        <w:rPr>
          <w:rFonts w:ascii="Calibri"/>
          <w:spacing w:val="-8"/>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169.</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29"/>
        <w:jc w:val="both"/>
      </w:pPr>
      <w:r>
        <w:rPr/>
        <w:t>examines the concept of ‗director‘ and his place within the corporate organization.</w:t>
      </w:r>
      <w:r>
        <w:rPr>
          <w:spacing w:val="40"/>
        </w:rPr>
        <w:t> </w:t>
      </w:r>
      <w:r>
        <w:rPr/>
        <w:t>Here, the meaning of ―director‖ in relation to the company, is analysed. Further, the qualification, modes of appointment, status and the different types of directors, are respectively considered. The division of powers between the board of directors and the general meeting, both under the CAMA and the CA, is also discussed.</w:t>
      </w:r>
    </w:p>
    <w:p>
      <w:pPr>
        <w:pStyle w:val="BodyText"/>
        <w:spacing w:line="480" w:lineRule="auto" w:before="1"/>
        <w:ind w:right="232" w:firstLine="720"/>
        <w:jc w:val="both"/>
      </w:pPr>
      <w:r>
        <w:rPr/>
        <w:t>Chapter Three considers the duties of care and skill as well as the fiduciary duties which directors owe under the CAMA, just as Chapter Four analyses the same under the CA. Chapter Five weighs the similarities and dissimilarities between the two jurisdictions, while deciding the better law. The research is concluded in Chapter Six, with a summary of the findings and recommendations.</w:t>
      </w:r>
    </w:p>
    <w:p>
      <w:pPr>
        <w:spacing w:after="0" w:line="480" w:lineRule="auto"/>
        <w:jc w:val="both"/>
        <w:sectPr>
          <w:pgSz w:w="11910" w:h="16840"/>
          <w:pgMar w:header="0" w:footer="1003" w:top="1320" w:bottom="1200" w:left="1680" w:right="1180"/>
        </w:sectPr>
      </w:pPr>
    </w:p>
    <w:p>
      <w:pPr>
        <w:pStyle w:val="Heading1"/>
        <w:ind w:left="74"/>
      </w:pPr>
      <w:bookmarkStart w:name="_TOC_250043" w:id="9"/>
      <w:r>
        <w:rPr/>
        <w:t>CHAPTER</w:t>
      </w:r>
      <w:r>
        <w:rPr>
          <w:spacing w:val="-11"/>
        </w:rPr>
        <w:t> </w:t>
      </w:r>
      <w:bookmarkEnd w:id="9"/>
      <w:r>
        <w:rPr>
          <w:spacing w:val="-5"/>
        </w:rPr>
        <w:t>TWO</w:t>
      </w:r>
    </w:p>
    <w:p>
      <w:pPr>
        <w:pStyle w:val="BodyText"/>
        <w:spacing w:before="271"/>
        <w:ind w:left="339" w:right="270"/>
        <w:jc w:val="center"/>
        <w:rPr>
          <w:rFonts w:ascii="Arial Black"/>
        </w:rPr>
      </w:pPr>
      <w:r>
        <w:rPr>
          <w:rFonts w:ascii="Arial Black"/>
        </w:rPr>
        <w:t>DIRECTORS</w:t>
      </w:r>
      <w:r>
        <w:rPr>
          <w:rFonts w:ascii="Arial Black"/>
          <w:spacing w:val="-2"/>
        </w:rPr>
        <w:t> </w:t>
      </w:r>
      <w:r>
        <w:rPr>
          <w:rFonts w:ascii="Arial Black"/>
        </w:rPr>
        <w:t>UNDER</w:t>
      </w:r>
      <w:r>
        <w:rPr>
          <w:rFonts w:ascii="Arial Black"/>
          <w:spacing w:val="-5"/>
        </w:rPr>
        <w:t> </w:t>
      </w:r>
      <w:r>
        <w:rPr>
          <w:rFonts w:ascii="Arial Black"/>
        </w:rPr>
        <w:t>NIGERIAN AND</w:t>
      </w:r>
      <w:r>
        <w:rPr>
          <w:rFonts w:ascii="Arial Black"/>
          <w:spacing w:val="-5"/>
        </w:rPr>
        <w:t> </w:t>
      </w:r>
      <w:r>
        <w:rPr>
          <w:rFonts w:ascii="Arial Black"/>
        </w:rPr>
        <w:t>UK COMPANY</w:t>
      </w:r>
      <w:r>
        <w:rPr>
          <w:rFonts w:ascii="Arial Black"/>
          <w:spacing w:val="-1"/>
        </w:rPr>
        <w:t> </w:t>
      </w:r>
      <w:r>
        <w:rPr>
          <w:rFonts w:ascii="Arial Black"/>
          <w:spacing w:val="-4"/>
        </w:rPr>
        <w:t>LAWS</w:t>
      </w:r>
    </w:p>
    <w:p>
      <w:pPr>
        <w:pStyle w:val="Heading2"/>
        <w:numPr>
          <w:ilvl w:val="1"/>
          <w:numId w:val="8"/>
        </w:numPr>
        <w:tabs>
          <w:tab w:pos="1027" w:val="left" w:leader="none"/>
        </w:tabs>
        <w:spacing w:line="240" w:lineRule="auto" w:before="249" w:after="0"/>
        <w:ind w:left="1027" w:right="0" w:hanging="719"/>
        <w:jc w:val="both"/>
        <w:rPr>
          <w:b w:val="0"/>
        </w:rPr>
      </w:pPr>
      <w:bookmarkStart w:name="_TOC_250042" w:id="10"/>
      <w:bookmarkEnd w:id="10"/>
      <w:r>
        <w:rPr>
          <w:spacing w:val="-2"/>
        </w:rPr>
        <w:t>Introduction</w:t>
      </w:r>
    </w:p>
    <w:p>
      <w:pPr>
        <w:pStyle w:val="BodyText"/>
        <w:spacing w:line="480" w:lineRule="auto" w:before="137"/>
        <w:ind w:right="229"/>
        <w:jc w:val="both"/>
      </w:pPr>
      <w:r>
        <w:rPr/>
        <w:t>Companies are the reason the office of company director exists. The word ―company‖ or</w:t>
      </w:r>
      <w:r>
        <w:rPr>
          <w:spacing w:val="47"/>
        </w:rPr>
        <w:t> </w:t>
      </w:r>
      <w:r>
        <w:rPr/>
        <w:t>―corporation‖</w:t>
      </w:r>
      <w:r>
        <w:rPr>
          <w:spacing w:val="49"/>
        </w:rPr>
        <w:t> </w:t>
      </w:r>
      <w:r>
        <w:rPr/>
        <w:t>has</w:t>
      </w:r>
      <w:r>
        <w:rPr>
          <w:spacing w:val="48"/>
        </w:rPr>
        <w:t> </w:t>
      </w:r>
      <w:r>
        <w:rPr/>
        <w:t>no</w:t>
      </w:r>
      <w:r>
        <w:rPr>
          <w:spacing w:val="50"/>
        </w:rPr>
        <w:t> </w:t>
      </w:r>
      <w:r>
        <w:rPr/>
        <w:t>strictly</w:t>
      </w:r>
      <w:r>
        <w:rPr>
          <w:spacing w:val="45"/>
        </w:rPr>
        <w:t> </w:t>
      </w:r>
      <w:r>
        <w:rPr/>
        <w:t>legal</w:t>
      </w:r>
      <w:r>
        <w:rPr>
          <w:spacing w:val="46"/>
        </w:rPr>
        <w:t> </w:t>
      </w:r>
      <w:r>
        <w:rPr/>
        <w:t>meaning.</w:t>
      </w:r>
      <w:r>
        <w:rPr>
          <w:vertAlign w:val="superscript"/>
        </w:rPr>
        <w:t>1</w:t>
      </w:r>
      <w:r>
        <w:rPr>
          <w:spacing w:val="49"/>
          <w:vertAlign w:val="baseline"/>
        </w:rPr>
        <w:t> </w:t>
      </w:r>
      <w:r>
        <w:rPr>
          <w:vertAlign w:val="baseline"/>
        </w:rPr>
        <w:t>But</w:t>
      </w:r>
      <w:r>
        <w:rPr>
          <w:spacing w:val="46"/>
          <w:vertAlign w:val="baseline"/>
        </w:rPr>
        <w:t> </w:t>
      </w:r>
      <w:r>
        <w:rPr>
          <w:vertAlign w:val="baseline"/>
        </w:rPr>
        <w:t>the</w:t>
      </w:r>
      <w:r>
        <w:rPr>
          <w:spacing w:val="46"/>
          <w:vertAlign w:val="baseline"/>
        </w:rPr>
        <w:t> </w:t>
      </w:r>
      <w:r>
        <w:rPr>
          <w:vertAlign w:val="baseline"/>
        </w:rPr>
        <w:t>entity</w:t>
      </w:r>
      <w:r>
        <w:rPr>
          <w:spacing w:val="37"/>
          <w:vertAlign w:val="baseline"/>
        </w:rPr>
        <w:t> </w:t>
      </w:r>
      <w:r>
        <w:rPr>
          <w:vertAlign w:val="baseline"/>
        </w:rPr>
        <w:t>often</w:t>
      </w:r>
      <w:r>
        <w:rPr>
          <w:spacing w:val="41"/>
          <w:vertAlign w:val="baseline"/>
        </w:rPr>
        <w:t> </w:t>
      </w:r>
      <w:r>
        <w:rPr>
          <w:vertAlign w:val="baseline"/>
        </w:rPr>
        <w:t>referred</w:t>
      </w:r>
      <w:r>
        <w:rPr>
          <w:spacing w:val="46"/>
          <w:vertAlign w:val="baseline"/>
        </w:rPr>
        <w:t> </w:t>
      </w:r>
      <w:r>
        <w:rPr>
          <w:vertAlign w:val="baseline"/>
        </w:rPr>
        <w:t>to</w:t>
      </w:r>
      <w:r>
        <w:rPr>
          <w:spacing w:val="51"/>
          <w:vertAlign w:val="baseline"/>
        </w:rPr>
        <w:t> </w:t>
      </w:r>
      <w:r>
        <w:rPr>
          <w:spacing w:val="-5"/>
          <w:vertAlign w:val="baseline"/>
        </w:rPr>
        <w:t>as</w:t>
      </w:r>
    </w:p>
    <w:p>
      <w:pPr>
        <w:pStyle w:val="BodyText"/>
        <w:spacing w:line="480" w:lineRule="auto"/>
        <w:ind w:right="235"/>
        <w:jc w:val="both"/>
      </w:pPr>
      <w:r>
        <w:rPr/>
        <w:t>―company‖ in</w:t>
      </w:r>
      <w:r>
        <w:rPr>
          <w:spacing w:val="-3"/>
        </w:rPr>
        <w:t> </w:t>
      </w:r>
      <w:r>
        <w:rPr/>
        <w:t>business</w:t>
      </w:r>
      <w:r>
        <w:rPr>
          <w:spacing w:val="-9"/>
        </w:rPr>
        <w:t> </w:t>
      </w:r>
      <w:r>
        <w:rPr/>
        <w:t>circles,</w:t>
      </w:r>
      <w:r>
        <w:rPr>
          <w:spacing w:val="-1"/>
        </w:rPr>
        <w:t> </w:t>
      </w:r>
      <w:r>
        <w:rPr/>
        <w:t>is</w:t>
      </w:r>
      <w:r>
        <w:rPr>
          <w:spacing w:val="-9"/>
        </w:rPr>
        <w:t> </w:t>
      </w:r>
      <w:r>
        <w:rPr/>
        <w:t>a</w:t>
      </w:r>
      <w:r>
        <w:rPr>
          <w:spacing w:val="-8"/>
        </w:rPr>
        <w:t> </w:t>
      </w:r>
      <w:r>
        <w:rPr/>
        <w:t>creature</w:t>
      </w:r>
      <w:r>
        <w:rPr>
          <w:spacing w:val="-8"/>
        </w:rPr>
        <w:t> </w:t>
      </w:r>
      <w:r>
        <w:rPr/>
        <w:t>of</w:t>
      </w:r>
      <w:r>
        <w:rPr>
          <w:spacing w:val="-9"/>
        </w:rPr>
        <w:t> </w:t>
      </w:r>
      <w:r>
        <w:rPr/>
        <w:t>law.</w:t>
      </w:r>
      <w:r>
        <w:rPr>
          <w:spacing w:val="-5"/>
        </w:rPr>
        <w:t> </w:t>
      </w:r>
      <w:r>
        <w:rPr/>
        <w:t>A</w:t>
      </w:r>
      <w:r>
        <w:rPr>
          <w:spacing w:val="-12"/>
        </w:rPr>
        <w:t> </w:t>
      </w:r>
      <w:r>
        <w:rPr/>
        <w:t>company</w:t>
      </w:r>
      <w:r>
        <w:rPr>
          <w:spacing w:val="-11"/>
        </w:rPr>
        <w:t> </w:t>
      </w:r>
      <w:r>
        <w:rPr/>
        <w:t>can</w:t>
      </w:r>
      <w:r>
        <w:rPr>
          <w:spacing w:val="-7"/>
        </w:rPr>
        <w:t> </w:t>
      </w:r>
      <w:r>
        <w:rPr/>
        <w:t>therefore</w:t>
      </w:r>
      <w:r>
        <w:rPr>
          <w:spacing w:val="-8"/>
        </w:rPr>
        <w:t> </w:t>
      </w:r>
      <w:r>
        <w:rPr/>
        <w:t>be</w:t>
      </w:r>
      <w:r>
        <w:rPr>
          <w:spacing w:val="-8"/>
        </w:rPr>
        <w:t> </w:t>
      </w:r>
      <w:r>
        <w:rPr/>
        <w:t>defined as that entity created by law through a process of registration, having the status and powers stated therein. Therefore, for an organization to be known as a company in that light, it must conform</w:t>
      </w:r>
      <w:r>
        <w:rPr>
          <w:spacing w:val="-10"/>
        </w:rPr>
        <w:t> </w:t>
      </w:r>
      <w:r>
        <w:rPr/>
        <w:t>to</w:t>
      </w:r>
      <w:r>
        <w:rPr>
          <w:spacing w:val="-1"/>
        </w:rPr>
        <w:t> </w:t>
      </w:r>
      <w:r>
        <w:rPr/>
        <w:t>the law</w:t>
      </w:r>
      <w:r>
        <w:rPr>
          <w:spacing w:val="-2"/>
        </w:rPr>
        <w:t> </w:t>
      </w:r>
      <w:r>
        <w:rPr/>
        <w:t>creating it. Both</w:t>
      </w:r>
      <w:r>
        <w:rPr>
          <w:spacing w:val="-11"/>
        </w:rPr>
        <w:t> </w:t>
      </w:r>
      <w:r>
        <w:rPr/>
        <w:t>the</w:t>
      </w:r>
      <w:r>
        <w:rPr>
          <w:spacing w:val="-2"/>
        </w:rPr>
        <w:t> </w:t>
      </w:r>
      <w:r>
        <w:rPr/>
        <w:t>Companies</w:t>
      </w:r>
      <w:r>
        <w:rPr>
          <w:spacing w:val="-3"/>
        </w:rPr>
        <w:t> </w:t>
      </w:r>
      <w:r>
        <w:rPr/>
        <w:t>and Allied</w:t>
      </w:r>
      <w:r>
        <w:rPr>
          <w:spacing w:val="-1"/>
        </w:rPr>
        <w:t> </w:t>
      </w:r>
      <w:r>
        <w:rPr/>
        <w:t>Matters</w:t>
      </w:r>
      <w:r>
        <w:rPr>
          <w:spacing w:val="-3"/>
        </w:rPr>
        <w:t> </w:t>
      </w:r>
      <w:r>
        <w:rPr/>
        <w:t>Act 1990</w:t>
      </w:r>
      <w:r>
        <w:rPr>
          <w:vertAlign w:val="superscript"/>
        </w:rPr>
        <w:t>2</w:t>
      </w:r>
      <w:r>
        <w:rPr>
          <w:vertAlign w:val="baseline"/>
        </w:rPr>
        <w:t> (CAMA) and the UK Companies Act 2006 (CA) create companies by registration,</w:t>
      </w:r>
      <w:r>
        <w:rPr>
          <w:vertAlign w:val="superscript"/>
        </w:rPr>
        <w:t>3</w:t>
      </w:r>
      <w:r>
        <w:rPr>
          <w:vertAlign w:val="baseline"/>
        </w:rPr>
        <w:t> and for purposes of</w:t>
      </w:r>
      <w:r>
        <w:rPr>
          <w:spacing w:val="-5"/>
          <w:vertAlign w:val="baseline"/>
        </w:rPr>
        <w:t> </w:t>
      </w:r>
      <w:r>
        <w:rPr>
          <w:vertAlign w:val="baseline"/>
        </w:rPr>
        <w:t>either profit or charity. This work is mainly</w:t>
      </w:r>
      <w:r>
        <w:rPr>
          <w:spacing w:val="-7"/>
          <w:vertAlign w:val="baseline"/>
        </w:rPr>
        <w:t> </w:t>
      </w:r>
      <w:r>
        <w:rPr>
          <w:vertAlign w:val="baseline"/>
        </w:rPr>
        <w:t>concerned with the companies created under the two laws above, viz. limited liability companies set up for business and charitable companies or companies limited by guarantee, which all require company directors.</w:t>
      </w:r>
      <w:r>
        <w:rPr>
          <w:vertAlign w:val="superscript"/>
        </w:rPr>
        <w:t>4</w:t>
      </w:r>
    </w:p>
    <w:p>
      <w:pPr>
        <w:pStyle w:val="BodyText"/>
        <w:spacing w:line="480" w:lineRule="auto" w:before="2"/>
        <w:ind w:right="228" w:firstLine="720"/>
        <w:jc w:val="both"/>
      </w:pPr>
      <w:r>
        <w:rPr/>
        <w:t>In</w:t>
      </w:r>
      <w:r>
        <w:rPr>
          <w:spacing w:val="-5"/>
        </w:rPr>
        <w:t> </w:t>
      </w:r>
      <w:r>
        <w:rPr/>
        <w:t>the</w:t>
      </w:r>
      <w:r>
        <w:rPr>
          <w:spacing w:val="-1"/>
        </w:rPr>
        <w:t> </w:t>
      </w:r>
      <w:r>
        <w:rPr/>
        <w:t>case</w:t>
      </w:r>
      <w:r>
        <w:rPr>
          <w:spacing w:val="-1"/>
        </w:rPr>
        <w:t> </w:t>
      </w:r>
      <w:r>
        <w:rPr/>
        <w:t>of</w:t>
      </w:r>
      <w:r>
        <w:rPr>
          <w:spacing w:val="-8"/>
        </w:rPr>
        <w:t> </w:t>
      </w:r>
      <w:r>
        <w:rPr/>
        <w:t>a sole</w:t>
      </w:r>
      <w:r>
        <w:rPr>
          <w:spacing w:val="-1"/>
        </w:rPr>
        <w:t> </w:t>
      </w:r>
      <w:r>
        <w:rPr/>
        <w:t>proprietorship, the</w:t>
      </w:r>
      <w:r>
        <w:rPr>
          <w:spacing w:val="-1"/>
        </w:rPr>
        <w:t> </w:t>
      </w:r>
      <w:r>
        <w:rPr/>
        <w:t>sole</w:t>
      </w:r>
      <w:r>
        <w:rPr>
          <w:spacing w:val="-1"/>
        </w:rPr>
        <w:t> </w:t>
      </w:r>
      <w:r>
        <w:rPr/>
        <w:t>proprietor personally</w:t>
      </w:r>
      <w:r>
        <w:rPr>
          <w:spacing w:val="-8"/>
        </w:rPr>
        <w:t> </w:t>
      </w:r>
      <w:r>
        <w:rPr/>
        <w:t>takes</w:t>
      </w:r>
      <w:r>
        <w:rPr>
          <w:spacing w:val="-2"/>
        </w:rPr>
        <w:t> </w:t>
      </w:r>
      <w:r>
        <w:rPr/>
        <w:t>charge</w:t>
      </w:r>
      <w:r>
        <w:rPr>
          <w:spacing w:val="-1"/>
        </w:rPr>
        <w:t> </w:t>
      </w:r>
      <w:r>
        <w:rPr/>
        <w:t>of the</w:t>
      </w:r>
      <w:r>
        <w:rPr>
          <w:spacing w:val="-2"/>
        </w:rPr>
        <w:t> </w:t>
      </w:r>
      <w:r>
        <w:rPr/>
        <w:t>affairs</w:t>
      </w:r>
      <w:r>
        <w:rPr>
          <w:spacing w:val="-3"/>
        </w:rPr>
        <w:t> </w:t>
      </w:r>
      <w:r>
        <w:rPr/>
        <w:t>of</w:t>
      </w:r>
      <w:r>
        <w:rPr>
          <w:spacing w:val="-4"/>
        </w:rPr>
        <w:t> </w:t>
      </w:r>
      <w:r>
        <w:rPr/>
        <w:t>his venture. In</w:t>
      </w:r>
      <w:r>
        <w:rPr>
          <w:spacing w:val="-6"/>
        </w:rPr>
        <w:t> </w:t>
      </w:r>
      <w:r>
        <w:rPr/>
        <w:t>fact, </w:t>
      </w:r>
      <w:r>
        <w:rPr>
          <w:i/>
        </w:rPr>
        <w:t>he</w:t>
      </w:r>
      <w:r>
        <w:rPr/>
        <w:t>is his venture.</w:t>
      </w:r>
      <w:r>
        <w:rPr>
          <w:spacing w:val="-2"/>
        </w:rPr>
        <w:t> </w:t>
      </w:r>
      <w:r>
        <w:rPr/>
        <w:t>However, for the</w:t>
      </w:r>
      <w:r>
        <w:rPr>
          <w:spacing w:val="-2"/>
        </w:rPr>
        <w:t> </w:t>
      </w:r>
      <w:r>
        <w:rPr/>
        <w:t>registered</w:t>
      </w:r>
      <w:r>
        <w:rPr>
          <w:spacing w:val="-1"/>
        </w:rPr>
        <w:t> </w:t>
      </w:r>
      <w:r>
        <w:rPr/>
        <w:t>company, having a distinct personality and often, many shareholders, it becomes necessary to put</w:t>
      </w:r>
      <w:r>
        <w:rPr>
          <w:spacing w:val="40"/>
        </w:rPr>
        <w:t> </w:t>
      </w:r>
      <w:r>
        <w:rPr/>
        <w:t>a</w:t>
      </w:r>
      <w:r>
        <w:rPr>
          <w:spacing w:val="23"/>
        </w:rPr>
        <w:t> </w:t>
      </w:r>
      <w:r>
        <w:rPr/>
        <w:t>few persons in charge of matters for the whole. These</w:t>
      </w:r>
      <w:r>
        <w:rPr>
          <w:spacing w:val="23"/>
        </w:rPr>
        <w:t> </w:t>
      </w:r>
      <w:r>
        <w:rPr/>
        <w:t>few at the helm of affairs are the </w:t>
      </w:r>
      <w:r>
        <w:rPr>
          <w:i/>
        </w:rPr>
        <w:t>directors</w:t>
      </w:r>
      <w:r>
        <w:rPr/>
        <w:t>. In order for the capitalists (shareholders) to get returns for their investments and government to protect the public from fraud, company legislations</w:t>
      </w:r>
      <w:r>
        <w:rPr>
          <w:spacing w:val="80"/>
        </w:rPr>
        <w:t> </w:t>
      </w:r>
      <w:r>
        <w:rPr/>
        <w:t>have created certain principles regarding the person and office of</w:t>
      </w:r>
      <w:r>
        <w:rPr>
          <w:spacing w:val="-1"/>
        </w:rPr>
        <w:t> </w:t>
      </w:r>
      <w:r>
        <w:rPr/>
        <w:t>the company director.</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84"/>
        <w:ind w:left="0"/>
        <w:rPr>
          <w:sz w:val="20"/>
        </w:rPr>
      </w:pPr>
      <w:r>
        <w:rPr/>
        <mc:AlternateContent>
          <mc:Choice Requires="wps">
            <w:drawing>
              <wp:anchor distT="0" distB="0" distL="0" distR="0" allowOverlap="1" layoutInCell="1" locked="0" behindDoc="1" simplePos="0" relativeHeight="487619584">
                <wp:simplePos x="0" y="0"/>
                <wp:positionH relativeFrom="page">
                  <wp:posOffset>1262481</wp:posOffset>
                </wp:positionH>
                <wp:positionV relativeFrom="paragraph">
                  <wp:posOffset>214920</wp:posOffset>
                </wp:positionV>
                <wp:extent cx="1829435" cy="9525"/>
                <wp:effectExtent l="0" t="0" r="0" b="0"/>
                <wp:wrapTopAndBottom/>
                <wp:docPr id="65" name="Graphic 65"/>
                <wp:cNvGraphicFramePr>
                  <a:graphicFrameLocks/>
                </wp:cNvGraphicFramePr>
                <a:graphic>
                  <a:graphicData uri="http://schemas.microsoft.com/office/word/2010/wordprocessingShape">
                    <wps:wsp>
                      <wps:cNvPr id="65" name="Graphic 6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922861pt;width:144.050pt;height:.72003pt;mso-position-horizontal-relative:page;mso-position-vertical-relative:paragraph;z-index:-15696896;mso-wrap-distance-left:0;mso-wrap-distance-right:0" id="docshape2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w:t>
      </w:r>
      <w:r>
        <w:rPr>
          <w:rFonts w:ascii="Calibri"/>
          <w:sz w:val="20"/>
          <w:vertAlign w:val="baseline"/>
        </w:rPr>
        <w:t>Per</w:t>
      </w:r>
      <w:r>
        <w:rPr>
          <w:rFonts w:ascii="Calibri"/>
          <w:spacing w:val="-5"/>
          <w:sz w:val="20"/>
          <w:vertAlign w:val="baseline"/>
        </w:rPr>
        <w:t> </w:t>
      </w:r>
      <w:r>
        <w:rPr>
          <w:rFonts w:ascii="Calibri"/>
          <w:sz w:val="20"/>
          <w:vertAlign w:val="baseline"/>
        </w:rPr>
        <w:t>Buckley</w:t>
      </w:r>
      <w:r>
        <w:rPr>
          <w:rFonts w:ascii="Calibri"/>
          <w:spacing w:val="-1"/>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in</w:t>
      </w:r>
      <w:r>
        <w:rPr>
          <w:rFonts w:ascii="Calibri"/>
          <w:spacing w:val="-6"/>
          <w:sz w:val="20"/>
          <w:vertAlign w:val="baseline"/>
        </w:rPr>
        <w:t> </w:t>
      </w:r>
      <w:r>
        <w:rPr>
          <w:rFonts w:ascii="Calibri"/>
          <w:sz w:val="20"/>
          <w:vertAlign w:val="baseline"/>
        </w:rPr>
        <w:t>Re</w:t>
      </w:r>
      <w:r>
        <w:rPr>
          <w:rFonts w:ascii="Calibri"/>
          <w:spacing w:val="-1"/>
          <w:sz w:val="20"/>
          <w:vertAlign w:val="baseline"/>
        </w:rPr>
        <w:t> </w:t>
      </w:r>
      <w:r>
        <w:rPr>
          <w:rFonts w:ascii="Calibri"/>
          <w:sz w:val="20"/>
          <w:vertAlign w:val="baseline"/>
        </w:rPr>
        <w:t>Stanley</w:t>
      </w:r>
      <w:r>
        <w:rPr>
          <w:rFonts w:ascii="Calibri"/>
          <w:spacing w:val="-5"/>
          <w:sz w:val="20"/>
          <w:vertAlign w:val="baseline"/>
        </w:rPr>
        <w:t> </w:t>
      </w:r>
      <w:r>
        <w:rPr>
          <w:rFonts w:ascii="Calibri"/>
          <w:sz w:val="20"/>
          <w:vertAlign w:val="baseline"/>
        </w:rPr>
        <w:t>(1906)</w:t>
      </w:r>
      <w:r>
        <w:rPr>
          <w:rFonts w:ascii="Calibri"/>
          <w:spacing w:val="-4"/>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Ch.</w:t>
      </w:r>
      <w:r>
        <w:rPr>
          <w:rFonts w:ascii="Calibri"/>
          <w:spacing w:val="-4"/>
          <w:sz w:val="20"/>
          <w:vertAlign w:val="baseline"/>
        </w:rPr>
        <w:t> </w:t>
      </w:r>
      <w:r>
        <w:rPr>
          <w:rFonts w:ascii="Calibri"/>
          <w:sz w:val="20"/>
          <w:vertAlign w:val="baseline"/>
        </w:rPr>
        <w:t>131</w:t>
      </w:r>
      <w:r>
        <w:rPr>
          <w:rFonts w:ascii="Calibri"/>
          <w:spacing w:val="-2"/>
          <w:sz w:val="20"/>
          <w:vertAlign w:val="baseline"/>
        </w:rPr>
        <w:t> </w:t>
      </w:r>
      <w:r>
        <w:rPr>
          <w:rFonts w:ascii="Calibri"/>
          <w:sz w:val="20"/>
          <w:vertAlign w:val="baseline"/>
        </w:rPr>
        <w:t>at</w:t>
      </w:r>
      <w:r>
        <w:rPr>
          <w:rFonts w:ascii="Calibri"/>
          <w:spacing w:val="-7"/>
          <w:sz w:val="20"/>
          <w:vertAlign w:val="baseline"/>
        </w:rPr>
        <w:t> </w:t>
      </w:r>
      <w:r>
        <w:rPr>
          <w:rFonts w:ascii="Calibri"/>
          <w:spacing w:val="-4"/>
          <w:sz w:val="20"/>
          <w:vertAlign w:val="baseline"/>
        </w:rPr>
        <w:t>134.</w:t>
      </w:r>
    </w:p>
    <w:p>
      <w:pPr>
        <w:spacing w:before="1"/>
        <w:ind w:left="308" w:right="0" w:firstLine="0"/>
        <w:jc w:val="left"/>
        <w:rPr>
          <w:rFonts w:ascii="Calibri"/>
          <w:sz w:val="20"/>
        </w:rPr>
      </w:pPr>
      <w:r>
        <w:rPr>
          <w:rFonts w:ascii="Calibri"/>
          <w:sz w:val="20"/>
          <w:vertAlign w:val="superscript"/>
        </w:rPr>
        <w:t>2</w:t>
      </w:r>
      <w:r>
        <w:rPr>
          <w:rFonts w:ascii="Calibri"/>
          <w:spacing w:val="-1"/>
          <w:sz w:val="20"/>
          <w:vertAlign w:val="baseline"/>
        </w:rPr>
        <w:t> </w:t>
      </w:r>
      <w:r>
        <w:rPr>
          <w:rFonts w:ascii="Calibri"/>
          <w:sz w:val="20"/>
          <w:vertAlign w:val="baseline"/>
        </w:rPr>
        <w:t>Cap</w:t>
      </w:r>
      <w:r>
        <w:rPr>
          <w:rFonts w:ascii="Calibri"/>
          <w:spacing w:val="-2"/>
          <w:sz w:val="20"/>
          <w:vertAlign w:val="baseline"/>
        </w:rPr>
        <w:t> </w:t>
      </w:r>
      <w:r>
        <w:rPr>
          <w:rFonts w:ascii="Calibri"/>
          <w:sz w:val="20"/>
          <w:vertAlign w:val="baseline"/>
        </w:rPr>
        <w:t>C20,</w:t>
      </w:r>
      <w:r>
        <w:rPr>
          <w:rFonts w:ascii="Calibri"/>
          <w:spacing w:val="-4"/>
          <w:sz w:val="20"/>
          <w:vertAlign w:val="baseline"/>
        </w:rPr>
        <w:t> </w:t>
      </w:r>
      <w:r>
        <w:rPr>
          <w:rFonts w:ascii="Calibri"/>
          <w:sz w:val="20"/>
          <w:vertAlign w:val="baseline"/>
        </w:rPr>
        <w:t>Laws</w:t>
      </w:r>
      <w:r>
        <w:rPr>
          <w:rFonts w:ascii="Calibri"/>
          <w:spacing w:val="-4"/>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Federation</w:t>
      </w:r>
      <w:r>
        <w:rPr>
          <w:rFonts w:ascii="Calibri"/>
          <w:spacing w:val="-6"/>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Nigeria</w:t>
      </w:r>
      <w:r>
        <w:rPr>
          <w:rFonts w:ascii="Calibri"/>
          <w:spacing w:val="-6"/>
          <w:sz w:val="20"/>
          <w:vertAlign w:val="baseline"/>
        </w:rPr>
        <w:t> </w:t>
      </w:r>
      <w:r>
        <w:rPr>
          <w:rFonts w:ascii="Calibri"/>
          <w:spacing w:val="-2"/>
          <w:sz w:val="20"/>
          <w:vertAlign w:val="baseline"/>
        </w:rPr>
        <w:t>2004.</w:t>
      </w:r>
    </w:p>
    <w:p>
      <w:pPr>
        <w:spacing w:before="0"/>
        <w:ind w:left="308" w:right="0" w:firstLine="0"/>
        <w:jc w:val="left"/>
        <w:rPr>
          <w:rFonts w:ascii="Calibri"/>
          <w:sz w:val="20"/>
        </w:rPr>
      </w:pPr>
      <w:r>
        <w:rPr>
          <w:rFonts w:ascii="Calibri"/>
          <w:sz w:val="20"/>
          <w:vertAlign w:val="superscript"/>
        </w:rPr>
        <w:t>3</w:t>
      </w:r>
      <w:r>
        <w:rPr>
          <w:rFonts w:ascii="Calibri"/>
          <w:sz w:val="20"/>
          <w:vertAlign w:val="baseline"/>
        </w:rPr>
        <w:t> See</w:t>
      </w:r>
      <w:r>
        <w:rPr>
          <w:rFonts w:ascii="Calibri"/>
          <w:spacing w:val="-5"/>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35-37</w:t>
      </w:r>
      <w:r>
        <w:rPr>
          <w:rFonts w:ascii="Calibri"/>
          <w:spacing w:val="-2"/>
          <w:sz w:val="20"/>
          <w:vertAlign w:val="baseline"/>
        </w:rPr>
        <w:t> </w:t>
      </w:r>
      <w:r>
        <w:rPr>
          <w:rFonts w:ascii="Calibri"/>
          <w:sz w:val="20"/>
          <w:vertAlign w:val="baseline"/>
        </w:rPr>
        <w:t>CAMA</w:t>
      </w:r>
      <w:r>
        <w:rPr>
          <w:rFonts w:ascii="Calibri"/>
          <w:spacing w:val="-7"/>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ss. 1,</w:t>
      </w:r>
      <w:r>
        <w:rPr>
          <w:rFonts w:ascii="Calibri"/>
          <w:spacing w:val="-3"/>
          <w:sz w:val="20"/>
          <w:vertAlign w:val="baseline"/>
        </w:rPr>
        <w:t> </w:t>
      </w:r>
      <w:r>
        <w:rPr>
          <w:rFonts w:ascii="Calibri"/>
          <w:sz w:val="20"/>
          <w:vertAlign w:val="baseline"/>
        </w:rPr>
        <w:t>7,</w:t>
      </w:r>
      <w:r>
        <w:rPr>
          <w:rFonts w:ascii="Calibri"/>
          <w:spacing w:val="-3"/>
          <w:sz w:val="20"/>
          <w:vertAlign w:val="baseline"/>
        </w:rPr>
        <w:t> </w:t>
      </w:r>
      <w:r>
        <w:rPr>
          <w:rFonts w:ascii="Calibri"/>
          <w:sz w:val="20"/>
          <w:vertAlign w:val="baseline"/>
        </w:rPr>
        <w:t>9</w:t>
      </w:r>
      <w:r>
        <w:rPr>
          <w:rFonts w:ascii="Calibri"/>
          <w:spacing w:val="-6"/>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14-16</w:t>
      </w:r>
      <w:r>
        <w:rPr>
          <w:rFonts w:ascii="Calibri"/>
          <w:spacing w:val="-2"/>
          <w:sz w:val="20"/>
          <w:vertAlign w:val="baseline"/>
        </w:rPr>
        <w:t> </w:t>
      </w:r>
      <w:r>
        <w:rPr>
          <w:rFonts w:ascii="Calibri"/>
          <w:sz w:val="20"/>
          <w:vertAlign w:val="baseline"/>
        </w:rPr>
        <w:t>CA,</w:t>
      </w:r>
      <w:r>
        <w:rPr>
          <w:rFonts w:ascii="Calibri"/>
          <w:spacing w:val="-3"/>
          <w:sz w:val="20"/>
          <w:vertAlign w:val="baseline"/>
        </w:rPr>
        <w:t> </w:t>
      </w:r>
      <w:r>
        <w:rPr>
          <w:rFonts w:ascii="Calibri"/>
          <w:spacing w:val="-2"/>
          <w:sz w:val="20"/>
          <w:vertAlign w:val="baseline"/>
        </w:rPr>
        <w:t>respectively.</w:t>
      </w:r>
    </w:p>
    <w:p>
      <w:pPr>
        <w:spacing w:before="1"/>
        <w:ind w:left="308" w:right="0" w:firstLine="0"/>
        <w:jc w:val="left"/>
        <w:rPr>
          <w:rFonts w:ascii="Calibri"/>
          <w:sz w:val="20"/>
        </w:rPr>
      </w:pPr>
      <w:r>
        <w:rPr>
          <w:rFonts w:ascii="Calibri"/>
          <w:sz w:val="20"/>
          <w:vertAlign w:val="superscript"/>
        </w:rPr>
        <w:t>4</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s.246</w:t>
      </w:r>
      <w:r>
        <w:rPr>
          <w:rFonts w:ascii="Calibri"/>
          <w:spacing w:val="-3"/>
          <w:sz w:val="20"/>
          <w:vertAlign w:val="baseline"/>
        </w:rPr>
        <w:t> </w:t>
      </w:r>
      <w:r>
        <w:rPr>
          <w:rFonts w:ascii="Calibri"/>
          <w:sz w:val="20"/>
          <w:vertAlign w:val="baseline"/>
        </w:rPr>
        <w:t>CAMA</w:t>
      </w:r>
      <w:r>
        <w:rPr>
          <w:rFonts w:ascii="Calibri"/>
          <w:spacing w:val="-8"/>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s.155</w:t>
      </w:r>
      <w:r>
        <w:rPr>
          <w:rFonts w:ascii="Calibri"/>
          <w:spacing w:val="-3"/>
          <w:sz w:val="20"/>
          <w:vertAlign w:val="baseline"/>
        </w:rPr>
        <w:t> </w:t>
      </w:r>
      <w:r>
        <w:rPr>
          <w:rFonts w:ascii="Calibri"/>
          <w:spacing w:val="-5"/>
          <w:sz w:val="20"/>
          <w:vertAlign w:val="baseline"/>
        </w:rPr>
        <w:t>CA.</w:t>
      </w:r>
    </w:p>
    <w:p>
      <w:pPr>
        <w:spacing w:after="0"/>
        <w:jc w:val="left"/>
        <w:rPr>
          <w:rFonts w:ascii="Calibri"/>
          <w:sz w:val="20"/>
        </w:rPr>
        <w:sectPr>
          <w:pgSz w:w="11910" w:h="16840"/>
          <w:pgMar w:header="0" w:footer="1003" w:top="1300" w:bottom="1200" w:left="1680" w:right="1180"/>
        </w:sectPr>
      </w:pPr>
    </w:p>
    <w:p>
      <w:pPr>
        <w:pStyle w:val="BodyText"/>
        <w:spacing w:line="480" w:lineRule="auto" w:before="110"/>
        <w:ind w:right="232" w:firstLine="720"/>
        <w:jc w:val="both"/>
      </w:pPr>
      <w:r>
        <w:rPr/>
        <w:t>The Nigerian Court of Appeal, in </w:t>
      </w:r>
      <w:r>
        <w:rPr>
          <w:b/>
        </w:rPr>
        <w:t>Ladejobi vs. Odutola Holdings Ltd.</w:t>
      </w:r>
      <w:r>
        <w:rPr>
          <w:vertAlign w:val="superscript"/>
        </w:rPr>
        <w:t>5</w:t>
      </w:r>
      <w:r>
        <w:rPr>
          <w:vertAlign w:val="baseline"/>
        </w:rPr>
        <w:t> identified the limited liability company as ―a mere legal fiction that exists only in the eyes of the</w:t>
      </w:r>
      <w:r>
        <w:rPr>
          <w:spacing w:val="22"/>
          <w:vertAlign w:val="baseline"/>
        </w:rPr>
        <w:t> </w:t>
      </w:r>
      <w:r>
        <w:rPr>
          <w:vertAlign w:val="baseline"/>
        </w:rPr>
        <w:t>law.‖</w:t>
      </w:r>
      <w:r>
        <w:rPr>
          <w:vertAlign w:val="superscript"/>
        </w:rPr>
        <w:t>6</w:t>
      </w:r>
      <w:r>
        <w:rPr>
          <w:vertAlign w:val="baseline"/>
        </w:rPr>
        <w:t>Devoid of a</w:t>
      </w:r>
      <w:r>
        <w:rPr>
          <w:spacing w:val="22"/>
          <w:vertAlign w:val="baseline"/>
        </w:rPr>
        <w:t> </w:t>
      </w:r>
      <w:r>
        <w:rPr>
          <w:vertAlign w:val="baseline"/>
        </w:rPr>
        <w:t>functional brain and</w:t>
      </w:r>
      <w:r>
        <w:rPr>
          <w:spacing w:val="27"/>
          <w:vertAlign w:val="baseline"/>
        </w:rPr>
        <w:t> </w:t>
      </w:r>
      <w:r>
        <w:rPr>
          <w:vertAlign w:val="baseline"/>
        </w:rPr>
        <w:t>limbs, the artificiality of the person of</w:t>
      </w:r>
      <w:r>
        <w:rPr>
          <w:spacing w:val="-7"/>
          <w:vertAlign w:val="baseline"/>
        </w:rPr>
        <w:t> </w:t>
      </w:r>
      <w:r>
        <w:rPr>
          <w:vertAlign w:val="baseline"/>
        </w:rPr>
        <w:t>the company necessitates</w:t>
      </w:r>
      <w:r>
        <w:rPr>
          <w:spacing w:val="-1"/>
          <w:vertAlign w:val="baseline"/>
        </w:rPr>
        <w:t> </w:t>
      </w:r>
      <w:r>
        <w:rPr>
          <w:vertAlign w:val="baseline"/>
        </w:rPr>
        <w:t>the office of</w:t>
      </w:r>
      <w:r>
        <w:rPr>
          <w:spacing w:val="-7"/>
          <w:vertAlign w:val="baseline"/>
        </w:rPr>
        <w:t> </w:t>
      </w:r>
      <w:r>
        <w:rPr>
          <w:vertAlign w:val="baseline"/>
        </w:rPr>
        <w:t>director within the entity. Lord Denning, M.R. observed as much, in the case of </w:t>
      </w:r>
      <w:r>
        <w:rPr>
          <w:b/>
          <w:vertAlign w:val="baseline"/>
        </w:rPr>
        <w:t>Bolton (Engineering) Co. Ltd. vs. Graham &amp; Sons,</w:t>
      </w:r>
      <w:r>
        <w:rPr>
          <w:b/>
          <w:vertAlign w:val="superscript"/>
        </w:rPr>
        <w:t>7</w:t>
      </w:r>
      <w:r>
        <w:rPr>
          <w:vertAlign w:val="baseline"/>
        </w:rPr>
        <w:t>where he stated that ―directors…represent the directing mind and will of the company, and control what it does....‖ Directors, in that sense, become the </w:t>
      </w:r>
      <w:r>
        <w:rPr>
          <w:i/>
          <w:vertAlign w:val="baseline"/>
        </w:rPr>
        <w:t>brain </w:t>
      </w:r>
      <w:r>
        <w:rPr>
          <w:vertAlign w:val="baseline"/>
        </w:rPr>
        <w:t>and </w:t>
      </w:r>
      <w:r>
        <w:rPr>
          <w:i/>
          <w:vertAlign w:val="baseline"/>
        </w:rPr>
        <w:t>limbs </w:t>
      </w:r>
      <w:r>
        <w:rPr>
          <w:vertAlign w:val="baseline"/>
        </w:rPr>
        <w:t>of the company. This grants every holder of the title enormous powers.</w:t>
      </w:r>
    </w:p>
    <w:p>
      <w:pPr>
        <w:spacing w:line="480" w:lineRule="auto" w:before="2"/>
        <w:ind w:left="308" w:right="229" w:firstLine="720"/>
        <w:jc w:val="both"/>
        <w:rPr>
          <w:sz w:val="24"/>
        </w:rPr>
      </w:pPr>
      <w:r>
        <w:rPr>
          <w:sz w:val="24"/>
        </w:rPr>
        <w:t>The Nigerian Supreme Court noted in the case of </w:t>
      </w:r>
      <w:r>
        <w:rPr>
          <w:b/>
          <w:sz w:val="24"/>
        </w:rPr>
        <w:t>Longe vs. First Bank of Nigeria</w:t>
      </w:r>
      <w:r>
        <w:rPr>
          <w:b/>
          <w:spacing w:val="10"/>
          <w:sz w:val="24"/>
        </w:rPr>
        <w:t> </w:t>
      </w:r>
      <w:r>
        <w:rPr>
          <w:b/>
          <w:sz w:val="24"/>
        </w:rPr>
        <w:t>PLC</w:t>
      </w:r>
      <w:r>
        <w:rPr>
          <w:sz w:val="24"/>
        </w:rPr>
        <w:t>,</w:t>
      </w:r>
      <w:r>
        <w:rPr>
          <w:sz w:val="24"/>
          <w:vertAlign w:val="superscript"/>
        </w:rPr>
        <w:t>8</w:t>
      </w:r>
      <w:r>
        <w:rPr>
          <w:spacing w:val="2"/>
          <w:sz w:val="24"/>
          <w:vertAlign w:val="baseline"/>
        </w:rPr>
        <w:t> </w:t>
      </w:r>
      <w:r>
        <w:rPr>
          <w:sz w:val="24"/>
          <w:vertAlign w:val="baseline"/>
        </w:rPr>
        <w:t>that</w:t>
      </w:r>
      <w:r>
        <w:rPr>
          <w:spacing w:val="5"/>
          <w:sz w:val="24"/>
          <w:vertAlign w:val="baseline"/>
        </w:rPr>
        <w:t> </w:t>
      </w:r>
      <w:r>
        <w:rPr>
          <w:sz w:val="24"/>
          <w:vertAlign w:val="baseline"/>
        </w:rPr>
        <w:t>the</w:t>
      </w:r>
      <w:r>
        <w:rPr>
          <w:spacing w:val="4"/>
          <w:sz w:val="24"/>
          <w:vertAlign w:val="baseline"/>
        </w:rPr>
        <w:t> </w:t>
      </w:r>
      <w:r>
        <w:rPr>
          <w:sz w:val="24"/>
          <w:vertAlign w:val="baseline"/>
        </w:rPr>
        <w:t>employment</w:t>
      </w:r>
      <w:r>
        <w:rPr>
          <w:spacing w:val="10"/>
          <w:sz w:val="24"/>
          <w:vertAlign w:val="baseline"/>
        </w:rPr>
        <w:t> </w:t>
      </w:r>
      <w:r>
        <w:rPr>
          <w:sz w:val="24"/>
          <w:vertAlign w:val="baseline"/>
        </w:rPr>
        <w:t>of</w:t>
      </w:r>
      <w:r>
        <w:rPr>
          <w:spacing w:val="-2"/>
          <w:sz w:val="24"/>
          <w:vertAlign w:val="baseline"/>
        </w:rPr>
        <w:t> </w:t>
      </w:r>
      <w:r>
        <w:rPr>
          <w:sz w:val="24"/>
          <w:vertAlign w:val="baseline"/>
        </w:rPr>
        <w:t>a</w:t>
      </w:r>
      <w:r>
        <w:rPr>
          <w:spacing w:val="4"/>
          <w:sz w:val="24"/>
          <w:vertAlign w:val="baseline"/>
        </w:rPr>
        <w:t> </w:t>
      </w:r>
      <w:r>
        <w:rPr>
          <w:sz w:val="24"/>
          <w:vertAlign w:val="baseline"/>
        </w:rPr>
        <w:t>director</w:t>
      </w:r>
      <w:r>
        <w:rPr>
          <w:spacing w:val="6"/>
          <w:sz w:val="24"/>
          <w:vertAlign w:val="baseline"/>
        </w:rPr>
        <w:t> </w:t>
      </w:r>
      <w:r>
        <w:rPr>
          <w:sz w:val="24"/>
          <w:vertAlign w:val="baseline"/>
        </w:rPr>
        <w:t>is</w:t>
      </w:r>
      <w:r>
        <w:rPr>
          <w:spacing w:val="7"/>
          <w:sz w:val="24"/>
          <w:vertAlign w:val="baseline"/>
        </w:rPr>
        <w:t> </w:t>
      </w:r>
      <w:r>
        <w:rPr>
          <w:sz w:val="24"/>
          <w:vertAlign w:val="baseline"/>
        </w:rPr>
        <w:t>one</w:t>
      </w:r>
      <w:r>
        <w:rPr>
          <w:spacing w:val="4"/>
          <w:sz w:val="24"/>
          <w:vertAlign w:val="baseline"/>
        </w:rPr>
        <w:t> </w:t>
      </w:r>
      <w:r>
        <w:rPr>
          <w:sz w:val="24"/>
          <w:vertAlign w:val="baseline"/>
        </w:rPr>
        <w:t>with statutory</w:t>
      </w:r>
      <w:r>
        <w:rPr>
          <w:spacing w:val="1"/>
          <w:sz w:val="24"/>
          <w:vertAlign w:val="baseline"/>
        </w:rPr>
        <w:t> </w:t>
      </w:r>
      <w:r>
        <w:rPr>
          <w:sz w:val="24"/>
          <w:vertAlign w:val="baseline"/>
        </w:rPr>
        <w:t>flavour,</w:t>
      </w:r>
      <w:r>
        <w:rPr>
          <w:spacing w:val="7"/>
          <w:sz w:val="24"/>
          <w:vertAlign w:val="baseline"/>
        </w:rPr>
        <w:t> </w:t>
      </w:r>
      <w:r>
        <w:rPr>
          <w:spacing w:val="-2"/>
          <w:sz w:val="24"/>
          <w:vertAlign w:val="baseline"/>
        </w:rPr>
        <w:t>whereby</w:t>
      </w:r>
    </w:p>
    <w:p>
      <w:pPr>
        <w:pStyle w:val="BodyText"/>
        <w:spacing w:line="480" w:lineRule="auto"/>
        <w:ind w:right="233"/>
        <w:jc w:val="both"/>
      </w:pPr>
      <w:r>
        <w:rPr/>
        <w:t>―the employment is protected by statute.‖ Consequently, the office is of great importance to the law in the organization of the corporation. Thus, the decisions as to who qualifies to occupy the office, how he gets appointed, the powers he may wield as well as the extent to which he may</w:t>
      </w:r>
      <w:r>
        <w:rPr>
          <w:spacing w:val="-3"/>
        </w:rPr>
        <w:t> </w:t>
      </w:r>
      <w:r>
        <w:rPr/>
        <w:t>wield them, is regulated by law to a certain extent.</w:t>
      </w:r>
    </w:p>
    <w:p>
      <w:pPr>
        <w:pStyle w:val="Heading2"/>
        <w:numPr>
          <w:ilvl w:val="1"/>
          <w:numId w:val="8"/>
        </w:numPr>
        <w:tabs>
          <w:tab w:pos="1027" w:val="left" w:leader="none"/>
        </w:tabs>
        <w:spacing w:line="240" w:lineRule="auto" w:before="207" w:after="0"/>
        <w:ind w:left="1027" w:right="0" w:hanging="719"/>
        <w:jc w:val="both"/>
      </w:pPr>
      <w:bookmarkStart w:name="_TOC_250041" w:id="11"/>
      <w:r>
        <w:rPr/>
        <w:t>Meaning</w:t>
      </w:r>
      <w:r>
        <w:rPr>
          <w:spacing w:val="-2"/>
        </w:rPr>
        <w:t> </w:t>
      </w:r>
      <w:r>
        <w:rPr/>
        <w:t>of</w:t>
      </w:r>
      <w:r>
        <w:rPr>
          <w:spacing w:val="1"/>
        </w:rPr>
        <w:t> </w:t>
      </w:r>
      <w:bookmarkEnd w:id="11"/>
      <w:r>
        <w:rPr>
          <w:spacing w:val="-2"/>
        </w:rPr>
        <w:t>Director</w:t>
      </w:r>
    </w:p>
    <w:p>
      <w:pPr>
        <w:pStyle w:val="BodyText"/>
        <w:spacing w:line="480" w:lineRule="auto" w:before="132"/>
        <w:ind w:right="226"/>
        <w:jc w:val="both"/>
      </w:pPr>
      <w:r>
        <w:rPr/>
        <w:t>Ss. 244 of the CAMAand 154 of the CA require that any company established shall</w:t>
      </w:r>
      <w:r>
        <w:rPr>
          <w:spacing w:val="40"/>
        </w:rPr>
        <w:t> </w:t>
      </w:r>
      <w:r>
        <w:rPr/>
        <w:t>have directors.</w:t>
      </w:r>
      <w:r>
        <w:rPr>
          <w:vertAlign w:val="superscript"/>
        </w:rPr>
        <w:t>9</w:t>
      </w:r>
      <w:r>
        <w:rPr>
          <w:vertAlign w:val="baseline"/>
        </w:rPr>
        <w:t> It is therefore pertinent to discover the meaning of the term as used in relation to companies.</w:t>
      </w:r>
    </w:p>
    <w:p>
      <w:pPr>
        <w:pStyle w:val="BodyText"/>
        <w:spacing w:line="480" w:lineRule="auto" w:before="1"/>
        <w:ind w:right="222" w:firstLine="720"/>
        <w:jc w:val="both"/>
      </w:pPr>
      <w:r>
        <w:rPr/>
        <w:t>The term </w:t>
      </w:r>
      <w:r>
        <w:rPr>
          <w:i/>
        </w:rPr>
        <w:t>director </w:t>
      </w:r>
      <w:r>
        <w:rPr/>
        <w:t>is etymologically derived from the verb </w:t>
      </w:r>
      <w:r>
        <w:rPr>
          <w:i/>
        </w:rPr>
        <w:t>to direct</w:t>
      </w:r>
      <w:r>
        <w:rPr/>
        <w:t>, generally meaning to manage, instruct, order, orchestrate, control, supervise, oversee or even rule.</w:t>
      </w:r>
      <w:r>
        <w:rPr>
          <w:vertAlign w:val="superscript"/>
        </w:rPr>
        <w:t>10</w:t>
      </w:r>
      <w:r>
        <w:rPr>
          <w:vertAlign w:val="baseline"/>
        </w:rPr>
        <w:t> In relation to companies, the director is usually a natural person</w:t>
      </w:r>
      <w:r>
        <w:rPr>
          <w:vertAlign w:val="superscript"/>
        </w:rPr>
        <w:t>11</w:t>
      </w:r>
      <w:r>
        <w:rPr>
          <w:vertAlign w:val="baseline"/>
        </w:rPr>
        <w:t> entrusted with</w:t>
      </w:r>
    </w:p>
    <w:p>
      <w:pPr>
        <w:pStyle w:val="BodyText"/>
        <w:spacing w:before="33"/>
        <w:ind w:left="0"/>
        <w:rPr>
          <w:sz w:val="20"/>
        </w:rPr>
      </w:pPr>
      <w:r>
        <w:rPr/>
        <mc:AlternateContent>
          <mc:Choice Requires="wps">
            <w:drawing>
              <wp:anchor distT="0" distB="0" distL="0" distR="0" allowOverlap="1" layoutInCell="1" locked="0" behindDoc="1" simplePos="0" relativeHeight="487620096">
                <wp:simplePos x="0" y="0"/>
                <wp:positionH relativeFrom="page">
                  <wp:posOffset>1262481</wp:posOffset>
                </wp:positionH>
                <wp:positionV relativeFrom="paragraph">
                  <wp:posOffset>182347</wp:posOffset>
                </wp:positionV>
                <wp:extent cx="1829435" cy="9525"/>
                <wp:effectExtent l="0" t="0" r="0" b="0"/>
                <wp:wrapTopAndBottom/>
                <wp:docPr id="66" name="Graphic 66"/>
                <wp:cNvGraphicFramePr>
                  <a:graphicFrameLocks/>
                </wp:cNvGraphicFramePr>
                <a:graphic>
                  <a:graphicData uri="http://schemas.microsoft.com/office/word/2010/wordprocessingShape">
                    <wps:wsp>
                      <wps:cNvPr id="66" name="Graphic 6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358077pt;width:144.050pt;height:.71997pt;mso-position-horizontal-relative:page;mso-position-vertical-relative:paragraph;z-index:-15696384;mso-wrap-distance-left:0;mso-wrap-distance-right:0" id="docshape21"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5</w:t>
      </w:r>
      <w:r>
        <w:rPr>
          <w:rFonts w:ascii="Calibri"/>
          <w:sz w:val="20"/>
          <w:vertAlign w:val="baseline"/>
        </w:rPr>
        <w:t>(2002)</w:t>
      </w:r>
      <w:r>
        <w:rPr>
          <w:rFonts w:ascii="Calibri"/>
          <w:spacing w:val="-3"/>
          <w:sz w:val="20"/>
          <w:vertAlign w:val="baseline"/>
        </w:rPr>
        <w:t> </w:t>
      </w:r>
      <w:r>
        <w:rPr>
          <w:rFonts w:ascii="Calibri"/>
          <w:sz w:val="20"/>
          <w:vertAlign w:val="baseline"/>
        </w:rPr>
        <w:t>3</w:t>
      </w:r>
      <w:r>
        <w:rPr>
          <w:rFonts w:ascii="Calibri"/>
          <w:spacing w:val="-5"/>
          <w:sz w:val="20"/>
          <w:vertAlign w:val="baseline"/>
        </w:rPr>
        <w:t> </w:t>
      </w:r>
      <w:r>
        <w:rPr>
          <w:rFonts w:ascii="Calibri"/>
          <w:sz w:val="20"/>
          <w:vertAlign w:val="baseline"/>
        </w:rPr>
        <w:t>NWLR</w:t>
      </w:r>
      <w:r>
        <w:rPr>
          <w:rFonts w:ascii="Calibri"/>
          <w:spacing w:val="-7"/>
          <w:sz w:val="20"/>
          <w:vertAlign w:val="baseline"/>
        </w:rPr>
        <w:t> </w:t>
      </w:r>
      <w:r>
        <w:rPr>
          <w:rFonts w:ascii="Calibri"/>
          <w:sz w:val="20"/>
          <w:vertAlign w:val="baseline"/>
        </w:rPr>
        <w:t>(Pt.753)</w:t>
      </w:r>
      <w:r>
        <w:rPr>
          <w:rFonts w:ascii="Calibri"/>
          <w:spacing w:val="-6"/>
          <w:sz w:val="20"/>
          <w:vertAlign w:val="baseline"/>
        </w:rPr>
        <w:t> </w:t>
      </w:r>
      <w:r>
        <w:rPr>
          <w:rFonts w:ascii="Calibri"/>
          <w:sz w:val="20"/>
          <w:vertAlign w:val="baseline"/>
        </w:rPr>
        <w:t>121</w:t>
      </w:r>
      <w:r>
        <w:rPr>
          <w:rFonts w:ascii="Calibri"/>
          <w:spacing w:val="-4"/>
          <w:sz w:val="20"/>
          <w:vertAlign w:val="baseline"/>
        </w:rPr>
        <w:t> C.A.</w:t>
      </w:r>
    </w:p>
    <w:p>
      <w:pPr>
        <w:spacing w:line="242" w:lineRule="exact" w:before="0"/>
        <w:ind w:left="308" w:right="0" w:firstLine="0"/>
        <w:jc w:val="left"/>
        <w:rPr>
          <w:rFonts w:ascii="Calibri"/>
          <w:sz w:val="20"/>
        </w:rPr>
      </w:pPr>
      <w:r>
        <w:rPr>
          <w:rFonts w:ascii="Calibri"/>
          <w:sz w:val="20"/>
          <w:vertAlign w:val="superscript"/>
        </w:rPr>
        <w:t>6</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2"/>
          <w:sz w:val="20"/>
          <w:vertAlign w:val="baseline"/>
        </w:rPr>
        <w:t>p.153.</w:t>
      </w:r>
    </w:p>
    <w:p>
      <w:pPr>
        <w:spacing w:before="1"/>
        <w:ind w:left="308" w:right="0" w:firstLine="0"/>
        <w:jc w:val="left"/>
        <w:rPr>
          <w:rFonts w:ascii="Calibri"/>
          <w:sz w:val="20"/>
        </w:rPr>
      </w:pPr>
      <w:r>
        <w:rPr>
          <w:rFonts w:ascii="Calibri"/>
          <w:sz w:val="20"/>
          <w:vertAlign w:val="superscript"/>
        </w:rPr>
        <w:t>7</w:t>
      </w:r>
      <w:r>
        <w:rPr>
          <w:rFonts w:ascii="Calibri"/>
          <w:sz w:val="20"/>
          <w:vertAlign w:val="baseline"/>
        </w:rPr>
        <w:t>(1957)</w:t>
      </w:r>
      <w:r>
        <w:rPr>
          <w:rFonts w:ascii="Calibri"/>
          <w:spacing w:val="-3"/>
          <w:sz w:val="20"/>
          <w:vertAlign w:val="baseline"/>
        </w:rPr>
        <w:t> </w:t>
      </w:r>
      <w:r>
        <w:rPr>
          <w:rFonts w:ascii="Calibri"/>
          <w:sz w:val="20"/>
          <w:vertAlign w:val="baseline"/>
        </w:rPr>
        <w:t>1</w:t>
      </w:r>
      <w:r>
        <w:rPr>
          <w:rFonts w:ascii="Calibri"/>
          <w:spacing w:val="-5"/>
          <w:sz w:val="20"/>
          <w:vertAlign w:val="baseline"/>
        </w:rPr>
        <w:t> </w:t>
      </w:r>
      <w:r>
        <w:rPr>
          <w:rFonts w:ascii="Calibri"/>
          <w:sz w:val="20"/>
          <w:vertAlign w:val="baseline"/>
        </w:rPr>
        <w:t>Q.B.</w:t>
      </w:r>
      <w:r>
        <w:rPr>
          <w:rFonts w:ascii="Calibri"/>
          <w:spacing w:val="-2"/>
          <w:sz w:val="20"/>
          <w:vertAlign w:val="baseline"/>
        </w:rPr>
        <w:t> </w:t>
      </w:r>
      <w:r>
        <w:rPr>
          <w:rFonts w:ascii="Calibri"/>
          <w:spacing w:val="-4"/>
          <w:sz w:val="20"/>
          <w:vertAlign w:val="baseline"/>
        </w:rPr>
        <w:t>159.</w:t>
      </w:r>
    </w:p>
    <w:p>
      <w:pPr>
        <w:spacing w:before="1"/>
        <w:ind w:left="308" w:right="0" w:firstLine="0"/>
        <w:jc w:val="left"/>
        <w:rPr>
          <w:rFonts w:ascii="Calibri"/>
          <w:sz w:val="20"/>
        </w:rPr>
      </w:pPr>
      <w:r>
        <w:rPr>
          <w:rFonts w:ascii="Calibri"/>
          <w:sz w:val="20"/>
          <w:vertAlign w:val="superscript"/>
        </w:rPr>
        <w:t>8</w:t>
      </w:r>
      <w:r>
        <w:rPr>
          <w:rFonts w:ascii="Calibri"/>
          <w:sz w:val="20"/>
          <w:vertAlign w:val="baseline"/>
        </w:rPr>
        <w:t>(2010)</w:t>
      </w:r>
      <w:r>
        <w:rPr>
          <w:rFonts w:ascii="Calibri"/>
          <w:spacing w:val="-4"/>
          <w:sz w:val="20"/>
          <w:vertAlign w:val="baseline"/>
        </w:rPr>
        <w:t> </w:t>
      </w:r>
      <w:r>
        <w:rPr>
          <w:rFonts w:ascii="Calibri"/>
          <w:sz w:val="20"/>
          <w:vertAlign w:val="baseline"/>
        </w:rPr>
        <w:t>All</w:t>
      </w:r>
      <w:r>
        <w:rPr>
          <w:rFonts w:ascii="Calibri"/>
          <w:spacing w:val="-3"/>
          <w:sz w:val="20"/>
          <w:vertAlign w:val="baseline"/>
        </w:rPr>
        <w:t> </w:t>
      </w:r>
      <w:r>
        <w:rPr>
          <w:rFonts w:ascii="Calibri"/>
          <w:sz w:val="20"/>
          <w:vertAlign w:val="baseline"/>
        </w:rPr>
        <w:t>FWLR</w:t>
      </w:r>
      <w:r>
        <w:rPr>
          <w:rFonts w:ascii="Calibri"/>
          <w:spacing w:val="-4"/>
          <w:sz w:val="20"/>
          <w:vertAlign w:val="baseline"/>
        </w:rPr>
        <w:t> </w:t>
      </w:r>
      <w:r>
        <w:rPr>
          <w:rFonts w:ascii="Calibri"/>
          <w:sz w:val="20"/>
          <w:vertAlign w:val="baseline"/>
        </w:rPr>
        <w:t>258</w:t>
      </w:r>
      <w:r>
        <w:rPr>
          <w:rFonts w:ascii="Calibri"/>
          <w:spacing w:val="-10"/>
          <w:sz w:val="20"/>
          <w:vertAlign w:val="baseline"/>
        </w:rPr>
        <w:t> </w:t>
      </w:r>
      <w:r>
        <w:rPr>
          <w:rFonts w:ascii="Calibri"/>
          <w:sz w:val="20"/>
          <w:vertAlign w:val="baseline"/>
        </w:rPr>
        <w:t>at</w:t>
      </w:r>
      <w:r>
        <w:rPr>
          <w:rFonts w:ascii="Calibri"/>
          <w:spacing w:val="-6"/>
          <w:sz w:val="20"/>
          <w:vertAlign w:val="baseline"/>
        </w:rPr>
        <w:t> </w:t>
      </w:r>
      <w:r>
        <w:rPr>
          <w:rFonts w:ascii="Calibri"/>
          <w:sz w:val="20"/>
          <w:vertAlign w:val="baseline"/>
        </w:rPr>
        <w:t>307,</w:t>
      </w:r>
      <w:r>
        <w:rPr>
          <w:rFonts w:ascii="Calibri"/>
          <w:spacing w:val="-6"/>
          <w:sz w:val="20"/>
          <w:vertAlign w:val="baseline"/>
        </w:rPr>
        <w:t> </w:t>
      </w:r>
      <w:r>
        <w:rPr>
          <w:rFonts w:ascii="Calibri"/>
          <w:sz w:val="20"/>
          <w:vertAlign w:val="baseline"/>
        </w:rPr>
        <w:t>paras.D-</w:t>
      </w:r>
      <w:r>
        <w:rPr>
          <w:rFonts w:ascii="Calibri"/>
          <w:spacing w:val="-5"/>
          <w:sz w:val="20"/>
          <w:vertAlign w:val="baseline"/>
        </w:rPr>
        <w:t>F.</w:t>
      </w:r>
    </w:p>
    <w:p>
      <w:pPr>
        <w:spacing w:before="1"/>
        <w:ind w:left="308" w:right="255" w:firstLine="0"/>
        <w:jc w:val="left"/>
        <w:rPr>
          <w:rFonts w:ascii="Calibri"/>
          <w:sz w:val="20"/>
        </w:rPr>
      </w:pPr>
      <w:r>
        <w:rPr>
          <w:rFonts w:ascii="Calibri"/>
          <w:sz w:val="20"/>
          <w:vertAlign w:val="superscript"/>
        </w:rPr>
        <w:t>9</w:t>
      </w:r>
      <w:r>
        <w:rPr>
          <w:rFonts w:ascii="Calibri"/>
          <w:sz w:val="20"/>
          <w:vertAlign w:val="baseline"/>
        </w:rPr>
        <w:t> In the case of the CAMA, at least two for all types of companies and in the case of the CA, a minimum</w:t>
      </w:r>
      <w:r>
        <w:rPr>
          <w:rFonts w:ascii="Calibri"/>
          <w:spacing w:val="40"/>
          <w:sz w:val="20"/>
          <w:vertAlign w:val="baseline"/>
        </w:rPr>
        <w:t> </w:t>
      </w:r>
      <w:r>
        <w:rPr>
          <w:rFonts w:ascii="Calibri"/>
          <w:sz w:val="20"/>
          <w:vertAlign w:val="baseline"/>
        </w:rPr>
        <w:t>of one for private, and two for public, companies.</w:t>
      </w:r>
    </w:p>
    <w:p>
      <w:pPr>
        <w:spacing w:before="1"/>
        <w:ind w:left="308" w:right="0" w:firstLine="0"/>
        <w:jc w:val="left"/>
        <w:rPr>
          <w:rFonts w:ascii="Calibri"/>
          <w:sz w:val="20"/>
        </w:rPr>
      </w:pPr>
      <w:r>
        <w:rPr>
          <w:rFonts w:ascii="Calibri"/>
          <w:sz w:val="20"/>
          <w:vertAlign w:val="superscript"/>
        </w:rPr>
        <w:t>10</w:t>
      </w:r>
      <w:r>
        <w:rPr>
          <w:rFonts w:ascii="Calibri"/>
          <w:sz w:val="20"/>
          <w:vertAlign w:val="baseline"/>
        </w:rPr>
        <w:t> See generally Encarta</w:t>
      </w:r>
      <w:r>
        <w:rPr>
          <w:rFonts w:ascii="Calibri"/>
          <w:spacing w:val="-1"/>
          <w:sz w:val="20"/>
          <w:vertAlign w:val="baseline"/>
        </w:rPr>
        <w:t> </w:t>
      </w:r>
      <w:r>
        <w:rPr>
          <w:rFonts w:ascii="Calibri"/>
          <w:sz w:val="20"/>
          <w:vertAlign w:val="baseline"/>
        </w:rPr>
        <w:t>Dictionaries</w:t>
      </w:r>
      <w:r>
        <w:rPr>
          <w:rFonts w:ascii="Calibri"/>
          <w:spacing w:val="-2"/>
          <w:sz w:val="20"/>
          <w:vertAlign w:val="baseline"/>
        </w:rPr>
        <w:t> </w:t>
      </w:r>
      <w:r>
        <w:rPr>
          <w:rFonts w:ascii="Calibri"/>
          <w:sz w:val="20"/>
          <w:vertAlign w:val="baseline"/>
        </w:rPr>
        <w:t>(2009).Microsoft Encarta Premium DVD and Longman</w:t>
      </w:r>
      <w:r>
        <w:rPr>
          <w:rFonts w:ascii="Calibri"/>
          <w:spacing w:val="-1"/>
          <w:sz w:val="20"/>
          <w:vertAlign w:val="baseline"/>
        </w:rPr>
        <w:t> </w:t>
      </w:r>
      <w:r>
        <w:rPr>
          <w:rFonts w:ascii="Calibri"/>
          <w:sz w:val="20"/>
          <w:vertAlign w:val="baseline"/>
        </w:rPr>
        <w:t>Dictionary of Contemporary English.4</w:t>
      </w:r>
      <w:r>
        <w:rPr>
          <w:rFonts w:ascii="Calibri"/>
          <w:sz w:val="20"/>
          <w:vertAlign w:val="superscript"/>
        </w:rPr>
        <w:t>th</w:t>
      </w:r>
      <w:r>
        <w:rPr>
          <w:rFonts w:ascii="Calibri"/>
          <w:sz w:val="20"/>
          <w:vertAlign w:val="baseline"/>
        </w:rPr>
        <w:t> edition, Pearson Education Limited, England (2005), pp.439-440.</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33"/>
        <w:jc w:val="both"/>
      </w:pPr>
      <w:r>
        <w:rPr/>
        <w:t>the power to make policy decisions together with his peers within that organization, in order to chart the course for the company. He is considered the alter ego (or other self) of the company by being the mind and brain behind its activities.</w:t>
      </w:r>
      <w:r>
        <w:rPr>
          <w:vertAlign w:val="superscript"/>
        </w:rPr>
        <w:t>12</w:t>
      </w:r>
    </w:p>
    <w:p>
      <w:pPr>
        <w:pStyle w:val="BodyText"/>
        <w:spacing w:line="480" w:lineRule="auto"/>
        <w:ind w:right="230" w:firstLine="720"/>
        <w:jc w:val="both"/>
      </w:pPr>
      <w:r>
        <w:rPr/>
        <w:t>It has been opined that the question </w:t>
      </w:r>
      <w:r>
        <w:rPr>
          <w:i/>
        </w:rPr>
        <w:t>who is a director </w:t>
      </w:r>
      <w:r>
        <w:rPr/>
        <w:t>may appear simple but</w:t>
      </w:r>
      <w:r>
        <w:rPr>
          <w:spacing w:val="20"/>
        </w:rPr>
        <w:t> </w:t>
      </w:r>
      <w:r>
        <w:rPr/>
        <w:t>is</w:t>
      </w:r>
      <w:r>
        <w:rPr>
          <w:spacing w:val="40"/>
        </w:rPr>
        <w:t> </w:t>
      </w:r>
      <w:r>
        <w:rPr/>
        <w:t>in fact often</w:t>
      </w:r>
      <w:r>
        <w:rPr>
          <w:spacing w:val="-2"/>
        </w:rPr>
        <w:t> </w:t>
      </w:r>
      <w:r>
        <w:rPr/>
        <w:t>confusing.</w:t>
      </w:r>
      <w:r>
        <w:rPr>
          <w:vertAlign w:val="superscript"/>
        </w:rPr>
        <w:t>13</w:t>
      </w:r>
      <w:r>
        <w:rPr>
          <w:vertAlign w:val="baseline"/>
        </w:rPr>
        <w:t> This is</w:t>
      </w:r>
      <w:r>
        <w:rPr>
          <w:spacing w:val="-3"/>
          <w:vertAlign w:val="baseline"/>
        </w:rPr>
        <w:t> </w:t>
      </w:r>
      <w:r>
        <w:rPr>
          <w:vertAlign w:val="baseline"/>
        </w:rPr>
        <w:t>perhaps because very</w:t>
      </w:r>
      <w:r>
        <w:rPr>
          <w:spacing w:val="-6"/>
          <w:vertAlign w:val="baseline"/>
        </w:rPr>
        <w:t> </w:t>
      </w:r>
      <w:r>
        <w:rPr>
          <w:vertAlign w:val="baseline"/>
        </w:rPr>
        <w:t>few, if</w:t>
      </w:r>
      <w:r>
        <w:rPr>
          <w:spacing w:val="-1"/>
          <w:vertAlign w:val="baseline"/>
        </w:rPr>
        <w:t> </w:t>
      </w:r>
      <w:r>
        <w:rPr>
          <w:vertAlign w:val="baseline"/>
        </w:rPr>
        <w:t>any, company</w:t>
      </w:r>
      <w:r>
        <w:rPr>
          <w:spacing w:val="-2"/>
          <w:vertAlign w:val="baseline"/>
        </w:rPr>
        <w:t> </w:t>
      </w:r>
      <w:r>
        <w:rPr>
          <w:vertAlign w:val="baseline"/>
        </w:rPr>
        <w:t>legislations proffer</w:t>
      </w:r>
      <w:r>
        <w:rPr>
          <w:spacing w:val="-9"/>
          <w:vertAlign w:val="baseline"/>
        </w:rPr>
        <w:t> </w:t>
      </w:r>
      <w:r>
        <w:rPr>
          <w:vertAlign w:val="baseline"/>
        </w:rPr>
        <w:t>the</w:t>
      </w:r>
      <w:r>
        <w:rPr>
          <w:spacing w:val="-10"/>
          <w:vertAlign w:val="baseline"/>
        </w:rPr>
        <w:t> </w:t>
      </w:r>
      <w:r>
        <w:rPr>
          <w:vertAlign w:val="baseline"/>
        </w:rPr>
        <w:t>exact</w:t>
      </w:r>
      <w:r>
        <w:rPr>
          <w:spacing w:val="-1"/>
          <w:vertAlign w:val="baseline"/>
        </w:rPr>
        <w:t> </w:t>
      </w:r>
      <w:r>
        <w:rPr>
          <w:vertAlign w:val="baseline"/>
        </w:rPr>
        <w:t>meaning</w:t>
      </w:r>
      <w:r>
        <w:rPr>
          <w:spacing w:val="-9"/>
          <w:vertAlign w:val="baseline"/>
        </w:rPr>
        <w:t> </w:t>
      </w:r>
      <w:r>
        <w:rPr>
          <w:vertAlign w:val="baseline"/>
        </w:rPr>
        <w:t>of</w:t>
      </w:r>
      <w:r>
        <w:rPr>
          <w:spacing w:val="-15"/>
          <w:vertAlign w:val="baseline"/>
        </w:rPr>
        <w:t> </w:t>
      </w:r>
      <w:r>
        <w:rPr>
          <w:vertAlign w:val="baseline"/>
        </w:rPr>
        <w:t>the</w:t>
      </w:r>
      <w:r>
        <w:rPr>
          <w:spacing w:val="-10"/>
          <w:vertAlign w:val="baseline"/>
        </w:rPr>
        <w:t> </w:t>
      </w:r>
      <w:r>
        <w:rPr>
          <w:vertAlign w:val="baseline"/>
        </w:rPr>
        <w:t>term.</w:t>
      </w:r>
      <w:r>
        <w:rPr>
          <w:vertAlign w:val="superscript"/>
        </w:rPr>
        <w:t>14</w:t>
      </w:r>
      <w:r>
        <w:rPr>
          <w:spacing w:val="-8"/>
          <w:vertAlign w:val="baseline"/>
        </w:rPr>
        <w:t> </w:t>
      </w:r>
      <w:r>
        <w:rPr>
          <w:vertAlign w:val="baseline"/>
        </w:rPr>
        <w:t>S.244</w:t>
      </w:r>
      <w:r>
        <w:rPr>
          <w:spacing w:val="-13"/>
          <w:vertAlign w:val="baseline"/>
        </w:rPr>
        <w:t> </w:t>
      </w:r>
      <w:r>
        <w:rPr>
          <w:vertAlign w:val="baseline"/>
        </w:rPr>
        <w:t>of</w:t>
      </w:r>
      <w:r>
        <w:rPr>
          <w:spacing w:val="-15"/>
          <w:vertAlign w:val="baseline"/>
        </w:rPr>
        <w:t> </w:t>
      </w:r>
      <w:r>
        <w:rPr>
          <w:vertAlign w:val="baseline"/>
        </w:rPr>
        <w:t>the</w:t>
      </w:r>
      <w:r>
        <w:rPr>
          <w:spacing w:val="-10"/>
          <w:vertAlign w:val="baseline"/>
        </w:rPr>
        <w:t> </w:t>
      </w:r>
      <w:r>
        <w:rPr>
          <w:vertAlign w:val="baseline"/>
        </w:rPr>
        <w:t>CAMA</w:t>
      </w:r>
      <w:r>
        <w:rPr>
          <w:spacing w:val="-14"/>
          <w:vertAlign w:val="baseline"/>
        </w:rPr>
        <w:t> </w:t>
      </w:r>
      <w:r>
        <w:rPr>
          <w:vertAlign w:val="baseline"/>
        </w:rPr>
        <w:t>provides</w:t>
      </w:r>
      <w:r>
        <w:rPr>
          <w:spacing w:val="-12"/>
          <w:vertAlign w:val="baseline"/>
        </w:rPr>
        <w:t> </w:t>
      </w:r>
      <w:r>
        <w:rPr>
          <w:vertAlign w:val="baseline"/>
        </w:rPr>
        <w:t>that</w:t>
      </w:r>
      <w:r>
        <w:rPr>
          <w:spacing w:val="-5"/>
          <w:vertAlign w:val="baseline"/>
        </w:rPr>
        <w:t> </w:t>
      </w:r>
      <w:r>
        <w:rPr>
          <w:vertAlign w:val="baseline"/>
        </w:rPr>
        <w:t>directors</w:t>
      </w:r>
      <w:r>
        <w:rPr>
          <w:spacing w:val="-12"/>
          <w:vertAlign w:val="baseline"/>
        </w:rPr>
        <w:t> </w:t>
      </w:r>
      <w:r>
        <w:rPr>
          <w:vertAlign w:val="baseline"/>
        </w:rPr>
        <w:t>―are persons duly appointed by the company to direct and manage the business of the company‖. The appointment here is presumably by the members of the company at the annual general meeting.</w:t>
      </w:r>
      <w:r>
        <w:rPr>
          <w:vertAlign w:val="superscript"/>
        </w:rPr>
        <w:t>15</w:t>
      </w:r>
      <w:r>
        <w:rPr>
          <w:vertAlign w:val="baseline"/>
        </w:rPr>
        <w:t> However, there are instances where persons, though not appointed by the company as such, are recognized as directors under the law. Such is</w:t>
      </w:r>
      <w:r>
        <w:rPr>
          <w:spacing w:val="40"/>
          <w:vertAlign w:val="baseline"/>
        </w:rPr>
        <w:t> </w:t>
      </w:r>
      <w:r>
        <w:rPr>
          <w:vertAlign w:val="baseline"/>
        </w:rPr>
        <w:t>the case with a shadow director, for example. In recognizing the latter, s.245 of the CAMA</w:t>
      </w:r>
      <w:r>
        <w:rPr>
          <w:spacing w:val="-15"/>
          <w:vertAlign w:val="baseline"/>
        </w:rPr>
        <w:t> </w:t>
      </w:r>
      <w:r>
        <w:rPr>
          <w:vertAlign w:val="baseline"/>
        </w:rPr>
        <w:t>states</w:t>
      </w:r>
      <w:r>
        <w:rPr>
          <w:spacing w:val="-12"/>
          <w:vertAlign w:val="baseline"/>
        </w:rPr>
        <w:t> </w:t>
      </w:r>
      <w:r>
        <w:rPr>
          <w:vertAlign w:val="baseline"/>
        </w:rPr>
        <w:t>that</w:t>
      </w:r>
      <w:r>
        <w:rPr>
          <w:spacing w:val="-10"/>
          <w:vertAlign w:val="baseline"/>
        </w:rPr>
        <w:t> </w:t>
      </w:r>
      <w:r>
        <w:rPr>
          <w:vertAlign w:val="baseline"/>
        </w:rPr>
        <w:t>the</w:t>
      </w:r>
      <w:r>
        <w:rPr>
          <w:spacing w:val="-11"/>
          <w:vertAlign w:val="baseline"/>
        </w:rPr>
        <w:t> </w:t>
      </w:r>
      <w:r>
        <w:rPr>
          <w:vertAlign w:val="baseline"/>
        </w:rPr>
        <w:t>term</w:t>
      </w:r>
      <w:r>
        <w:rPr>
          <w:spacing w:val="-14"/>
          <w:vertAlign w:val="baseline"/>
        </w:rPr>
        <w:t> </w:t>
      </w:r>
      <w:r>
        <w:rPr>
          <w:i/>
          <w:vertAlign w:val="baseline"/>
        </w:rPr>
        <w:t>director</w:t>
      </w:r>
      <w:r>
        <w:rPr>
          <w:i/>
          <w:spacing w:val="-8"/>
          <w:vertAlign w:val="baseline"/>
        </w:rPr>
        <w:t> </w:t>
      </w:r>
      <w:r>
        <w:rPr>
          <w:vertAlign w:val="baseline"/>
        </w:rPr>
        <w:t>―shall</w:t>
      </w:r>
      <w:r>
        <w:rPr>
          <w:spacing w:val="-10"/>
          <w:vertAlign w:val="baseline"/>
        </w:rPr>
        <w:t> </w:t>
      </w:r>
      <w:r>
        <w:rPr>
          <w:vertAlign w:val="baseline"/>
        </w:rPr>
        <w:t>include</w:t>
      </w:r>
      <w:r>
        <w:rPr>
          <w:spacing w:val="-7"/>
          <w:vertAlign w:val="baseline"/>
        </w:rPr>
        <w:t> </w:t>
      </w:r>
      <w:r>
        <w:rPr>
          <w:vertAlign w:val="baseline"/>
        </w:rPr>
        <w:t>any</w:t>
      </w:r>
      <w:r>
        <w:rPr>
          <w:spacing w:val="-14"/>
          <w:vertAlign w:val="baseline"/>
        </w:rPr>
        <w:t> </w:t>
      </w:r>
      <w:r>
        <w:rPr>
          <w:vertAlign w:val="baseline"/>
        </w:rPr>
        <w:t>person</w:t>
      </w:r>
      <w:r>
        <w:rPr>
          <w:spacing w:val="-14"/>
          <w:vertAlign w:val="baseline"/>
        </w:rPr>
        <w:t> </w:t>
      </w:r>
      <w:r>
        <w:rPr>
          <w:vertAlign w:val="baseline"/>
        </w:rPr>
        <w:t>on</w:t>
      </w:r>
      <w:r>
        <w:rPr>
          <w:spacing w:val="-10"/>
          <w:vertAlign w:val="baseline"/>
        </w:rPr>
        <w:t> </w:t>
      </w:r>
      <w:r>
        <w:rPr>
          <w:vertAlign w:val="baseline"/>
        </w:rPr>
        <w:t>whose</w:t>
      </w:r>
      <w:r>
        <w:rPr>
          <w:spacing w:val="-7"/>
          <w:vertAlign w:val="baseline"/>
        </w:rPr>
        <w:t> </w:t>
      </w:r>
      <w:r>
        <w:rPr>
          <w:vertAlign w:val="baseline"/>
        </w:rPr>
        <w:t>instructions</w:t>
      </w:r>
      <w:r>
        <w:rPr>
          <w:spacing w:val="-8"/>
          <w:vertAlign w:val="baseline"/>
        </w:rPr>
        <w:t> </w:t>
      </w:r>
      <w:r>
        <w:rPr>
          <w:vertAlign w:val="baseline"/>
        </w:rPr>
        <w:t>and directions the directors are accustomed to act‖. In slightly different words, s.251 of the CA</w:t>
      </w:r>
      <w:r>
        <w:rPr>
          <w:spacing w:val="-1"/>
          <w:vertAlign w:val="baseline"/>
        </w:rPr>
        <w:t> </w:t>
      </w:r>
      <w:r>
        <w:rPr>
          <w:vertAlign w:val="baseline"/>
        </w:rPr>
        <w:t>describes him as ―a person in accordance with</w:t>
      </w:r>
      <w:r>
        <w:rPr>
          <w:spacing w:val="-1"/>
          <w:vertAlign w:val="baseline"/>
        </w:rPr>
        <w:t> </w:t>
      </w:r>
      <w:r>
        <w:rPr>
          <w:vertAlign w:val="baseline"/>
        </w:rPr>
        <w:t>whose directions or instructions the directors of the company are accustomed to act‖. It is therefore clear that, apart from persons </w:t>
      </w:r>
      <w:r>
        <w:rPr>
          <w:i/>
          <w:vertAlign w:val="baseline"/>
        </w:rPr>
        <w:t>duly appointed</w:t>
      </w:r>
      <w:r>
        <w:rPr>
          <w:vertAlign w:val="baseline"/>
        </w:rPr>
        <w:t>, other persons not so appointed may fit the term.</w:t>
      </w:r>
    </w:p>
    <w:p>
      <w:pPr>
        <w:pStyle w:val="BodyText"/>
        <w:spacing w:line="480" w:lineRule="auto" w:before="3"/>
        <w:ind w:right="226" w:firstLine="720"/>
        <w:jc w:val="both"/>
      </w:pPr>
      <w:r>
        <w:rPr/>
        <w:t>Also negating the notion of due appointment is the fact that s.249(1) of the CAMA</w:t>
      </w:r>
      <w:r>
        <w:rPr>
          <w:vertAlign w:val="superscript"/>
        </w:rPr>
        <w:t>16</w:t>
      </w:r>
      <w:r>
        <w:rPr>
          <w:vertAlign w:val="baseline"/>
        </w:rPr>
        <w:t> empowers the board of directors to appoint a director to fill a casual vacancy which</w:t>
      </w:r>
      <w:r>
        <w:rPr>
          <w:spacing w:val="31"/>
          <w:vertAlign w:val="baseline"/>
        </w:rPr>
        <w:t> </w:t>
      </w:r>
      <w:r>
        <w:rPr>
          <w:vertAlign w:val="baseline"/>
        </w:rPr>
        <w:t>arises</w:t>
      </w:r>
      <w:r>
        <w:rPr>
          <w:spacing w:val="37"/>
          <w:vertAlign w:val="baseline"/>
        </w:rPr>
        <w:t> </w:t>
      </w:r>
      <w:r>
        <w:rPr>
          <w:vertAlign w:val="baseline"/>
        </w:rPr>
        <w:t>before</w:t>
      </w:r>
      <w:r>
        <w:rPr>
          <w:spacing w:val="38"/>
          <w:vertAlign w:val="baseline"/>
        </w:rPr>
        <w:t> </w:t>
      </w:r>
      <w:r>
        <w:rPr>
          <w:vertAlign w:val="baseline"/>
        </w:rPr>
        <w:t>the</w:t>
      </w:r>
      <w:r>
        <w:rPr>
          <w:spacing w:val="37"/>
          <w:vertAlign w:val="baseline"/>
        </w:rPr>
        <w:t> </w:t>
      </w:r>
      <w:r>
        <w:rPr>
          <w:vertAlign w:val="baseline"/>
        </w:rPr>
        <w:t>proper</w:t>
      </w:r>
      <w:r>
        <w:rPr>
          <w:spacing w:val="41"/>
          <w:vertAlign w:val="baseline"/>
        </w:rPr>
        <w:t> </w:t>
      </w:r>
      <w:r>
        <w:rPr>
          <w:vertAlign w:val="baseline"/>
        </w:rPr>
        <w:t>expiration</w:t>
      </w:r>
      <w:r>
        <w:rPr>
          <w:spacing w:val="34"/>
          <w:vertAlign w:val="baseline"/>
        </w:rPr>
        <w:t> </w:t>
      </w:r>
      <w:r>
        <w:rPr>
          <w:vertAlign w:val="baseline"/>
        </w:rPr>
        <w:t>of</w:t>
      </w:r>
      <w:r>
        <w:rPr>
          <w:spacing w:val="31"/>
          <w:vertAlign w:val="baseline"/>
        </w:rPr>
        <w:t> </w:t>
      </w:r>
      <w:r>
        <w:rPr>
          <w:vertAlign w:val="baseline"/>
        </w:rPr>
        <w:t>the</w:t>
      </w:r>
      <w:r>
        <w:rPr>
          <w:spacing w:val="32"/>
          <w:vertAlign w:val="baseline"/>
        </w:rPr>
        <w:t> </w:t>
      </w:r>
      <w:r>
        <w:rPr>
          <w:vertAlign w:val="baseline"/>
        </w:rPr>
        <w:t>tenure</w:t>
      </w:r>
      <w:r>
        <w:rPr>
          <w:spacing w:val="38"/>
          <w:vertAlign w:val="baseline"/>
        </w:rPr>
        <w:t> </w:t>
      </w:r>
      <w:r>
        <w:rPr>
          <w:vertAlign w:val="baseline"/>
        </w:rPr>
        <w:t>of</w:t>
      </w:r>
      <w:r>
        <w:rPr>
          <w:spacing w:val="31"/>
          <w:vertAlign w:val="baseline"/>
        </w:rPr>
        <w:t> </w:t>
      </w:r>
      <w:r>
        <w:rPr>
          <w:vertAlign w:val="baseline"/>
        </w:rPr>
        <w:t>one</w:t>
      </w:r>
      <w:r>
        <w:rPr>
          <w:spacing w:val="38"/>
          <w:vertAlign w:val="baseline"/>
        </w:rPr>
        <w:t> </w:t>
      </w:r>
      <w:r>
        <w:rPr>
          <w:vertAlign w:val="baseline"/>
        </w:rPr>
        <w:t>of</w:t>
      </w:r>
      <w:r>
        <w:rPr>
          <w:spacing w:val="30"/>
          <w:vertAlign w:val="baseline"/>
        </w:rPr>
        <w:t> </w:t>
      </w:r>
      <w:r>
        <w:rPr>
          <w:vertAlign w:val="baseline"/>
        </w:rPr>
        <w:t>their</w:t>
      </w:r>
      <w:r>
        <w:rPr>
          <w:spacing w:val="52"/>
          <w:vertAlign w:val="baseline"/>
        </w:rPr>
        <w:t> </w:t>
      </w:r>
      <w:r>
        <w:rPr>
          <w:vertAlign w:val="baseline"/>
        </w:rPr>
        <w:t>number.</w:t>
      </w:r>
      <w:r>
        <w:rPr>
          <w:spacing w:val="41"/>
          <w:vertAlign w:val="baseline"/>
        </w:rPr>
        <w:t> </w:t>
      </w:r>
      <w:r>
        <w:rPr>
          <w:spacing w:val="-5"/>
          <w:vertAlign w:val="baseline"/>
        </w:rPr>
        <w:t>Any</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50"/>
        <w:ind w:left="0"/>
        <w:rPr>
          <w:sz w:val="20"/>
        </w:rPr>
      </w:pPr>
      <w:r>
        <w:rPr/>
        <mc:AlternateContent>
          <mc:Choice Requires="wps">
            <w:drawing>
              <wp:anchor distT="0" distB="0" distL="0" distR="0" allowOverlap="1" layoutInCell="1" locked="0" behindDoc="1" simplePos="0" relativeHeight="487620608">
                <wp:simplePos x="0" y="0"/>
                <wp:positionH relativeFrom="page">
                  <wp:posOffset>1262481</wp:posOffset>
                </wp:positionH>
                <wp:positionV relativeFrom="paragraph">
                  <wp:posOffset>193159</wp:posOffset>
                </wp:positionV>
                <wp:extent cx="5400040" cy="9525"/>
                <wp:effectExtent l="0" t="0" r="0" b="0"/>
                <wp:wrapTopAndBottom/>
                <wp:docPr id="67" name="Graphic 67"/>
                <wp:cNvGraphicFramePr>
                  <a:graphicFrameLocks/>
                </wp:cNvGraphicFramePr>
                <a:graphic>
                  <a:graphicData uri="http://schemas.microsoft.com/office/word/2010/wordprocessingShape">
                    <wps:wsp>
                      <wps:cNvPr id="67" name="Graphic 67"/>
                      <wps:cNvSpPr/>
                      <wps:spPr>
                        <a:xfrm>
                          <a:off x="0" y="0"/>
                          <a:ext cx="5400040" cy="9525"/>
                        </a:xfrm>
                        <a:custGeom>
                          <a:avLst/>
                          <a:gdLst/>
                          <a:ahLst/>
                          <a:cxnLst/>
                          <a:rect l="l" t="t" r="r" b="b"/>
                          <a:pathLst>
                            <a:path w="5400040" h="9525">
                              <a:moveTo>
                                <a:pt x="5399785" y="0"/>
                              </a:moveTo>
                              <a:lnTo>
                                <a:pt x="0" y="0"/>
                              </a:lnTo>
                              <a:lnTo>
                                <a:pt x="0" y="9143"/>
                              </a:lnTo>
                              <a:lnTo>
                                <a:pt x="5399785" y="9143"/>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5.209444pt;width:425.18pt;height:.71997pt;mso-position-horizontal-relative:page;mso-position-vertical-relative:paragraph;z-index:-15695872;mso-wrap-distance-left:0;mso-wrap-distance-right:0" id="docshape22"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11</w:t>
      </w:r>
      <w:r>
        <w:rPr>
          <w:rFonts w:ascii="Calibri"/>
          <w:sz w:val="20"/>
          <w:vertAlign w:val="baseline"/>
        </w:rPr>
        <w:t>Although</w:t>
      </w:r>
      <w:r>
        <w:rPr>
          <w:rFonts w:ascii="Calibri"/>
          <w:spacing w:val="-9"/>
          <w:sz w:val="20"/>
          <w:vertAlign w:val="baseline"/>
        </w:rPr>
        <w:t> </w:t>
      </w:r>
      <w:r>
        <w:rPr>
          <w:rFonts w:ascii="Calibri"/>
          <w:sz w:val="20"/>
          <w:vertAlign w:val="baseline"/>
        </w:rPr>
        <w:t>theCA</w:t>
      </w:r>
      <w:r>
        <w:rPr>
          <w:rFonts w:ascii="Calibri"/>
          <w:spacing w:val="-4"/>
          <w:sz w:val="20"/>
          <w:vertAlign w:val="baseline"/>
        </w:rPr>
        <w:t> </w:t>
      </w:r>
      <w:r>
        <w:rPr>
          <w:rFonts w:ascii="Calibri"/>
          <w:sz w:val="20"/>
          <w:vertAlign w:val="baseline"/>
        </w:rPr>
        <w:t>allows</w:t>
      </w:r>
      <w:r>
        <w:rPr>
          <w:rFonts w:ascii="Calibri"/>
          <w:spacing w:val="-5"/>
          <w:sz w:val="20"/>
          <w:vertAlign w:val="baseline"/>
        </w:rPr>
        <w:t> </w:t>
      </w:r>
      <w:r>
        <w:rPr>
          <w:rFonts w:ascii="Calibri"/>
          <w:sz w:val="20"/>
          <w:vertAlign w:val="baseline"/>
        </w:rPr>
        <w:t>for</w:t>
      </w:r>
      <w:r>
        <w:rPr>
          <w:rFonts w:ascii="Calibri"/>
          <w:spacing w:val="-7"/>
          <w:sz w:val="20"/>
          <w:vertAlign w:val="baseline"/>
        </w:rPr>
        <w:t> </w:t>
      </w:r>
      <w:r>
        <w:rPr>
          <w:rFonts w:ascii="Calibri"/>
          <w:sz w:val="20"/>
          <w:vertAlign w:val="baseline"/>
        </w:rPr>
        <w:t>corporate</w:t>
      </w:r>
      <w:r>
        <w:rPr>
          <w:rFonts w:ascii="Calibri"/>
          <w:spacing w:val="-7"/>
          <w:sz w:val="20"/>
          <w:vertAlign w:val="baseline"/>
        </w:rPr>
        <w:t> </w:t>
      </w:r>
      <w:r>
        <w:rPr>
          <w:rFonts w:ascii="Calibri"/>
          <w:sz w:val="20"/>
          <w:vertAlign w:val="baseline"/>
        </w:rPr>
        <w:t>directors.</w:t>
      </w:r>
      <w:r>
        <w:rPr>
          <w:rFonts w:ascii="Calibri"/>
          <w:spacing w:val="-7"/>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ss.</w:t>
      </w:r>
      <w:r>
        <w:rPr>
          <w:rFonts w:ascii="Calibri"/>
          <w:spacing w:val="-2"/>
          <w:sz w:val="20"/>
          <w:vertAlign w:val="baseline"/>
        </w:rPr>
        <w:t> </w:t>
      </w:r>
      <w:r>
        <w:rPr>
          <w:rFonts w:ascii="Calibri"/>
          <w:sz w:val="20"/>
          <w:vertAlign w:val="baseline"/>
        </w:rPr>
        <w:t>155,</w:t>
      </w:r>
      <w:r>
        <w:rPr>
          <w:rFonts w:ascii="Calibri"/>
          <w:spacing w:val="-10"/>
          <w:sz w:val="20"/>
          <w:vertAlign w:val="baseline"/>
        </w:rPr>
        <w:t> </w:t>
      </w:r>
      <w:r>
        <w:rPr>
          <w:rFonts w:ascii="Calibri"/>
          <w:sz w:val="20"/>
          <w:vertAlign w:val="baseline"/>
        </w:rPr>
        <w:t>164</w:t>
      </w:r>
      <w:r>
        <w:rPr>
          <w:rFonts w:ascii="Calibri"/>
          <w:spacing w:val="-5"/>
          <w:sz w:val="20"/>
          <w:vertAlign w:val="baseline"/>
        </w:rPr>
        <w:t> </w:t>
      </w:r>
      <w:r>
        <w:rPr>
          <w:rFonts w:ascii="Calibri"/>
          <w:sz w:val="20"/>
          <w:vertAlign w:val="baseline"/>
        </w:rPr>
        <w:t>and</w:t>
      </w:r>
      <w:r>
        <w:rPr>
          <w:rFonts w:ascii="Calibri"/>
          <w:spacing w:val="-4"/>
          <w:sz w:val="20"/>
          <w:vertAlign w:val="baseline"/>
        </w:rPr>
        <w:t> </w:t>
      </w:r>
      <w:r>
        <w:rPr>
          <w:rFonts w:ascii="Calibri"/>
          <w:spacing w:val="-2"/>
          <w:sz w:val="20"/>
          <w:vertAlign w:val="baseline"/>
        </w:rPr>
        <w:t>251(3).</w:t>
      </w:r>
    </w:p>
    <w:p>
      <w:pPr>
        <w:spacing w:line="240" w:lineRule="auto" w:before="0"/>
        <w:ind w:left="308" w:right="0" w:firstLine="0"/>
        <w:jc w:val="left"/>
        <w:rPr>
          <w:rFonts w:ascii="Calibri"/>
          <w:sz w:val="20"/>
        </w:rPr>
      </w:pPr>
      <w:r>
        <w:rPr>
          <w:rFonts w:ascii="Calibri"/>
          <w:sz w:val="20"/>
          <w:vertAlign w:val="superscript"/>
        </w:rPr>
        <w:t>12</w:t>
      </w:r>
      <w:r>
        <w:rPr>
          <w:rFonts w:ascii="Calibri"/>
          <w:sz w:val="20"/>
          <w:vertAlign w:val="baseline"/>
        </w:rPr>
        <w:t>Ogbuanya, N.C.S. (2010).</w:t>
      </w:r>
      <w:r>
        <w:rPr>
          <w:rFonts w:ascii="Calibri"/>
          <w:i/>
          <w:sz w:val="20"/>
          <w:vertAlign w:val="baseline"/>
        </w:rPr>
        <w:t>Essentials of Corporate Law Practice in Nigeria.</w:t>
      </w:r>
      <w:r>
        <w:rPr>
          <w:rFonts w:ascii="Calibri"/>
          <w:sz w:val="20"/>
          <w:vertAlign w:val="baseline"/>
        </w:rPr>
        <w:t>Novena Publishers Ltd., Lagos, </w:t>
      </w:r>
      <w:r>
        <w:rPr>
          <w:rFonts w:ascii="Calibri"/>
          <w:spacing w:val="-2"/>
          <w:sz w:val="20"/>
          <w:vertAlign w:val="baseline"/>
        </w:rPr>
        <w:t>p.324.</w:t>
      </w:r>
    </w:p>
    <w:p>
      <w:pPr>
        <w:spacing w:before="0"/>
        <w:ind w:left="308" w:right="0" w:firstLine="0"/>
        <w:jc w:val="left"/>
        <w:rPr>
          <w:rFonts w:ascii="Calibri"/>
          <w:sz w:val="20"/>
        </w:rPr>
      </w:pPr>
      <w:r>
        <w:rPr>
          <w:rFonts w:ascii="Calibri"/>
          <w:sz w:val="20"/>
          <w:vertAlign w:val="superscript"/>
        </w:rPr>
        <w:t>13</w:t>
      </w:r>
      <w:r>
        <w:rPr>
          <w:rFonts w:ascii="Calibri"/>
          <w:sz w:val="20"/>
          <w:vertAlign w:val="baseline"/>
        </w:rPr>
        <w:t>Ibid.,</w:t>
      </w:r>
      <w:r>
        <w:rPr>
          <w:rFonts w:ascii="Calibri"/>
          <w:spacing w:val="-2"/>
          <w:sz w:val="20"/>
          <w:vertAlign w:val="baseline"/>
        </w:rPr>
        <w:t> </w:t>
      </w:r>
      <w:r>
        <w:rPr>
          <w:rFonts w:ascii="Calibri"/>
          <w:sz w:val="20"/>
          <w:vertAlign w:val="baseline"/>
        </w:rPr>
        <w:t>p.</w:t>
      </w:r>
      <w:r>
        <w:rPr>
          <w:rFonts w:ascii="Calibri"/>
          <w:spacing w:val="-3"/>
          <w:sz w:val="20"/>
          <w:vertAlign w:val="baseline"/>
        </w:rPr>
        <w:t> </w:t>
      </w:r>
      <w:r>
        <w:rPr>
          <w:rFonts w:ascii="Calibri"/>
          <w:spacing w:val="-4"/>
          <w:sz w:val="20"/>
          <w:vertAlign w:val="baseline"/>
        </w:rPr>
        <w:t>323.</w:t>
      </w:r>
    </w:p>
    <w:p>
      <w:pPr>
        <w:spacing w:before="1"/>
        <w:ind w:left="308" w:right="0" w:firstLine="0"/>
        <w:jc w:val="left"/>
        <w:rPr>
          <w:rFonts w:ascii="Calibri" w:hAnsi="Calibri"/>
          <w:sz w:val="20"/>
        </w:rPr>
      </w:pPr>
      <w:r>
        <w:rPr>
          <w:rFonts w:ascii="Calibri" w:hAnsi="Calibri"/>
          <w:sz w:val="20"/>
          <w:vertAlign w:val="superscript"/>
        </w:rPr>
        <w:t>14</w:t>
      </w:r>
      <w:r>
        <w:rPr>
          <w:rFonts w:ascii="Calibri" w:hAnsi="Calibri"/>
          <w:sz w:val="20"/>
          <w:vertAlign w:val="baseline"/>
        </w:rPr>
        <w:t> This</w:t>
      </w:r>
      <w:r>
        <w:rPr>
          <w:rFonts w:ascii="Calibri" w:hAnsi="Calibri"/>
          <w:spacing w:val="-4"/>
          <w:sz w:val="20"/>
          <w:vertAlign w:val="baseline"/>
        </w:rPr>
        <w:t> </w:t>
      </w:r>
      <w:r>
        <w:rPr>
          <w:rFonts w:ascii="Calibri" w:hAnsi="Calibri"/>
          <w:sz w:val="20"/>
          <w:vertAlign w:val="baseline"/>
        </w:rPr>
        <w:t>is</w:t>
      </w:r>
      <w:r>
        <w:rPr>
          <w:rFonts w:ascii="Calibri" w:hAnsi="Calibri"/>
          <w:spacing w:val="-4"/>
          <w:sz w:val="20"/>
          <w:vertAlign w:val="baseline"/>
        </w:rPr>
        <w:t> </w:t>
      </w:r>
      <w:r>
        <w:rPr>
          <w:rFonts w:ascii="Calibri" w:hAnsi="Calibri"/>
          <w:sz w:val="20"/>
          <w:vertAlign w:val="baseline"/>
        </w:rPr>
        <w:t>true</w:t>
      </w:r>
      <w:r>
        <w:rPr>
          <w:rFonts w:ascii="Calibri" w:hAnsi="Calibri"/>
          <w:spacing w:val="-1"/>
          <w:sz w:val="20"/>
          <w:vertAlign w:val="baseline"/>
        </w:rPr>
        <w:t> </w:t>
      </w:r>
      <w:r>
        <w:rPr>
          <w:rFonts w:ascii="Calibri" w:hAnsi="Calibri"/>
          <w:sz w:val="20"/>
          <w:vertAlign w:val="baseline"/>
        </w:rPr>
        <w:t>of</w:t>
      </w:r>
      <w:r>
        <w:rPr>
          <w:rFonts w:ascii="Calibri" w:hAnsi="Calibri"/>
          <w:spacing w:val="-1"/>
          <w:sz w:val="20"/>
          <w:vertAlign w:val="baseline"/>
        </w:rPr>
        <w:t> </w:t>
      </w:r>
      <w:r>
        <w:rPr>
          <w:rFonts w:ascii="Calibri" w:hAnsi="Calibri"/>
          <w:sz w:val="20"/>
          <w:vertAlign w:val="baseline"/>
        </w:rPr>
        <w:t>the</w:t>
      </w:r>
      <w:r>
        <w:rPr>
          <w:rFonts w:ascii="Calibri" w:hAnsi="Calibri"/>
          <w:spacing w:val="-1"/>
          <w:sz w:val="20"/>
          <w:vertAlign w:val="baseline"/>
        </w:rPr>
        <w:t> </w:t>
      </w:r>
      <w:r>
        <w:rPr>
          <w:rFonts w:ascii="Calibri" w:hAnsi="Calibri"/>
          <w:sz w:val="20"/>
          <w:vertAlign w:val="baseline"/>
        </w:rPr>
        <w:t>CA,</w:t>
      </w:r>
      <w:r>
        <w:rPr>
          <w:rFonts w:ascii="Calibri" w:hAnsi="Calibri"/>
          <w:spacing w:val="-4"/>
          <w:sz w:val="20"/>
          <w:vertAlign w:val="baseline"/>
        </w:rPr>
        <w:t> </w:t>
      </w:r>
      <w:r>
        <w:rPr>
          <w:rFonts w:ascii="Calibri" w:hAnsi="Calibri"/>
          <w:sz w:val="20"/>
          <w:vertAlign w:val="baseline"/>
        </w:rPr>
        <w:t>for example. See</w:t>
      </w:r>
      <w:r>
        <w:rPr>
          <w:rFonts w:ascii="Calibri" w:hAnsi="Calibri"/>
          <w:spacing w:val="-1"/>
          <w:sz w:val="20"/>
          <w:vertAlign w:val="baseline"/>
        </w:rPr>
        <w:t> </w:t>
      </w:r>
      <w:r>
        <w:rPr>
          <w:rFonts w:ascii="Calibri" w:hAnsi="Calibri"/>
          <w:sz w:val="20"/>
          <w:vertAlign w:val="baseline"/>
        </w:rPr>
        <w:t>Birds,</w:t>
      </w:r>
      <w:r>
        <w:rPr>
          <w:rFonts w:ascii="Calibri" w:hAnsi="Calibri"/>
          <w:spacing w:val="-4"/>
          <w:sz w:val="20"/>
          <w:vertAlign w:val="baseline"/>
        </w:rPr>
        <w:t> </w:t>
      </w:r>
      <w:r>
        <w:rPr>
          <w:rFonts w:ascii="Calibri" w:hAnsi="Calibri"/>
          <w:sz w:val="20"/>
          <w:vertAlign w:val="baseline"/>
        </w:rPr>
        <w:t>J. et</w:t>
      </w:r>
      <w:r>
        <w:rPr>
          <w:rFonts w:ascii="Calibri" w:hAnsi="Calibri"/>
          <w:spacing w:val="-1"/>
          <w:sz w:val="20"/>
          <w:vertAlign w:val="baseline"/>
        </w:rPr>
        <w:t> </w:t>
      </w:r>
      <w:r>
        <w:rPr>
          <w:rFonts w:ascii="Calibri" w:hAnsi="Calibri"/>
          <w:sz w:val="20"/>
          <w:vertAlign w:val="baseline"/>
        </w:rPr>
        <w:t>al. (2011).</w:t>
      </w:r>
      <w:r>
        <w:rPr>
          <w:rFonts w:ascii="Calibri" w:hAnsi="Calibri"/>
          <w:i/>
          <w:sz w:val="20"/>
          <w:vertAlign w:val="baseline"/>
        </w:rPr>
        <w:t>Boyle</w:t>
      </w:r>
      <w:r>
        <w:rPr>
          <w:rFonts w:ascii="Calibri" w:hAnsi="Calibri"/>
          <w:i/>
          <w:spacing w:val="-2"/>
          <w:sz w:val="20"/>
          <w:vertAlign w:val="baseline"/>
        </w:rPr>
        <w:t> </w:t>
      </w:r>
      <w:r>
        <w:rPr>
          <w:rFonts w:ascii="Calibri" w:hAnsi="Calibri"/>
          <w:i/>
          <w:sz w:val="20"/>
          <w:vertAlign w:val="baseline"/>
        </w:rPr>
        <w:t>and Birds’</w:t>
      </w:r>
      <w:r>
        <w:rPr>
          <w:rFonts w:ascii="Calibri" w:hAnsi="Calibri"/>
          <w:i/>
          <w:spacing w:val="-4"/>
          <w:sz w:val="20"/>
          <w:vertAlign w:val="baseline"/>
        </w:rPr>
        <w:t> </w:t>
      </w:r>
      <w:r>
        <w:rPr>
          <w:rFonts w:ascii="Calibri" w:hAnsi="Calibri"/>
          <w:i/>
          <w:sz w:val="20"/>
          <w:vertAlign w:val="baseline"/>
        </w:rPr>
        <w:t>Company</w:t>
      </w:r>
      <w:r>
        <w:rPr>
          <w:rFonts w:ascii="Calibri" w:hAnsi="Calibri"/>
          <w:i/>
          <w:spacing w:val="-1"/>
          <w:sz w:val="20"/>
          <w:vertAlign w:val="baseline"/>
        </w:rPr>
        <w:t> </w:t>
      </w:r>
      <w:r>
        <w:rPr>
          <w:rFonts w:ascii="Calibri" w:hAnsi="Calibri"/>
          <w:i/>
          <w:sz w:val="20"/>
          <w:vertAlign w:val="baseline"/>
        </w:rPr>
        <w:t>Law,</w:t>
      </w:r>
      <w:r>
        <w:rPr>
          <w:rFonts w:ascii="Calibri" w:hAnsi="Calibri"/>
          <w:i/>
          <w:spacing w:val="-1"/>
          <w:sz w:val="20"/>
          <w:vertAlign w:val="baseline"/>
        </w:rPr>
        <w:t> </w:t>
      </w:r>
      <w:r>
        <w:rPr>
          <w:rFonts w:ascii="Calibri" w:hAnsi="Calibri"/>
          <w:sz w:val="20"/>
          <w:vertAlign w:val="baseline"/>
        </w:rPr>
        <w:t>8</w:t>
      </w:r>
      <w:r>
        <w:rPr>
          <w:rFonts w:ascii="Calibri" w:hAnsi="Calibri"/>
          <w:sz w:val="20"/>
          <w:vertAlign w:val="superscript"/>
        </w:rPr>
        <w:t>th</w:t>
      </w:r>
      <w:r>
        <w:rPr>
          <w:rFonts w:ascii="Calibri" w:hAnsi="Calibri"/>
          <w:spacing w:val="-2"/>
          <w:sz w:val="20"/>
          <w:vertAlign w:val="baseline"/>
        </w:rPr>
        <w:t> </w:t>
      </w:r>
      <w:r>
        <w:rPr>
          <w:rFonts w:ascii="Calibri" w:hAnsi="Calibri"/>
          <w:sz w:val="20"/>
          <w:vertAlign w:val="baseline"/>
        </w:rPr>
        <w:t>edition, Jordan Publishing Limited, Bristol, p. 578.</w:t>
      </w:r>
    </w:p>
    <w:p>
      <w:pPr>
        <w:spacing w:before="1"/>
        <w:ind w:left="308" w:right="0" w:firstLine="0"/>
        <w:jc w:val="left"/>
        <w:rPr>
          <w:rFonts w:ascii="Calibri"/>
          <w:sz w:val="20"/>
        </w:rPr>
      </w:pPr>
      <w:r>
        <w:rPr>
          <w:rFonts w:ascii="Calibri"/>
          <w:sz w:val="20"/>
          <w:vertAlign w:val="superscript"/>
        </w:rPr>
        <w:t>15</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s.248</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5"/>
          <w:sz w:val="20"/>
          <w:vertAlign w:val="baseline"/>
        </w:rPr>
        <w:t> </w:t>
      </w:r>
      <w:r>
        <w:rPr>
          <w:rFonts w:ascii="Calibri"/>
          <w:spacing w:val="-4"/>
          <w:sz w:val="20"/>
          <w:vertAlign w:val="baseline"/>
        </w:rPr>
        <w:t>CAMA.</w:t>
      </w:r>
    </w:p>
    <w:p>
      <w:pPr>
        <w:spacing w:before="0"/>
        <w:ind w:left="308" w:right="0" w:firstLine="0"/>
        <w:jc w:val="left"/>
        <w:rPr>
          <w:rFonts w:ascii="Calibri"/>
          <w:sz w:val="20"/>
        </w:rPr>
      </w:pPr>
      <w:r>
        <w:rPr>
          <w:rFonts w:ascii="Calibri"/>
          <w:sz w:val="20"/>
          <w:vertAlign w:val="superscript"/>
        </w:rPr>
        <w:t>16</w:t>
      </w:r>
      <w:r>
        <w:rPr>
          <w:rFonts w:ascii="Calibri"/>
          <w:spacing w:val="-1"/>
          <w:sz w:val="20"/>
          <w:vertAlign w:val="baseline"/>
        </w:rPr>
        <w:t> </w:t>
      </w:r>
      <w:r>
        <w:rPr>
          <w:rFonts w:ascii="Calibri"/>
          <w:sz w:val="20"/>
          <w:vertAlign w:val="baseline"/>
        </w:rPr>
        <w:t>As</w:t>
      </w:r>
      <w:r>
        <w:rPr>
          <w:rFonts w:ascii="Calibri"/>
          <w:spacing w:val="-4"/>
          <w:sz w:val="20"/>
          <w:vertAlign w:val="baseline"/>
        </w:rPr>
        <w:t> </w:t>
      </w:r>
      <w:r>
        <w:rPr>
          <w:rFonts w:ascii="Calibri"/>
          <w:sz w:val="20"/>
          <w:vertAlign w:val="baseline"/>
        </w:rPr>
        <w:t>does</w:t>
      </w:r>
      <w:r>
        <w:rPr>
          <w:rFonts w:ascii="Calibri"/>
          <w:spacing w:val="-3"/>
          <w:sz w:val="20"/>
          <w:vertAlign w:val="baseline"/>
        </w:rPr>
        <w:t> </w:t>
      </w:r>
      <w:r>
        <w:rPr>
          <w:rFonts w:ascii="Calibri"/>
          <w:sz w:val="20"/>
          <w:vertAlign w:val="baseline"/>
        </w:rPr>
        <w:t>s.168(3)</w:t>
      </w:r>
      <w:r>
        <w:rPr>
          <w:rFonts w:ascii="Calibri"/>
          <w:spacing w:val="-5"/>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the</w:t>
      </w:r>
      <w:r>
        <w:rPr>
          <w:rFonts w:ascii="Calibri"/>
          <w:spacing w:val="-2"/>
          <w:sz w:val="20"/>
          <w:vertAlign w:val="baseline"/>
        </w:rPr>
        <w:t> </w:t>
      </w:r>
      <w:r>
        <w:rPr>
          <w:rFonts w:ascii="Calibri"/>
          <w:spacing w:val="-5"/>
          <w:sz w:val="20"/>
          <w:vertAlign w:val="baseline"/>
        </w:rPr>
        <w:t>CA.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4"/>
        <w:jc w:val="both"/>
      </w:pPr>
      <w:r>
        <w:rPr/>
        <w:t>person so appointed becomes a </w:t>
      </w:r>
      <w:r>
        <w:rPr>
          <w:i/>
        </w:rPr>
        <w:t>director </w:t>
      </w:r>
      <w:r>
        <w:rPr/>
        <w:t>to all intents and purposes for the duration of the period before the next annual general meeting.</w:t>
      </w:r>
      <w:r>
        <w:rPr>
          <w:vertAlign w:val="superscript"/>
        </w:rPr>
        <w:t>17</w:t>
      </w:r>
    </w:p>
    <w:p>
      <w:pPr>
        <w:pStyle w:val="BodyText"/>
        <w:spacing w:line="480" w:lineRule="auto"/>
        <w:ind w:right="234" w:firstLine="720"/>
        <w:jc w:val="both"/>
      </w:pPr>
      <w:r>
        <w:rPr/>
        <w:t>Again, even where a company does not officially appoint someone to the office of director, but holds him out as one or lets third parties assume he is that company‘s director, the law shall deem him as such for the purposes of any acts he may carry out for and on behalf of that company.</w:t>
      </w:r>
      <w:r>
        <w:rPr>
          <w:vertAlign w:val="superscript"/>
        </w:rPr>
        <w:t>18</w:t>
      </w:r>
      <w:r>
        <w:rPr>
          <w:vertAlign w:val="baseline"/>
        </w:rPr>
        <w:t> In such a situation, s.250 of the CAMA says that the company shall be bound by the acts of the person in question.</w:t>
      </w:r>
    </w:p>
    <w:p>
      <w:pPr>
        <w:pStyle w:val="BodyText"/>
        <w:spacing w:line="480" w:lineRule="auto" w:before="1"/>
        <w:ind w:right="235" w:firstLine="720"/>
        <w:jc w:val="both"/>
      </w:pPr>
      <w:r>
        <w:rPr/>
        <w:t>Upon careful scrutiny, it would seem that, in determining the question whether</w:t>
      </w:r>
      <w:r>
        <w:rPr>
          <w:spacing w:val="40"/>
        </w:rPr>
        <w:t> </w:t>
      </w:r>
      <w:r>
        <w:rPr/>
        <w:t>or not a certain person is a director, the law lays more emphasis on what a certain</w:t>
      </w:r>
      <w:r>
        <w:rPr>
          <w:spacing w:val="40"/>
        </w:rPr>
        <w:t> </w:t>
      </w:r>
      <w:r>
        <w:rPr/>
        <w:t>officer does, rather than his particular designation within the organization. In interpreting</w:t>
      </w:r>
      <w:r>
        <w:rPr>
          <w:spacing w:val="-2"/>
        </w:rPr>
        <w:t> </w:t>
      </w:r>
      <w:r>
        <w:rPr/>
        <w:t>the</w:t>
      </w:r>
      <w:r>
        <w:rPr>
          <w:spacing w:val="-1"/>
        </w:rPr>
        <w:t> </w:t>
      </w:r>
      <w:r>
        <w:rPr/>
        <w:t>term</w:t>
      </w:r>
      <w:r>
        <w:rPr>
          <w:spacing w:val="-5"/>
        </w:rPr>
        <w:t> </w:t>
      </w:r>
      <w:r>
        <w:rPr>
          <w:i/>
        </w:rPr>
        <w:t>director</w:t>
      </w:r>
      <w:r>
        <w:rPr/>
        <w:t>,</w:t>
      </w:r>
      <w:r>
        <w:rPr>
          <w:spacing w:val="2"/>
        </w:rPr>
        <w:t> </w:t>
      </w:r>
      <w:r>
        <w:rPr/>
        <w:t>s.567 of</w:t>
      </w:r>
      <w:r>
        <w:rPr>
          <w:spacing w:val="-7"/>
        </w:rPr>
        <w:t> </w:t>
      </w:r>
      <w:r>
        <w:rPr/>
        <w:t>the</w:t>
      </w:r>
      <w:r>
        <w:rPr>
          <w:spacing w:val="-1"/>
        </w:rPr>
        <w:t> </w:t>
      </w:r>
      <w:r>
        <w:rPr/>
        <w:t>CAMA,</w:t>
      </w:r>
      <w:r>
        <w:rPr>
          <w:spacing w:val="7"/>
        </w:rPr>
        <w:t> </w:t>
      </w:r>
      <w:r>
        <w:rPr/>
        <w:t>like</w:t>
      </w:r>
      <w:r>
        <w:rPr>
          <w:spacing w:val="-1"/>
        </w:rPr>
        <w:t> </w:t>
      </w:r>
      <w:r>
        <w:rPr/>
        <w:t>s.250 of</w:t>
      </w:r>
      <w:r>
        <w:rPr>
          <w:spacing w:val="-7"/>
        </w:rPr>
        <w:t> </w:t>
      </w:r>
      <w:r>
        <w:rPr/>
        <w:t>the</w:t>
      </w:r>
      <w:r>
        <w:rPr>
          <w:spacing w:val="1"/>
        </w:rPr>
        <w:t> </w:t>
      </w:r>
      <w:r>
        <w:rPr/>
        <w:t>CA,</w:t>
      </w:r>
      <w:r>
        <w:rPr>
          <w:spacing w:val="2"/>
        </w:rPr>
        <w:t> </w:t>
      </w:r>
      <w:r>
        <w:rPr/>
        <w:t>says</w:t>
      </w:r>
      <w:r>
        <w:rPr>
          <w:spacing w:val="8"/>
        </w:rPr>
        <w:t> </w:t>
      </w:r>
      <w:r>
        <w:rPr/>
        <w:t>it</w:t>
      </w:r>
      <w:r>
        <w:rPr>
          <w:spacing w:val="10"/>
        </w:rPr>
        <w:t> </w:t>
      </w:r>
      <w:r>
        <w:rPr>
          <w:spacing w:val="-2"/>
        </w:rPr>
        <w:t>includes</w:t>
      </w:r>
    </w:p>
    <w:p>
      <w:pPr>
        <w:pStyle w:val="BodyText"/>
        <w:spacing w:line="480" w:lineRule="auto" w:before="1"/>
        <w:ind w:right="234"/>
        <w:jc w:val="both"/>
      </w:pPr>
      <w:r>
        <w:rPr/>
        <w:t>―any person occupying the position of director, by whatever name called‖. This effectively makes irrelevant the exact name by which a person occupying the office is called, so long as he fits the description. In business climes today, there is a</w:t>
      </w:r>
      <w:r>
        <w:rPr>
          <w:spacing w:val="80"/>
        </w:rPr>
        <w:t> </w:t>
      </w:r>
      <w:r>
        <w:rPr/>
        <w:t>proliferation of titles by which holders of such an office are called within the organization. Titles such as president, CEO, manager, managing partner, governor, monitor, even trustee have, at some point, somehow found their way in corporate </w:t>
      </w:r>
      <w:r>
        <w:rPr>
          <w:spacing w:val="-2"/>
        </w:rPr>
        <w:t>governance.</w:t>
      </w:r>
    </w:p>
    <w:p>
      <w:pPr>
        <w:pStyle w:val="BodyText"/>
        <w:spacing w:line="480" w:lineRule="auto" w:before="1"/>
        <w:ind w:right="233" w:firstLine="720"/>
        <w:jc w:val="both"/>
      </w:pPr>
      <w:r>
        <w:rPr/>
        <w:t>Jesse, M.R. in </w:t>
      </w:r>
      <w:r>
        <w:rPr>
          <w:b/>
        </w:rPr>
        <w:t>Re Forest of Dean Coal Mining Co.</w:t>
      </w:r>
      <w:r>
        <w:rPr>
          <w:vertAlign w:val="superscript"/>
        </w:rPr>
        <w:t>19</w:t>
      </w:r>
      <w:r>
        <w:rPr>
          <w:vertAlign w:val="baseline"/>
        </w:rPr>
        <w:t>likewise observed, regarding directors, that ―…it does not matter what you call them, so long as you understand what their true position is, which is that they are really commercial men managing a trading concern for the benefit of themselves and of all other shareholders</w:t>
      </w:r>
      <w:r>
        <w:rPr>
          <w:spacing w:val="40"/>
          <w:vertAlign w:val="baseline"/>
        </w:rPr>
        <w:t> </w:t>
      </w:r>
      <w:r>
        <w:rPr>
          <w:vertAlign w:val="baseline"/>
        </w:rPr>
        <w:t>in it.‖</w:t>
      </w:r>
      <w:r>
        <w:rPr>
          <w:vertAlign w:val="superscript"/>
        </w:rPr>
        <w:t>20</w:t>
      </w:r>
    </w:p>
    <w:p>
      <w:pPr>
        <w:pStyle w:val="BodyText"/>
        <w:spacing w:before="1"/>
        <w:ind w:left="0"/>
        <w:rPr>
          <w:sz w:val="17"/>
        </w:rPr>
      </w:pPr>
      <w:r>
        <w:rPr/>
        <mc:AlternateContent>
          <mc:Choice Requires="wps">
            <w:drawing>
              <wp:anchor distT="0" distB="0" distL="0" distR="0" allowOverlap="1" layoutInCell="1" locked="0" behindDoc="1" simplePos="0" relativeHeight="487621120">
                <wp:simplePos x="0" y="0"/>
                <wp:positionH relativeFrom="page">
                  <wp:posOffset>1262481</wp:posOffset>
                </wp:positionH>
                <wp:positionV relativeFrom="paragraph">
                  <wp:posOffset>140511</wp:posOffset>
                </wp:positionV>
                <wp:extent cx="1829435" cy="9525"/>
                <wp:effectExtent l="0" t="0" r="0" b="0"/>
                <wp:wrapTopAndBottom/>
                <wp:docPr id="68" name="Graphic 68"/>
                <wp:cNvGraphicFramePr>
                  <a:graphicFrameLocks/>
                </wp:cNvGraphicFramePr>
                <a:graphic>
                  <a:graphicData uri="http://schemas.microsoft.com/office/word/2010/wordprocessingShape">
                    <wps:wsp>
                      <wps:cNvPr id="68" name="Graphic 68"/>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063876pt;width:144.050pt;height:.72003pt;mso-position-horizontal-relative:page;mso-position-vertical-relative:paragraph;z-index:-15695360;mso-wrap-distance-left:0;mso-wrap-distance-right:0" id="docshape23"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17</w:t>
      </w:r>
      <w:r>
        <w:rPr>
          <w:rFonts w:ascii="Calibri"/>
          <w:spacing w:val="1"/>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s.249(2)</w:t>
      </w:r>
      <w:r>
        <w:rPr>
          <w:rFonts w:ascii="Calibri"/>
          <w:spacing w:val="-3"/>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5"/>
          <w:sz w:val="20"/>
          <w:vertAlign w:val="baseline"/>
        </w:rPr>
        <w:t> </w:t>
      </w:r>
      <w:r>
        <w:rPr>
          <w:rFonts w:ascii="Calibri"/>
          <w:spacing w:val="-4"/>
          <w:sz w:val="20"/>
          <w:vertAlign w:val="baseline"/>
        </w:rPr>
        <w:t>CAMA.</w:t>
      </w:r>
    </w:p>
    <w:p>
      <w:pPr>
        <w:spacing w:before="1"/>
        <w:ind w:left="308" w:right="0" w:firstLine="0"/>
        <w:jc w:val="left"/>
        <w:rPr>
          <w:rFonts w:ascii="Calibri"/>
          <w:sz w:val="20"/>
        </w:rPr>
      </w:pPr>
      <w:r>
        <w:rPr>
          <w:rFonts w:ascii="Calibri"/>
          <w:sz w:val="20"/>
          <w:vertAlign w:val="superscript"/>
        </w:rPr>
        <w:t>18</w:t>
      </w:r>
      <w:r>
        <w:rPr>
          <w:rFonts w:ascii="Calibri"/>
          <w:spacing w:val="-1"/>
          <w:sz w:val="20"/>
          <w:vertAlign w:val="baseline"/>
        </w:rPr>
        <w:t> </w:t>
      </w:r>
      <w:r>
        <w:rPr>
          <w:rFonts w:ascii="Calibri"/>
          <w:sz w:val="20"/>
          <w:vertAlign w:val="baseline"/>
        </w:rPr>
        <w:t>Such</w:t>
      </w:r>
      <w:r>
        <w:rPr>
          <w:rFonts w:ascii="Calibri"/>
          <w:spacing w:val="-7"/>
          <w:sz w:val="20"/>
          <w:vertAlign w:val="baseline"/>
        </w:rPr>
        <w:t> </w:t>
      </w:r>
      <w:r>
        <w:rPr>
          <w:rFonts w:ascii="Calibri"/>
          <w:sz w:val="20"/>
          <w:vertAlign w:val="baseline"/>
        </w:rPr>
        <w:t>a</w:t>
      </w:r>
      <w:r>
        <w:rPr>
          <w:rFonts w:ascii="Calibri"/>
          <w:spacing w:val="-4"/>
          <w:sz w:val="20"/>
          <w:vertAlign w:val="baseline"/>
        </w:rPr>
        <w:t> </w:t>
      </w:r>
      <w:r>
        <w:rPr>
          <w:rFonts w:ascii="Calibri"/>
          <w:sz w:val="20"/>
          <w:vertAlign w:val="baseline"/>
        </w:rPr>
        <w:t>person</w:t>
      </w:r>
      <w:r>
        <w:rPr>
          <w:rFonts w:ascii="Calibri"/>
          <w:spacing w:val="-7"/>
          <w:sz w:val="20"/>
          <w:vertAlign w:val="baseline"/>
        </w:rPr>
        <w:t> </w:t>
      </w:r>
      <w:r>
        <w:rPr>
          <w:rFonts w:ascii="Calibri"/>
          <w:sz w:val="20"/>
          <w:vertAlign w:val="baseline"/>
        </w:rPr>
        <w:t>may</w:t>
      </w:r>
      <w:r>
        <w:rPr>
          <w:rFonts w:ascii="Calibri"/>
          <w:spacing w:val="-7"/>
          <w:sz w:val="20"/>
          <w:vertAlign w:val="baseline"/>
        </w:rPr>
        <w:t> </w:t>
      </w:r>
      <w:r>
        <w:rPr>
          <w:rFonts w:ascii="Calibri"/>
          <w:sz w:val="20"/>
          <w:vertAlign w:val="baseline"/>
        </w:rPr>
        <w:t>also</w:t>
      </w:r>
      <w:r>
        <w:rPr>
          <w:rFonts w:ascii="Calibri"/>
          <w:spacing w:val="-4"/>
          <w:sz w:val="20"/>
          <w:vertAlign w:val="baseline"/>
        </w:rPr>
        <w:t> </w:t>
      </w:r>
      <w:r>
        <w:rPr>
          <w:rFonts w:ascii="Calibri"/>
          <w:sz w:val="20"/>
          <w:vertAlign w:val="baseline"/>
        </w:rPr>
        <w:t>be</w:t>
      </w:r>
      <w:r>
        <w:rPr>
          <w:rFonts w:ascii="Calibri"/>
          <w:spacing w:val="-6"/>
          <w:sz w:val="20"/>
          <w:vertAlign w:val="baseline"/>
        </w:rPr>
        <w:t> </w:t>
      </w:r>
      <w:r>
        <w:rPr>
          <w:rFonts w:ascii="Calibri"/>
          <w:sz w:val="20"/>
          <w:vertAlign w:val="baseline"/>
        </w:rPr>
        <w:t>a</w:t>
      </w:r>
      <w:r>
        <w:rPr>
          <w:rFonts w:ascii="Calibri"/>
          <w:spacing w:val="-7"/>
          <w:sz w:val="20"/>
          <w:vertAlign w:val="baseline"/>
        </w:rPr>
        <w:t> </w:t>
      </w:r>
      <w:r>
        <w:rPr>
          <w:rFonts w:ascii="Calibri"/>
          <w:sz w:val="20"/>
          <w:vertAlign w:val="baseline"/>
        </w:rPr>
        <w:t>director</w:t>
      </w:r>
      <w:r>
        <w:rPr>
          <w:rFonts w:ascii="Calibri"/>
          <w:spacing w:val="-2"/>
          <w:sz w:val="20"/>
          <w:vertAlign w:val="baseline"/>
        </w:rPr>
        <w:t> </w:t>
      </w:r>
      <w:r>
        <w:rPr>
          <w:rFonts w:ascii="Calibri"/>
          <w:i/>
          <w:sz w:val="20"/>
          <w:vertAlign w:val="baseline"/>
        </w:rPr>
        <w:t>by</w:t>
      </w:r>
      <w:r>
        <w:rPr>
          <w:rFonts w:ascii="Calibri"/>
          <w:i/>
          <w:spacing w:val="-6"/>
          <w:sz w:val="20"/>
          <w:vertAlign w:val="baseline"/>
        </w:rPr>
        <w:t> </w:t>
      </w:r>
      <w:r>
        <w:rPr>
          <w:rFonts w:ascii="Calibri"/>
          <w:i/>
          <w:sz w:val="20"/>
          <w:vertAlign w:val="baseline"/>
        </w:rPr>
        <w:t>estoppel</w:t>
      </w:r>
      <w:r>
        <w:rPr>
          <w:rFonts w:ascii="Calibri"/>
          <w:sz w:val="20"/>
          <w:vertAlign w:val="baseline"/>
        </w:rPr>
        <w:t>,</w:t>
      </w:r>
      <w:r>
        <w:rPr>
          <w:rFonts w:ascii="Calibri"/>
          <w:spacing w:val="-5"/>
          <w:sz w:val="20"/>
          <w:vertAlign w:val="baseline"/>
        </w:rPr>
        <w:t> </w:t>
      </w:r>
      <w:r>
        <w:rPr>
          <w:rFonts w:ascii="Calibri"/>
          <w:sz w:val="20"/>
          <w:vertAlign w:val="baseline"/>
        </w:rPr>
        <w:t>discussed</w:t>
      </w:r>
      <w:r>
        <w:rPr>
          <w:rFonts w:ascii="Calibri"/>
          <w:spacing w:val="-7"/>
          <w:sz w:val="20"/>
          <w:vertAlign w:val="baseline"/>
        </w:rPr>
        <w:t> </w:t>
      </w:r>
      <w:r>
        <w:rPr>
          <w:rFonts w:ascii="Calibri"/>
          <w:sz w:val="20"/>
          <w:vertAlign w:val="baseline"/>
        </w:rPr>
        <w:t>under </w:t>
      </w:r>
      <w:r>
        <w:rPr>
          <w:rFonts w:ascii="Calibri"/>
          <w:b/>
          <w:sz w:val="20"/>
          <w:vertAlign w:val="baseline"/>
        </w:rPr>
        <w:t>2.5</w:t>
      </w:r>
      <w:r>
        <w:rPr>
          <w:rFonts w:ascii="Calibri"/>
          <w:b/>
          <w:spacing w:val="-8"/>
          <w:sz w:val="20"/>
          <w:vertAlign w:val="baseline"/>
        </w:rPr>
        <w:t> </w:t>
      </w:r>
      <w:r>
        <w:rPr>
          <w:rFonts w:ascii="Calibri"/>
          <w:spacing w:val="-2"/>
          <w:sz w:val="20"/>
          <w:vertAlign w:val="baseline"/>
        </w:rPr>
        <w:t>infra.</w:t>
      </w:r>
    </w:p>
    <w:p>
      <w:pPr>
        <w:spacing w:before="0"/>
        <w:ind w:left="308" w:right="0" w:firstLine="0"/>
        <w:jc w:val="left"/>
        <w:rPr>
          <w:rFonts w:ascii="Calibri"/>
          <w:sz w:val="20"/>
        </w:rPr>
      </w:pPr>
      <w:r>
        <w:rPr>
          <w:rFonts w:ascii="Calibri"/>
          <w:sz w:val="20"/>
          <w:vertAlign w:val="superscript"/>
        </w:rPr>
        <w:t>19</w:t>
      </w:r>
      <w:r>
        <w:rPr>
          <w:rFonts w:ascii="Calibri"/>
          <w:sz w:val="20"/>
          <w:vertAlign w:val="baseline"/>
        </w:rPr>
        <w:t>(1878)</w:t>
      </w:r>
      <w:r>
        <w:rPr>
          <w:rFonts w:ascii="Calibri"/>
          <w:spacing w:val="-2"/>
          <w:sz w:val="20"/>
          <w:vertAlign w:val="baseline"/>
        </w:rPr>
        <w:t> </w:t>
      </w:r>
      <w:r>
        <w:rPr>
          <w:rFonts w:ascii="Calibri"/>
          <w:sz w:val="20"/>
          <w:vertAlign w:val="baseline"/>
        </w:rPr>
        <w:t>10</w:t>
      </w:r>
      <w:r>
        <w:rPr>
          <w:rFonts w:ascii="Calibri"/>
          <w:spacing w:val="-2"/>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D.,</w:t>
      </w:r>
      <w:r>
        <w:rPr>
          <w:rFonts w:ascii="Calibri"/>
          <w:spacing w:val="-4"/>
          <w:sz w:val="20"/>
          <w:vertAlign w:val="baseline"/>
        </w:rPr>
        <w:t> 450.</w:t>
      </w:r>
    </w:p>
    <w:p>
      <w:pPr>
        <w:spacing w:before="1"/>
        <w:ind w:left="308" w:right="0" w:firstLine="0"/>
        <w:jc w:val="left"/>
        <w:rPr>
          <w:rFonts w:ascii="Calibri"/>
          <w:sz w:val="20"/>
        </w:rPr>
      </w:pPr>
      <w:r>
        <w:rPr>
          <w:rFonts w:ascii="Calibri"/>
          <w:sz w:val="20"/>
          <w:vertAlign w:val="superscript"/>
        </w:rPr>
        <w:t>20</w:t>
      </w:r>
      <w:r>
        <w:rPr>
          <w:rFonts w:ascii="Calibri"/>
          <w:sz w:val="20"/>
          <w:vertAlign w:val="baseline"/>
        </w:rPr>
        <w:t>Ibid.,</w:t>
      </w:r>
      <w:r>
        <w:rPr>
          <w:rFonts w:ascii="Calibri"/>
          <w:spacing w:val="-4"/>
          <w:sz w:val="20"/>
          <w:vertAlign w:val="baseline"/>
        </w:rPr>
        <w:t> </w:t>
      </w:r>
      <w:r>
        <w:rPr>
          <w:rFonts w:ascii="Calibri"/>
          <w:sz w:val="20"/>
          <w:vertAlign w:val="baseline"/>
        </w:rPr>
        <w:t>at</w:t>
      </w:r>
      <w:r>
        <w:rPr>
          <w:rFonts w:ascii="Calibri"/>
          <w:spacing w:val="-7"/>
          <w:sz w:val="20"/>
          <w:vertAlign w:val="baseline"/>
        </w:rPr>
        <w:t> </w:t>
      </w:r>
      <w:r>
        <w:rPr>
          <w:rFonts w:ascii="Calibri"/>
          <w:sz w:val="20"/>
          <w:vertAlign w:val="baseline"/>
        </w:rPr>
        <w:t>451-</w:t>
      </w:r>
      <w:r>
        <w:rPr>
          <w:rFonts w:ascii="Calibri"/>
          <w:spacing w:val="-4"/>
          <w:sz w:val="20"/>
          <w:vertAlign w:val="baseline"/>
        </w:rPr>
        <w:t>452.</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0" w:firstLine="720"/>
        <w:jc w:val="both"/>
      </w:pPr>
      <w:r>
        <w:rPr/>
        <w:t>The word </w:t>
      </w:r>
      <w:r>
        <w:rPr>
          <w:i/>
        </w:rPr>
        <w:t>director </w:t>
      </w:r>
      <w:r>
        <w:rPr/>
        <w:t>has not been defined by the courts</w:t>
      </w:r>
      <w:r>
        <w:rPr>
          <w:spacing w:val="-2"/>
        </w:rPr>
        <w:t> </w:t>
      </w:r>
      <w:r>
        <w:rPr/>
        <w:t>to date. In considering the meaning</w:t>
      </w:r>
      <w:r>
        <w:rPr>
          <w:spacing w:val="-14"/>
        </w:rPr>
        <w:t> </w:t>
      </w:r>
      <w:r>
        <w:rPr/>
        <w:t>of</w:t>
      </w:r>
      <w:r>
        <w:rPr>
          <w:spacing w:val="-15"/>
        </w:rPr>
        <w:t> </w:t>
      </w:r>
      <w:r>
        <w:rPr/>
        <w:t>the</w:t>
      </w:r>
      <w:r>
        <w:rPr>
          <w:spacing w:val="-12"/>
        </w:rPr>
        <w:t> </w:t>
      </w:r>
      <w:r>
        <w:rPr/>
        <w:t>term,</w:t>
      </w:r>
      <w:r>
        <w:rPr>
          <w:spacing w:val="-7"/>
        </w:rPr>
        <w:t> </w:t>
      </w:r>
      <w:r>
        <w:rPr/>
        <w:t>the</w:t>
      </w:r>
      <w:r>
        <w:rPr>
          <w:spacing w:val="-12"/>
        </w:rPr>
        <w:t> </w:t>
      </w:r>
      <w:r>
        <w:rPr/>
        <w:t>Nigerian</w:t>
      </w:r>
      <w:r>
        <w:rPr>
          <w:spacing w:val="-15"/>
        </w:rPr>
        <w:t> </w:t>
      </w:r>
      <w:r>
        <w:rPr/>
        <w:t>Supreme</w:t>
      </w:r>
      <w:r>
        <w:rPr>
          <w:spacing w:val="-8"/>
        </w:rPr>
        <w:t> </w:t>
      </w:r>
      <w:r>
        <w:rPr/>
        <w:t>Court,stated</w:t>
      </w:r>
      <w:r>
        <w:rPr>
          <w:spacing w:val="-11"/>
        </w:rPr>
        <w:t> </w:t>
      </w:r>
      <w:r>
        <w:rPr/>
        <w:t>categorically</w:t>
      </w:r>
      <w:r>
        <w:rPr>
          <w:spacing w:val="-15"/>
        </w:rPr>
        <w:t> </w:t>
      </w:r>
      <w:r>
        <w:rPr/>
        <w:t>that</w:t>
      </w:r>
      <w:r>
        <w:rPr>
          <w:spacing w:val="-7"/>
        </w:rPr>
        <w:t> </w:t>
      </w:r>
      <w:r>
        <w:rPr/>
        <w:t>―the</w:t>
      </w:r>
      <w:r>
        <w:rPr>
          <w:spacing w:val="-12"/>
        </w:rPr>
        <w:t> </w:t>
      </w:r>
      <w:r>
        <w:rPr/>
        <w:t>power</w:t>
      </w:r>
      <w:r>
        <w:rPr>
          <w:spacing w:val="-14"/>
        </w:rPr>
        <w:t> </w:t>
      </w:r>
      <w:r>
        <w:rPr/>
        <w:t>to amend or vary the meaning of a director under CAMA has not been vested in a</w:t>
      </w:r>
      <w:r>
        <w:rPr>
          <w:spacing w:val="40"/>
        </w:rPr>
        <w:t> </w:t>
      </w:r>
      <w:r>
        <w:rPr/>
        <w:t>company concerned or the court.‖</w:t>
      </w:r>
      <w:r>
        <w:rPr>
          <w:vertAlign w:val="superscript"/>
        </w:rPr>
        <w:t>21</w:t>
      </w:r>
      <w:r>
        <w:rPr>
          <w:vertAlign w:val="baseline"/>
        </w:rPr>
        <w:t> The courts have therefore traditionally refrained from proposing any definitions of </w:t>
      </w:r>
      <w:r>
        <w:rPr>
          <w:i/>
          <w:vertAlign w:val="baseline"/>
        </w:rPr>
        <w:t>director</w:t>
      </w:r>
      <w:r>
        <w:rPr>
          <w:vertAlign w:val="baseline"/>
        </w:rPr>
        <w:t>, beyond the position stated in s.244 of the </w:t>
      </w:r>
      <w:r>
        <w:rPr>
          <w:spacing w:val="-2"/>
          <w:vertAlign w:val="baseline"/>
        </w:rPr>
        <w:t>CAMA.</w:t>
      </w:r>
      <w:r>
        <w:rPr>
          <w:spacing w:val="-2"/>
          <w:vertAlign w:val="superscript"/>
        </w:rPr>
        <w:t>22</w:t>
      </w:r>
    </w:p>
    <w:p>
      <w:pPr>
        <w:pStyle w:val="BodyText"/>
        <w:spacing w:line="480" w:lineRule="auto" w:before="1"/>
        <w:ind w:right="230" w:firstLine="720"/>
        <w:jc w:val="both"/>
      </w:pPr>
      <w:r>
        <w:rPr/>
        <w:t>Perhaps, this is as intended by the legislature, worldwide. The corporation has become a viable machine for sourcing capital. The fact that a</w:t>
      </w:r>
      <w:r>
        <w:rPr>
          <w:spacing w:val="-3"/>
        </w:rPr>
        <w:t> </w:t>
      </w:r>
      <w:r>
        <w:rPr/>
        <w:t>lot of</w:t>
      </w:r>
      <w:r>
        <w:rPr>
          <w:spacing w:val="-1"/>
        </w:rPr>
        <w:t> </w:t>
      </w:r>
      <w:r>
        <w:rPr/>
        <w:t>investment from</w:t>
      </w:r>
      <w:r>
        <w:rPr>
          <w:spacing w:val="-7"/>
        </w:rPr>
        <w:t> </w:t>
      </w:r>
      <w:r>
        <w:rPr/>
        <w:t>the public goes into corporations, proves the imperative for regulation. In order for the law to be able to hold those persons accountable who carry out acts for and in the name of companies, it is wise that an exact definition of ―director‖ is avoided and a description simply provided in the widest terms so that very few individuals would get away with using corporate organizations to perpetuate fraud or achieve other devious aims, in a way that the law would be unable to hold them accountable.</w:t>
      </w:r>
    </w:p>
    <w:p>
      <w:pPr>
        <w:pStyle w:val="BodyText"/>
        <w:spacing w:line="480" w:lineRule="auto" w:before="2"/>
        <w:ind w:right="234" w:firstLine="720"/>
        <w:jc w:val="both"/>
      </w:pPr>
      <w:r>
        <w:rPr/>
        <w:t>However, a working definition of the term should encompass both the duly appointed director as well as the one who acts as one. Thus, a director includes any person duly appointed to direct and manage the affairs of a company as well as any person occupying such a position in the company, whatever his official title, as well as any person on whose directions or instructions the directors of the company are accustomed to act.</w:t>
      </w:r>
    </w:p>
    <w:p>
      <w:pPr>
        <w:pStyle w:val="Heading2"/>
        <w:numPr>
          <w:ilvl w:val="1"/>
          <w:numId w:val="8"/>
        </w:numPr>
        <w:tabs>
          <w:tab w:pos="1027" w:val="left" w:leader="none"/>
        </w:tabs>
        <w:spacing w:line="240" w:lineRule="auto" w:before="207" w:after="0"/>
        <w:ind w:left="1027" w:right="0" w:hanging="719"/>
        <w:jc w:val="both"/>
      </w:pPr>
      <w:bookmarkStart w:name="_TOC_250040" w:id="12"/>
      <w:r>
        <w:rPr/>
        <w:t>Qualification for</w:t>
      </w:r>
      <w:r>
        <w:rPr>
          <w:spacing w:val="-7"/>
        </w:rPr>
        <w:t> </w:t>
      </w:r>
      <w:r>
        <w:rPr/>
        <w:t>the</w:t>
      </w:r>
      <w:r>
        <w:rPr>
          <w:spacing w:val="-1"/>
        </w:rPr>
        <w:t> </w:t>
      </w:r>
      <w:r>
        <w:rPr/>
        <w:t>Office</w:t>
      </w:r>
      <w:r>
        <w:rPr>
          <w:spacing w:val="-3"/>
        </w:rPr>
        <w:t> </w:t>
      </w:r>
      <w:r>
        <w:rPr/>
        <w:t>of</w:t>
      </w:r>
      <w:r>
        <w:rPr>
          <w:spacing w:val="-3"/>
        </w:rPr>
        <w:t> </w:t>
      </w:r>
      <w:bookmarkEnd w:id="12"/>
      <w:r>
        <w:rPr>
          <w:spacing w:val="-2"/>
        </w:rPr>
        <w:t>Director</w:t>
      </w:r>
    </w:p>
    <w:p>
      <w:pPr>
        <w:pStyle w:val="BodyText"/>
        <w:ind w:left="0"/>
        <w:rPr>
          <w:b/>
          <w:sz w:val="20"/>
        </w:rPr>
      </w:pPr>
    </w:p>
    <w:p>
      <w:pPr>
        <w:pStyle w:val="BodyText"/>
        <w:ind w:left="0"/>
        <w:rPr>
          <w:b/>
          <w:sz w:val="20"/>
        </w:rPr>
      </w:pPr>
    </w:p>
    <w:p>
      <w:pPr>
        <w:pStyle w:val="BodyText"/>
        <w:ind w:left="0"/>
        <w:rPr>
          <w:b/>
          <w:sz w:val="20"/>
        </w:rPr>
      </w:pPr>
    </w:p>
    <w:p>
      <w:pPr>
        <w:pStyle w:val="BodyText"/>
        <w:ind w:left="0"/>
        <w:rPr>
          <w:b/>
          <w:sz w:val="20"/>
        </w:rPr>
      </w:pPr>
    </w:p>
    <w:p>
      <w:pPr>
        <w:pStyle w:val="BodyText"/>
        <w:ind w:left="0"/>
        <w:rPr>
          <w:b/>
          <w:sz w:val="20"/>
        </w:rPr>
      </w:pPr>
    </w:p>
    <w:p>
      <w:pPr>
        <w:pStyle w:val="BodyText"/>
        <w:ind w:left="0"/>
        <w:rPr>
          <w:b/>
          <w:sz w:val="20"/>
        </w:rPr>
      </w:pPr>
    </w:p>
    <w:p>
      <w:pPr>
        <w:pStyle w:val="BodyText"/>
        <w:spacing w:before="5"/>
        <w:ind w:left="0"/>
        <w:rPr>
          <w:b/>
          <w:sz w:val="20"/>
        </w:rPr>
      </w:pPr>
      <w:r>
        <w:rPr/>
        <mc:AlternateContent>
          <mc:Choice Requires="wps">
            <w:drawing>
              <wp:anchor distT="0" distB="0" distL="0" distR="0" allowOverlap="1" layoutInCell="1" locked="0" behindDoc="1" simplePos="0" relativeHeight="487621632">
                <wp:simplePos x="0" y="0"/>
                <wp:positionH relativeFrom="page">
                  <wp:posOffset>1262481</wp:posOffset>
                </wp:positionH>
                <wp:positionV relativeFrom="paragraph">
                  <wp:posOffset>164514</wp:posOffset>
                </wp:positionV>
                <wp:extent cx="1829435" cy="9525"/>
                <wp:effectExtent l="0" t="0" r="0" b="0"/>
                <wp:wrapTopAndBottom/>
                <wp:docPr id="69" name="Graphic 69"/>
                <wp:cNvGraphicFramePr>
                  <a:graphicFrameLocks/>
                </wp:cNvGraphicFramePr>
                <a:graphic>
                  <a:graphicData uri="http://schemas.microsoft.com/office/word/2010/wordprocessingShape">
                    <wps:wsp>
                      <wps:cNvPr id="69" name="Graphic 6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953937pt;width:144.050pt;height:.71997pt;mso-position-horizontal-relative:page;mso-position-vertical-relative:paragraph;z-index:-15694848;mso-wrap-distance-left:0;mso-wrap-distance-right:0" id="docshape24"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21</w:t>
      </w:r>
      <w:r>
        <w:rPr>
          <w:rFonts w:ascii="Calibri"/>
          <w:i/>
          <w:sz w:val="20"/>
          <w:vertAlign w:val="baseline"/>
        </w:rPr>
        <w:t>Longe</w:t>
      </w:r>
      <w:r>
        <w:rPr>
          <w:rFonts w:ascii="Calibri"/>
          <w:i/>
          <w:spacing w:val="-9"/>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First</w:t>
      </w:r>
      <w:r>
        <w:rPr>
          <w:rFonts w:ascii="Calibri"/>
          <w:i/>
          <w:spacing w:val="-4"/>
          <w:sz w:val="20"/>
          <w:vertAlign w:val="baseline"/>
        </w:rPr>
        <w:t> </w:t>
      </w:r>
      <w:r>
        <w:rPr>
          <w:rFonts w:ascii="Calibri"/>
          <w:i/>
          <w:sz w:val="20"/>
          <w:vertAlign w:val="baseline"/>
        </w:rPr>
        <w:t>Bank</w:t>
      </w:r>
      <w:r>
        <w:rPr>
          <w:rFonts w:ascii="Calibri"/>
          <w:i/>
          <w:spacing w:val="-8"/>
          <w:sz w:val="20"/>
          <w:vertAlign w:val="baseline"/>
        </w:rPr>
        <w:t> </w:t>
      </w:r>
      <w:r>
        <w:rPr>
          <w:rFonts w:ascii="Calibri"/>
          <w:i/>
          <w:sz w:val="20"/>
          <w:vertAlign w:val="baseline"/>
        </w:rPr>
        <w:t>of</w:t>
      </w:r>
      <w:r>
        <w:rPr>
          <w:rFonts w:ascii="Calibri"/>
          <w:i/>
          <w:spacing w:val="-3"/>
          <w:sz w:val="20"/>
          <w:vertAlign w:val="baseline"/>
        </w:rPr>
        <w:t> </w:t>
      </w:r>
      <w:r>
        <w:rPr>
          <w:rFonts w:ascii="Calibri"/>
          <w:i/>
          <w:sz w:val="20"/>
          <w:vertAlign w:val="baseline"/>
        </w:rPr>
        <w:t>Nigeria</w:t>
      </w:r>
      <w:r>
        <w:rPr>
          <w:rFonts w:ascii="Calibri"/>
          <w:i/>
          <w:spacing w:val="-7"/>
          <w:sz w:val="20"/>
          <w:vertAlign w:val="baseline"/>
        </w:rPr>
        <w:t> </w:t>
      </w:r>
      <w:r>
        <w:rPr>
          <w:rFonts w:ascii="Calibri"/>
          <w:i/>
          <w:sz w:val="20"/>
          <w:vertAlign w:val="baseline"/>
        </w:rPr>
        <w:t>Plc.Supra,</w:t>
      </w:r>
      <w:r>
        <w:rPr>
          <w:rFonts w:ascii="Calibri"/>
          <w:i/>
          <w:spacing w:val="-6"/>
          <w:sz w:val="20"/>
          <w:vertAlign w:val="baseline"/>
        </w:rPr>
        <w:t> </w:t>
      </w:r>
      <w:r>
        <w:rPr>
          <w:rFonts w:ascii="Calibri"/>
          <w:spacing w:val="-2"/>
          <w:sz w:val="20"/>
          <w:vertAlign w:val="baseline"/>
        </w:rPr>
        <w:t>p.294.</w:t>
      </w:r>
    </w:p>
    <w:p>
      <w:pPr>
        <w:spacing w:before="1"/>
        <w:ind w:left="308" w:right="0" w:firstLine="0"/>
        <w:jc w:val="left"/>
        <w:rPr>
          <w:rFonts w:ascii="Calibri"/>
          <w:sz w:val="20"/>
        </w:rPr>
      </w:pPr>
      <w:r>
        <w:rPr>
          <w:rFonts w:ascii="Calibri"/>
          <w:sz w:val="20"/>
          <w:vertAlign w:val="superscript"/>
        </w:rPr>
        <w:t>22</w:t>
      </w:r>
      <w:r>
        <w:rPr>
          <w:rFonts w:ascii="Calibri"/>
          <w:spacing w:val="20"/>
          <w:sz w:val="20"/>
          <w:vertAlign w:val="baseline"/>
        </w:rPr>
        <w:t> </w:t>
      </w:r>
      <w:r>
        <w:rPr>
          <w:rFonts w:ascii="Calibri"/>
          <w:sz w:val="20"/>
          <w:vertAlign w:val="baseline"/>
        </w:rPr>
        <w:t>The</w:t>
      </w:r>
      <w:r>
        <w:rPr>
          <w:rFonts w:ascii="Calibri"/>
          <w:spacing w:val="20"/>
          <w:sz w:val="20"/>
          <w:vertAlign w:val="baseline"/>
        </w:rPr>
        <w:t> </w:t>
      </w:r>
      <w:r>
        <w:rPr>
          <w:rFonts w:ascii="Calibri"/>
          <w:sz w:val="20"/>
          <w:vertAlign w:val="baseline"/>
        </w:rPr>
        <w:t>Nigerian</w:t>
      </w:r>
      <w:r>
        <w:rPr>
          <w:rFonts w:ascii="Calibri"/>
          <w:spacing w:val="17"/>
          <w:sz w:val="20"/>
          <w:vertAlign w:val="baseline"/>
        </w:rPr>
        <w:t> </w:t>
      </w:r>
      <w:r>
        <w:rPr>
          <w:rFonts w:ascii="Calibri"/>
          <w:sz w:val="20"/>
          <w:vertAlign w:val="baseline"/>
        </w:rPr>
        <w:t>courts</w:t>
      </w:r>
      <w:r>
        <w:rPr>
          <w:rFonts w:ascii="Calibri"/>
          <w:spacing w:val="17"/>
          <w:sz w:val="20"/>
          <w:vertAlign w:val="baseline"/>
        </w:rPr>
        <w:t> </w:t>
      </w:r>
      <w:r>
        <w:rPr>
          <w:rFonts w:ascii="Calibri"/>
          <w:sz w:val="20"/>
          <w:vertAlign w:val="baseline"/>
        </w:rPr>
        <w:t>also</w:t>
      </w:r>
      <w:r>
        <w:rPr>
          <w:rFonts w:ascii="Calibri"/>
          <w:spacing w:val="18"/>
          <w:sz w:val="20"/>
          <w:vertAlign w:val="baseline"/>
        </w:rPr>
        <w:t> </w:t>
      </w:r>
      <w:r>
        <w:rPr>
          <w:rFonts w:ascii="Calibri"/>
          <w:sz w:val="20"/>
          <w:vertAlign w:val="baseline"/>
        </w:rPr>
        <w:t>in</w:t>
      </w:r>
      <w:r>
        <w:rPr>
          <w:rFonts w:ascii="Calibri"/>
          <w:spacing w:val="19"/>
          <w:sz w:val="20"/>
          <w:vertAlign w:val="baseline"/>
        </w:rPr>
        <w:t> </w:t>
      </w:r>
      <w:r>
        <w:rPr>
          <w:rFonts w:ascii="Calibri"/>
          <w:sz w:val="20"/>
          <w:vertAlign w:val="baseline"/>
        </w:rPr>
        <w:t>the</w:t>
      </w:r>
      <w:r>
        <w:rPr>
          <w:rFonts w:ascii="Calibri"/>
          <w:spacing w:val="19"/>
          <w:sz w:val="20"/>
          <w:vertAlign w:val="baseline"/>
        </w:rPr>
        <w:t> </w:t>
      </w:r>
      <w:r>
        <w:rPr>
          <w:rFonts w:ascii="Calibri"/>
          <w:sz w:val="20"/>
          <w:vertAlign w:val="baseline"/>
        </w:rPr>
        <w:t>cases</w:t>
      </w:r>
      <w:r>
        <w:rPr>
          <w:rFonts w:ascii="Calibri"/>
          <w:spacing w:val="17"/>
          <w:sz w:val="20"/>
          <w:vertAlign w:val="baseline"/>
        </w:rPr>
        <w:t> </w:t>
      </w:r>
      <w:r>
        <w:rPr>
          <w:rFonts w:ascii="Calibri"/>
          <w:sz w:val="20"/>
          <w:vertAlign w:val="baseline"/>
        </w:rPr>
        <w:t>of</w:t>
      </w:r>
      <w:r>
        <w:rPr>
          <w:rFonts w:ascii="Calibri"/>
          <w:spacing w:val="24"/>
          <w:sz w:val="20"/>
          <w:vertAlign w:val="baseline"/>
        </w:rPr>
        <w:t> </w:t>
      </w:r>
      <w:r>
        <w:rPr>
          <w:rFonts w:ascii="Calibri"/>
          <w:i/>
          <w:sz w:val="20"/>
          <w:vertAlign w:val="baseline"/>
        </w:rPr>
        <w:t>Olufosoye</w:t>
      </w:r>
      <w:r>
        <w:rPr>
          <w:rFonts w:ascii="Calibri"/>
          <w:i/>
          <w:spacing w:val="18"/>
          <w:sz w:val="20"/>
          <w:vertAlign w:val="baseline"/>
        </w:rPr>
        <w:t> </w:t>
      </w:r>
      <w:r>
        <w:rPr>
          <w:rFonts w:ascii="Calibri"/>
          <w:i/>
          <w:sz w:val="20"/>
          <w:vertAlign w:val="baseline"/>
        </w:rPr>
        <w:t>vs.</w:t>
      </w:r>
      <w:r>
        <w:rPr>
          <w:rFonts w:ascii="Calibri"/>
          <w:i/>
          <w:spacing w:val="21"/>
          <w:sz w:val="20"/>
          <w:vertAlign w:val="baseline"/>
        </w:rPr>
        <w:t> </w:t>
      </w:r>
      <w:r>
        <w:rPr>
          <w:rFonts w:ascii="Calibri"/>
          <w:i/>
          <w:sz w:val="20"/>
          <w:vertAlign w:val="baseline"/>
        </w:rPr>
        <w:t>Fakorede</w:t>
      </w:r>
      <w:r>
        <w:rPr>
          <w:rFonts w:ascii="Calibri"/>
          <w:i/>
          <w:spacing w:val="20"/>
          <w:sz w:val="20"/>
          <w:vertAlign w:val="baseline"/>
        </w:rPr>
        <w:t> </w:t>
      </w:r>
      <w:r>
        <w:rPr>
          <w:rFonts w:ascii="Calibri"/>
          <w:sz w:val="20"/>
          <w:vertAlign w:val="baseline"/>
        </w:rPr>
        <w:t>(1993)</w:t>
      </w:r>
      <w:r>
        <w:rPr>
          <w:rFonts w:ascii="Calibri"/>
          <w:spacing w:val="20"/>
          <w:sz w:val="20"/>
          <w:vertAlign w:val="baseline"/>
        </w:rPr>
        <w:t> </w:t>
      </w:r>
      <w:r>
        <w:rPr>
          <w:rFonts w:ascii="Calibri"/>
          <w:sz w:val="20"/>
          <w:vertAlign w:val="baseline"/>
        </w:rPr>
        <w:t>1</w:t>
      </w:r>
      <w:r>
        <w:rPr>
          <w:rFonts w:ascii="Calibri"/>
          <w:spacing w:val="17"/>
          <w:sz w:val="20"/>
          <w:vertAlign w:val="baseline"/>
        </w:rPr>
        <w:t> </w:t>
      </w:r>
      <w:r>
        <w:rPr>
          <w:rFonts w:ascii="Calibri"/>
          <w:sz w:val="20"/>
          <w:vertAlign w:val="baseline"/>
        </w:rPr>
        <w:t>NWLR</w:t>
      </w:r>
      <w:r>
        <w:rPr>
          <w:rFonts w:ascii="Calibri"/>
          <w:spacing w:val="20"/>
          <w:sz w:val="20"/>
          <w:vertAlign w:val="baseline"/>
        </w:rPr>
        <w:t> </w:t>
      </w:r>
      <w:r>
        <w:rPr>
          <w:rFonts w:ascii="Calibri"/>
          <w:sz w:val="20"/>
          <w:vertAlign w:val="baseline"/>
        </w:rPr>
        <w:t>pt.</w:t>
      </w:r>
      <w:r>
        <w:rPr>
          <w:rFonts w:ascii="Calibri"/>
          <w:spacing w:val="19"/>
          <w:sz w:val="20"/>
          <w:vertAlign w:val="baseline"/>
        </w:rPr>
        <w:t> </w:t>
      </w:r>
      <w:r>
        <w:rPr>
          <w:rFonts w:ascii="Calibri"/>
          <w:sz w:val="20"/>
          <w:vertAlign w:val="baseline"/>
        </w:rPr>
        <w:t>272</w:t>
      </w:r>
      <w:r>
        <w:rPr>
          <w:rFonts w:ascii="Calibri"/>
          <w:spacing w:val="18"/>
          <w:sz w:val="20"/>
          <w:vertAlign w:val="baseline"/>
        </w:rPr>
        <w:t> </w:t>
      </w:r>
      <w:r>
        <w:rPr>
          <w:rFonts w:ascii="Calibri"/>
          <w:sz w:val="20"/>
          <w:vertAlign w:val="baseline"/>
        </w:rPr>
        <w:t>at</w:t>
      </w:r>
      <w:r>
        <w:rPr>
          <w:rFonts w:ascii="Calibri"/>
          <w:spacing w:val="18"/>
          <w:sz w:val="20"/>
          <w:vertAlign w:val="baseline"/>
        </w:rPr>
        <w:t> </w:t>
      </w:r>
      <w:r>
        <w:rPr>
          <w:rFonts w:ascii="Calibri"/>
          <w:sz w:val="20"/>
          <w:vertAlign w:val="baseline"/>
        </w:rPr>
        <w:t>747</w:t>
      </w:r>
      <w:r>
        <w:rPr>
          <w:rFonts w:ascii="Calibri"/>
          <w:spacing w:val="17"/>
          <w:sz w:val="20"/>
          <w:vertAlign w:val="baseline"/>
        </w:rPr>
        <w:t> </w:t>
      </w:r>
      <w:r>
        <w:rPr>
          <w:rFonts w:ascii="Calibri"/>
          <w:spacing w:val="-5"/>
          <w:sz w:val="20"/>
          <w:vertAlign w:val="baseline"/>
        </w:rPr>
        <w:t>and</w:t>
      </w:r>
    </w:p>
    <w:p>
      <w:pPr>
        <w:spacing w:before="0"/>
        <w:ind w:left="308" w:right="0" w:firstLine="0"/>
        <w:jc w:val="left"/>
        <w:rPr>
          <w:rFonts w:ascii="Calibri"/>
          <w:sz w:val="20"/>
        </w:rPr>
      </w:pPr>
      <w:r>
        <w:rPr>
          <w:rFonts w:ascii="Calibri"/>
          <w:i/>
          <w:sz w:val="20"/>
        </w:rPr>
        <w:t>Baffa</w:t>
      </w:r>
      <w:r>
        <w:rPr>
          <w:rFonts w:ascii="Calibri"/>
          <w:i/>
          <w:spacing w:val="-8"/>
          <w:sz w:val="20"/>
        </w:rPr>
        <w:t> </w:t>
      </w:r>
      <w:r>
        <w:rPr>
          <w:rFonts w:ascii="Calibri"/>
          <w:i/>
          <w:sz w:val="20"/>
        </w:rPr>
        <w:t>vs.</w:t>
      </w:r>
      <w:r>
        <w:rPr>
          <w:rFonts w:ascii="Calibri"/>
          <w:i/>
          <w:spacing w:val="-6"/>
          <w:sz w:val="20"/>
        </w:rPr>
        <w:t> </w:t>
      </w:r>
      <w:r>
        <w:rPr>
          <w:rFonts w:ascii="Calibri"/>
          <w:i/>
          <w:sz w:val="20"/>
        </w:rPr>
        <w:t>Odili</w:t>
      </w:r>
      <w:r>
        <w:rPr>
          <w:rFonts w:ascii="Calibri"/>
          <w:sz w:val="20"/>
        </w:rPr>
        <w:t>(2001)</w:t>
      </w:r>
      <w:r>
        <w:rPr>
          <w:rFonts w:ascii="Calibri"/>
          <w:spacing w:val="-2"/>
          <w:sz w:val="20"/>
        </w:rPr>
        <w:t> </w:t>
      </w:r>
      <w:r>
        <w:rPr>
          <w:rFonts w:ascii="Calibri"/>
          <w:sz w:val="20"/>
        </w:rPr>
        <w:t>15</w:t>
      </w:r>
      <w:r>
        <w:rPr>
          <w:rFonts w:ascii="Calibri"/>
          <w:spacing w:val="-8"/>
          <w:sz w:val="20"/>
        </w:rPr>
        <w:t> </w:t>
      </w:r>
      <w:r>
        <w:rPr>
          <w:rFonts w:ascii="Calibri"/>
          <w:sz w:val="20"/>
        </w:rPr>
        <w:t>NWLR</w:t>
      </w:r>
      <w:r>
        <w:rPr>
          <w:rFonts w:ascii="Calibri"/>
          <w:spacing w:val="-7"/>
          <w:sz w:val="20"/>
        </w:rPr>
        <w:t> </w:t>
      </w:r>
      <w:r>
        <w:rPr>
          <w:rFonts w:ascii="Calibri"/>
          <w:sz w:val="20"/>
        </w:rPr>
        <w:t>(pt.</w:t>
      </w:r>
      <w:r>
        <w:rPr>
          <w:rFonts w:ascii="Calibri"/>
          <w:spacing w:val="-6"/>
          <w:sz w:val="20"/>
        </w:rPr>
        <w:t> </w:t>
      </w:r>
      <w:r>
        <w:rPr>
          <w:rFonts w:ascii="Calibri"/>
          <w:sz w:val="20"/>
        </w:rPr>
        <w:t>737)</w:t>
      </w:r>
      <w:r>
        <w:rPr>
          <w:rFonts w:ascii="Calibri"/>
          <w:spacing w:val="-6"/>
          <w:sz w:val="20"/>
        </w:rPr>
        <w:t> </w:t>
      </w:r>
      <w:r>
        <w:rPr>
          <w:rFonts w:ascii="Calibri"/>
          <w:sz w:val="20"/>
        </w:rPr>
        <w:t>at</w:t>
      </w:r>
      <w:r>
        <w:rPr>
          <w:rFonts w:ascii="Calibri"/>
          <w:spacing w:val="-3"/>
          <w:sz w:val="20"/>
        </w:rPr>
        <w:t> </w:t>
      </w:r>
      <w:r>
        <w:rPr>
          <w:rFonts w:ascii="Calibri"/>
          <w:sz w:val="20"/>
        </w:rPr>
        <w:t>p.</w:t>
      </w:r>
      <w:r>
        <w:rPr>
          <w:rFonts w:ascii="Calibri"/>
          <w:spacing w:val="1"/>
          <w:sz w:val="20"/>
        </w:rPr>
        <w:t> </w:t>
      </w:r>
      <w:r>
        <w:rPr>
          <w:rFonts w:ascii="Calibri"/>
          <w:sz w:val="20"/>
        </w:rPr>
        <w:t>709,</w:t>
      </w:r>
      <w:r>
        <w:rPr>
          <w:rFonts w:ascii="Calibri"/>
          <w:spacing w:val="-5"/>
          <w:sz w:val="20"/>
        </w:rPr>
        <w:t> </w:t>
      </w:r>
      <w:r>
        <w:rPr>
          <w:rFonts w:ascii="Calibri"/>
          <w:sz w:val="20"/>
        </w:rPr>
        <w:t>noted</w:t>
      </w:r>
      <w:r>
        <w:rPr>
          <w:rFonts w:ascii="Calibri"/>
          <w:spacing w:val="-3"/>
          <w:sz w:val="20"/>
        </w:rPr>
        <w:t> </w:t>
      </w:r>
      <w:r>
        <w:rPr>
          <w:rFonts w:ascii="Calibri"/>
          <w:sz w:val="20"/>
        </w:rPr>
        <w:t>this</w:t>
      </w:r>
      <w:r>
        <w:rPr>
          <w:rFonts w:ascii="Calibri"/>
          <w:spacing w:val="-9"/>
          <w:sz w:val="20"/>
        </w:rPr>
        <w:t> </w:t>
      </w:r>
      <w:r>
        <w:rPr>
          <w:rFonts w:ascii="Calibri"/>
          <w:sz w:val="20"/>
        </w:rPr>
        <w:t>position</w:t>
      </w:r>
      <w:r>
        <w:rPr>
          <w:rFonts w:ascii="Calibri"/>
          <w:spacing w:val="-8"/>
          <w:sz w:val="20"/>
        </w:rPr>
        <w:t> </w:t>
      </w:r>
      <w:r>
        <w:rPr>
          <w:rFonts w:ascii="Calibri"/>
          <w:sz w:val="20"/>
        </w:rPr>
        <w:t>of</w:t>
      </w:r>
      <w:r>
        <w:rPr>
          <w:rFonts w:ascii="Calibri"/>
          <w:spacing w:val="-2"/>
          <w:sz w:val="20"/>
        </w:rPr>
        <w:t> </w:t>
      </w:r>
      <w:r>
        <w:rPr>
          <w:rFonts w:ascii="Calibri"/>
          <w:sz w:val="20"/>
        </w:rPr>
        <w:t>the</w:t>
      </w:r>
      <w:r>
        <w:rPr>
          <w:rFonts w:ascii="Calibri"/>
          <w:spacing w:val="-6"/>
          <w:sz w:val="20"/>
        </w:rPr>
        <w:t> </w:t>
      </w:r>
      <w:r>
        <w:rPr>
          <w:rFonts w:ascii="Calibri"/>
          <w:spacing w:val="-4"/>
          <w:sz w:val="20"/>
        </w:rPr>
        <w:t>law.</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40"/>
        <w:jc w:val="both"/>
      </w:pPr>
      <w:r>
        <w:rPr/>
        <w:t>The importance</w:t>
      </w:r>
      <w:r>
        <w:rPr>
          <w:spacing w:val="-3"/>
        </w:rPr>
        <w:t> </w:t>
      </w:r>
      <w:r>
        <w:rPr/>
        <w:t>of</w:t>
      </w:r>
      <w:r>
        <w:rPr>
          <w:spacing w:val="-10"/>
        </w:rPr>
        <w:t> </w:t>
      </w:r>
      <w:r>
        <w:rPr/>
        <w:t>the</w:t>
      </w:r>
      <w:r>
        <w:rPr>
          <w:spacing w:val="-3"/>
        </w:rPr>
        <w:t> </w:t>
      </w:r>
      <w:r>
        <w:rPr/>
        <w:t>office</w:t>
      </w:r>
      <w:r>
        <w:rPr>
          <w:spacing w:val="-3"/>
        </w:rPr>
        <w:t> </w:t>
      </w:r>
      <w:r>
        <w:rPr/>
        <w:t>of</w:t>
      </w:r>
      <w:r>
        <w:rPr>
          <w:spacing w:val="-10"/>
        </w:rPr>
        <w:t> </w:t>
      </w:r>
      <w:r>
        <w:rPr/>
        <w:t>director</w:t>
      </w:r>
      <w:r>
        <w:rPr>
          <w:spacing w:val="-1"/>
        </w:rPr>
        <w:t> </w:t>
      </w:r>
      <w:r>
        <w:rPr/>
        <w:t>necessitated legislation</w:t>
      </w:r>
      <w:r>
        <w:rPr>
          <w:spacing w:val="-7"/>
        </w:rPr>
        <w:t> </w:t>
      </w:r>
      <w:r>
        <w:rPr/>
        <w:t>coming in</w:t>
      </w:r>
      <w:r>
        <w:rPr>
          <w:spacing w:val="-2"/>
        </w:rPr>
        <w:t> </w:t>
      </w:r>
      <w:r>
        <w:rPr/>
        <w:t>to regulate its affairs within the organization. One aspect of such regulation is the law stating who cannot—and therefore, who can—be a company director.</w:t>
      </w:r>
    </w:p>
    <w:p>
      <w:pPr>
        <w:pStyle w:val="BodyText"/>
        <w:spacing w:line="480" w:lineRule="auto"/>
        <w:ind w:right="246" w:firstLine="720"/>
        <w:jc w:val="both"/>
      </w:pPr>
      <w:r>
        <w:rPr/>
        <w:t>S.257 of the CAMA provides that the following persons shall be disqualified from being directors:</w:t>
      </w:r>
    </w:p>
    <w:p>
      <w:pPr>
        <w:pStyle w:val="ListParagraph"/>
        <w:numPr>
          <w:ilvl w:val="0"/>
          <w:numId w:val="9"/>
        </w:numPr>
        <w:tabs>
          <w:tab w:pos="1027" w:val="left" w:leader="none"/>
        </w:tabs>
        <w:spacing w:line="240" w:lineRule="auto" w:before="1" w:after="0"/>
        <w:ind w:left="1027" w:right="0" w:hanging="359"/>
        <w:jc w:val="left"/>
        <w:rPr>
          <w:sz w:val="24"/>
        </w:rPr>
      </w:pPr>
      <w:r>
        <w:rPr>
          <w:sz w:val="24"/>
        </w:rPr>
        <w:t>An</w:t>
      </w:r>
      <w:r>
        <w:rPr>
          <w:spacing w:val="-4"/>
          <w:sz w:val="24"/>
        </w:rPr>
        <w:t> </w:t>
      </w:r>
      <w:r>
        <w:rPr>
          <w:sz w:val="24"/>
        </w:rPr>
        <w:t>infant,</w:t>
      </w:r>
      <w:r>
        <w:rPr>
          <w:spacing w:val="-3"/>
          <w:sz w:val="24"/>
        </w:rPr>
        <w:t> </w:t>
      </w:r>
      <w:r>
        <w:rPr>
          <w:sz w:val="24"/>
        </w:rPr>
        <w:t>that</w:t>
      </w:r>
      <w:r>
        <w:rPr>
          <w:spacing w:val="5"/>
          <w:sz w:val="24"/>
        </w:rPr>
        <w:t> </w:t>
      </w:r>
      <w:r>
        <w:rPr>
          <w:sz w:val="24"/>
        </w:rPr>
        <w:t>is,</w:t>
      </w:r>
      <w:r>
        <w:rPr>
          <w:spacing w:val="2"/>
          <w:sz w:val="24"/>
        </w:rPr>
        <w:t> </w:t>
      </w:r>
      <w:r>
        <w:rPr>
          <w:sz w:val="24"/>
        </w:rPr>
        <w:t>a</w:t>
      </w:r>
      <w:r>
        <w:rPr>
          <w:spacing w:val="-1"/>
          <w:sz w:val="24"/>
        </w:rPr>
        <w:t> </w:t>
      </w:r>
      <w:r>
        <w:rPr>
          <w:sz w:val="24"/>
        </w:rPr>
        <w:t>person</w:t>
      </w:r>
      <w:r>
        <w:rPr>
          <w:spacing w:val="-5"/>
          <w:sz w:val="24"/>
        </w:rPr>
        <w:t> </w:t>
      </w:r>
      <w:r>
        <w:rPr>
          <w:sz w:val="24"/>
        </w:rPr>
        <w:t>under</w:t>
      </w:r>
      <w:r>
        <w:rPr>
          <w:spacing w:val="1"/>
          <w:sz w:val="24"/>
        </w:rPr>
        <w:t> </w:t>
      </w:r>
      <w:r>
        <w:rPr>
          <w:sz w:val="24"/>
        </w:rPr>
        <w:t>the</w:t>
      </w:r>
      <w:r>
        <w:rPr>
          <w:spacing w:val="-2"/>
          <w:sz w:val="24"/>
        </w:rPr>
        <w:t> </w:t>
      </w:r>
      <w:r>
        <w:rPr>
          <w:sz w:val="24"/>
        </w:rPr>
        <w:t>age</w:t>
      </w:r>
      <w:r>
        <w:rPr>
          <w:spacing w:val="-5"/>
          <w:sz w:val="24"/>
        </w:rPr>
        <w:t> </w:t>
      </w:r>
      <w:r>
        <w:rPr>
          <w:sz w:val="24"/>
        </w:rPr>
        <w:t>of</w:t>
      </w:r>
      <w:r>
        <w:rPr>
          <w:spacing w:val="-8"/>
          <w:sz w:val="24"/>
        </w:rPr>
        <w:t> </w:t>
      </w:r>
      <w:r>
        <w:rPr>
          <w:sz w:val="24"/>
        </w:rPr>
        <w:t>eighteen </w:t>
      </w:r>
      <w:r>
        <w:rPr>
          <w:spacing w:val="-2"/>
          <w:sz w:val="24"/>
        </w:rPr>
        <w:t>years;</w:t>
      </w:r>
    </w:p>
    <w:p>
      <w:pPr>
        <w:pStyle w:val="ListParagraph"/>
        <w:numPr>
          <w:ilvl w:val="0"/>
          <w:numId w:val="9"/>
        </w:numPr>
        <w:tabs>
          <w:tab w:pos="1026" w:val="left" w:leader="none"/>
        </w:tabs>
        <w:spacing w:line="240" w:lineRule="auto" w:before="2" w:after="0"/>
        <w:ind w:left="1026" w:right="0" w:hanging="358"/>
        <w:jc w:val="left"/>
        <w:rPr>
          <w:sz w:val="24"/>
        </w:rPr>
      </w:pPr>
      <w:r>
        <w:rPr>
          <w:sz w:val="24"/>
        </w:rPr>
        <w:t>A lunatic</w:t>
      </w:r>
      <w:r>
        <w:rPr>
          <w:spacing w:val="1"/>
          <w:sz w:val="24"/>
        </w:rPr>
        <w:t> </w:t>
      </w:r>
      <w:r>
        <w:rPr>
          <w:sz w:val="24"/>
        </w:rPr>
        <w:t>or</w:t>
      </w:r>
      <w:r>
        <w:rPr>
          <w:spacing w:val="-1"/>
          <w:sz w:val="24"/>
        </w:rPr>
        <w:t> </w:t>
      </w:r>
      <w:r>
        <w:rPr>
          <w:sz w:val="24"/>
        </w:rPr>
        <w:t>person</w:t>
      </w:r>
      <w:r>
        <w:rPr>
          <w:spacing w:val="-8"/>
          <w:sz w:val="24"/>
        </w:rPr>
        <w:t> </w:t>
      </w:r>
      <w:r>
        <w:rPr>
          <w:sz w:val="24"/>
        </w:rPr>
        <w:t>of</w:t>
      </w:r>
      <w:r>
        <w:rPr>
          <w:spacing w:val="-6"/>
          <w:sz w:val="24"/>
        </w:rPr>
        <w:t> </w:t>
      </w:r>
      <w:r>
        <w:rPr>
          <w:sz w:val="24"/>
        </w:rPr>
        <w:t>unsound</w:t>
      </w:r>
      <w:r>
        <w:rPr>
          <w:spacing w:val="6"/>
          <w:sz w:val="24"/>
        </w:rPr>
        <w:t> </w:t>
      </w:r>
      <w:r>
        <w:rPr>
          <w:spacing w:val="-4"/>
          <w:sz w:val="24"/>
        </w:rPr>
        <w:t>mind;</w:t>
      </w:r>
    </w:p>
    <w:p>
      <w:pPr>
        <w:pStyle w:val="ListParagraph"/>
        <w:numPr>
          <w:ilvl w:val="0"/>
          <w:numId w:val="9"/>
        </w:numPr>
        <w:tabs>
          <w:tab w:pos="1027" w:val="left" w:leader="none"/>
        </w:tabs>
        <w:spacing w:line="240" w:lineRule="auto" w:before="41" w:after="0"/>
        <w:ind w:left="1027" w:right="0" w:hanging="359"/>
        <w:jc w:val="left"/>
        <w:rPr>
          <w:sz w:val="24"/>
        </w:rPr>
      </w:pPr>
      <w:r>
        <w:rPr>
          <w:sz w:val="24"/>
        </w:rPr>
        <w:t>A</w:t>
      </w:r>
      <w:r>
        <w:rPr>
          <w:spacing w:val="-7"/>
          <w:sz w:val="24"/>
        </w:rPr>
        <w:t> </w:t>
      </w:r>
      <w:r>
        <w:rPr>
          <w:sz w:val="24"/>
        </w:rPr>
        <w:t>person</w:t>
      </w:r>
      <w:r>
        <w:rPr>
          <w:spacing w:val="-6"/>
          <w:sz w:val="24"/>
        </w:rPr>
        <w:t> </w:t>
      </w:r>
      <w:r>
        <w:rPr>
          <w:sz w:val="24"/>
        </w:rPr>
        <w:t>disqualified</w:t>
      </w:r>
      <w:r>
        <w:rPr>
          <w:spacing w:val="-1"/>
          <w:sz w:val="24"/>
        </w:rPr>
        <w:t> </w:t>
      </w:r>
      <w:r>
        <w:rPr>
          <w:sz w:val="24"/>
        </w:rPr>
        <w:t>under ss.</w:t>
      </w:r>
      <w:r>
        <w:rPr>
          <w:spacing w:val="2"/>
          <w:sz w:val="24"/>
        </w:rPr>
        <w:t> </w:t>
      </w:r>
      <w:r>
        <w:rPr>
          <w:sz w:val="24"/>
        </w:rPr>
        <w:t>253,</w:t>
      </w:r>
      <w:r>
        <w:rPr>
          <w:sz w:val="24"/>
          <w:vertAlign w:val="superscript"/>
        </w:rPr>
        <w:t>23</w:t>
      </w:r>
      <w:r>
        <w:rPr>
          <w:sz w:val="24"/>
          <w:vertAlign w:val="baseline"/>
        </w:rPr>
        <w:t> 254</w:t>
      </w:r>
      <w:r>
        <w:rPr>
          <w:sz w:val="24"/>
          <w:vertAlign w:val="superscript"/>
        </w:rPr>
        <w:t>24</w:t>
      </w:r>
      <w:r>
        <w:rPr>
          <w:spacing w:val="2"/>
          <w:sz w:val="24"/>
          <w:vertAlign w:val="baseline"/>
        </w:rPr>
        <w:t> </w:t>
      </w:r>
      <w:r>
        <w:rPr>
          <w:sz w:val="24"/>
          <w:vertAlign w:val="baseline"/>
        </w:rPr>
        <w:t>and</w:t>
      </w:r>
      <w:r>
        <w:rPr>
          <w:spacing w:val="-1"/>
          <w:sz w:val="24"/>
          <w:vertAlign w:val="baseline"/>
        </w:rPr>
        <w:t> </w:t>
      </w:r>
      <w:r>
        <w:rPr>
          <w:spacing w:val="-2"/>
          <w:sz w:val="24"/>
          <w:vertAlign w:val="baseline"/>
        </w:rPr>
        <w:t>258;</w:t>
      </w:r>
      <w:r>
        <w:rPr>
          <w:spacing w:val="-2"/>
          <w:sz w:val="24"/>
          <w:vertAlign w:val="superscript"/>
        </w:rPr>
        <w:t>25</w:t>
      </w:r>
    </w:p>
    <w:p>
      <w:pPr>
        <w:pStyle w:val="ListParagraph"/>
        <w:numPr>
          <w:ilvl w:val="0"/>
          <w:numId w:val="9"/>
        </w:numPr>
        <w:tabs>
          <w:tab w:pos="1028" w:val="left" w:leader="none"/>
        </w:tabs>
        <w:spacing w:line="271" w:lineRule="auto" w:before="41" w:after="0"/>
        <w:ind w:left="1028" w:right="242" w:hanging="360"/>
        <w:jc w:val="left"/>
        <w:rPr>
          <w:sz w:val="24"/>
        </w:rPr>
      </w:pPr>
      <w:r>
        <w:rPr>
          <w:sz w:val="24"/>
        </w:rPr>
        <w:t>A</w:t>
      </w:r>
      <w:r>
        <w:rPr>
          <w:spacing w:val="27"/>
          <w:sz w:val="24"/>
        </w:rPr>
        <w:t> </w:t>
      </w:r>
      <w:r>
        <w:rPr>
          <w:sz w:val="24"/>
        </w:rPr>
        <w:t>corporation</w:t>
      </w:r>
      <w:r>
        <w:rPr>
          <w:spacing w:val="27"/>
          <w:sz w:val="24"/>
        </w:rPr>
        <w:t> </w:t>
      </w:r>
      <w:r>
        <w:rPr>
          <w:sz w:val="24"/>
        </w:rPr>
        <w:t>other</w:t>
      </w:r>
      <w:r>
        <w:rPr>
          <w:spacing w:val="29"/>
          <w:sz w:val="24"/>
        </w:rPr>
        <w:t> </w:t>
      </w:r>
      <w:r>
        <w:rPr>
          <w:sz w:val="24"/>
        </w:rPr>
        <w:t>than</w:t>
      </w:r>
      <w:r>
        <w:rPr>
          <w:spacing w:val="32"/>
          <w:sz w:val="24"/>
        </w:rPr>
        <w:t> </w:t>
      </w:r>
      <w:r>
        <w:rPr>
          <w:sz w:val="24"/>
        </w:rPr>
        <w:t>its</w:t>
      </w:r>
      <w:r>
        <w:rPr>
          <w:spacing w:val="30"/>
          <w:sz w:val="24"/>
        </w:rPr>
        <w:t> </w:t>
      </w:r>
      <w:r>
        <w:rPr>
          <w:sz w:val="24"/>
        </w:rPr>
        <w:t>representative</w:t>
      </w:r>
      <w:r>
        <w:rPr>
          <w:spacing w:val="31"/>
          <w:sz w:val="24"/>
        </w:rPr>
        <w:t> </w:t>
      </w:r>
      <w:r>
        <w:rPr>
          <w:sz w:val="24"/>
        </w:rPr>
        <w:t>appointed</w:t>
      </w:r>
      <w:r>
        <w:rPr>
          <w:spacing w:val="32"/>
          <w:sz w:val="24"/>
        </w:rPr>
        <w:t> </w:t>
      </w:r>
      <w:r>
        <w:rPr>
          <w:sz w:val="24"/>
        </w:rPr>
        <w:t>to</w:t>
      </w:r>
      <w:r>
        <w:rPr>
          <w:spacing w:val="28"/>
          <w:sz w:val="24"/>
        </w:rPr>
        <w:t> </w:t>
      </w:r>
      <w:r>
        <w:rPr>
          <w:sz w:val="24"/>
        </w:rPr>
        <w:t>the</w:t>
      </w:r>
      <w:r>
        <w:rPr>
          <w:spacing w:val="31"/>
          <w:sz w:val="24"/>
        </w:rPr>
        <w:t> </w:t>
      </w:r>
      <w:r>
        <w:rPr>
          <w:sz w:val="24"/>
        </w:rPr>
        <w:t>board</w:t>
      </w:r>
      <w:r>
        <w:rPr>
          <w:spacing w:val="32"/>
          <w:sz w:val="24"/>
        </w:rPr>
        <w:t> </w:t>
      </w:r>
      <w:r>
        <w:rPr>
          <w:sz w:val="24"/>
        </w:rPr>
        <w:t>for</w:t>
      </w:r>
      <w:r>
        <w:rPr>
          <w:spacing w:val="34"/>
          <w:sz w:val="24"/>
        </w:rPr>
        <w:t> </w:t>
      </w:r>
      <w:r>
        <w:rPr>
          <w:sz w:val="24"/>
        </w:rPr>
        <w:t>a</w:t>
      </w:r>
      <w:r>
        <w:rPr>
          <w:spacing w:val="31"/>
          <w:sz w:val="24"/>
        </w:rPr>
        <w:t> </w:t>
      </w:r>
      <w:r>
        <w:rPr>
          <w:sz w:val="24"/>
        </w:rPr>
        <w:t>given </w:t>
      </w:r>
      <w:r>
        <w:rPr>
          <w:spacing w:val="-2"/>
          <w:sz w:val="24"/>
        </w:rPr>
        <w:t>term.</w:t>
      </w:r>
    </w:p>
    <w:p>
      <w:pPr>
        <w:pStyle w:val="BodyText"/>
        <w:spacing w:line="480" w:lineRule="auto" w:before="212"/>
        <w:ind w:right="242"/>
        <w:jc w:val="both"/>
      </w:pPr>
      <w:r>
        <w:rPr/>
        <w:t>In addition, although a person who is seventy years or more may be appointed to the office of director of a public company, special notice is required for any resolution appointing or approving his appointment and notice must be given to the company and its members stating the fact of his age.</w:t>
      </w:r>
      <w:r>
        <w:rPr>
          <w:vertAlign w:val="superscript"/>
        </w:rPr>
        <w:t>26</w:t>
      </w:r>
    </w:p>
    <w:p>
      <w:pPr>
        <w:pStyle w:val="BodyText"/>
        <w:spacing w:before="1"/>
        <w:ind w:left="1028"/>
        <w:jc w:val="both"/>
      </w:pPr>
      <w:r>
        <w:rPr/>
        <w:t>Under</w:t>
      </w:r>
      <w:r>
        <w:rPr>
          <w:spacing w:val="28"/>
        </w:rPr>
        <w:t> </w:t>
      </w:r>
      <w:r>
        <w:rPr/>
        <w:t>the</w:t>
      </w:r>
      <w:r>
        <w:rPr>
          <w:spacing w:val="32"/>
        </w:rPr>
        <w:t> </w:t>
      </w:r>
      <w:r>
        <w:rPr/>
        <w:t>CA,</w:t>
      </w:r>
      <w:r>
        <w:rPr>
          <w:spacing w:val="31"/>
        </w:rPr>
        <w:t> </w:t>
      </w:r>
      <w:r>
        <w:rPr/>
        <w:t>the</w:t>
      </w:r>
      <w:r>
        <w:rPr>
          <w:spacing w:val="32"/>
        </w:rPr>
        <w:t> </w:t>
      </w:r>
      <w:r>
        <w:rPr/>
        <w:t>stance</w:t>
      </w:r>
      <w:r>
        <w:rPr>
          <w:spacing w:val="31"/>
        </w:rPr>
        <w:t> </w:t>
      </w:r>
      <w:r>
        <w:rPr/>
        <w:t>of</w:t>
      </w:r>
      <w:r>
        <w:rPr>
          <w:spacing w:val="26"/>
        </w:rPr>
        <w:t> </w:t>
      </w:r>
      <w:r>
        <w:rPr/>
        <w:t>the</w:t>
      </w:r>
      <w:r>
        <w:rPr>
          <w:spacing w:val="32"/>
        </w:rPr>
        <w:t> </w:t>
      </w:r>
      <w:r>
        <w:rPr/>
        <w:t>law</w:t>
      </w:r>
      <w:r>
        <w:rPr>
          <w:spacing w:val="33"/>
        </w:rPr>
        <w:t> </w:t>
      </w:r>
      <w:r>
        <w:rPr/>
        <w:t>is</w:t>
      </w:r>
      <w:r>
        <w:rPr>
          <w:spacing w:val="35"/>
        </w:rPr>
        <w:t> </w:t>
      </w:r>
      <w:r>
        <w:rPr/>
        <w:t>somewhat</w:t>
      </w:r>
      <w:r>
        <w:rPr>
          <w:spacing w:val="34"/>
        </w:rPr>
        <w:t> </w:t>
      </w:r>
      <w:r>
        <w:rPr/>
        <w:t>different.</w:t>
      </w:r>
      <w:r>
        <w:rPr>
          <w:spacing w:val="31"/>
        </w:rPr>
        <w:t> </w:t>
      </w:r>
      <w:r>
        <w:rPr/>
        <w:t>In</w:t>
      </w:r>
      <w:r>
        <w:rPr>
          <w:spacing w:val="25"/>
        </w:rPr>
        <w:t> </w:t>
      </w:r>
      <w:r>
        <w:rPr/>
        <w:t>the</w:t>
      </w:r>
      <w:r>
        <w:rPr>
          <w:spacing w:val="32"/>
        </w:rPr>
        <w:t> </w:t>
      </w:r>
      <w:r>
        <w:rPr/>
        <w:t>first</w:t>
      </w:r>
      <w:r>
        <w:rPr>
          <w:spacing w:val="34"/>
        </w:rPr>
        <w:t> </w:t>
      </w:r>
      <w:r>
        <w:rPr>
          <w:spacing w:val="-2"/>
        </w:rPr>
        <w:t>place,</w:t>
      </w:r>
    </w:p>
    <w:p>
      <w:pPr>
        <w:pStyle w:val="BodyText"/>
        <w:spacing w:line="480" w:lineRule="auto" w:before="276"/>
        <w:ind w:right="226"/>
        <w:jc w:val="both"/>
      </w:pPr>
      <w:r>
        <w:rPr/>
        <w:t>s.157</w:t>
      </w:r>
      <w:r>
        <w:rPr>
          <w:spacing w:val="-1"/>
        </w:rPr>
        <w:t> </w:t>
      </w:r>
      <w:r>
        <w:rPr/>
        <w:t>of</w:t>
      </w:r>
      <w:r>
        <w:rPr>
          <w:spacing w:val="-9"/>
        </w:rPr>
        <w:t> </w:t>
      </w:r>
      <w:r>
        <w:rPr/>
        <w:t>the</w:t>
      </w:r>
      <w:r>
        <w:rPr>
          <w:spacing w:val="-2"/>
        </w:rPr>
        <w:t> </w:t>
      </w:r>
      <w:r>
        <w:rPr/>
        <w:t>Act sets</w:t>
      </w:r>
      <w:r>
        <w:rPr>
          <w:spacing w:val="-8"/>
        </w:rPr>
        <w:t> </w:t>
      </w:r>
      <w:r>
        <w:rPr/>
        <w:t>the minimum</w:t>
      </w:r>
      <w:r>
        <w:rPr>
          <w:spacing w:val="-6"/>
        </w:rPr>
        <w:t> </w:t>
      </w:r>
      <w:r>
        <w:rPr/>
        <w:t>age for appointment as</w:t>
      </w:r>
      <w:r>
        <w:rPr>
          <w:spacing w:val="-3"/>
        </w:rPr>
        <w:t> </w:t>
      </w:r>
      <w:r>
        <w:rPr/>
        <w:t>director at sixteen. Previously common law accommodated someone as young as an infant for that post.</w:t>
      </w:r>
      <w:r>
        <w:rPr>
          <w:vertAlign w:val="superscript"/>
        </w:rPr>
        <w:t>27</w:t>
      </w:r>
      <w:r>
        <w:rPr>
          <w:vertAlign w:val="baseline"/>
        </w:rPr>
        <w:t> In fact, the law allows a person below the age of</w:t>
      </w:r>
      <w:r>
        <w:rPr>
          <w:spacing w:val="-3"/>
          <w:vertAlign w:val="baseline"/>
        </w:rPr>
        <w:t> </w:t>
      </w:r>
      <w:r>
        <w:rPr>
          <w:vertAlign w:val="baseline"/>
        </w:rPr>
        <w:t>sixteen to be appointed, provided the appointment is not to take effect until such a person attains the required age of sixteen.</w:t>
      </w:r>
      <w:r>
        <w:rPr>
          <w:vertAlign w:val="superscript"/>
        </w:rPr>
        <w:t>28</w:t>
      </w:r>
      <w:r>
        <w:rPr>
          <w:vertAlign w:val="baseline"/>
        </w:rPr>
        <w:t> However, there is no maximum age for the appointment. Furthermore, the CA recognizes corporate directorship, so that there can be members of the board of directors who are not in fact natural persons but corporations. Nevertheless, all companies must have at least one director who is a natural person.</w:t>
      </w:r>
      <w:r>
        <w:rPr>
          <w:vertAlign w:val="superscript"/>
        </w:rPr>
        <w:t>29</w:t>
      </w:r>
    </w:p>
    <w:p>
      <w:pPr>
        <w:pStyle w:val="BodyText"/>
        <w:spacing w:before="5"/>
        <w:ind w:left="0"/>
        <w:rPr>
          <w:sz w:val="20"/>
        </w:rPr>
      </w:pPr>
      <w:r>
        <w:rPr/>
        <mc:AlternateContent>
          <mc:Choice Requires="wps">
            <w:drawing>
              <wp:anchor distT="0" distB="0" distL="0" distR="0" allowOverlap="1" layoutInCell="1" locked="0" behindDoc="1" simplePos="0" relativeHeight="487622144">
                <wp:simplePos x="0" y="0"/>
                <wp:positionH relativeFrom="page">
                  <wp:posOffset>1262481</wp:posOffset>
                </wp:positionH>
                <wp:positionV relativeFrom="paragraph">
                  <wp:posOffset>164708</wp:posOffset>
                </wp:positionV>
                <wp:extent cx="1829435" cy="9525"/>
                <wp:effectExtent l="0" t="0" r="0" b="0"/>
                <wp:wrapTopAndBottom/>
                <wp:docPr id="70" name="Graphic 70"/>
                <wp:cNvGraphicFramePr>
                  <a:graphicFrameLocks/>
                </wp:cNvGraphicFramePr>
                <a:graphic>
                  <a:graphicData uri="http://schemas.microsoft.com/office/word/2010/wordprocessingShape">
                    <wps:wsp>
                      <wps:cNvPr id="70" name="Graphic 7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96921pt;width:144.050pt;height:.71997pt;mso-position-horizontal-relative:page;mso-position-vertical-relative:paragraph;z-index:-15694336;mso-wrap-distance-left:0;mso-wrap-distance-right:0" id="docshape25"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23</w:t>
      </w:r>
      <w:r>
        <w:rPr>
          <w:rFonts w:ascii="Calibri"/>
          <w:sz w:val="20"/>
          <w:vertAlign w:val="baseline"/>
        </w:rPr>
        <w:t>An </w:t>
      </w:r>
      <w:r>
        <w:rPr>
          <w:rFonts w:ascii="Calibri"/>
          <w:spacing w:val="-2"/>
          <w:sz w:val="20"/>
          <w:vertAlign w:val="baseline"/>
        </w:rPr>
        <w:t>insolvent.</w:t>
      </w:r>
    </w:p>
    <w:p>
      <w:pPr>
        <w:spacing w:line="242" w:lineRule="exact" w:before="0"/>
        <w:ind w:left="308" w:right="0" w:firstLine="0"/>
        <w:jc w:val="left"/>
        <w:rPr>
          <w:rFonts w:ascii="Calibri"/>
          <w:sz w:val="20"/>
        </w:rPr>
      </w:pPr>
      <w:r>
        <w:rPr>
          <w:rFonts w:ascii="Calibri"/>
          <w:sz w:val="20"/>
          <w:vertAlign w:val="superscript"/>
        </w:rPr>
        <w:t>24</w:t>
      </w:r>
      <w:r>
        <w:rPr>
          <w:rFonts w:ascii="Calibri"/>
          <w:sz w:val="20"/>
          <w:vertAlign w:val="baseline"/>
        </w:rPr>
        <w:t>A</w:t>
      </w:r>
      <w:r>
        <w:rPr>
          <w:rFonts w:ascii="Calibri"/>
          <w:spacing w:val="-2"/>
          <w:sz w:val="20"/>
          <w:vertAlign w:val="baseline"/>
        </w:rPr>
        <w:t> </w:t>
      </w:r>
      <w:r>
        <w:rPr>
          <w:rFonts w:ascii="Calibri"/>
          <w:sz w:val="20"/>
          <w:vertAlign w:val="baseline"/>
        </w:rPr>
        <w:t>fraud</w:t>
      </w:r>
      <w:r>
        <w:rPr>
          <w:rFonts w:ascii="Calibri"/>
          <w:spacing w:val="-1"/>
          <w:sz w:val="20"/>
          <w:vertAlign w:val="baseline"/>
        </w:rPr>
        <w:t> </w:t>
      </w:r>
      <w:r>
        <w:rPr>
          <w:rFonts w:ascii="Calibri"/>
          <w:spacing w:val="-2"/>
          <w:sz w:val="20"/>
          <w:vertAlign w:val="baseline"/>
        </w:rPr>
        <w:t>convict.</w:t>
      </w:r>
    </w:p>
    <w:p>
      <w:pPr>
        <w:spacing w:before="1"/>
        <w:ind w:left="308" w:right="0" w:firstLine="0"/>
        <w:jc w:val="left"/>
        <w:rPr>
          <w:rFonts w:ascii="Calibri"/>
          <w:sz w:val="20"/>
        </w:rPr>
      </w:pPr>
      <w:r>
        <w:rPr>
          <w:rFonts w:ascii="Calibri"/>
          <w:sz w:val="20"/>
          <w:vertAlign w:val="superscript"/>
        </w:rPr>
        <w:t>25</w:t>
      </w:r>
      <w:r>
        <w:rPr>
          <w:rFonts w:ascii="Calibri"/>
          <w:spacing w:val="-2"/>
          <w:sz w:val="20"/>
          <w:vertAlign w:val="baseline"/>
        </w:rPr>
        <w:t> </w:t>
      </w:r>
      <w:r>
        <w:rPr>
          <w:rFonts w:ascii="Calibri"/>
          <w:sz w:val="20"/>
          <w:vertAlign w:val="baseline"/>
        </w:rPr>
        <w:t>A</w:t>
      </w:r>
      <w:r>
        <w:rPr>
          <w:rFonts w:ascii="Calibri"/>
          <w:spacing w:val="-4"/>
          <w:sz w:val="20"/>
          <w:vertAlign w:val="baseline"/>
        </w:rPr>
        <w:t> </w:t>
      </w:r>
      <w:r>
        <w:rPr>
          <w:rFonts w:ascii="Calibri"/>
          <w:sz w:val="20"/>
          <w:vertAlign w:val="baseline"/>
        </w:rPr>
        <w:t>person</w:t>
      </w:r>
      <w:r>
        <w:rPr>
          <w:rFonts w:ascii="Calibri"/>
          <w:spacing w:val="-7"/>
          <w:sz w:val="20"/>
          <w:vertAlign w:val="baseline"/>
        </w:rPr>
        <w:t> </w:t>
      </w:r>
      <w:r>
        <w:rPr>
          <w:rFonts w:ascii="Calibri"/>
          <w:sz w:val="20"/>
          <w:vertAlign w:val="baseline"/>
        </w:rPr>
        <w:t>required</w:t>
      </w:r>
      <w:r>
        <w:rPr>
          <w:rFonts w:ascii="Calibri"/>
          <w:spacing w:val="-3"/>
          <w:sz w:val="20"/>
          <w:vertAlign w:val="baseline"/>
        </w:rPr>
        <w:t> </w:t>
      </w:r>
      <w:r>
        <w:rPr>
          <w:rFonts w:ascii="Calibri"/>
          <w:sz w:val="20"/>
          <w:vertAlign w:val="baseline"/>
        </w:rPr>
        <w:t>to</w:t>
      </w:r>
      <w:r>
        <w:rPr>
          <w:rFonts w:ascii="Calibri"/>
          <w:spacing w:val="-9"/>
          <w:sz w:val="20"/>
          <w:vertAlign w:val="baseline"/>
        </w:rPr>
        <w:t> </w:t>
      </w:r>
      <w:r>
        <w:rPr>
          <w:rFonts w:ascii="Calibri"/>
          <w:sz w:val="20"/>
          <w:vertAlign w:val="baseline"/>
        </w:rPr>
        <w:t>vacate</w:t>
      </w:r>
      <w:r>
        <w:rPr>
          <w:rFonts w:ascii="Calibri"/>
          <w:spacing w:val="-6"/>
          <w:sz w:val="20"/>
          <w:vertAlign w:val="baseline"/>
        </w:rPr>
        <w:t> </w:t>
      </w:r>
      <w:r>
        <w:rPr>
          <w:rFonts w:ascii="Calibri"/>
          <w:sz w:val="20"/>
          <w:vertAlign w:val="baseline"/>
        </w:rPr>
        <w:t>his</w:t>
      </w:r>
      <w:r>
        <w:rPr>
          <w:rFonts w:ascii="Calibri"/>
          <w:spacing w:val="-5"/>
          <w:sz w:val="20"/>
          <w:vertAlign w:val="baseline"/>
        </w:rPr>
        <w:t> </w:t>
      </w:r>
      <w:r>
        <w:rPr>
          <w:rFonts w:ascii="Calibri"/>
          <w:sz w:val="20"/>
          <w:vertAlign w:val="baseline"/>
        </w:rPr>
        <w:t>office</w:t>
      </w:r>
      <w:r>
        <w:rPr>
          <w:rFonts w:ascii="Calibri"/>
          <w:spacing w:val="-6"/>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director</w:t>
      </w:r>
      <w:r>
        <w:rPr>
          <w:rFonts w:ascii="Calibri"/>
          <w:spacing w:val="-1"/>
          <w:sz w:val="20"/>
          <w:vertAlign w:val="baseline"/>
        </w:rPr>
        <w:t> </w:t>
      </w:r>
      <w:r>
        <w:rPr>
          <w:rFonts w:ascii="Calibri"/>
          <w:sz w:val="20"/>
          <w:vertAlign w:val="baseline"/>
        </w:rPr>
        <w:t>under</w:t>
      </w:r>
      <w:r>
        <w:rPr>
          <w:rFonts w:ascii="Calibri"/>
          <w:spacing w:val="-5"/>
          <w:sz w:val="20"/>
          <w:vertAlign w:val="baseline"/>
        </w:rPr>
        <w:t> </w:t>
      </w:r>
      <w:r>
        <w:rPr>
          <w:rFonts w:ascii="Calibri"/>
          <w:sz w:val="20"/>
          <w:vertAlign w:val="baseline"/>
        </w:rPr>
        <w:t>the</w:t>
      </w:r>
      <w:r>
        <w:rPr>
          <w:rFonts w:ascii="Calibri"/>
          <w:spacing w:val="-12"/>
          <w:sz w:val="20"/>
          <w:vertAlign w:val="baseline"/>
        </w:rPr>
        <w:t> </w:t>
      </w:r>
      <w:r>
        <w:rPr>
          <w:rFonts w:ascii="Calibri"/>
          <w:sz w:val="20"/>
          <w:vertAlign w:val="baseline"/>
        </w:rPr>
        <w:t>circumstances</w:t>
      </w:r>
      <w:r>
        <w:rPr>
          <w:rFonts w:ascii="Calibri"/>
          <w:spacing w:val="-8"/>
          <w:sz w:val="20"/>
          <w:vertAlign w:val="baseline"/>
        </w:rPr>
        <w:t> </w:t>
      </w:r>
      <w:r>
        <w:rPr>
          <w:rFonts w:ascii="Calibri"/>
          <w:sz w:val="20"/>
          <w:vertAlign w:val="baseline"/>
        </w:rPr>
        <w:t>listed</w:t>
      </w:r>
      <w:r>
        <w:rPr>
          <w:rFonts w:ascii="Calibri"/>
          <w:spacing w:val="-7"/>
          <w:sz w:val="20"/>
          <w:vertAlign w:val="baseline"/>
        </w:rPr>
        <w:t> </w:t>
      </w:r>
      <w:r>
        <w:rPr>
          <w:rFonts w:ascii="Calibri"/>
          <w:sz w:val="20"/>
          <w:vertAlign w:val="baseline"/>
        </w:rPr>
        <w:t>under</w:t>
      </w:r>
      <w:r>
        <w:rPr>
          <w:rFonts w:ascii="Calibri"/>
          <w:spacing w:val="-6"/>
          <w:sz w:val="20"/>
          <w:vertAlign w:val="baseline"/>
        </w:rPr>
        <w:t> </w:t>
      </w:r>
      <w:r>
        <w:rPr>
          <w:rFonts w:ascii="Calibri"/>
          <w:sz w:val="20"/>
          <w:vertAlign w:val="baseline"/>
        </w:rPr>
        <w:t>that</w:t>
      </w:r>
      <w:r>
        <w:rPr>
          <w:rFonts w:ascii="Calibri"/>
          <w:spacing w:val="-3"/>
          <w:sz w:val="20"/>
          <w:vertAlign w:val="baseline"/>
        </w:rPr>
        <w:t> </w:t>
      </w:r>
      <w:r>
        <w:rPr>
          <w:rFonts w:ascii="Calibri"/>
          <w:spacing w:val="-2"/>
          <w:sz w:val="20"/>
          <w:vertAlign w:val="baseline"/>
        </w:rPr>
        <w:t>section.</w:t>
      </w:r>
    </w:p>
    <w:p>
      <w:pPr>
        <w:spacing w:before="1"/>
        <w:ind w:left="308" w:right="0" w:firstLine="0"/>
        <w:jc w:val="left"/>
        <w:rPr>
          <w:rFonts w:ascii="Calibri"/>
          <w:sz w:val="20"/>
        </w:rPr>
      </w:pPr>
      <w:r>
        <w:rPr>
          <w:rFonts w:ascii="Calibri"/>
          <w:sz w:val="20"/>
          <w:vertAlign w:val="superscript"/>
        </w:rPr>
        <w:t>26</w:t>
      </w:r>
      <w:r>
        <w:rPr>
          <w:rFonts w:ascii="Calibri"/>
          <w:spacing w:val="2"/>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256</w:t>
      </w:r>
      <w:r>
        <w:rPr>
          <w:rFonts w:ascii="Calibri"/>
          <w:spacing w:val="-5"/>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 </w:t>
      </w:r>
      <w:r>
        <w:rPr>
          <w:rFonts w:ascii="Calibri"/>
          <w:spacing w:val="-4"/>
          <w:sz w:val="20"/>
          <w:vertAlign w:val="baseline"/>
        </w:rPr>
        <w:t>CAMA.</w:t>
      </w:r>
    </w:p>
    <w:p>
      <w:pPr>
        <w:spacing w:before="1"/>
        <w:ind w:left="308" w:right="0" w:firstLine="0"/>
        <w:jc w:val="left"/>
        <w:rPr>
          <w:rFonts w:ascii="Calibri" w:hAnsi="Calibri"/>
          <w:sz w:val="20"/>
        </w:rPr>
      </w:pPr>
      <w:r>
        <w:rPr>
          <w:rFonts w:ascii="Calibri" w:hAnsi="Calibri"/>
          <w:sz w:val="20"/>
          <w:vertAlign w:val="superscript"/>
        </w:rPr>
        <w:t>27</w:t>
      </w:r>
      <w:r>
        <w:rPr>
          <w:rFonts w:ascii="Calibri" w:hAnsi="Calibri"/>
          <w:spacing w:val="40"/>
          <w:sz w:val="20"/>
          <w:vertAlign w:val="baseline"/>
        </w:rPr>
        <w:t> </w:t>
      </w:r>
      <w:r>
        <w:rPr>
          <w:rFonts w:ascii="Calibri" w:hAnsi="Calibri"/>
          <w:sz w:val="20"/>
          <w:vertAlign w:val="baseline"/>
        </w:rPr>
        <w:t>See</w:t>
      </w:r>
      <w:r>
        <w:rPr>
          <w:rFonts w:ascii="Calibri" w:hAnsi="Calibri"/>
          <w:spacing w:val="40"/>
          <w:sz w:val="20"/>
          <w:vertAlign w:val="baseline"/>
        </w:rPr>
        <w:t> </w:t>
      </w:r>
      <w:r>
        <w:rPr>
          <w:rFonts w:ascii="Calibri" w:hAnsi="Calibri"/>
          <w:i/>
          <w:sz w:val="20"/>
          <w:vertAlign w:val="baseline"/>
        </w:rPr>
        <w:t>Re</w:t>
      </w:r>
      <w:r>
        <w:rPr>
          <w:rFonts w:ascii="Calibri" w:hAnsi="Calibri"/>
          <w:i/>
          <w:spacing w:val="40"/>
          <w:sz w:val="20"/>
          <w:vertAlign w:val="baseline"/>
        </w:rPr>
        <w:t> </w:t>
      </w:r>
      <w:r>
        <w:rPr>
          <w:rFonts w:ascii="Calibri" w:hAnsi="Calibri"/>
          <w:i/>
          <w:sz w:val="20"/>
          <w:vertAlign w:val="baseline"/>
        </w:rPr>
        <w:t>Cardiff</w:t>
      </w:r>
      <w:r>
        <w:rPr>
          <w:rFonts w:ascii="Calibri" w:hAnsi="Calibri"/>
          <w:i/>
          <w:spacing w:val="40"/>
          <w:sz w:val="20"/>
          <w:vertAlign w:val="baseline"/>
        </w:rPr>
        <w:t> </w:t>
      </w:r>
      <w:r>
        <w:rPr>
          <w:rFonts w:ascii="Calibri" w:hAnsi="Calibri"/>
          <w:i/>
          <w:sz w:val="20"/>
          <w:vertAlign w:val="baseline"/>
        </w:rPr>
        <w:t>Savings</w:t>
      </w:r>
      <w:r>
        <w:rPr>
          <w:rFonts w:ascii="Calibri" w:hAnsi="Calibri"/>
          <w:i/>
          <w:spacing w:val="40"/>
          <w:sz w:val="20"/>
          <w:vertAlign w:val="baseline"/>
        </w:rPr>
        <w:t> </w:t>
      </w:r>
      <w:r>
        <w:rPr>
          <w:rFonts w:ascii="Calibri" w:hAnsi="Calibri"/>
          <w:i/>
          <w:sz w:val="20"/>
          <w:vertAlign w:val="baseline"/>
        </w:rPr>
        <w:t>Bank</w:t>
      </w:r>
      <w:r>
        <w:rPr>
          <w:rFonts w:ascii="Calibri" w:hAnsi="Calibri"/>
          <w:i/>
          <w:spacing w:val="39"/>
          <w:sz w:val="20"/>
          <w:vertAlign w:val="baseline"/>
        </w:rPr>
        <w:t> </w:t>
      </w:r>
      <w:r>
        <w:rPr>
          <w:rFonts w:ascii="Calibri" w:hAnsi="Calibri"/>
          <w:i/>
          <w:sz w:val="20"/>
          <w:vertAlign w:val="baseline"/>
        </w:rPr>
        <w:t>(Marquis</w:t>
      </w:r>
      <w:r>
        <w:rPr>
          <w:rFonts w:ascii="Calibri" w:hAnsi="Calibri"/>
          <w:i/>
          <w:spacing w:val="38"/>
          <w:sz w:val="20"/>
          <w:vertAlign w:val="baseline"/>
        </w:rPr>
        <w:t> </w:t>
      </w:r>
      <w:r>
        <w:rPr>
          <w:rFonts w:ascii="Calibri" w:hAnsi="Calibri"/>
          <w:i/>
          <w:sz w:val="20"/>
          <w:vertAlign w:val="baseline"/>
        </w:rPr>
        <w:t>of</w:t>
      </w:r>
      <w:r>
        <w:rPr>
          <w:rFonts w:ascii="Calibri" w:hAnsi="Calibri"/>
          <w:i/>
          <w:spacing w:val="40"/>
          <w:sz w:val="20"/>
          <w:vertAlign w:val="baseline"/>
        </w:rPr>
        <w:t> </w:t>
      </w:r>
      <w:r>
        <w:rPr>
          <w:rFonts w:ascii="Calibri" w:hAnsi="Calibri"/>
          <w:i/>
          <w:sz w:val="20"/>
          <w:vertAlign w:val="baseline"/>
        </w:rPr>
        <w:t>Bute’s</w:t>
      </w:r>
      <w:r>
        <w:rPr>
          <w:rFonts w:ascii="Calibri" w:hAnsi="Calibri"/>
          <w:i/>
          <w:spacing w:val="40"/>
          <w:sz w:val="20"/>
          <w:vertAlign w:val="baseline"/>
        </w:rPr>
        <w:t> </w:t>
      </w:r>
      <w:r>
        <w:rPr>
          <w:rFonts w:ascii="Calibri" w:hAnsi="Calibri"/>
          <w:i/>
          <w:sz w:val="20"/>
          <w:vertAlign w:val="baseline"/>
        </w:rPr>
        <w:t>Case</w:t>
      </w:r>
      <w:r>
        <w:rPr>
          <w:rFonts w:ascii="Calibri" w:hAnsi="Calibri"/>
          <w:sz w:val="20"/>
          <w:vertAlign w:val="baseline"/>
        </w:rPr>
        <w:t>),</w:t>
      </w:r>
      <w:r>
        <w:rPr>
          <w:rFonts w:ascii="Calibri" w:hAnsi="Calibri"/>
          <w:spacing w:val="40"/>
          <w:sz w:val="20"/>
          <w:vertAlign w:val="baseline"/>
        </w:rPr>
        <w:t> </w:t>
      </w:r>
      <w:r>
        <w:rPr>
          <w:rFonts w:ascii="Calibri" w:hAnsi="Calibri"/>
          <w:sz w:val="20"/>
          <w:vertAlign w:val="baseline"/>
        </w:rPr>
        <w:t>(1892),</w:t>
      </w:r>
      <w:r>
        <w:rPr>
          <w:rFonts w:ascii="Calibri" w:hAnsi="Calibri"/>
          <w:spacing w:val="40"/>
          <w:sz w:val="20"/>
          <w:vertAlign w:val="baseline"/>
        </w:rPr>
        <w:t> </w:t>
      </w:r>
      <w:r>
        <w:rPr>
          <w:rFonts w:ascii="Calibri" w:hAnsi="Calibri"/>
          <w:sz w:val="20"/>
          <w:vertAlign w:val="baseline"/>
        </w:rPr>
        <w:t>Ch.</w:t>
      </w:r>
      <w:r>
        <w:rPr>
          <w:rFonts w:ascii="Calibri" w:hAnsi="Calibri"/>
          <w:spacing w:val="40"/>
          <w:sz w:val="20"/>
          <w:vertAlign w:val="baseline"/>
        </w:rPr>
        <w:t> </w:t>
      </w:r>
      <w:r>
        <w:rPr>
          <w:rFonts w:ascii="Calibri" w:hAnsi="Calibri"/>
          <w:sz w:val="20"/>
          <w:vertAlign w:val="baseline"/>
        </w:rPr>
        <w:t>100,</w:t>
      </w:r>
      <w:r>
        <w:rPr>
          <w:rFonts w:ascii="Calibri" w:hAnsi="Calibri"/>
          <w:spacing w:val="40"/>
          <w:sz w:val="20"/>
          <w:vertAlign w:val="baseline"/>
        </w:rPr>
        <w:t> </w:t>
      </w:r>
      <w:r>
        <w:rPr>
          <w:rFonts w:ascii="Calibri" w:hAnsi="Calibri"/>
          <w:sz w:val="20"/>
          <w:vertAlign w:val="baseline"/>
        </w:rPr>
        <w:t>where</w:t>
      </w:r>
      <w:r>
        <w:rPr>
          <w:rFonts w:ascii="Calibri" w:hAnsi="Calibri"/>
          <w:spacing w:val="40"/>
          <w:sz w:val="20"/>
          <w:vertAlign w:val="baseline"/>
        </w:rPr>
        <w:t> </w:t>
      </w:r>
      <w:r>
        <w:rPr>
          <w:rFonts w:ascii="Calibri" w:hAnsi="Calibri"/>
          <w:sz w:val="20"/>
          <w:vertAlign w:val="baseline"/>
        </w:rPr>
        <w:t>the</w:t>
      </w:r>
      <w:r>
        <w:rPr>
          <w:rFonts w:ascii="Calibri" w:hAnsi="Calibri"/>
          <w:spacing w:val="40"/>
          <w:sz w:val="20"/>
          <w:vertAlign w:val="baseline"/>
        </w:rPr>
        <w:t> </w:t>
      </w:r>
      <w:r>
        <w:rPr>
          <w:rFonts w:ascii="Calibri" w:hAnsi="Calibri"/>
          <w:sz w:val="20"/>
          <w:vertAlign w:val="baseline"/>
        </w:rPr>
        <w:t>Marquis</w:t>
      </w:r>
      <w:r>
        <w:rPr>
          <w:rFonts w:ascii="Calibri" w:hAnsi="Calibri"/>
          <w:spacing w:val="40"/>
          <w:sz w:val="20"/>
          <w:vertAlign w:val="baseline"/>
        </w:rPr>
        <w:t> </w:t>
      </w:r>
      <w:r>
        <w:rPr>
          <w:rFonts w:ascii="Calibri" w:hAnsi="Calibri"/>
          <w:sz w:val="20"/>
          <w:vertAlign w:val="baseline"/>
        </w:rPr>
        <w:t>was appointed to the office at the tender age of 6 months.</w:t>
      </w:r>
    </w:p>
    <w:p>
      <w:pPr>
        <w:spacing w:before="1"/>
        <w:ind w:left="308" w:right="0" w:firstLine="0"/>
        <w:jc w:val="left"/>
        <w:rPr>
          <w:rFonts w:ascii="Calibri"/>
          <w:sz w:val="20"/>
        </w:rPr>
      </w:pPr>
      <w:r>
        <w:rPr>
          <w:rFonts w:ascii="Calibri"/>
          <w:sz w:val="20"/>
          <w:vertAlign w:val="superscript"/>
        </w:rPr>
        <w:t>28</w:t>
      </w:r>
      <w:r>
        <w:rPr>
          <w:rFonts w:ascii="Calibri"/>
          <w:sz w:val="20"/>
          <w:vertAlign w:val="baseline"/>
        </w:rPr>
        <w:t>Refer</w:t>
      </w:r>
      <w:r>
        <w:rPr>
          <w:rFonts w:ascii="Calibri"/>
          <w:spacing w:val="-1"/>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w:t>
      </w:r>
      <w:r>
        <w:rPr>
          <w:rFonts w:ascii="Calibri"/>
          <w:spacing w:val="-5"/>
          <w:sz w:val="20"/>
          <w:vertAlign w:val="baseline"/>
        </w:rPr>
        <w:t> </w:t>
      </w:r>
      <w:r>
        <w:rPr>
          <w:rFonts w:ascii="Calibri"/>
          <w:sz w:val="20"/>
          <w:vertAlign w:val="baseline"/>
        </w:rPr>
        <w:t>157(2)</w:t>
      </w:r>
      <w:r>
        <w:rPr>
          <w:rFonts w:ascii="Calibri"/>
          <w:spacing w:val="-5"/>
          <w:sz w:val="20"/>
          <w:vertAlign w:val="baseline"/>
        </w:rPr>
        <w:t> CA.</w:t>
      </w:r>
    </w:p>
    <w:p>
      <w:pPr>
        <w:spacing w:before="1"/>
        <w:ind w:left="308" w:right="0" w:firstLine="0"/>
        <w:jc w:val="left"/>
        <w:rPr>
          <w:rFonts w:ascii="Calibri"/>
          <w:sz w:val="20"/>
        </w:rPr>
      </w:pPr>
      <w:r>
        <w:rPr>
          <w:rFonts w:ascii="Calibri"/>
          <w:sz w:val="20"/>
          <w:vertAlign w:val="superscript"/>
        </w:rPr>
        <w:t>29</w:t>
      </w:r>
      <w:r>
        <w:rPr>
          <w:rFonts w:ascii="Calibri"/>
          <w:sz w:val="20"/>
          <w:vertAlign w:val="baseline"/>
        </w:rPr>
        <w:t>Refer to</w:t>
      </w:r>
      <w:r>
        <w:rPr>
          <w:rFonts w:ascii="Calibri"/>
          <w:spacing w:val="-7"/>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155</w:t>
      </w:r>
      <w:r>
        <w:rPr>
          <w:rFonts w:ascii="Calibri"/>
          <w:spacing w:val="-2"/>
          <w:sz w:val="20"/>
          <w:vertAlign w:val="baseline"/>
        </w:rPr>
        <w:t> </w:t>
      </w:r>
      <w:r>
        <w:rPr>
          <w:rFonts w:ascii="Calibri"/>
          <w:spacing w:val="-5"/>
          <w:sz w:val="20"/>
          <w:vertAlign w:val="baseline"/>
        </w:rPr>
        <w:t>CA.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7" w:firstLine="720"/>
        <w:jc w:val="both"/>
      </w:pPr>
      <w:r>
        <w:rPr/>
        <w:t>Also, the UK for some time now has had in force the Company Directors Disqualification Act 1986, which generally disqualifies certain persons in certain situations from being involved in the formation or management of companies and, in particular, from being company directors.</w:t>
      </w:r>
      <w:r>
        <w:rPr>
          <w:vertAlign w:val="superscript"/>
        </w:rPr>
        <w:t>30</w:t>
      </w:r>
      <w:r>
        <w:rPr>
          <w:vertAlign w:val="baseline"/>
        </w:rPr>
        <w:t> The Insolvency Act 2000 also later came to compliment the latter. The net effect of the two legislations is to disqualify persons based on issues ranging from conviction for offences, persistent default, fraud and unfitness, to wrongful and fraudulent trading and competition infringements, from appointment as company directors. This is done through the instrumentality of disqualification orders or undertakings. The period of disqualification may range from two to fifteen years,</w:t>
      </w:r>
      <w:r>
        <w:rPr>
          <w:vertAlign w:val="superscript"/>
        </w:rPr>
        <w:t>31</w:t>
      </w:r>
      <w:r>
        <w:rPr>
          <w:vertAlign w:val="baseline"/>
        </w:rPr>
        <w:t> but may be relaxed by the court which may give leave to the disqualified person to act in a particular case. Pursuant to this, the Secretary of State is required to maintain a register of</w:t>
      </w:r>
      <w:r>
        <w:rPr>
          <w:spacing w:val="-2"/>
          <w:vertAlign w:val="baseline"/>
        </w:rPr>
        <w:t> </w:t>
      </w:r>
      <w:r>
        <w:rPr>
          <w:vertAlign w:val="baseline"/>
        </w:rPr>
        <w:t>such persons for the reference of</w:t>
      </w:r>
      <w:r>
        <w:rPr>
          <w:spacing w:val="-2"/>
          <w:vertAlign w:val="baseline"/>
        </w:rPr>
        <w:t> </w:t>
      </w:r>
      <w:r>
        <w:rPr>
          <w:vertAlign w:val="baseline"/>
        </w:rPr>
        <w:t>the public. A similar arrangement is not applicable in Nigeria. It is submitted that the publication of the</w:t>
      </w:r>
      <w:r>
        <w:rPr>
          <w:spacing w:val="40"/>
          <w:vertAlign w:val="baseline"/>
        </w:rPr>
        <w:t> </w:t>
      </w:r>
      <w:r>
        <w:rPr>
          <w:vertAlign w:val="baseline"/>
        </w:rPr>
        <w:t>names of persons who are declared unfit to manage companies in future can help investors immensely when it comes to the choice of managers or enterprises.</w:t>
      </w:r>
    </w:p>
    <w:p>
      <w:pPr>
        <w:pStyle w:val="BodyText"/>
        <w:spacing w:line="480" w:lineRule="auto" w:before="3"/>
        <w:ind w:right="230" w:firstLine="720"/>
        <w:jc w:val="both"/>
      </w:pPr>
      <w:r>
        <w:rPr/>
        <w:t>It is pertinent to note that there are generally no formal qualifications for eligibility for appointment into the office of</w:t>
      </w:r>
      <w:r>
        <w:rPr>
          <w:spacing w:val="-3"/>
        </w:rPr>
        <w:t> </w:t>
      </w:r>
      <w:r>
        <w:rPr/>
        <w:t>director under both company legislations:</w:t>
      </w:r>
      <w:r>
        <w:rPr>
          <w:vertAlign w:val="superscript"/>
        </w:rPr>
        <w:t>32</w:t>
      </w:r>
      <w:r>
        <w:rPr>
          <w:vertAlign w:val="baseline"/>
        </w:rPr>
        <w:t> neither examinations to write nor certificates to present.</w:t>
      </w:r>
      <w:r>
        <w:rPr>
          <w:vertAlign w:val="superscript"/>
        </w:rPr>
        <w:t>33</w:t>
      </w:r>
      <w:r>
        <w:rPr>
          <w:vertAlign w:val="baseline"/>
        </w:rPr>
        <w:t> Indeed, the courts have long established</w:t>
      </w:r>
      <w:r>
        <w:rPr>
          <w:spacing w:val="40"/>
          <w:vertAlign w:val="baseline"/>
        </w:rPr>
        <w:t> </w:t>
      </w:r>
      <w:r>
        <w:rPr>
          <w:vertAlign w:val="baseline"/>
        </w:rPr>
        <w:t>that</w:t>
      </w:r>
      <w:r>
        <w:rPr>
          <w:spacing w:val="61"/>
          <w:vertAlign w:val="baseline"/>
        </w:rPr>
        <w:t> </w:t>
      </w:r>
      <w:r>
        <w:rPr>
          <w:vertAlign w:val="baseline"/>
        </w:rPr>
        <w:t>―a</w:t>
      </w:r>
      <w:r>
        <w:rPr>
          <w:spacing w:val="40"/>
          <w:vertAlign w:val="baseline"/>
        </w:rPr>
        <w:t> </w:t>
      </w:r>
      <w:r>
        <w:rPr>
          <w:vertAlign w:val="baseline"/>
        </w:rPr>
        <w:t>director</w:t>
      </w:r>
      <w:r>
        <w:rPr>
          <w:spacing w:val="56"/>
          <w:vertAlign w:val="baseline"/>
        </w:rPr>
        <w:t> </w:t>
      </w:r>
      <w:r>
        <w:rPr>
          <w:vertAlign w:val="baseline"/>
        </w:rPr>
        <w:t>is</w:t>
      </w:r>
      <w:r>
        <w:rPr>
          <w:spacing w:val="58"/>
          <w:vertAlign w:val="baseline"/>
        </w:rPr>
        <w:t> </w:t>
      </w:r>
      <w:r>
        <w:rPr>
          <w:vertAlign w:val="baseline"/>
        </w:rPr>
        <w:t>not</w:t>
      </w:r>
      <w:r>
        <w:rPr>
          <w:spacing w:val="40"/>
          <w:vertAlign w:val="baseline"/>
        </w:rPr>
        <w:t> </w:t>
      </w:r>
      <w:r>
        <w:rPr>
          <w:vertAlign w:val="baseline"/>
        </w:rPr>
        <w:t>bound</w:t>
      </w:r>
      <w:r>
        <w:rPr>
          <w:spacing w:val="40"/>
          <w:vertAlign w:val="baseline"/>
        </w:rPr>
        <w:t> </w:t>
      </w:r>
      <w:r>
        <w:rPr>
          <w:vertAlign w:val="baseline"/>
        </w:rPr>
        <w:t>to</w:t>
      </w:r>
      <w:r>
        <w:rPr>
          <w:spacing w:val="40"/>
          <w:vertAlign w:val="baseline"/>
        </w:rPr>
        <w:t> </w:t>
      </w:r>
      <w:r>
        <w:rPr>
          <w:vertAlign w:val="baseline"/>
        </w:rPr>
        <w:t>bring</w:t>
      </w:r>
      <w:r>
        <w:rPr>
          <w:spacing w:val="40"/>
          <w:vertAlign w:val="baseline"/>
        </w:rPr>
        <w:t> </w:t>
      </w:r>
      <w:r>
        <w:rPr>
          <w:vertAlign w:val="baseline"/>
        </w:rPr>
        <w:t>any</w:t>
      </w:r>
      <w:r>
        <w:rPr>
          <w:spacing w:val="40"/>
          <w:vertAlign w:val="baseline"/>
        </w:rPr>
        <w:t> </w:t>
      </w:r>
      <w:r>
        <w:rPr>
          <w:vertAlign w:val="baseline"/>
        </w:rPr>
        <w:t>special</w:t>
      </w:r>
      <w:r>
        <w:rPr>
          <w:spacing w:val="40"/>
          <w:vertAlign w:val="baseline"/>
        </w:rPr>
        <w:t> </w:t>
      </w:r>
      <w:r>
        <w:rPr>
          <w:vertAlign w:val="baseline"/>
        </w:rPr>
        <w:t>qualification</w:t>
      </w:r>
      <w:r>
        <w:rPr>
          <w:spacing w:val="40"/>
          <w:vertAlign w:val="baseline"/>
        </w:rPr>
        <w:t> </w:t>
      </w:r>
      <w:r>
        <w:rPr>
          <w:vertAlign w:val="baseline"/>
        </w:rPr>
        <w:t>to</w:t>
      </w:r>
      <w:r>
        <w:rPr>
          <w:spacing w:val="59"/>
          <w:vertAlign w:val="baseline"/>
        </w:rPr>
        <w:t> </w:t>
      </w:r>
      <w:r>
        <w:rPr>
          <w:vertAlign w:val="baseline"/>
        </w:rPr>
        <w:t>his</w:t>
      </w:r>
    </w:p>
    <w:p>
      <w:pPr>
        <w:pStyle w:val="BodyText"/>
        <w:ind w:left="0"/>
        <w:rPr>
          <w:sz w:val="20"/>
        </w:rPr>
      </w:pPr>
    </w:p>
    <w:p>
      <w:pPr>
        <w:pStyle w:val="BodyText"/>
        <w:ind w:left="0"/>
        <w:rPr>
          <w:sz w:val="20"/>
        </w:rPr>
      </w:pPr>
    </w:p>
    <w:p>
      <w:pPr>
        <w:pStyle w:val="BodyText"/>
        <w:spacing w:before="5"/>
        <w:ind w:left="0"/>
        <w:rPr>
          <w:sz w:val="20"/>
        </w:rPr>
      </w:pPr>
      <w:r>
        <w:rPr/>
        <mc:AlternateContent>
          <mc:Choice Requires="wps">
            <w:drawing>
              <wp:anchor distT="0" distB="0" distL="0" distR="0" allowOverlap="1" layoutInCell="1" locked="0" behindDoc="1" simplePos="0" relativeHeight="487622656">
                <wp:simplePos x="0" y="0"/>
                <wp:positionH relativeFrom="page">
                  <wp:posOffset>1262481</wp:posOffset>
                </wp:positionH>
                <wp:positionV relativeFrom="paragraph">
                  <wp:posOffset>164927</wp:posOffset>
                </wp:positionV>
                <wp:extent cx="1829435" cy="9525"/>
                <wp:effectExtent l="0" t="0" r="0" b="0"/>
                <wp:wrapTopAndBottom/>
                <wp:docPr id="71" name="Graphic 71"/>
                <wp:cNvGraphicFramePr>
                  <a:graphicFrameLocks/>
                </wp:cNvGraphicFramePr>
                <a:graphic>
                  <a:graphicData uri="http://schemas.microsoft.com/office/word/2010/wordprocessingShape">
                    <wps:wsp>
                      <wps:cNvPr id="71" name="Graphic 71"/>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986454pt;width:144.050pt;height:.72003pt;mso-position-horizontal-relative:page;mso-position-vertical-relative:paragraph;z-index:-15693824;mso-wrap-distance-left:0;mso-wrap-distance-right:0" id="docshape2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30</w:t>
      </w:r>
      <w:r>
        <w:rPr>
          <w:rFonts w:ascii="Calibri"/>
          <w:spacing w:val="-2"/>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11</w:t>
      </w:r>
      <w:r>
        <w:rPr>
          <w:rFonts w:ascii="Calibri"/>
          <w:spacing w:val="-8"/>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Company</w:t>
      </w:r>
      <w:r>
        <w:rPr>
          <w:rFonts w:ascii="Calibri"/>
          <w:spacing w:val="-3"/>
          <w:sz w:val="20"/>
          <w:vertAlign w:val="baseline"/>
        </w:rPr>
        <w:t> </w:t>
      </w:r>
      <w:r>
        <w:rPr>
          <w:rFonts w:ascii="Calibri"/>
          <w:sz w:val="20"/>
          <w:vertAlign w:val="baseline"/>
        </w:rPr>
        <w:t>Directors</w:t>
      </w:r>
      <w:r>
        <w:rPr>
          <w:rFonts w:ascii="Calibri"/>
          <w:spacing w:val="-4"/>
          <w:sz w:val="20"/>
          <w:vertAlign w:val="baseline"/>
        </w:rPr>
        <w:t> </w:t>
      </w:r>
      <w:r>
        <w:rPr>
          <w:rFonts w:ascii="Calibri"/>
          <w:sz w:val="20"/>
          <w:vertAlign w:val="baseline"/>
        </w:rPr>
        <w:t>Disqualification</w:t>
      </w:r>
      <w:r>
        <w:rPr>
          <w:rFonts w:ascii="Calibri"/>
          <w:spacing w:val="-8"/>
          <w:sz w:val="20"/>
          <w:vertAlign w:val="baseline"/>
        </w:rPr>
        <w:t> </w:t>
      </w:r>
      <w:r>
        <w:rPr>
          <w:rFonts w:ascii="Calibri"/>
          <w:sz w:val="20"/>
          <w:vertAlign w:val="baseline"/>
        </w:rPr>
        <w:t>Act</w:t>
      </w:r>
      <w:r>
        <w:rPr>
          <w:rFonts w:ascii="Calibri"/>
          <w:spacing w:val="-7"/>
          <w:sz w:val="20"/>
          <w:vertAlign w:val="baseline"/>
        </w:rPr>
        <w:t> </w:t>
      </w:r>
      <w:r>
        <w:rPr>
          <w:rFonts w:ascii="Calibri"/>
          <w:spacing w:val="-4"/>
          <w:sz w:val="20"/>
          <w:vertAlign w:val="baseline"/>
        </w:rPr>
        <w:t>1986.</w:t>
      </w:r>
    </w:p>
    <w:p>
      <w:pPr>
        <w:spacing w:before="1"/>
        <w:ind w:left="308" w:right="0" w:firstLine="0"/>
        <w:jc w:val="left"/>
        <w:rPr>
          <w:rFonts w:ascii="Calibri"/>
          <w:sz w:val="20"/>
        </w:rPr>
      </w:pPr>
      <w:r>
        <w:rPr>
          <w:rFonts w:ascii="Calibri"/>
          <w:sz w:val="20"/>
          <w:vertAlign w:val="superscript"/>
        </w:rPr>
        <w:t>31</w:t>
      </w:r>
      <w:r>
        <w:rPr>
          <w:rFonts w:ascii="Calibri"/>
          <w:spacing w:val="-2"/>
          <w:sz w:val="20"/>
          <w:vertAlign w:val="baseline"/>
        </w:rPr>
        <w:t> </w:t>
      </w:r>
      <w:r>
        <w:rPr>
          <w:rFonts w:ascii="Calibri"/>
          <w:sz w:val="20"/>
          <w:vertAlign w:val="baseline"/>
        </w:rPr>
        <w:t>Refer</w:t>
      </w:r>
      <w:r>
        <w:rPr>
          <w:rFonts w:ascii="Calibri"/>
          <w:spacing w:val="-6"/>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s.6</w:t>
      </w:r>
      <w:r>
        <w:rPr>
          <w:rFonts w:ascii="Calibri"/>
          <w:spacing w:val="-4"/>
          <w:sz w:val="20"/>
          <w:vertAlign w:val="baseline"/>
        </w:rPr>
        <w:t> </w:t>
      </w:r>
      <w:r>
        <w:rPr>
          <w:rFonts w:ascii="Calibri"/>
          <w:sz w:val="20"/>
          <w:vertAlign w:val="baseline"/>
        </w:rPr>
        <w:t>Company</w:t>
      </w:r>
      <w:r>
        <w:rPr>
          <w:rFonts w:ascii="Calibri"/>
          <w:spacing w:val="-7"/>
          <w:sz w:val="20"/>
          <w:vertAlign w:val="baseline"/>
        </w:rPr>
        <w:t> </w:t>
      </w:r>
      <w:r>
        <w:rPr>
          <w:rFonts w:ascii="Calibri"/>
          <w:sz w:val="20"/>
          <w:vertAlign w:val="baseline"/>
        </w:rPr>
        <w:t>Directors</w:t>
      </w:r>
      <w:r>
        <w:rPr>
          <w:rFonts w:ascii="Calibri"/>
          <w:spacing w:val="-10"/>
          <w:sz w:val="20"/>
          <w:vertAlign w:val="baseline"/>
        </w:rPr>
        <w:t> </w:t>
      </w:r>
      <w:r>
        <w:rPr>
          <w:rFonts w:ascii="Calibri"/>
          <w:sz w:val="20"/>
          <w:vertAlign w:val="baseline"/>
        </w:rPr>
        <w:t>Disqualification</w:t>
      </w:r>
      <w:r>
        <w:rPr>
          <w:rFonts w:ascii="Calibri"/>
          <w:spacing w:val="-8"/>
          <w:sz w:val="20"/>
          <w:vertAlign w:val="baseline"/>
        </w:rPr>
        <w:t> </w:t>
      </w:r>
      <w:r>
        <w:rPr>
          <w:rFonts w:ascii="Calibri"/>
          <w:sz w:val="20"/>
          <w:vertAlign w:val="baseline"/>
        </w:rPr>
        <w:t>Act</w:t>
      </w:r>
      <w:r>
        <w:rPr>
          <w:rFonts w:ascii="Calibri"/>
          <w:spacing w:val="-3"/>
          <w:sz w:val="20"/>
          <w:vertAlign w:val="baseline"/>
        </w:rPr>
        <w:t> </w:t>
      </w:r>
      <w:r>
        <w:rPr>
          <w:rFonts w:ascii="Calibri"/>
          <w:spacing w:val="-2"/>
          <w:sz w:val="20"/>
          <w:vertAlign w:val="baseline"/>
        </w:rPr>
        <w:t>1986.</w:t>
      </w:r>
    </w:p>
    <w:p>
      <w:pPr>
        <w:spacing w:before="0"/>
        <w:ind w:left="308" w:right="0" w:firstLine="0"/>
        <w:jc w:val="left"/>
        <w:rPr>
          <w:rFonts w:ascii="Calibri"/>
          <w:sz w:val="20"/>
        </w:rPr>
      </w:pPr>
      <w:r>
        <w:rPr>
          <w:rFonts w:ascii="Calibri"/>
          <w:sz w:val="20"/>
          <w:vertAlign w:val="superscript"/>
        </w:rPr>
        <w:t>32</w:t>
      </w:r>
      <w:r>
        <w:rPr>
          <w:rFonts w:ascii="Calibri"/>
          <w:sz w:val="20"/>
          <w:vertAlign w:val="baseline"/>
        </w:rPr>
        <w:t>Although</w:t>
      </w:r>
      <w:r>
        <w:rPr>
          <w:rFonts w:ascii="Calibri"/>
          <w:spacing w:val="62"/>
          <w:sz w:val="20"/>
          <w:vertAlign w:val="baseline"/>
        </w:rPr>
        <w:t> </w:t>
      </w:r>
      <w:r>
        <w:rPr>
          <w:rFonts w:ascii="Calibri"/>
          <w:sz w:val="20"/>
          <w:vertAlign w:val="baseline"/>
        </w:rPr>
        <w:t>the</w:t>
      </w:r>
      <w:r>
        <w:rPr>
          <w:rFonts w:ascii="Calibri"/>
          <w:spacing w:val="63"/>
          <w:sz w:val="20"/>
          <w:vertAlign w:val="baseline"/>
        </w:rPr>
        <w:t> </w:t>
      </w:r>
      <w:r>
        <w:rPr>
          <w:rFonts w:ascii="Calibri"/>
          <w:sz w:val="20"/>
          <w:vertAlign w:val="baseline"/>
        </w:rPr>
        <w:t>articles</w:t>
      </w:r>
      <w:r>
        <w:rPr>
          <w:rFonts w:ascii="Calibri"/>
          <w:spacing w:val="40"/>
          <w:sz w:val="20"/>
          <w:vertAlign w:val="baseline"/>
        </w:rPr>
        <w:t> </w:t>
      </w:r>
      <w:r>
        <w:rPr>
          <w:rFonts w:ascii="Calibri"/>
          <w:sz w:val="20"/>
          <w:vertAlign w:val="baseline"/>
        </w:rPr>
        <w:t>can</w:t>
      </w:r>
      <w:r>
        <w:rPr>
          <w:rFonts w:ascii="Calibri"/>
          <w:spacing w:val="40"/>
          <w:sz w:val="20"/>
          <w:vertAlign w:val="baseline"/>
        </w:rPr>
        <w:t> </w:t>
      </w:r>
      <w:r>
        <w:rPr>
          <w:rFonts w:ascii="Calibri"/>
          <w:sz w:val="20"/>
          <w:vertAlign w:val="baseline"/>
        </w:rPr>
        <w:t>require</w:t>
      </w:r>
      <w:r>
        <w:rPr>
          <w:rFonts w:ascii="Calibri"/>
          <w:spacing w:val="63"/>
          <w:sz w:val="20"/>
          <w:vertAlign w:val="baseline"/>
        </w:rPr>
        <w:t> </w:t>
      </w:r>
      <w:r>
        <w:rPr>
          <w:rFonts w:ascii="Calibri"/>
          <w:sz w:val="20"/>
          <w:vertAlign w:val="baseline"/>
        </w:rPr>
        <w:t>share</w:t>
      </w:r>
      <w:r>
        <w:rPr>
          <w:rFonts w:ascii="Calibri"/>
          <w:spacing w:val="66"/>
          <w:sz w:val="20"/>
          <w:vertAlign w:val="baseline"/>
        </w:rPr>
        <w:t> </w:t>
      </w:r>
      <w:r>
        <w:rPr>
          <w:rFonts w:ascii="Calibri"/>
          <w:sz w:val="20"/>
          <w:vertAlign w:val="baseline"/>
        </w:rPr>
        <w:t>qualification.See</w:t>
      </w:r>
      <w:r>
        <w:rPr>
          <w:rFonts w:ascii="Calibri"/>
          <w:spacing w:val="63"/>
          <w:sz w:val="20"/>
          <w:vertAlign w:val="baseline"/>
        </w:rPr>
        <w:t> </w:t>
      </w:r>
      <w:r>
        <w:rPr>
          <w:rFonts w:ascii="Calibri"/>
          <w:sz w:val="20"/>
          <w:vertAlign w:val="baseline"/>
        </w:rPr>
        <w:t>s.</w:t>
      </w:r>
      <w:r>
        <w:rPr>
          <w:rFonts w:ascii="Calibri"/>
          <w:spacing w:val="64"/>
          <w:sz w:val="20"/>
          <w:vertAlign w:val="baseline"/>
        </w:rPr>
        <w:t> </w:t>
      </w:r>
      <w:r>
        <w:rPr>
          <w:rFonts w:ascii="Calibri"/>
          <w:sz w:val="20"/>
          <w:vertAlign w:val="baseline"/>
        </w:rPr>
        <w:t>251(1)</w:t>
      </w:r>
      <w:r>
        <w:rPr>
          <w:rFonts w:ascii="Calibri"/>
          <w:spacing w:val="65"/>
          <w:sz w:val="20"/>
          <w:vertAlign w:val="baseline"/>
        </w:rPr>
        <w:t> </w:t>
      </w:r>
      <w:r>
        <w:rPr>
          <w:rFonts w:ascii="Calibri"/>
          <w:sz w:val="20"/>
          <w:vertAlign w:val="baseline"/>
        </w:rPr>
        <w:t>CAMA</w:t>
      </w:r>
      <w:r>
        <w:rPr>
          <w:rFonts w:ascii="Calibri"/>
          <w:spacing w:val="40"/>
          <w:sz w:val="20"/>
          <w:vertAlign w:val="baseline"/>
        </w:rPr>
        <w:t> </w:t>
      </w:r>
      <w:r>
        <w:rPr>
          <w:rFonts w:ascii="Calibri"/>
          <w:sz w:val="20"/>
          <w:vertAlign w:val="baseline"/>
        </w:rPr>
        <w:t>and</w:t>
      </w:r>
      <w:r>
        <w:rPr>
          <w:rFonts w:ascii="Calibri"/>
          <w:spacing w:val="63"/>
          <w:sz w:val="20"/>
          <w:vertAlign w:val="baseline"/>
        </w:rPr>
        <w:t> </w:t>
      </w:r>
      <w:r>
        <w:rPr>
          <w:rFonts w:ascii="Calibri"/>
          <w:sz w:val="20"/>
          <w:vertAlign w:val="baseline"/>
        </w:rPr>
        <w:t>s.</w:t>
      </w:r>
      <w:r>
        <w:rPr>
          <w:rFonts w:ascii="Calibri"/>
          <w:spacing w:val="64"/>
          <w:sz w:val="20"/>
          <w:vertAlign w:val="baseline"/>
        </w:rPr>
        <w:t> </w:t>
      </w:r>
      <w:r>
        <w:rPr>
          <w:rFonts w:ascii="Calibri"/>
          <w:sz w:val="20"/>
          <w:vertAlign w:val="baseline"/>
        </w:rPr>
        <w:t>400(5)</w:t>
      </w:r>
      <w:r>
        <w:rPr>
          <w:rFonts w:ascii="Calibri"/>
          <w:spacing w:val="64"/>
          <w:sz w:val="20"/>
          <w:vertAlign w:val="baseline"/>
        </w:rPr>
        <w:t> </w:t>
      </w:r>
      <w:r>
        <w:rPr>
          <w:rFonts w:ascii="Calibri"/>
          <w:sz w:val="20"/>
          <w:vertAlign w:val="baseline"/>
        </w:rPr>
        <w:t>CA</w:t>
      </w:r>
      <w:r>
        <w:rPr>
          <w:rFonts w:ascii="Calibri"/>
          <w:spacing w:val="40"/>
          <w:sz w:val="20"/>
          <w:vertAlign w:val="baseline"/>
        </w:rPr>
        <w:t> </w:t>
      </w:r>
      <w:r>
        <w:rPr>
          <w:rFonts w:ascii="Calibri"/>
          <w:sz w:val="20"/>
          <w:vertAlign w:val="baseline"/>
        </w:rPr>
        <w:t>by </w:t>
      </w:r>
      <w:r>
        <w:rPr>
          <w:rFonts w:ascii="Calibri"/>
          <w:spacing w:val="-2"/>
          <w:sz w:val="20"/>
          <w:vertAlign w:val="baseline"/>
        </w:rPr>
        <w:t>implication.</w:t>
      </w:r>
    </w:p>
    <w:p>
      <w:pPr>
        <w:spacing w:line="240" w:lineRule="auto" w:before="0"/>
        <w:ind w:left="308" w:right="228" w:firstLine="0"/>
        <w:jc w:val="both"/>
        <w:rPr>
          <w:rFonts w:ascii="Calibri" w:hAnsi="Calibri"/>
          <w:sz w:val="20"/>
        </w:rPr>
      </w:pPr>
      <w:r>
        <w:rPr>
          <w:rFonts w:ascii="Calibri" w:hAnsi="Calibri"/>
          <w:sz w:val="20"/>
          <w:vertAlign w:val="superscript"/>
        </w:rPr>
        <w:t>33</w:t>
      </w:r>
      <w:r>
        <w:rPr>
          <w:rFonts w:ascii="Calibri" w:hAnsi="Calibri"/>
          <w:sz w:val="20"/>
          <w:vertAlign w:val="baseline"/>
        </w:rPr>
        <w:t>However,</w:t>
      </w:r>
      <w:r>
        <w:rPr>
          <w:rFonts w:ascii="Calibri" w:hAnsi="Calibri"/>
          <w:spacing w:val="-1"/>
          <w:sz w:val="20"/>
          <w:vertAlign w:val="baseline"/>
        </w:rPr>
        <w:t> </w:t>
      </w:r>
      <w:r>
        <w:rPr>
          <w:rFonts w:ascii="Calibri" w:hAnsi="Calibri"/>
          <w:sz w:val="20"/>
          <w:vertAlign w:val="baseline"/>
        </w:rPr>
        <w:t>there</w:t>
      </w:r>
      <w:r>
        <w:rPr>
          <w:rFonts w:ascii="Calibri" w:hAnsi="Calibri"/>
          <w:spacing w:val="-3"/>
          <w:sz w:val="20"/>
          <w:vertAlign w:val="baseline"/>
        </w:rPr>
        <w:t> </w:t>
      </w:r>
      <w:r>
        <w:rPr>
          <w:rFonts w:ascii="Calibri" w:hAnsi="Calibri"/>
          <w:sz w:val="20"/>
          <w:vertAlign w:val="baseline"/>
        </w:rPr>
        <w:t>are</w:t>
      </w:r>
      <w:r>
        <w:rPr>
          <w:rFonts w:ascii="Calibri" w:hAnsi="Calibri"/>
          <w:spacing w:val="-3"/>
          <w:sz w:val="20"/>
          <w:vertAlign w:val="baseline"/>
        </w:rPr>
        <w:t> </w:t>
      </w:r>
      <w:r>
        <w:rPr>
          <w:rFonts w:ascii="Calibri" w:hAnsi="Calibri"/>
          <w:sz w:val="20"/>
          <w:vertAlign w:val="baseline"/>
        </w:rPr>
        <w:t>industry-specific</w:t>
      </w:r>
      <w:r>
        <w:rPr>
          <w:rFonts w:ascii="Calibri" w:hAnsi="Calibri"/>
          <w:spacing w:val="-3"/>
          <w:sz w:val="20"/>
          <w:vertAlign w:val="baseline"/>
        </w:rPr>
        <w:t> </w:t>
      </w:r>
      <w:r>
        <w:rPr>
          <w:rFonts w:ascii="Calibri" w:hAnsi="Calibri"/>
          <w:sz w:val="20"/>
          <w:vertAlign w:val="baseline"/>
        </w:rPr>
        <w:t>legislations,</w:t>
      </w:r>
      <w:r>
        <w:rPr>
          <w:rFonts w:ascii="Calibri" w:hAnsi="Calibri"/>
          <w:spacing w:val="-1"/>
          <w:sz w:val="20"/>
          <w:vertAlign w:val="baseline"/>
        </w:rPr>
        <w:t> </w:t>
      </w:r>
      <w:r>
        <w:rPr>
          <w:rFonts w:ascii="Calibri" w:hAnsi="Calibri"/>
          <w:sz w:val="20"/>
          <w:vertAlign w:val="baseline"/>
        </w:rPr>
        <w:t>such as</w:t>
      </w:r>
      <w:r>
        <w:rPr>
          <w:rFonts w:ascii="Calibri" w:hAnsi="Calibri"/>
          <w:spacing w:val="-2"/>
          <w:sz w:val="20"/>
          <w:vertAlign w:val="baseline"/>
        </w:rPr>
        <w:t> </w:t>
      </w:r>
      <w:r>
        <w:rPr>
          <w:rFonts w:ascii="Calibri" w:hAnsi="Calibri"/>
          <w:sz w:val="20"/>
          <w:vertAlign w:val="baseline"/>
        </w:rPr>
        <w:t>the Banks</w:t>
      </w:r>
      <w:r>
        <w:rPr>
          <w:rFonts w:ascii="Calibri" w:hAnsi="Calibri"/>
          <w:spacing w:val="-2"/>
          <w:sz w:val="20"/>
          <w:vertAlign w:val="baseline"/>
        </w:rPr>
        <w:t> </w:t>
      </w:r>
      <w:r>
        <w:rPr>
          <w:rFonts w:ascii="Calibri" w:hAnsi="Calibri"/>
          <w:sz w:val="20"/>
          <w:vertAlign w:val="baseline"/>
        </w:rPr>
        <w:t>and</w:t>
      </w:r>
      <w:r>
        <w:rPr>
          <w:rFonts w:ascii="Calibri" w:hAnsi="Calibri"/>
          <w:spacing w:val="-4"/>
          <w:sz w:val="20"/>
          <w:vertAlign w:val="baseline"/>
        </w:rPr>
        <w:t> </w:t>
      </w:r>
      <w:r>
        <w:rPr>
          <w:rFonts w:ascii="Calibri" w:hAnsi="Calibri"/>
          <w:sz w:val="20"/>
          <w:vertAlign w:val="baseline"/>
        </w:rPr>
        <w:t>Other Financial Institutions</w:t>
      </w:r>
      <w:r>
        <w:rPr>
          <w:rFonts w:ascii="Calibri" w:hAnsi="Calibri"/>
          <w:spacing w:val="-1"/>
          <w:sz w:val="20"/>
          <w:vertAlign w:val="baseline"/>
        </w:rPr>
        <w:t> </w:t>
      </w:r>
      <w:r>
        <w:rPr>
          <w:rFonts w:ascii="Calibri" w:hAnsi="Calibri"/>
          <w:sz w:val="20"/>
          <w:vertAlign w:val="baseline"/>
        </w:rPr>
        <w:t>Act “BOFIA”, which require directors not to have prior criminal record of offences relating to fraud or dishonesty. In fact, in the case of banks, ss.19 and 44 BOFIA provide that a management agent, director or chief executive may not be appointed without the prior approval of the Central Bank of Nigeria. Corporate codes also generally encourage directors to be knowledgeable in business and financial matters. See for example s.5.3.2 of the Central Bank of Nigeria (CBN) Code of Corporate Governance</w:t>
      </w:r>
      <w:r>
        <w:rPr>
          <w:rFonts w:ascii="Calibri" w:hAnsi="Calibri"/>
          <w:spacing w:val="40"/>
          <w:sz w:val="20"/>
          <w:vertAlign w:val="baseline"/>
        </w:rPr>
        <w:t> </w:t>
      </w:r>
      <w:r>
        <w:rPr>
          <w:rFonts w:ascii="Calibri" w:hAnsi="Calibri"/>
          <w:sz w:val="20"/>
          <w:vertAlign w:val="baseline"/>
        </w:rPr>
        <w:t>Post Consolidation, 2006.</w:t>
      </w:r>
    </w:p>
    <w:p>
      <w:pPr>
        <w:spacing w:after="0" w:line="240" w:lineRule="auto"/>
        <w:jc w:val="both"/>
        <w:rPr>
          <w:rFonts w:ascii="Calibri" w:hAnsi="Calibri"/>
          <w:sz w:val="20"/>
        </w:rPr>
        <w:sectPr>
          <w:pgSz w:w="11910" w:h="16840"/>
          <w:pgMar w:header="0" w:footer="1003" w:top="1320" w:bottom="1200" w:left="1680" w:right="1180"/>
        </w:sectPr>
      </w:pPr>
    </w:p>
    <w:p>
      <w:pPr>
        <w:pStyle w:val="BodyText"/>
        <w:spacing w:line="480" w:lineRule="auto" w:before="110"/>
        <w:ind w:right="230"/>
        <w:jc w:val="both"/>
      </w:pPr>
      <w:r>
        <w:rPr/>
        <w:t>office.‖</w:t>
      </w:r>
      <w:r>
        <w:rPr>
          <w:vertAlign w:val="superscript"/>
        </w:rPr>
        <w:t>34</w:t>
      </w:r>
      <w:r>
        <w:rPr>
          <w:vertAlign w:val="baseline"/>
        </w:rPr>
        <w:t> A director is not even required to know his statutory duties.</w:t>
      </w:r>
      <w:r>
        <w:rPr>
          <w:spacing w:val="35"/>
          <w:vertAlign w:val="baseline"/>
        </w:rPr>
        <w:t> </w:t>
      </w:r>
      <w:r>
        <w:rPr>
          <w:vertAlign w:val="baseline"/>
        </w:rPr>
        <w:t>In spite of this, any occupier of</w:t>
      </w:r>
      <w:r>
        <w:rPr>
          <w:spacing w:val="-2"/>
          <w:vertAlign w:val="baseline"/>
        </w:rPr>
        <w:t> </w:t>
      </w:r>
      <w:r>
        <w:rPr>
          <w:vertAlign w:val="baseline"/>
        </w:rPr>
        <w:t>that office is still held strictly</w:t>
      </w:r>
      <w:r>
        <w:rPr>
          <w:spacing w:val="-4"/>
          <w:vertAlign w:val="baseline"/>
        </w:rPr>
        <w:t> </w:t>
      </w:r>
      <w:r>
        <w:rPr>
          <w:vertAlign w:val="baseline"/>
        </w:rPr>
        <w:t>to his obligation of</w:t>
      </w:r>
      <w:r>
        <w:rPr>
          <w:spacing w:val="-2"/>
          <w:vertAlign w:val="baseline"/>
        </w:rPr>
        <w:t> </w:t>
      </w:r>
      <w:r>
        <w:rPr>
          <w:vertAlign w:val="baseline"/>
        </w:rPr>
        <w:t>discharging his duties within a reasonable standard of care, skill and diligence. It is submitted that at least for the duly appointed director, with reference to the statutory duties of care and skill and fiduciary duties of loyalty and good faith, a prospective director should be required to know and understand their purport, at the company‘s expense, before officially taking</w:t>
      </w:r>
      <w:r>
        <w:rPr>
          <w:spacing w:val="40"/>
          <w:vertAlign w:val="baseline"/>
        </w:rPr>
        <w:t> </w:t>
      </w:r>
      <w:r>
        <w:rPr>
          <w:vertAlign w:val="baseline"/>
        </w:rPr>
        <w:t>up his position in the company.</w:t>
      </w:r>
    </w:p>
    <w:p>
      <w:pPr>
        <w:pStyle w:val="Heading2"/>
        <w:numPr>
          <w:ilvl w:val="1"/>
          <w:numId w:val="8"/>
        </w:numPr>
        <w:tabs>
          <w:tab w:pos="1027" w:val="left" w:leader="none"/>
        </w:tabs>
        <w:spacing w:line="240" w:lineRule="auto" w:before="207" w:after="0"/>
        <w:ind w:left="1027" w:right="0" w:hanging="719"/>
        <w:jc w:val="both"/>
      </w:pPr>
      <w:bookmarkStart w:name="_TOC_250039" w:id="13"/>
      <w:r>
        <w:rPr/>
        <w:t>Appointment</w:t>
      </w:r>
      <w:r>
        <w:rPr>
          <w:spacing w:val="1"/>
        </w:rPr>
        <w:t> </w:t>
      </w:r>
      <w:r>
        <w:rPr/>
        <w:t>of</w:t>
      </w:r>
      <w:r>
        <w:rPr>
          <w:spacing w:val="-1"/>
        </w:rPr>
        <w:t> </w:t>
      </w:r>
      <w:bookmarkEnd w:id="13"/>
      <w:r>
        <w:rPr>
          <w:spacing w:val="-2"/>
        </w:rPr>
        <w:t>Directors</w:t>
      </w:r>
    </w:p>
    <w:p>
      <w:pPr>
        <w:pStyle w:val="BodyText"/>
        <w:spacing w:line="480" w:lineRule="auto" w:before="133"/>
        <w:ind w:right="225"/>
        <w:jc w:val="both"/>
      </w:pPr>
      <w:r>
        <w:rPr/>
        <w:t>The appointment of persons to the office of director within the company is largely an issue for the consideration of members, in the first instance, in order that investors may have some</w:t>
      </w:r>
      <w:r>
        <w:rPr>
          <w:spacing w:val="23"/>
        </w:rPr>
        <w:t> </w:t>
      </w:r>
      <w:r>
        <w:rPr/>
        <w:t>hold on the running of the company.</w:t>
      </w:r>
      <w:r>
        <w:rPr>
          <w:spacing w:val="22"/>
        </w:rPr>
        <w:t> </w:t>
      </w:r>
      <w:r>
        <w:rPr/>
        <w:t>The Nigerian Court of Appeal opined</w:t>
      </w:r>
      <w:r>
        <w:rPr>
          <w:spacing w:val="40"/>
        </w:rPr>
        <w:t> </w:t>
      </w:r>
      <w:r>
        <w:rPr/>
        <w:t>as</w:t>
      </w:r>
      <w:r>
        <w:rPr>
          <w:spacing w:val="-4"/>
        </w:rPr>
        <w:t> </w:t>
      </w:r>
      <w:r>
        <w:rPr/>
        <w:t>much</w:t>
      </w:r>
      <w:r>
        <w:rPr>
          <w:spacing w:val="-10"/>
        </w:rPr>
        <w:t> </w:t>
      </w:r>
      <w:r>
        <w:rPr/>
        <w:t>when</w:t>
      </w:r>
      <w:r>
        <w:rPr>
          <w:spacing w:val="-7"/>
        </w:rPr>
        <w:t> </w:t>
      </w:r>
      <w:r>
        <w:rPr/>
        <w:t>it</w:t>
      </w:r>
      <w:r>
        <w:rPr>
          <w:spacing w:val="-2"/>
        </w:rPr>
        <w:t> </w:t>
      </w:r>
      <w:r>
        <w:rPr/>
        <w:t>stated,</w:t>
      </w:r>
      <w:r>
        <w:rPr>
          <w:spacing w:val="-4"/>
        </w:rPr>
        <w:t> </w:t>
      </w:r>
      <w:r>
        <w:rPr/>
        <w:t>in</w:t>
      </w:r>
      <w:r>
        <w:rPr>
          <w:spacing w:val="-10"/>
        </w:rPr>
        <w:t> </w:t>
      </w:r>
      <w:r>
        <w:rPr/>
        <w:t>the</w:t>
      </w:r>
      <w:r>
        <w:rPr>
          <w:spacing w:val="-7"/>
        </w:rPr>
        <w:t> </w:t>
      </w:r>
      <w:r>
        <w:rPr/>
        <w:t>case</w:t>
      </w:r>
      <w:r>
        <w:rPr>
          <w:spacing w:val="-7"/>
        </w:rPr>
        <w:t> </w:t>
      </w:r>
      <w:r>
        <w:rPr/>
        <w:t>of</w:t>
      </w:r>
      <w:r>
        <w:rPr>
          <w:spacing w:val="-8"/>
        </w:rPr>
        <w:t> </w:t>
      </w:r>
      <w:r>
        <w:rPr>
          <w:b/>
        </w:rPr>
        <w:t>NIB</w:t>
      </w:r>
      <w:r>
        <w:rPr>
          <w:b/>
          <w:spacing w:val="-4"/>
        </w:rPr>
        <w:t> </w:t>
      </w:r>
      <w:r>
        <w:rPr>
          <w:b/>
        </w:rPr>
        <w:t>Investment</w:t>
      </w:r>
      <w:r>
        <w:rPr>
          <w:b/>
          <w:spacing w:val="-5"/>
        </w:rPr>
        <w:t> </w:t>
      </w:r>
      <w:r>
        <w:rPr>
          <w:b/>
        </w:rPr>
        <w:t>W/A</w:t>
      </w:r>
      <w:r>
        <w:rPr>
          <w:b/>
          <w:spacing w:val="-7"/>
        </w:rPr>
        <w:t> </w:t>
      </w:r>
      <w:r>
        <w:rPr>
          <w:b/>
        </w:rPr>
        <w:t>vs.</w:t>
      </w:r>
      <w:r>
        <w:rPr>
          <w:b/>
          <w:spacing w:val="-4"/>
        </w:rPr>
        <w:t> </w:t>
      </w:r>
      <w:r>
        <w:rPr>
          <w:b/>
        </w:rPr>
        <w:t>Omisore,</w:t>
      </w:r>
      <w:r>
        <w:rPr>
          <w:vertAlign w:val="superscript"/>
        </w:rPr>
        <w:t>35</w:t>
      </w:r>
      <w:r>
        <w:rPr>
          <w:spacing w:val="-8"/>
          <w:vertAlign w:val="baseline"/>
        </w:rPr>
        <w:t> </w:t>
      </w:r>
      <w:r>
        <w:rPr>
          <w:vertAlign w:val="baseline"/>
        </w:rPr>
        <w:t>that</w:t>
      </w:r>
      <w:r>
        <w:rPr>
          <w:spacing w:val="-2"/>
          <w:vertAlign w:val="baseline"/>
        </w:rPr>
        <w:t> </w:t>
      </w:r>
      <w:r>
        <w:rPr>
          <w:vertAlign w:val="baseline"/>
        </w:rPr>
        <w:t>―…the appointment of directors is the business of the general meeting or the board of the company, and not that of any individual member.‖</w:t>
      </w:r>
    </w:p>
    <w:p>
      <w:pPr>
        <w:pStyle w:val="BodyText"/>
        <w:spacing w:line="480" w:lineRule="auto" w:before="1"/>
        <w:ind w:right="235" w:firstLine="720"/>
        <w:jc w:val="both"/>
      </w:pPr>
      <w:r>
        <w:rPr/>
        <w:t>However, the exigencies involved in the running of the company have seen the law</w:t>
      </w:r>
      <w:r>
        <w:rPr>
          <w:spacing w:val="-2"/>
        </w:rPr>
        <w:t> </w:t>
      </w:r>
      <w:r>
        <w:rPr/>
        <w:t>allowing for appointment of</w:t>
      </w:r>
      <w:r>
        <w:rPr>
          <w:spacing w:val="-9"/>
        </w:rPr>
        <w:t> </w:t>
      </w:r>
      <w:r>
        <w:rPr/>
        <w:t>persons</w:t>
      </w:r>
      <w:r>
        <w:rPr>
          <w:spacing w:val="-3"/>
        </w:rPr>
        <w:t> </w:t>
      </w:r>
      <w:r>
        <w:rPr/>
        <w:t>to</w:t>
      </w:r>
      <w:r>
        <w:rPr>
          <w:spacing w:val="-1"/>
        </w:rPr>
        <w:t> </w:t>
      </w:r>
      <w:r>
        <w:rPr/>
        <w:t>the</w:t>
      </w:r>
      <w:r>
        <w:rPr>
          <w:spacing w:val="-2"/>
        </w:rPr>
        <w:t> </w:t>
      </w:r>
      <w:r>
        <w:rPr/>
        <w:t>office</w:t>
      </w:r>
      <w:r>
        <w:rPr>
          <w:spacing w:val="-3"/>
        </w:rPr>
        <w:t> </w:t>
      </w:r>
      <w:r>
        <w:rPr/>
        <w:t>through</w:t>
      </w:r>
      <w:r>
        <w:rPr>
          <w:spacing w:val="-11"/>
        </w:rPr>
        <w:t> </w:t>
      </w:r>
      <w:r>
        <w:rPr/>
        <w:t>the medium</w:t>
      </w:r>
      <w:r>
        <w:rPr>
          <w:spacing w:val="-10"/>
        </w:rPr>
        <w:t> </w:t>
      </w:r>
      <w:r>
        <w:rPr/>
        <w:t>of</w:t>
      </w:r>
      <w:r>
        <w:rPr>
          <w:spacing w:val="-4"/>
        </w:rPr>
        <w:t> </w:t>
      </w:r>
      <w:r>
        <w:rPr/>
        <w:t>'outsiders‘, or even upon assumption of the law. This is all in order for company operations to go smoothly and accountability to be more certain.</w:t>
      </w:r>
    </w:p>
    <w:p>
      <w:pPr>
        <w:spacing w:line="480" w:lineRule="auto" w:before="1"/>
        <w:ind w:left="308" w:right="247" w:firstLine="720"/>
        <w:jc w:val="both"/>
        <w:rPr>
          <w:sz w:val="24"/>
        </w:rPr>
      </w:pPr>
      <w:r>
        <w:rPr>
          <w:sz w:val="24"/>
        </w:rPr>
        <w:t>Generally, in discussing their appointment, directors are necessarily categorized into </w:t>
      </w:r>
      <w:r>
        <w:rPr>
          <w:i/>
          <w:sz w:val="24"/>
        </w:rPr>
        <w:t>firstdirectors </w:t>
      </w:r>
      <w:r>
        <w:rPr>
          <w:sz w:val="24"/>
        </w:rPr>
        <w:t>and </w:t>
      </w:r>
      <w:r>
        <w:rPr>
          <w:i/>
          <w:sz w:val="24"/>
        </w:rPr>
        <w:t>subsequentdirectors</w:t>
      </w:r>
      <w:r>
        <w:rPr>
          <w:sz w:val="24"/>
        </w:rPr>
        <w:t>.</w:t>
      </w:r>
    </w:p>
    <w:p>
      <w:pPr>
        <w:pStyle w:val="Heading2"/>
        <w:numPr>
          <w:ilvl w:val="2"/>
          <w:numId w:val="8"/>
        </w:numPr>
        <w:tabs>
          <w:tab w:pos="1027" w:val="left" w:leader="none"/>
        </w:tabs>
        <w:spacing w:line="240" w:lineRule="auto" w:before="5" w:after="0"/>
        <w:ind w:left="1027" w:right="0" w:hanging="719"/>
        <w:jc w:val="both"/>
      </w:pPr>
      <w:bookmarkStart w:name="_TOC_250038" w:id="14"/>
      <w:r>
        <w:rPr/>
        <w:t>First</w:t>
      </w:r>
      <w:r>
        <w:rPr>
          <w:spacing w:val="-4"/>
        </w:rPr>
        <w:t> </w:t>
      </w:r>
      <w:bookmarkEnd w:id="14"/>
      <w:r>
        <w:rPr>
          <w:spacing w:val="-2"/>
        </w:rPr>
        <w:t>Directors</w:t>
      </w:r>
    </w:p>
    <w:p>
      <w:pPr>
        <w:pStyle w:val="BodyText"/>
        <w:spacing w:line="480" w:lineRule="auto" w:before="132"/>
        <w:ind w:right="227"/>
        <w:jc w:val="both"/>
      </w:pPr>
      <w:r>
        <w:rPr/>
        <w:t>Before the company takes off and begins business, in fact, while pre-incorporation details are being considered, it is necessary for the directors of the supposed entity to feature</w:t>
      </w:r>
      <w:r>
        <w:rPr>
          <w:spacing w:val="40"/>
        </w:rPr>
        <w:t> </w:t>
      </w:r>
      <w:r>
        <w:rPr/>
        <w:t>and</w:t>
      </w:r>
      <w:r>
        <w:rPr>
          <w:spacing w:val="40"/>
        </w:rPr>
        <w:t> </w:t>
      </w:r>
      <w:r>
        <w:rPr/>
        <w:t>play</w:t>
      </w:r>
      <w:r>
        <w:rPr>
          <w:spacing w:val="40"/>
        </w:rPr>
        <w:t> </w:t>
      </w:r>
      <w:r>
        <w:rPr/>
        <w:t>important</w:t>
      </w:r>
      <w:r>
        <w:rPr>
          <w:spacing w:val="57"/>
        </w:rPr>
        <w:t> </w:t>
      </w:r>
      <w:r>
        <w:rPr/>
        <w:t>roles</w:t>
      </w:r>
      <w:r>
        <w:rPr>
          <w:spacing w:val="59"/>
        </w:rPr>
        <w:t> </w:t>
      </w:r>
      <w:r>
        <w:rPr/>
        <w:t>in</w:t>
      </w:r>
      <w:r>
        <w:rPr>
          <w:spacing w:val="40"/>
        </w:rPr>
        <w:t> </w:t>
      </w:r>
      <w:r>
        <w:rPr/>
        <w:t>meeting</w:t>
      </w:r>
      <w:r>
        <w:rPr>
          <w:spacing w:val="40"/>
        </w:rPr>
        <w:t> </w:t>
      </w:r>
      <w:r>
        <w:rPr/>
        <w:t>the</w:t>
      </w:r>
      <w:r>
        <w:rPr>
          <w:spacing w:val="40"/>
        </w:rPr>
        <w:t> </w:t>
      </w:r>
      <w:r>
        <w:rPr/>
        <w:t>requirement</w:t>
      </w:r>
      <w:r>
        <w:rPr>
          <w:spacing w:val="57"/>
        </w:rPr>
        <w:t> </w:t>
      </w:r>
      <w:r>
        <w:rPr/>
        <w:t>of</w:t>
      </w:r>
      <w:r>
        <w:rPr>
          <w:spacing w:val="40"/>
        </w:rPr>
        <w:t> </w:t>
      </w:r>
      <w:r>
        <w:rPr/>
        <w:t>the</w:t>
      </w:r>
      <w:r>
        <w:rPr>
          <w:spacing w:val="60"/>
        </w:rPr>
        <w:t> </w:t>
      </w:r>
      <w:r>
        <w:rPr/>
        <w:t>law,</w:t>
      </w:r>
      <w:r>
        <w:rPr>
          <w:spacing w:val="40"/>
        </w:rPr>
        <w:t> </w:t>
      </w:r>
      <w:r>
        <w:rPr/>
        <w:t>especially</w:t>
      </w:r>
    </w:p>
    <w:p>
      <w:pPr>
        <w:pStyle w:val="BodyText"/>
        <w:spacing w:before="3"/>
        <w:ind w:left="0"/>
        <w:rPr>
          <w:sz w:val="18"/>
        </w:rPr>
      </w:pPr>
      <w:r>
        <w:rPr/>
        <mc:AlternateContent>
          <mc:Choice Requires="wps">
            <w:drawing>
              <wp:anchor distT="0" distB="0" distL="0" distR="0" allowOverlap="1" layoutInCell="1" locked="0" behindDoc="1" simplePos="0" relativeHeight="487623168">
                <wp:simplePos x="0" y="0"/>
                <wp:positionH relativeFrom="page">
                  <wp:posOffset>1262481</wp:posOffset>
                </wp:positionH>
                <wp:positionV relativeFrom="paragraph">
                  <wp:posOffset>149147</wp:posOffset>
                </wp:positionV>
                <wp:extent cx="1829435" cy="9525"/>
                <wp:effectExtent l="0" t="0" r="0" b="0"/>
                <wp:wrapTopAndBottom/>
                <wp:docPr id="72" name="Graphic 72"/>
                <wp:cNvGraphicFramePr>
                  <a:graphicFrameLocks/>
                </wp:cNvGraphicFramePr>
                <a:graphic>
                  <a:graphicData uri="http://schemas.microsoft.com/office/word/2010/wordprocessingShape">
                    <wps:wsp>
                      <wps:cNvPr id="72" name="Graphic 7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743937pt;width:144.050pt;height:.71997pt;mso-position-horizontal-relative:page;mso-position-vertical-relative:paragraph;z-index:-15693312;mso-wrap-distance-left:0;mso-wrap-distance-right:0" id="docshape2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34</w:t>
      </w:r>
      <w:r>
        <w:rPr>
          <w:rFonts w:ascii="Calibri"/>
          <w:spacing w:val="-2"/>
          <w:sz w:val="20"/>
          <w:vertAlign w:val="baseline"/>
        </w:rPr>
        <w:t> </w:t>
      </w:r>
      <w:r>
        <w:rPr>
          <w:rFonts w:ascii="Calibri"/>
          <w:sz w:val="20"/>
          <w:vertAlign w:val="baseline"/>
        </w:rPr>
        <w:t>Per</w:t>
      </w:r>
      <w:r>
        <w:rPr>
          <w:rFonts w:ascii="Calibri"/>
          <w:spacing w:val="-2"/>
          <w:sz w:val="20"/>
          <w:vertAlign w:val="baseline"/>
        </w:rPr>
        <w:t> </w:t>
      </w:r>
      <w:r>
        <w:rPr>
          <w:rFonts w:ascii="Calibri"/>
          <w:sz w:val="20"/>
          <w:vertAlign w:val="baseline"/>
        </w:rPr>
        <w:t>Neville</w:t>
      </w:r>
      <w:r>
        <w:rPr>
          <w:rFonts w:ascii="Calibri"/>
          <w:spacing w:val="-3"/>
          <w:sz w:val="20"/>
          <w:vertAlign w:val="baseline"/>
        </w:rPr>
        <w:t> </w:t>
      </w:r>
      <w:r>
        <w:rPr>
          <w:rFonts w:ascii="Calibri"/>
          <w:sz w:val="20"/>
          <w:vertAlign w:val="baseline"/>
        </w:rPr>
        <w:t>J.</w:t>
      </w:r>
      <w:r>
        <w:rPr>
          <w:rFonts w:ascii="Calibri"/>
          <w:spacing w:val="-6"/>
          <w:sz w:val="20"/>
          <w:vertAlign w:val="baseline"/>
        </w:rPr>
        <w:t> </w:t>
      </w:r>
      <w:r>
        <w:rPr>
          <w:rFonts w:ascii="Calibri"/>
          <w:sz w:val="20"/>
          <w:vertAlign w:val="baseline"/>
        </w:rPr>
        <w:t>in</w:t>
      </w:r>
      <w:r>
        <w:rPr>
          <w:rFonts w:ascii="Calibri"/>
          <w:spacing w:val="-6"/>
          <w:sz w:val="20"/>
          <w:vertAlign w:val="baseline"/>
        </w:rPr>
        <w:t> </w:t>
      </w:r>
      <w:r>
        <w:rPr>
          <w:rFonts w:ascii="Calibri"/>
          <w:i/>
          <w:sz w:val="20"/>
          <w:vertAlign w:val="baseline"/>
        </w:rPr>
        <w:t>Re</w:t>
      </w:r>
      <w:r>
        <w:rPr>
          <w:rFonts w:ascii="Calibri"/>
          <w:i/>
          <w:spacing w:val="-3"/>
          <w:sz w:val="20"/>
          <w:vertAlign w:val="baseline"/>
        </w:rPr>
        <w:t> </w:t>
      </w:r>
      <w:r>
        <w:rPr>
          <w:rFonts w:ascii="Calibri"/>
          <w:i/>
          <w:sz w:val="20"/>
          <w:vertAlign w:val="baseline"/>
        </w:rPr>
        <w:t>Brazillian</w:t>
      </w:r>
      <w:r>
        <w:rPr>
          <w:rFonts w:ascii="Calibri"/>
          <w:i/>
          <w:spacing w:val="-7"/>
          <w:sz w:val="20"/>
          <w:vertAlign w:val="baseline"/>
        </w:rPr>
        <w:t> </w:t>
      </w:r>
      <w:r>
        <w:rPr>
          <w:rFonts w:ascii="Calibri"/>
          <w:i/>
          <w:sz w:val="20"/>
          <w:vertAlign w:val="baseline"/>
        </w:rPr>
        <w:t>Rubber</w:t>
      </w:r>
      <w:r>
        <w:rPr>
          <w:rFonts w:ascii="Calibri"/>
          <w:i/>
          <w:spacing w:val="-9"/>
          <w:sz w:val="20"/>
          <w:vertAlign w:val="baseline"/>
        </w:rPr>
        <w:t> </w:t>
      </w:r>
      <w:r>
        <w:rPr>
          <w:rFonts w:ascii="Calibri"/>
          <w:i/>
          <w:sz w:val="20"/>
          <w:vertAlign w:val="baseline"/>
        </w:rPr>
        <w:t>Plantation</w:t>
      </w:r>
      <w:r>
        <w:rPr>
          <w:rFonts w:ascii="Calibri"/>
          <w:i/>
          <w:spacing w:val="-6"/>
          <w:sz w:val="20"/>
          <w:vertAlign w:val="baseline"/>
        </w:rPr>
        <w:t> </w:t>
      </w:r>
      <w:r>
        <w:rPr>
          <w:rFonts w:ascii="Calibri"/>
          <w:i/>
          <w:sz w:val="20"/>
          <w:vertAlign w:val="baseline"/>
        </w:rPr>
        <w:t>Estate</w:t>
      </w:r>
      <w:r>
        <w:rPr>
          <w:rFonts w:ascii="Calibri"/>
          <w:i/>
          <w:spacing w:val="-8"/>
          <w:sz w:val="20"/>
          <w:vertAlign w:val="baseline"/>
        </w:rPr>
        <w:t> </w:t>
      </w:r>
      <w:r>
        <w:rPr>
          <w:rFonts w:ascii="Calibri"/>
          <w:i/>
          <w:sz w:val="20"/>
          <w:vertAlign w:val="baseline"/>
        </w:rPr>
        <w:t>Ltd</w:t>
      </w:r>
      <w:r>
        <w:rPr>
          <w:rFonts w:ascii="Calibri"/>
          <w:sz w:val="20"/>
          <w:vertAlign w:val="baseline"/>
        </w:rPr>
        <w:t>.</w:t>
      </w:r>
      <w:r>
        <w:rPr>
          <w:rFonts w:ascii="Calibri"/>
          <w:spacing w:val="-6"/>
          <w:sz w:val="20"/>
          <w:vertAlign w:val="baseline"/>
        </w:rPr>
        <w:t> </w:t>
      </w:r>
      <w:r>
        <w:rPr>
          <w:rFonts w:ascii="Calibri"/>
          <w:sz w:val="20"/>
          <w:vertAlign w:val="baseline"/>
        </w:rPr>
        <w:t>(1911)</w:t>
      </w:r>
      <w:r>
        <w:rPr>
          <w:rFonts w:ascii="Calibri"/>
          <w:spacing w:val="-2"/>
          <w:sz w:val="20"/>
          <w:vertAlign w:val="baseline"/>
        </w:rPr>
        <w:t> </w:t>
      </w:r>
      <w:r>
        <w:rPr>
          <w:rFonts w:ascii="Calibri"/>
          <w:sz w:val="20"/>
          <w:vertAlign w:val="baseline"/>
        </w:rPr>
        <w:t>1</w:t>
      </w:r>
      <w:r>
        <w:rPr>
          <w:rFonts w:ascii="Calibri"/>
          <w:spacing w:val="-5"/>
          <w:sz w:val="20"/>
          <w:vertAlign w:val="baseline"/>
        </w:rPr>
        <w:t> </w:t>
      </w:r>
      <w:r>
        <w:rPr>
          <w:rFonts w:ascii="Calibri"/>
          <w:sz w:val="20"/>
          <w:vertAlign w:val="baseline"/>
        </w:rPr>
        <w:t>Ch.</w:t>
      </w:r>
      <w:r>
        <w:rPr>
          <w:rFonts w:ascii="Calibri"/>
          <w:spacing w:val="-6"/>
          <w:sz w:val="20"/>
          <w:vertAlign w:val="baseline"/>
        </w:rPr>
        <w:t> </w:t>
      </w:r>
      <w:r>
        <w:rPr>
          <w:rFonts w:ascii="Calibri"/>
          <w:spacing w:val="-5"/>
          <w:sz w:val="20"/>
          <w:vertAlign w:val="baseline"/>
        </w:rPr>
        <w:t>425</w:t>
      </w:r>
    </w:p>
    <w:p>
      <w:pPr>
        <w:spacing w:before="1"/>
        <w:ind w:left="308" w:right="0" w:firstLine="0"/>
        <w:jc w:val="left"/>
        <w:rPr>
          <w:rFonts w:ascii="Calibri"/>
          <w:sz w:val="20"/>
        </w:rPr>
      </w:pPr>
      <w:r>
        <w:rPr>
          <w:rFonts w:ascii="Calibri"/>
          <w:sz w:val="20"/>
          <w:vertAlign w:val="superscript"/>
        </w:rPr>
        <w:t>35</w:t>
      </w:r>
      <w:r>
        <w:rPr>
          <w:rFonts w:ascii="Calibri"/>
          <w:sz w:val="20"/>
          <w:vertAlign w:val="baseline"/>
        </w:rPr>
        <w:t> (2006) 4</w:t>
      </w:r>
      <w:r>
        <w:rPr>
          <w:rFonts w:ascii="Calibri"/>
          <w:spacing w:val="-7"/>
          <w:sz w:val="20"/>
          <w:vertAlign w:val="baseline"/>
        </w:rPr>
        <w:t> </w:t>
      </w:r>
      <w:r>
        <w:rPr>
          <w:rFonts w:ascii="Calibri"/>
          <w:sz w:val="20"/>
          <w:vertAlign w:val="baseline"/>
        </w:rPr>
        <w:t>NWLR</w:t>
      </w:r>
      <w:r>
        <w:rPr>
          <w:rFonts w:ascii="Calibri"/>
          <w:spacing w:val="-4"/>
          <w:sz w:val="20"/>
          <w:vertAlign w:val="baseline"/>
        </w:rPr>
        <w:t> </w:t>
      </w:r>
      <w:r>
        <w:rPr>
          <w:rFonts w:ascii="Calibri"/>
          <w:sz w:val="20"/>
          <w:vertAlign w:val="baseline"/>
        </w:rPr>
        <w:t>(pt.</w:t>
      </w:r>
      <w:r>
        <w:rPr>
          <w:rFonts w:ascii="Calibri"/>
          <w:spacing w:val="-4"/>
          <w:sz w:val="20"/>
          <w:vertAlign w:val="baseline"/>
        </w:rPr>
        <w:t> </w:t>
      </w:r>
      <w:r>
        <w:rPr>
          <w:rFonts w:ascii="Calibri"/>
          <w:sz w:val="20"/>
          <w:vertAlign w:val="baseline"/>
        </w:rPr>
        <w:t>969)</w:t>
      </w:r>
      <w:r>
        <w:rPr>
          <w:rFonts w:ascii="Calibri"/>
          <w:spacing w:val="-4"/>
          <w:sz w:val="20"/>
          <w:vertAlign w:val="baseline"/>
        </w:rPr>
        <w:t> </w:t>
      </w:r>
      <w:r>
        <w:rPr>
          <w:rFonts w:ascii="Calibri"/>
          <w:sz w:val="20"/>
          <w:vertAlign w:val="baseline"/>
        </w:rPr>
        <w:t>172</w:t>
      </w:r>
      <w:r>
        <w:rPr>
          <w:rFonts w:ascii="Calibri"/>
          <w:spacing w:val="-2"/>
          <w:sz w:val="20"/>
          <w:vertAlign w:val="baseline"/>
        </w:rPr>
        <w:t> </w:t>
      </w:r>
      <w:r>
        <w:rPr>
          <w:rFonts w:ascii="Calibri"/>
          <w:sz w:val="20"/>
          <w:vertAlign w:val="baseline"/>
        </w:rPr>
        <w:t>at</w:t>
      </w:r>
      <w:r>
        <w:rPr>
          <w:rFonts w:ascii="Calibri"/>
          <w:spacing w:val="-7"/>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199.</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32"/>
        <w:jc w:val="both"/>
      </w:pPr>
      <w:r>
        <w:rPr/>
        <w:t>regards signing important pre-incorporation documents, such as the corporate constitutional documents. These must be tendered to the appropriate government agency,</w:t>
      </w:r>
      <w:r>
        <w:rPr>
          <w:vertAlign w:val="superscript"/>
        </w:rPr>
        <w:t>36</w:t>
      </w:r>
      <w:r>
        <w:rPr>
          <w:vertAlign w:val="baseline"/>
        </w:rPr>
        <w:t> before</w:t>
      </w:r>
      <w:r>
        <w:rPr>
          <w:spacing w:val="-1"/>
          <w:vertAlign w:val="baseline"/>
        </w:rPr>
        <w:t> </w:t>
      </w:r>
      <w:r>
        <w:rPr>
          <w:vertAlign w:val="baseline"/>
        </w:rPr>
        <w:t>the</w:t>
      </w:r>
      <w:r>
        <w:rPr>
          <w:spacing w:val="-1"/>
          <w:vertAlign w:val="baseline"/>
        </w:rPr>
        <w:t> </w:t>
      </w:r>
      <w:r>
        <w:rPr>
          <w:vertAlign w:val="baseline"/>
        </w:rPr>
        <w:t>company</w:t>
      </w:r>
      <w:r>
        <w:rPr>
          <w:spacing w:val="-5"/>
          <w:vertAlign w:val="baseline"/>
        </w:rPr>
        <w:t> </w:t>
      </w:r>
      <w:r>
        <w:rPr>
          <w:vertAlign w:val="baseline"/>
        </w:rPr>
        <w:t>would be</w:t>
      </w:r>
      <w:r>
        <w:rPr>
          <w:spacing w:val="-1"/>
          <w:vertAlign w:val="baseline"/>
        </w:rPr>
        <w:t> </w:t>
      </w:r>
      <w:r>
        <w:rPr>
          <w:vertAlign w:val="baseline"/>
        </w:rPr>
        <w:t>granted</w:t>
      </w:r>
      <w:r>
        <w:rPr>
          <w:spacing w:val="-1"/>
          <w:vertAlign w:val="baseline"/>
        </w:rPr>
        <w:t> </w:t>
      </w:r>
      <w:r>
        <w:rPr>
          <w:vertAlign w:val="baseline"/>
        </w:rPr>
        <w:t>certificate</w:t>
      </w:r>
      <w:r>
        <w:rPr>
          <w:spacing w:val="-1"/>
          <w:vertAlign w:val="baseline"/>
        </w:rPr>
        <w:t> </w:t>
      </w:r>
      <w:r>
        <w:rPr>
          <w:vertAlign w:val="baseline"/>
        </w:rPr>
        <w:t>of</w:t>
      </w:r>
      <w:r>
        <w:rPr>
          <w:spacing w:val="-3"/>
          <w:vertAlign w:val="baseline"/>
        </w:rPr>
        <w:t> </w:t>
      </w:r>
      <w:r>
        <w:rPr>
          <w:vertAlign w:val="baseline"/>
        </w:rPr>
        <w:t>incorporation</w:t>
      </w:r>
      <w:r>
        <w:rPr>
          <w:spacing w:val="-5"/>
          <w:vertAlign w:val="baseline"/>
        </w:rPr>
        <w:t> </w:t>
      </w:r>
      <w:r>
        <w:rPr>
          <w:vertAlign w:val="baseline"/>
        </w:rPr>
        <w:t>permitting it to commence business.</w:t>
      </w:r>
    </w:p>
    <w:p>
      <w:pPr>
        <w:pStyle w:val="BodyText"/>
        <w:spacing w:line="480" w:lineRule="auto"/>
        <w:ind w:right="228" w:firstLine="720"/>
        <w:jc w:val="both"/>
      </w:pPr>
      <w:r>
        <w:rPr/>
        <w:t>Consequently, the first directors must necessarily be appointed even before the company comes into being. The few available avenues here are the incorporation documents, such as the memorandum and articles of association</w:t>
      </w:r>
      <w:r>
        <w:rPr>
          <w:vertAlign w:val="superscript"/>
        </w:rPr>
        <w:t>37</w:t>
      </w:r>
      <w:r>
        <w:rPr>
          <w:vertAlign w:val="baseline"/>
        </w:rPr>
        <w:t> and other prescribed statements to be tendered. S.247 of the CAMA provides that ―the names of the first directors shall be determined in writing by the subscribers of the memorandum of association or a majority of them or the directors may be named in the articles.‖ In different words, s.16(6)(a) of the CA says that ―the persons named in the statement of proposed officers as director…are deemed to have been appointed to that office.‖</w:t>
      </w:r>
    </w:p>
    <w:p>
      <w:pPr>
        <w:pStyle w:val="BodyText"/>
        <w:spacing w:line="480" w:lineRule="auto" w:before="2"/>
        <w:ind w:right="230" w:firstLine="720"/>
        <w:jc w:val="both"/>
      </w:pPr>
      <w:r>
        <w:rPr/>
        <w:t>As part of the incorporation process, incorporators are required to file special documents specifically for details regarding the directors of the proposed company. In the case of the CAMA, s.35(2)(c) provides for the first directors by requiring ―a statement in the prescribed form containing the list and particulars together with the consent of the persons who are to be the first directors of the company‖ to be delivered</w:t>
      </w:r>
      <w:r>
        <w:rPr>
          <w:spacing w:val="40"/>
        </w:rPr>
        <w:t> </w:t>
      </w:r>
      <w:r>
        <w:rPr/>
        <w:t>to the Corporate Affairs Commission (CAC) together with other documents of incorporation.</w:t>
      </w:r>
      <w:r>
        <w:rPr>
          <w:vertAlign w:val="superscript"/>
        </w:rPr>
        <w:t>38</w:t>
      </w:r>
      <w:r>
        <w:rPr>
          <w:vertAlign w:val="baseline"/>
        </w:rPr>
        <w:t> Likewise, s.12 of the CA requires a statement of the proposed officers, in</w:t>
      </w:r>
      <w:r>
        <w:rPr>
          <w:spacing w:val="-5"/>
          <w:vertAlign w:val="baseline"/>
        </w:rPr>
        <w:t> </w:t>
      </w:r>
      <w:r>
        <w:rPr>
          <w:vertAlign w:val="baseline"/>
        </w:rPr>
        <w:t>particular,</w:t>
      </w:r>
      <w:r>
        <w:rPr>
          <w:spacing w:val="-2"/>
          <w:vertAlign w:val="baseline"/>
        </w:rPr>
        <w:t> </w:t>
      </w:r>
      <w:r>
        <w:rPr>
          <w:vertAlign w:val="baseline"/>
        </w:rPr>
        <w:t>―the</w:t>
      </w:r>
      <w:r>
        <w:rPr>
          <w:spacing w:val="-1"/>
          <w:vertAlign w:val="baseline"/>
        </w:rPr>
        <w:t> </w:t>
      </w:r>
      <w:r>
        <w:rPr>
          <w:vertAlign w:val="baseline"/>
        </w:rPr>
        <w:t>person</w:t>
      </w:r>
      <w:r>
        <w:rPr>
          <w:spacing w:val="-8"/>
          <w:vertAlign w:val="baseline"/>
        </w:rPr>
        <w:t> </w:t>
      </w:r>
      <w:r>
        <w:rPr>
          <w:vertAlign w:val="baseline"/>
        </w:rPr>
        <w:t>who is,</w:t>
      </w:r>
      <w:r>
        <w:rPr>
          <w:spacing w:val="-2"/>
          <w:vertAlign w:val="baseline"/>
        </w:rPr>
        <w:t> </w:t>
      </w:r>
      <w:r>
        <w:rPr>
          <w:vertAlign w:val="baseline"/>
        </w:rPr>
        <w:t>or</w:t>
      </w:r>
      <w:r>
        <w:rPr>
          <w:spacing w:val="-3"/>
          <w:vertAlign w:val="baseline"/>
        </w:rPr>
        <w:t> </w:t>
      </w:r>
      <w:r>
        <w:rPr>
          <w:vertAlign w:val="baseline"/>
        </w:rPr>
        <w:t>persons</w:t>
      </w:r>
      <w:r>
        <w:rPr>
          <w:spacing w:val="-6"/>
          <w:vertAlign w:val="baseline"/>
        </w:rPr>
        <w:t> </w:t>
      </w:r>
      <w:r>
        <w:rPr>
          <w:vertAlign w:val="baseline"/>
        </w:rPr>
        <w:t>who</w:t>
      </w:r>
      <w:r>
        <w:rPr>
          <w:spacing w:val="-1"/>
          <w:vertAlign w:val="baseline"/>
        </w:rPr>
        <w:t> </w:t>
      </w:r>
      <w:r>
        <w:rPr>
          <w:vertAlign w:val="baseline"/>
        </w:rPr>
        <w:t>are,</w:t>
      </w:r>
      <w:r>
        <w:rPr>
          <w:spacing w:val="-6"/>
          <w:vertAlign w:val="baseline"/>
        </w:rPr>
        <w:t> </w:t>
      </w:r>
      <w:r>
        <w:rPr>
          <w:vertAlign w:val="baseline"/>
        </w:rPr>
        <w:t>to be</w:t>
      </w:r>
      <w:r>
        <w:rPr>
          <w:spacing w:val="-5"/>
          <w:vertAlign w:val="baseline"/>
        </w:rPr>
        <w:t> </w:t>
      </w:r>
      <w:r>
        <w:rPr>
          <w:vertAlign w:val="baseline"/>
        </w:rPr>
        <w:t>the</w:t>
      </w:r>
      <w:r>
        <w:rPr>
          <w:spacing w:val="-1"/>
          <w:vertAlign w:val="baseline"/>
        </w:rPr>
        <w:t> </w:t>
      </w:r>
      <w:r>
        <w:rPr>
          <w:vertAlign w:val="baseline"/>
        </w:rPr>
        <w:t>first director</w:t>
      </w:r>
      <w:r>
        <w:rPr>
          <w:spacing w:val="-7"/>
          <w:vertAlign w:val="baseline"/>
        </w:rPr>
        <w:t> </w:t>
      </w:r>
      <w:r>
        <w:rPr>
          <w:vertAlign w:val="baseline"/>
        </w:rPr>
        <w:t>or</w:t>
      </w:r>
      <w:r>
        <w:rPr>
          <w:spacing w:val="-3"/>
          <w:vertAlign w:val="baseline"/>
        </w:rPr>
        <w:t> </w:t>
      </w:r>
      <w:r>
        <w:rPr>
          <w:vertAlign w:val="baseline"/>
        </w:rPr>
        <w:t>directors</w:t>
      </w:r>
    </w:p>
    <w:p>
      <w:pPr>
        <w:pStyle w:val="BodyText"/>
        <w:ind w:left="0"/>
        <w:rPr>
          <w:sz w:val="20"/>
        </w:rPr>
      </w:pPr>
    </w:p>
    <w:p>
      <w:pPr>
        <w:pStyle w:val="BodyText"/>
        <w:ind w:left="0"/>
        <w:rPr>
          <w:sz w:val="20"/>
        </w:rPr>
      </w:pPr>
    </w:p>
    <w:p>
      <w:pPr>
        <w:pStyle w:val="BodyText"/>
        <w:spacing w:before="189"/>
        <w:ind w:left="0"/>
        <w:rPr>
          <w:sz w:val="20"/>
        </w:rPr>
      </w:pPr>
      <w:r>
        <w:rPr/>
        <mc:AlternateContent>
          <mc:Choice Requires="wps">
            <w:drawing>
              <wp:anchor distT="0" distB="0" distL="0" distR="0" allowOverlap="1" layoutInCell="1" locked="0" behindDoc="1" simplePos="0" relativeHeight="487623680">
                <wp:simplePos x="0" y="0"/>
                <wp:positionH relativeFrom="page">
                  <wp:posOffset>1262481</wp:posOffset>
                </wp:positionH>
                <wp:positionV relativeFrom="paragraph">
                  <wp:posOffset>281417</wp:posOffset>
                </wp:positionV>
                <wp:extent cx="1829435" cy="9525"/>
                <wp:effectExtent l="0" t="0" r="0" b="0"/>
                <wp:wrapTopAndBottom/>
                <wp:docPr id="73" name="Graphic 73"/>
                <wp:cNvGraphicFramePr>
                  <a:graphicFrameLocks/>
                </wp:cNvGraphicFramePr>
                <a:graphic>
                  <a:graphicData uri="http://schemas.microsoft.com/office/word/2010/wordprocessingShape">
                    <wps:wsp>
                      <wps:cNvPr id="73" name="Graphic 7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58857pt;width:144.050pt;height:.71997pt;mso-position-horizontal-relative:page;mso-position-vertical-relative:paragraph;z-index:-15692800;mso-wrap-distance-left:0;mso-wrap-distance-right:0" id="docshape28" filled="true" fillcolor="#000000" stroked="false">
                <v:fill type="solid"/>
                <w10:wrap type="topAndBottom"/>
              </v:rect>
            </w:pict>
          </mc:Fallback>
        </mc:AlternateContent>
      </w:r>
    </w:p>
    <w:p>
      <w:pPr>
        <w:spacing w:line="235" w:lineRule="auto" w:before="106"/>
        <w:ind w:left="308" w:right="232" w:firstLine="0"/>
        <w:jc w:val="both"/>
        <w:rPr>
          <w:rFonts w:ascii="Calibri"/>
          <w:sz w:val="20"/>
        </w:rPr>
      </w:pPr>
      <w:r>
        <w:rPr>
          <w:rFonts w:ascii="Calibri"/>
          <w:sz w:val="20"/>
          <w:vertAlign w:val="superscript"/>
        </w:rPr>
        <w:t>36</w:t>
      </w:r>
      <w:r>
        <w:rPr>
          <w:rFonts w:ascii="Calibri"/>
          <w:sz w:val="20"/>
          <w:vertAlign w:val="baseline"/>
        </w:rPr>
        <w:t> The Corporate Affairs Commission, in the case of Nigeria and the Companies House, in the case of the </w:t>
      </w:r>
      <w:r>
        <w:rPr>
          <w:rFonts w:ascii="Calibri"/>
          <w:spacing w:val="-4"/>
          <w:sz w:val="20"/>
          <w:vertAlign w:val="baseline"/>
        </w:rPr>
        <w:t>UK.</w:t>
      </w:r>
    </w:p>
    <w:p>
      <w:pPr>
        <w:spacing w:before="2"/>
        <w:ind w:left="308" w:right="227" w:firstLine="0"/>
        <w:jc w:val="both"/>
        <w:rPr>
          <w:rFonts w:ascii="Calibri" w:hAnsi="Calibri"/>
          <w:sz w:val="20"/>
        </w:rPr>
      </w:pPr>
      <w:r>
        <w:rPr>
          <w:rFonts w:ascii="Calibri" w:hAnsi="Calibri"/>
          <w:sz w:val="20"/>
          <w:vertAlign w:val="superscript"/>
        </w:rPr>
        <w:t>37</w:t>
      </w:r>
      <w:r>
        <w:rPr>
          <w:rFonts w:ascii="Calibri" w:hAnsi="Calibri"/>
          <w:sz w:val="20"/>
          <w:vertAlign w:val="baseline"/>
        </w:rPr>
        <w:t>S.41 of the CAMA considers that, once registered, these have the effect of a contract under seal between</w:t>
      </w:r>
      <w:r>
        <w:rPr>
          <w:rFonts w:ascii="Calibri" w:hAnsi="Calibri"/>
          <w:spacing w:val="-1"/>
          <w:sz w:val="20"/>
          <w:vertAlign w:val="baseline"/>
        </w:rPr>
        <w:t> </w:t>
      </w:r>
      <w:r>
        <w:rPr>
          <w:rFonts w:ascii="Calibri" w:hAnsi="Calibri"/>
          <w:sz w:val="20"/>
          <w:vertAlign w:val="baseline"/>
        </w:rPr>
        <w:t>the</w:t>
      </w:r>
      <w:r>
        <w:rPr>
          <w:rFonts w:ascii="Calibri" w:hAnsi="Calibri"/>
          <w:spacing w:val="-2"/>
          <w:sz w:val="20"/>
          <w:vertAlign w:val="baseline"/>
        </w:rPr>
        <w:t> </w:t>
      </w:r>
      <w:r>
        <w:rPr>
          <w:rFonts w:ascii="Calibri" w:hAnsi="Calibri"/>
          <w:sz w:val="20"/>
          <w:vertAlign w:val="baseline"/>
        </w:rPr>
        <w:t>company</w:t>
      </w:r>
      <w:r>
        <w:rPr>
          <w:rFonts w:ascii="Calibri" w:hAnsi="Calibri"/>
          <w:spacing w:val="-2"/>
          <w:sz w:val="20"/>
          <w:vertAlign w:val="baseline"/>
        </w:rPr>
        <w:t> </w:t>
      </w:r>
      <w:r>
        <w:rPr>
          <w:rFonts w:ascii="Calibri" w:hAnsi="Calibri"/>
          <w:sz w:val="20"/>
          <w:vertAlign w:val="baseline"/>
        </w:rPr>
        <w:t>and</w:t>
      </w:r>
      <w:r>
        <w:rPr>
          <w:rFonts w:ascii="Calibri" w:hAnsi="Calibri"/>
          <w:spacing w:val="-2"/>
          <w:sz w:val="20"/>
          <w:vertAlign w:val="baseline"/>
        </w:rPr>
        <w:t> </w:t>
      </w:r>
      <w:r>
        <w:rPr>
          <w:rFonts w:ascii="Calibri" w:hAnsi="Calibri"/>
          <w:sz w:val="20"/>
          <w:vertAlign w:val="baseline"/>
        </w:rPr>
        <w:t>its</w:t>
      </w:r>
      <w:r>
        <w:rPr>
          <w:rFonts w:ascii="Calibri" w:hAnsi="Calibri"/>
          <w:spacing w:val="-4"/>
          <w:sz w:val="20"/>
          <w:vertAlign w:val="baseline"/>
        </w:rPr>
        <w:t> </w:t>
      </w:r>
      <w:r>
        <w:rPr>
          <w:rFonts w:ascii="Calibri" w:hAnsi="Calibri"/>
          <w:sz w:val="20"/>
          <w:vertAlign w:val="baseline"/>
        </w:rPr>
        <w:t>members</w:t>
      </w:r>
      <w:r>
        <w:rPr>
          <w:rFonts w:ascii="Calibri" w:hAnsi="Calibri"/>
          <w:spacing w:val="-4"/>
          <w:sz w:val="20"/>
          <w:vertAlign w:val="baseline"/>
        </w:rPr>
        <w:t> </w:t>
      </w:r>
      <w:r>
        <w:rPr>
          <w:rFonts w:ascii="Calibri" w:hAnsi="Calibri"/>
          <w:sz w:val="20"/>
          <w:vertAlign w:val="baseline"/>
        </w:rPr>
        <w:t>and</w:t>
      </w:r>
      <w:r>
        <w:rPr>
          <w:rFonts w:ascii="Calibri" w:hAnsi="Calibri"/>
          <w:spacing w:val="-2"/>
          <w:sz w:val="20"/>
          <w:vertAlign w:val="baseline"/>
        </w:rPr>
        <w:t> </w:t>
      </w:r>
      <w:r>
        <w:rPr>
          <w:rFonts w:ascii="Calibri" w:hAnsi="Calibri"/>
          <w:sz w:val="20"/>
          <w:vertAlign w:val="baseline"/>
        </w:rPr>
        <w:t>officers</w:t>
      </w:r>
      <w:r>
        <w:rPr>
          <w:rFonts w:ascii="Calibri" w:hAnsi="Calibri"/>
          <w:spacing w:val="-4"/>
          <w:sz w:val="20"/>
          <w:vertAlign w:val="baseline"/>
        </w:rPr>
        <w:t> </w:t>
      </w:r>
      <w:r>
        <w:rPr>
          <w:rFonts w:ascii="Calibri" w:hAnsi="Calibri"/>
          <w:sz w:val="20"/>
          <w:vertAlign w:val="baseline"/>
        </w:rPr>
        <w:t>and</w:t>
      </w:r>
      <w:r>
        <w:rPr>
          <w:rFonts w:ascii="Calibri" w:hAnsi="Calibri"/>
          <w:spacing w:val="-2"/>
          <w:sz w:val="20"/>
          <w:vertAlign w:val="baseline"/>
        </w:rPr>
        <w:t> </w:t>
      </w:r>
      <w:r>
        <w:rPr>
          <w:rFonts w:ascii="Calibri" w:hAnsi="Calibri"/>
          <w:sz w:val="20"/>
          <w:vertAlign w:val="baseline"/>
        </w:rPr>
        <w:t>between</w:t>
      </w:r>
      <w:r>
        <w:rPr>
          <w:rFonts w:ascii="Calibri" w:hAnsi="Calibri"/>
          <w:spacing w:val="-2"/>
          <w:sz w:val="20"/>
          <w:vertAlign w:val="baseline"/>
        </w:rPr>
        <w:t> </w:t>
      </w:r>
      <w:r>
        <w:rPr>
          <w:rFonts w:ascii="Calibri" w:hAnsi="Calibri"/>
          <w:sz w:val="20"/>
          <w:vertAlign w:val="baseline"/>
        </w:rPr>
        <w:t>the</w:t>
      </w:r>
      <w:r>
        <w:rPr>
          <w:rFonts w:ascii="Calibri" w:hAnsi="Calibri"/>
          <w:spacing w:val="-2"/>
          <w:sz w:val="20"/>
          <w:vertAlign w:val="baseline"/>
        </w:rPr>
        <w:t> </w:t>
      </w:r>
      <w:r>
        <w:rPr>
          <w:rFonts w:ascii="Calibri" w:hAnsi="Calibri"/>
          <w:sz w:val="20"/>
          <w:vertAlign w:val="baseline"/>
        </w:rPr>
        <w:t>members</w:t>
      </w:r>
      <w:r>
        <w:rPr>
          <w:rFonts w:ascii="Calibri" w:hAnsi="Calibri"/>
          <w:spacing w:val="-4"/>
          <w:sz w:val="20"/>
          <w:vertAlign w:val="baseline"/>
        </w:rPr>
        <w:t> </w:t>
      </w:r>
      <w:r>
        <w:rPr>
          <w:rFonts w:ascii="Calibri" w:hAnsi="Calibri"/>
          <w:sz w:val="20"/>
          <w:vertAlign w:val="baseline"/>
        </w:rPr>
        <w:t>and</w:t>
      </w:r>
      <w:r>
        <w:rPr>
          <w:rFonts w:ascii="Calibri" w:hAnsi="Calibri"/>
          <w:spacing w:val="-2"/>
          <w:sz w:val="20"/>
          <w:vertAlign w:val="baseline"/>
        </w:rPr>
        <w:t> </w:t>
      </w:r>
      <w:r>
        <w:rPr>
          <w:rFonts w:ascii="Calibri" w:hAnsi="Calibri"/>
          <w:sz w:val="20"/>
          <w:vertAlign w:val="baseline"/>
        </w:rPr>
        <w:t>officers</w:t>
      </w:r>
      <w:r>
        <w:rPr>
          <w:rFonts w:ascii="Calibri" w:hAnsi="Calibri"/>
          <w:spacing w:val="-4"/>
          <w:sz w:val="20"/>
          <w:vertAlign w:val="baseline"/>
        </w:rPr>
        <w:t> </w:t>
      </w:r>
      <w:r>
        <w:rPr>
          <w:rFonts w:ascii="Calibri" w:hAnsi="Calibri"/>
          <w:sz w:val="20"/>
          <w:vertAlign w:val="baseline"/>
        </w:rPr>
        <w:t>themselves. Likewise, s.33 of the CA considers the company’s articles as covenants between the company and each </w:t>
      </w:r>
      <w:r>
        <w:rPr>
          <w:rFonts w:ascii="Calibri" w:hAnsi="Calibri"/>
          <w:spacing w:val="-2"/>
          <w:sz w:val="20"/>
          <w:vertAlign w:val="baseline"/>
        </w:rPr>
        <w:t>member.</w:t>
      </w:r>
    </w:p>
    <w:p>
      <w:pPr>
        <w:spacing w:before="4"/>
        <w:ind w:left="308" w:right="231" w:firstLine="0"/>
        <w:jc w:val="both"/>
        <w:rPr>
          <w:rFonts w:ascii="Calibri"/>
          <w:sz w:val="20"/>
        </w:rPr>
      </w:pPr>
      <w:r>
        <w:rPr>
          <w:rFonts w:ascii="Calibri"/>
          <w:sz w:val="20"/>
          <w:vertAlign w:val="superscript"/>
        </w:rPr>
        <w:t>38</w:t>
      </w:r>
      <w:r>
        <w:rPr>
          <w:rFonts w:ascii="Calibri"/>
          <w:sz w:val="20"/>
          <w:vertAlign w:val="baseline"/>
        </w:rPr>
        <w:t> In practice,</w:t>
      </w:r>
      <w:r>
        <w:rPr>
          <w:rFonts w:ascii="Calibri"/>
          <w:spacing w:val="-1"/>
          <w:sz w:val="20"/>
          <w:vertAlign w:val="baseline"/>
        </w:rPr>
        <w:t> </w:t>
      </w:r>
      <w:r>
        <w:rPr>
          <w:rFonts w:ascii="Calibri"/>
          <w:sz w:val="20"/>
          <w:vertAlign w:val="baseline"/>
        </w:rPr>
        <w:t>a Form CAC</w:t>
      </w:r>
      <w:r>
        <w:rPr>
          <w:rFonts w:ascii="Calibri"/>
          <w:spacing w:val="-1"/>
          <w:sz w:val="20"/>
          <w:vertAlign w:val="baseline"/>
        </w:rPr>
        <w:t> </w:t>
      </w:r>
      <w:r>
        <w:rPr>
          <w:rFonts w:ascii="Calibri"/>
          <w:sz w:val="20"/>
          <w:vertAlign w:val="baseline"/>
        </w:rPr>
        <w:t>7,</w:t>
      </w:r>
      <w:r>
        <w:rPr>
          <w:rFonts w:ascii="Calibri"/>
          <w:spacing w:val="-1"/>
          <w:sz w:val="20"/>
          <w:vertAlign w:val="baseline"/>
        </w:rPr>
        <w:t> </w:t>
      </w:r>
      <w:r>
        <w:rPr>
          <w:rFonts w:ascii="Calibri"/>
          <w:sz w:val="20"/>
          <w:vertAlign w:val="baseline"/>
        </w:rPr>
        <w:t>obtained from the CAC,</w:t>
      </w:r>
      <w:r>
        <w:rPr>
          <w:rFonts w:ascii="Calibri"/>
          <w:spacing w:val="-1"/>
          <w:sz w:val="20"/>
          <w:vertAlign w:val="baseline"/>
        </w:rPr>
        <w:t> </w:t>
      </w:r>
      <w:r>
        <w:rPr>
          <w:rFonts w:ascii="Calibri"/>
          <w:sz w:val="20"/>
          <w:vertAlign w:val="baseline"/>
        </w:rPr>
        <w:t>is</w:t>
      </w:r>
      <w:r>
        <w:rPr>
          <w:rFonts w:ascii="Calibri"/>
          <w:spacing w:val="-1"/>
          <w:sz w:val="20"/>
          <w:vertAlign w:val="baseline"/>
        </w:rPr>
        <w:t> </w:t>
      </w:r>
      <w:r>
        <w:rPr>
          <w:rFonts w:ascii="Calibri"/>
          <w:sz w:val="20"/>
          <w:vertAlign w:val="baseline"/>
        </w:rPr>
        <w:t>simply</w:t>
      </w:r>
      <w:r>
        <w:rPr>
          <w:rFonts w:ascii="Calibri"/>
          <w:spacing w:val="-3"/>
          <w:sz w:val="20"/>
          <w:vertAlign w:val="baseline"/>
        </w:rPr>
        <w:t> </w:t>
      </w:r>
      <w:r>
        <w:rPr>
          <w:rFonts w:ascii="Calibri"/>
          <w:sz w:val="20"/>
          <w:vertAlign w:val="baseline"/>
        </w:rPr>
        <w:t>filled and</w:t>
      </w:r>
      <w:r>
        <w:rPr>
          <w:rFonts w:ascii="Calibri"/>
          <w:spacing w:val="-4"/>
          <w:sz w:val="20"/>
          <w:vertAlign w:val="baseline"/>
        </w:rPr>
        <w:t> </w:t>
      </w:r>
      <w:r>
        <w:rPr>
          <w:rFonts w:ascii="Calibri"/>
          <w:sz w:val="20"/>
          <w:vertAlign w:val="baseline"/>
        </w:rPr>
        <w:t>filed to</w:t>
      </w:r>
      <w:r>
        <w:rPr>
          <w:rFonts w:ascii="Calibri"/>
          <w:spacing w:val="-5"/>
          <w:sz w:val="20"/>
          <w:vertAlign w:val="baseline"/>
        </w:rPr>
        <w:t> </w:t>
      </w:r>
      <w:r>
        <w:rPr>
          <w:rFonts w:ascii="Calibri"/>
          <w:sz w:val="20"/>
          <w:vertAlign w:val="baseline"/>
        </w:rPr>
        <w:t>meet the requirement of the law.</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45"/>
        <w:jc w:val="both"/>
      </w:pPr>
      <w:r>
        <w:rPr/>
        <w:t>of the company‖ to be presented at the Companies House (CH) as part of the incorporation requirements.</w:t>
      </w:r>
    </w:p>
    <w:p>
      <w:pPr>
        <w:pStyle w:val="BodyText"/>
        <w:spacing w:line="480" w:lineRule="auto"/>
        <w:ind w:right="234" w:firstLine="720"/>
        <w:jc w:val="both"/>
      </w:pPr>
      <w:r>
        <w:rPr/>
        <w:t>The tenor of the different laws above implies that the mere act of the inclusion and identification of the names of any persons as </w:t>
      </w:r>
      <w:r>
        <w:rPr>
          <w:i/>
        </w:rPr>
        <w:t>directors, </w:t>
      </w:r>
      <w:r>
        <w:rPr/>
        <w:t>in either or all of these documents, formally seals their appointment to such an office. There is in fact no</w:t>
      </w:r>
      <w:r>
        <w:rPr>
          <w:spacing w:val="80"/>
        </w:rPr>
        <w:t> </w:t>
      </w:r>
      <w:r>
        <w:rPr/>
        <w:t>further need for the company to ratify their appointments when it eventually formally comes into being.</w:t>
      </w:r>
    </w:p>
    <w:p>
      <w:pPr>
        <w:pStyle w:val="Heading2"/>
        <w:numPr>
          <w:ilvl w:val="2"/>
          <w:numId w:val="8"/>
        </w:numPr>
        <w:tabs>
          <w:tab w:pos="1027" w:val="left" w:leader="none"/>
        </w:tabs>
        <w:spacing w:line="240" w:lineRule="auto" w:before="207" w:after="0"/>
        <w:ind w:left="1027" w:right="0" w:hanging="719"/>
        <w:jc w:val="both"/>
      </w:pPr>
      <w:bookmarkStart w:name="_TOC_250037" w:id="15"/>
      <w:r>
        <w:rPr/>
        <w:t>Subsequent</w:t>
      </w:r>
      <w:bookmarkEnd w:id="15"/>
      <w:r>
        <w:rPr>
          <w:spacing w:val="-2"/>
        </w:rPr>
        <w:t> Directors</w:t>
      </w:r>
    </w:p>
    <w:p>
      <w:pPr>
        <w:pStyle w:val="BodyText"/>
        <w:spacing w:line="480" w:lineRule="auto" w:before="133"/>
        <w:ind w:right="233"/>
        <w:jc w:val="both"/>
      </w:pPr>
      <w:r>
        <w:rPr/>
        <w:t>Once the company is duly incorporated, it then becomes a person in law,</w:t>
      </w:r>
      <w:r>
        <w:rPr>
          <w:vertAlign w:val="superscript"/>
        </w:rPr>
        <w:t>39</w:t>
      </w:r>
      <w:r>
        <w:rPr>
          <w:vertAlign w:val="baseline"/>
        </w:rPr>
        <w:t> capable of, among other things, employing labour and entering into contracts in its own name. Consequently, it can also hire or appoint officers, including directors, in accordance</w:t>
      </w:r>
      <w:r>
        <w:rPr>
          <w:spacing w:val="40"/>
          <w:vertAlign w:val="baseline"/>
        </w:rPr>
        <w:t> </w:t>
      </w:r>
      <w:r>
        <w:rPr>
          <w:vertAlign w:val="baseline"/>
        </w:rPr>
        <w:t>with procedures laid down by law as well as the company‘s own constitution: the articles of association.</w:t>
      </w:r>
    </w:p>
    <w:p>
      <w:pPr>
        <w:pStyle w:val="BodyText"/>
        <w:spacing w:line="480" w:lineRule="auto" w:before="1"/>
        <w:ind w:right="230" w:firstLine="523"/>
        <w:jc w:val="both"/>
      </w:pPr>
      <w:r>
        <w:rPr/>
        <w:t>In most instances, except a few, the CA leaves the province of appointment of subsequent directors largely to the articles to prescribe. Depending on the</w:t>
      </w:r>
      <w:r>
        <w:rPr>
          <w:spacing w:val="40"/>
        </w:rPr>
        <w:t> </w:t>
      </w:r>
      <w:r>
        <w:rPr/>
        <w:t>circumstances, however, the following have power under the CAMA or the articles of association, to appoint directors for the company:</w:t>
      </w:r>
    </w:p>
    <w:p>
      <w:pPr>
        <w:pStyle w:val="ListParagraph"/>
        <w:numPr>
          <w:ilvl w:val="3"/>
          <w:numId w:val="8"/>
        </w:numPr>
        <w:tabs>
          <w:tab w:pos="1191" w:val="left" w:leader="none"/>
        </w:tabs>
        <w:spacing w:line="240" w:lineRule="auto" w:before="1" w:after="0"/>
        <w:ind w:left="1191" w:right="0" w:hanging="360"/>
        <w:jc w:val="both"/>
        <w:rPr>
          <w:sz w:val="24"/>
        </w:rPr>
      </w:pPr>
      <w:r>
        <w:rPr>
          <w:i/>
          <w:sz w:val="24"/>
        </w:rPr>
        <w:t>The</w:t>
      </w:r>
      <w:r>
        <w:rPr>
          <w:i/>
          <w:spacing w:val="6"/>
          <w:sz w:val="24"/>
        </w:rPr>
        <w:t> </w:t>
      </w:r>
      <w:r>
        <w:rPr>
          <w:i/>
          <w:sz w:val="24"/>
        </w:rPr>
        <w:t>Annual</w:t>
      </w:r>
      <w:r>
        <w:rPr>
          <w:i/>
          <w:spacing w:val="7"/>
          <w:sz w:val="24"/>
        </w:rPr>
        <w:t> </w:t>
      </w:r>
      <w:r>
        <w:rPr>
          <w:i/>
          <w:sz w:val="24"/>
        </w:rPr>
        <w:t>General</w:t>
      </w:r>
      <w:r>
        <w:rPr>
          <w:i/>
          <w:spacing w:val="12"/>
          <w:sz w:val="24"/>
        </w:rPr>
        <w:t> </w:t>
      </w:r>
      <w:r>
        <w:rPr>
          <w:i/>
          <w:sz w:val="24"/>
        </w:rPr>
        <w:t>Meeting.</w:t>
      </w:r>
      <w:r>
        <w:rPr>
          <w:i/>
          <w:spacing w:val="13"/>
          <w:sz w:val="24"/>
        </w:rPr>
        <w:t> </w:t>
      </w:r>
      <w:r>
        <w:rPr>
          <w:sz w:val="24"/>
        </w:rPr>
        <w:t>It</w:t>
      </w:r>
      <w:r>
        <w:rPr>
          <w:spacing w:val="12"/>
          <w:sz w:val="24"/>
        </w:rPr>
        <w:t> </w:t>
      </w:r>
      <w:r>
        <w:rPr>
          <w:sz w:val="24"/>
        </w:rPr>
        <w:t>is</w:t>
      </w:r>
      <w:r>
        <w:rPr>
          <w:spacing w:val="4"/>
          <w:sz w:val="24"/>
        </w:rPr>
        <w:t> </w:t>
      </w:r>
      <w:r>
        <w:rPr>
          <w:sz w:val="24"/>
        </w:rPr>
        <w:t>generally</w:t>
      </w:r>
      <w:r>
        <w:rPr>
          <w:spacing w:val="7"/>
          <w:sz w:val="24"/>
        </w:rPr>
        <w:t> </w:t>
      </w:r>
      <w:r>
        <w:rPr>
          <w:sz w:val="24"/>
        </w:rPr>
        <w:t>stated</w:t>
      </w:r>
      <w:r>
        <w:rPr>
          <w:spacing w:val="11"/>
          <w:sz w:val="24"/>
        </w:rPr>
        <w:t> </w:t>
      </w:r>
      <w:r>
        <w:rPr>
          <w:sz w:val="24"/>
        </w:rPr>
        <w:t>in</w:t>
      </w:r>
      <w:r>
        <w:rPr>
          <w:spacing w:val="6"/>
          <w:sz w:val="24"/>
        </w:rPr>
        <w:t> </w:t>
      </w:r>
      <w:r>
        <w:rPr>
          <w:sz w:val="24"/>
        </w:rPr>
        <w:t>s.248</w:t>
      </w:r>
      <w:r>
        <w:rPr>
          <w:spacing w:val="6"/>
          <w:sz w:val="24"/>
        </w:rPr>
        <w:t> </w:t>
      </w:r>
      <w:r>
        <w:rPr>
          <w:sz w:val="24"/>
        </w:rPr>
        <w:t>of</w:t>
      </w:r>
      <w:r>
        <w:rPr>
          <w:spacing w:val="-1"/>
          <w:sz w:val="24"/>
        </w:rPr>
        <w:t> </w:t>
      </w:r>
      <w:r>
        <w:rPr>
          <w:sz w:val="24"/>
        </w:rPr>
        <w:t>the</w:t>
      </w:r>
      <w:r>
        <w:rPr>
          <w:spacing w:val="10"/>
          <w:sz w:val="24"/>
        </w:rPr>
        <w:t> </w:t>
      </w:r>
      <w:r>
        <w:rPr>
          <w:sz w:val="24"/>
        </w:rPr>
        <w:t>CAMA</w:t>
      </w:r>
      <w:r>
        <w:rPr>
          <w:spacing w:val="1"/>
          <w:sz w:val="24"/>
        </w:rPr>
        <w:t> </w:t>
      </w:r>
      <w:r>
        <w:rPr>
          <w:spacing w:val="-4"/>
          <w:sz w:val="24"/>
        </w:rPr>
        <w:t>that</w:t>
      </w:r>
    </w:p>
    <w:p>
      <w:pPr>
        <w:pStyle w:val="BodyText"/>
        <w:ind w:left="0"/>
      </w:pPr>
    </w:p>
    <w:p>
      <w:pPr>
        <w:pStyle w:val="BodyText"/>
        <w:spacing w:line="480" w:lineRule="auto"/>
        <w:ind w:left="1191" w:right="227"/>
        <w:jc w:val="both"/>
      </w:pPr>
      <w:r>
        <w:rPr/>
        <w:t>―the members at the annual general meeting shall have power to re-elect or reject directors and appoint new ones.‖ The tenor of the law here implies that even the articles of association cannot deprive the members of this statutory power. Also, s.249(3) grants the general meeting the ultimate power of increasing or reducing the</w:t>
      </w:r>
      <w:r>
        <w:rPr>
          <w:spacing w:val="-1"/>
        </w:rPr>
        <w:t> </w:t>
      </w:r>
      <w:r>
        <w:rPr/>
        <w:t>number of</w:t>
      </w:r>
      <w:r>
        <w:rPr>
          <w:spacing w:val="-8"/>
        </w:rPr>
        <w:t> </w:t>
      </w:r>
      <w:r>
        <w:rPr/>
        <w:t>directors</w:t>
      </w:r>
      <w:r>
        <w:rPr>
          <w:spacing w:val="-2"/>
        </w:rPr>
        <w:t> </w:t>
      </w:r>
      <w:r>
        <w:rPr/>
        <w:t>generally</w:t>
      </w:r>
      <w:r>
        <w:rPr>
          <w:spacing w:val="-5"/>
        </w:rPr>
        <w:t> </w:t>
      </w:r>
      <w:r>
        <w:rPr/>
        <w:t>as</w:t>
      </w:r>
      <w:r>
        <w:rPr>
          <w:spacing w:val="-2"/>
        </w:rPr>
        <w:t> </w:t>
      </w:r>
      <w:r>
        <w:rPr/>
        <w:t>well</w:t>
      </w:r>
      <w:r>
        <w:rPr>
          <w:spacing w:val="-9"/>
        </w:rPr>
        <w:t> </w:t>
      </w:r>
      <w:r>
        <w:rPr/>
        <w:t>as</w:t>
      </w:r>
      <w:r>
        <w:rPr>
          <w:spacing w:val="-2"/>
        </w:rPr>
        <w:t> </w:t>
      </w:r>
      <w:r>
        <w:rPr/>
        <w:t>determining in</w:t>
      </w:r>
      <w:r>
        <w:rPr>
          <w:spacing w:val="-1"/>
        </w:rPr>
        <w:t> </w:t>
      </w:r>
      <w:r>
        <w:rPr/>
        <w:t>what rotation</w:t>
      </w:r>
      <w:r>
        <w:rPr>
          <w:spacing w:val="-6"/>
        </w:rPr>
        <w:t> </w:t>
      </w:r>
      <w:r>
        <w:rPr/>
        <w:t>directors</w:t>
      </w:r>
      <w:r>
        <w:rPr>
          <w:spacing w:val="-3"/>
        </w:rPr>
        <w:t> </w:t>
      </w:r>
      <w:r>
        <w:rPr/>
        <w:t>shall</w:t>
      </w:r>
      <w:r>
        <w:rPr>
          <w:spacing w:val="-6"/>
        </w:rPr>
        <w:t> </w:t>
      </w:r>
      <w:r>
        <w:rPr/>
        <w:t>retire. This is in alignment with</w:t>
      </w:r>
      <w:r>
        <w:rPr>
          <w:spacing w:val="-6"/>
        </w:rPr>
        <w:t> </w:t>
      </w:r>
      <w:r>
        <w:rPr/>
        <w:t>the</w:t>
      </w:r>
      <w:r>
        <w:rPr>
          <w:spacing w:val="-2"/>
        </w:rPr>
        <w:t> </w:t>
      </w:r>
      <w:r>
        <w:rPr/>
        <w:t>general</w:t>
      </w:r>
      <w:r>
        <w:rPr>
          <w:spacing w:val="-1"/>
        </w:rPr>
        <w:t> </w:t>
      </w:r>
      <w:r>
        <w:rPr/>
        <w:t>idea</w:t>
      </w:r>
    </w:p>
    <w:p>
      <w:pPr>
        <w:pStyle w:val="BodyText"/>
        <w:spacing w:before="86"/>
        <w:ind w:left="0"/>
        <w:rPr>
          <w:sz w:val="20"/>
        </w:rPr>
      </w:pPr>
      <w:r>
        <w:rPr/>
        <mc:AlternateContent>
          <mc:Choice Requires="wps">
            <w:drawing>
              <wp:anchor distT="0" distB="0" distL="0" distR="0" allowOverlap="1" layoutInCell="1" locked="0" behindDoc="1" simplePos="0" relativeHeight="487624192">
                <wp:simplePos x="0" y="0"/>
                <wp:positionH relativeFrom="page">
                  <wp:posOffset>1262481</wp:posOffset>
                </wp:positionH>
                <wp:positionV relativeFrom="paragraph">
                  <wp:posOffset>216295</wp:posOffset>
                </wp:positionV>
                <wp:extent cx="1829435" cy="9525"/>
                <wp:effectExtent l="0" t="0" r="0" b="0"/>
                <wp:wrapTopAndBottom/>
                <wp:docPr id="74" name="Graphic 74"/>
                <wp:cNvGraphicFramePr>
                  <a:graphicFrameLocks/>
                </wp:cNvGraphicFramePr>
                <a:graphic>
                  <a:graphicData uri="http://schemas.microsoft.com/office/word/2010/wordprocessingShape">
                    <wps:wsp>
                      <wps:cNvPr id="74" name="Graphic 7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031109pt;width:144.050pt;height:.71997pt;mso-position-horizontal-relative:page;mso-position-vertical-relative:paragraph;z-index:-15692288;mso-wrap-distance-left:0;mso-wrap-distance-right:0" id="docshape2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39</w:t>
      </w:r>
      <w:r>
        <w:rPr>
          <w:rFonts w:ascii="Calibri"/>
          <w:sz w:val="20"/>
          <w:vertAlign w:val="baseline"/>
        </w:rPr>
        <w:t>Refer to</w:t>
      </w:r>
      <w:r>
        <w:rPr>
          <w:rFonts w:ascii="Calibri"/>
          <w:spacing w:val="-7"/>
          <w:sz w:val="20"/>
          <w:vertAlign w:val="baseline"/>
        </w:rPr>
        <w:t> </w:t>
      </w:r>
      <w:r>
        <w:rPr>
          <w:rFonts w:ascii="Calibri"/>
          <w:sz w:val="20"/>
          <w:vertAlign w:val="baseline"/>
        </w:rPr>
        <w:t>s.38(1)</w:t>
      </w:r>
      <w:r>
        <w:rPr>
          <w:rFonts w:ascii="Calibri"/>
          <w:spacing w:val="-1"/>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6"/>
          <w:sz w:val="20"/>
          <w:vertAlign w:val="baseline"/>
        </w:rPr>
        <w:t> </w:t>
      </w:r>
      <w:r>
        <w:rPr>
          <w:rFonts w:ascii="Calibri"/>
          <w:spacing w:val="-2"/>
          <w:sz w:val="20"/>
          <w:vertAlign w:val="baseline"/>
        </w:rPr>
        <w:t>CAMA.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left="1191" w:right="225"/>
        <w:jc w:val="both"/>
      </w:pPr>
      <w:r>
        <w:rPr/>
        <w:t>of granting the members of the company the means of charting the course for the company and checking the excesses of directors. The general meeting is attended by all who have a stake in the company by virtue of</w:t>
      </w:r>
      <w:r>
        <w:rPr>
          <w:spacing w:val="-2"/>
        </w:rPr>
        <w:t> </w:t>
      </w:r>
      <w:r>
        <w:rPr/>
        <w:t>the share(s) they hold. The law considers that they have the most to gain or lose from the company being in capable or incapable hands. Therefore, more than any other persons, the members should decide who takes part in the running of the </w:t>
      </w:r>
      <w:r>
        <w:rPr>
          <w:spacing w:val="-2"/>
        </w:rPr>
        <w:t>company.</w:t>
      </w:r>
    </w:p>
    <w:p>
      <w:pPr>
        <w:pStyle w:val="ListParagraph"/>
        <w:numPr>
          <w:ilvl w:val="3"/>
          <w:numId w:val="8"/>
        </w:numPr>
        <w:tabs>
          <w:tab w:pos="1191" w:val="left" w:leader="none"/>
        </w:tabs>
        <w:spacing w:line="480" w:lineRule="auto" w:before="1" w:after="0"/>
        <w:ind w:left="1191" w:right="226" w:hanging="360"/>
        <w:jc w:val="both"/>
        <w:rPr>
          <w:sz w:val="24"/>
        </w:rPr>
      </w:pPr>
      <w:r>
        <w:rPr>
          <w:i/>
          <w:sz w:val="24"/>
        </w:rPr>
        <w:t>The Board of Directors. </w:t>
      </w:r>
      <w:r>
        <w:rPr>
          <w:sz w:val="24"/>
        </w:rPr>
        <w:t>Particularly after the occurrence of instances the law presumes as causing a ―casual vacancy‖ in the office of a director in any company, s.249(1) empowers the board to appoint new directors to fill the vacuum so created. However, this power is limited by two points. Firstly, apparently, the vacancy must arise only from</w:t>
      </w:r>
      <w:r>
        <w:rPr>
          <w:spacing w:val="-6"/>
          <w:sz w:val="24"/>
        </w:rPr>
        <w:t> </w:t>
      </w:r>
      <w:r>
        <w:rPr>
          <w:sz w:val="24"/>
        </w:rPr>
        <w:t>the death, resignation, retirement or removal of</w:t>
      </w:r>
      <w:r>
        <w:rPr>
          <w:spacing w:val="-2"/>
          <w:sz w:val="24"/>
        </w:rPr>
        <w:t> </w:t>
      </w:r>
      <w:r>
        <w:rPr>
          <w:sz w:val="24"/>
        </w:rPr>
        <w:t>a serving director, and not from</w:t>
      </w:r>
      <w:r>
        <w:rPr>
          <w:spacing w:val="-4"/>
          <w:sz w:val="24"/>
        </w:rPr>
        <w:t> </w:t>
      </w:r>
      <w:r>
        <w:rPr>
          <w:sz w:val="24"/>
        </w:rPr>
        <w:t>any other occurrence. Secondly, s.249(2) makes the appointment </w:t>
      </w:r>
      <w:r>
        <w:rPr>
          <w:i/>
          <w:sz w:val="24"/>
        </w:rPr>
        <w:t>subject to </w:t>
      </w:r>
      <w:r>
        <w:rPr>
          <w:sz w:val="24"/>
        </w:rPr>
        <w:t>the approval of the members at the very next annual general meeting. Otherwise, any director so appointed ceases to hold that office on the day of the said meeting. Also, by virtue of s.249(3), the board may increase the number of directors so long as that increase does not ultimately cause the number at any given time to be more than the maximum number of directors allowed by the articles. The CA also suggests that the board of</w:t>
      </w:r>
      <w:r>
        <w:rPr>
          <w:spacing w:val="-7"/>
          <w:sz w:val="24"/>
        </w:rPr>
        <w:t> </w:t>
      </w:r>
      <w:r>
        <w:rPr>
          <w:sz w:val="24"/>
        </w:rPr>
        <w:t>directors</w:t>
      </w:r>
      <w:r>
        <w:rPr>
          <w:spacing w:val="-1"/>
          <w:sz w:val="24"/>
        </w:rPr>
        <w:t> </w:t>
      </w:r>
      <w:r>
        <w:rPr>
          <w:sz w:val="24"/>
        </w:rPr>
        <w:t>may fill</w:t>
      </w:r>
      <w:r>
        <w:rPr>
          <w:spacing w:val="-4"/>
          <w:sz w:val="24"/>
        </w:rPr>
        <w:t> </w:t>
      </w:r>
      <w:r>
        <w:rPr>
          <w:sz w:val="24"/>
        </w:rPr>
        <w:t>a casual vacancy in their number,</w:t>
      </w:r>
      <w:r>
        <w:rPr>
          <w:sz w:val="24"/>
          <w:vertAlign w:val="superscript"/>
        </w:rPr>
        <w:t>40</w:t>
      </w:r>
      <w:r>
        <w:rPr>
          <w:sz w:val="24"/>
          <w:vertAlign w:val="baseline"/>
        </w:rPr>
        <w:t> but only one arising out of the removal of a serving director.</w:t>
      </w:r>
    </w:p>
    <w:p>
      <w:pPr>
        <w:pStyle w:val="ListParagraph"/>
        <w:numPr>
          <w:ilvl w:val="3"/>
          <w:numId w:val="8"/>
        </w:numPr>
        <w:tabs>
          <w:tab w:pos="1191" w:val="left" w:leader="none"/>
        </w:tabs>
        <w:spacing w:line="480" w:lineRule="auto" w:before="3" w:after="0"/>
        <w:ind w:left="1191" w:right="229" w:hanging="360"/>
        <w:jc w:val="both"/>
        <w:rPr>
          <w:sz w:val="24"/>
        </w:rPr>
      </w:pPr>
      <w:r>
        <w:rPr>
          <w:i/>
          <w:sz w:val="24"/>
        </w:rPr>
        <w:t>Any Person Specified by the Articles. </w:t>
      </w:r>
      <w:r>
        <w:rPr>
          <w:sz w:val="24"/>
        </w:rPr>
        <w:t>The law allows companies to confer powers on any named person—even an outsider—to appoint or remove a director</w:t>
      </w:r>
      <w:r>
        <w:rPr>
          <w:spacing w:val="80"/>
          <w:w w:val="150"/>
          <w:sz w:val="24"/>
        </w:rPr>
        <w:t> </w:t>
      </w:r>
      <w:r>
        <w:rPr>
          <w:sz w:val="24"/>
        </w:rPr>
        <w:t>of</w:t>
      </w:r>
      <w:r>
        <w:rPr>
          <w:spacing w:val="80"/>
          <w:w w:val="150"/>
          <w:sz w:val="24"/>
        </w:rPr>
        <w:t> </w:t>
      </w:r>
      <w:r>
        <w:rPr>
          <w:sz w:val="24"/>
        </w:rPr>
        <w:t>the</w:t>
      </w:r>
      <w:r>
        <w:rPr>
          <w:spacing w:val="80"/>
          <w:w w:val="150"/>
          <w:sz w:val="24"/>
        </w:rPr>
        <w:t> </w:t>
      </w:r>
      <w:r>
        <w:rPr>
          <w:sz w:val="24"/>
        </w:rPr>
        <w:t>company.</w:t>
      </w:r>
      <w:r>
        <w:rPr>
          <w:spacing w:val="80"/>
          <w:w w:val="150"/>
          <w:sz w:val="24"/>
        </w:rPr>
        <w:t> </w:t>
      </w:r>
      <w:r>
        <w:rPr>
          <w:sz w:val="24"/>
        </w:rPr>
        <w:t>According</w:t>
      </w:r>
      <w:r>
        <w:rPr>
          <w:spacing w:val="80"/>
          <w:w w:val="150"/>
          <w:sz w:val="24"/>
        </w:rPr>
        <w:t> </w:t>
      </w:r>
      <w:r>
        <w:rPr>
          <w:sz w:val="24"/>
        </w:rPr>
        <w:t>to</w:t>
      </w:r>
      <w:r>
        <w:rPr>
          <w:spacing w:val="80"/>
          <w:w w:val="150"/>
          <w:sz w:val="24"/>
        </w:rPr>
        <w:t> </w:t>
      </w:r>
      <w:r>
        <w:rPr>
          <w:sz w:val="24"/>
        </w:rPr>
        <w:t>s.41(3)</w:t>
      </w:r>
      <w:r>
        <w:rPr>
          <w:spacing w:val="80"/>
          <w:w w:val="150"/>
          <w:sz w:val="24"/>
        </w:rPr>
        <w:t> </w:t>
      </w:r>
      <w:r>
        <w:rPr>
          <w:sz w:val="24"/>
        </w:rPr>
        <w:t>CAMA,</w:t>
      </w:r>
      <w:r>
        <w:rPr>
          <w:spacing w:val="80"/>
          <w:w w:val="150"/>
          <w:sz w:val="24"/>
        </w:rPr>
        <w:t> </w:t>
      </w:r>
      <w:r>
        <w:rPr>
          <w:sz w:val="24"/>
        </w:rPr>
        <w:t>―where</w:t>
      </w:r>
      <w:r>
        <w:rPr>
          <w:spacing w:val="80"/>
          <w:w w:val="150"/>
          <w:sz w:val="24"/>
        </w:rPr>
        <w:t> </w:t>
      </w:r>
      <w:r>
        <w:rPr>
          <w:sz w:val="24"/>
        </w:rPr>
        <w:t>the</w:t>
      </w:r>
    </w:p>
    <w:p>
      <w:pPr>
        <w:spacing w:after="0" w:line="480" w:lineRule="auto"/>
        <w:jc w:val="both"/>
        <w:rPr>
          <w:sz w:val="24"/>
        </w:rPr>
        <w:sectPr>
          <w:footerReference w:type="default" r:id="rId20"/>
          <w:pgSz w:w="11910" w:h="16840"/>
          <w:pgMar w:header="0" w:footer="1576" w:top="1320" w:bottom="1760" w:left="1680" w:right="1180"/>
        </w:sectPr>
      </w:pPr>
    </w:p>
    <w:p>
      <w:pPr>
        <w:pStyle w:val="BodyText"/>
        <w:spacing w:line="480" w:lineRule="auto" w:before="70"/>
        <w:ind w:left="1191" w:right="225"/>
        <w:jc w:val="both"/>
      </w:pPr>
      <w:r>
        <w:rPr/>
        <w:t>memorandum or articles empower any person to appoint or remove any director or</w:t>
      </w:r>
      <w:r>
        <w:rPr>
          <w:spacing w:val="-2"/>
        </w:rPr>
        <w:t> </w:t>
      </w:r>
      <w:r>
        <w:rPr/>
        <w:t>other officer of</w:t>
      </w:r>
      <w:r>
        <w:rPr>
          <w:spacing w:val="-7"/>
        </w:rPr>
        <w:t> </w:t>
      </w:r>
      <w:r>
        <w:rPr/>
        <w:t>the company, such</w:t>
      </w:r>
      <w:r>
        <w:rPr>
          <w:spacing w:val="-4"/>
        </w:rPr>
        <w:t> </w:t>
      </w:r>
      <w:r>
        <w:rPr/>
        <w:t>power will be</w:t>
      </w:r>
      <w:r>
        <w:rPr>
          <w:spacing w:val="-1"/>
        </w:rPr>
        <w:t> </w:t>
      </w:r>
      <w:r>
        <w:rPr/>
        <w:t>enforceable by</w:t>
      </w:r>
      <w:r>
        <w:rPr>
          <w:spacing w:val="-4"/>
        </w:rPr>
        <w:t> </w:t>
      </w:r>
      <w:r>
        <w:rPr/>
        <w:t>the person notwithstanding that he is not a member or officer of the company.‖ This practice is often employed by private companies where the majority shareholder wishes to hold on to the reins of</w:t>
      </w:r>
      <w:r>
        <w:rPr>
          <w:spacing w:val="-1"/>
        </w:rPr>
        <w:t> </w:t>
      </w:r>
      <w:r>
        <w:rPr/>
        <w:t>the business or where an investor invests his money in a company using other people as a façade, only to try to control the business from ‗outside‘ by causing the articles to appoint him as nominator</w:t>
      </w:r>
      <w:r>
        <w:rPr>
          <w:spacing w:val="-4"/>
        </w:rPr>
        <w:t> </w:t>
      </w:r>
      <w:r>
        <w:rPr/>
        <w:t>of</w:t>
      </w:r>
      <w:r>
        <w:rPr>
          <w:spacing w:val="-9"/>
        </w:rPr>
        <w:t> </w:t>
      </w:r>
      <w:r>
        <w:rPr/>
        <w:t>the</w:t>
      </w:r>
      <w:r>
        <w:rPr>
          <w:spacing w:val="-2"/>
        </w:rPr>
        <w:t> </w:t>
      </w:r>
      <w:r>
        <w:rPr/>
        <w:t>company‘s directors.</w:t>
      </w:r>
      <w:r>
        <w:rPr>
          <w:spacing w:val="-3"/>
        </w:rPr>
        <w:t> </w:t>
      </w:r>
      <w:r>
        <w:rPr/>
        <w:t>It has</w:t>
      </w:r>
      <w:r>
        <w:rPr>
          <w:spacing w:val="-3"/>
        </w:rPr>
        <w:t> </w:t>
      </w:r>
      <w:r>
        <w:rPr/>
        <w:t>been</w:t>
      </w:r>
      <w:r>
        <w:rPr>
          <w:spacing w:val="-1"/>
        </w:rPr>
        <w:t> </w:t>
      </w:r>
      <w:r>
        <w:rPr/>
        <w:t>opined based</w:t>
      </w:r>
      <w:r>
        <w:rPr>
          <w:spacing w:val="-1"/>
        </w:rPr>
        <w:t> </w:t>
      </w:r>
      <w:r>
        <w:rPr/>
        <w:t>on</w:t>
      </w:r>
      <w:r>
        <w:rPr>
          <w:spacing w:val="-6"/>
        </w:rPr>
        <w:t> </w:t>
      </w:r>
      <w:r>
        <w:rPr/>
        <w:t>a</w:t>
      </w:r>
      <w:r>
        <w:rPr>
          <w:spacing w:val="-2"/>
        </w:rPr>
        <w:t> </w:t>
      </w:r>
      <w:r>
        <w:rPr/>
        <w:t>number of decisions, that if the appointer exercises his power of appointment, the company</w:t>
      </w:r>
      <w:r>
        <w:rPr>
          <w:spacing w:val="-7"/>
        </w:rPr>
        <w:t> </w:t>
      </w:r>
      <w:r>
        <w:rPr/>
        <w:t>would be bound</w:t>
      </w:r>
      <w:r>
        <w:rPr>
          <w:spacing w:val="-2"/>
        </w:rPr>
        <w:t> </w:t>
      </w:r>
      <w:r>
        <w:rPr/>
        <w:t>to accept and if</w:t>
      </w:r>
      <w:r>
        <w:rPr>
          <w:spacing w:val="-1"/>
        </w:rPr>
        <w:t> </w:t>
      </w:r>
      <w:r>
        <w:rPr/>
        <w:t>it refuses, the</w:t>
      </w:r>
      <w:r>
        <w:rPr>
          <w:spacing w:val="-3"/>
        </w:rPr>
        <w:t> </w:t>
      </w:r>
      <w:r>
        <w:rPr/>
        <w:t>appointer may</w:t>
      </w:r>
      <w:r>
        <w:rPr>
          <w:spacing w:val="-2"/>
        </w:rPr>
        <w:t> </w:t>
      </w:r>
      <w:r>
        <w:rPr/>
        <w:t>enforce his power by injunction, though he is not likely to succeed if the appointee is unsuitable on personal grounds or if he merely had a right to nominate a candidate, and not to appoint a director.</w:t>
      </w:r>
      <w:r>
        <w:rPr>
          <w:vertAlign w:val="superscript"/>
        </w:rPr>
        <w:t>41</w:t>
      </w:r>
      <w:r>
        <w:rPr>
          <w:vertAlign w:val="baseline"/>
        </w:rPr>
        <w:t> It is also imperative to note and emphasize that the power so conferred on any particular person to appoint or remove directors, must be expressly contained in either of the two corporate constitutional documents—the memorandum or the articles.</w:t>
      </w:r>
    </w:p>
    <w:p>
      <w:pPr>
        <w:pStyle w:val="ListParagraph"/>
        <w:numPr>
          <w:ilvl w:val="3"/>
          <w:numId w:val="8"/>
        </w:numPr>
        <w:tabs>
          <w:tab w:pos="1191" w:val="left" w:leader="none"/>
        </w:tabs>
        <w:spacing w:line="480" w:lineRule="auto" w:before="3" w:after="0"/>
        <w:ind w:left="1191" w:right="229" w:hanging="360"/>
        <w:jc w:val="both"/>
        <w:rPr>
          <w:sz w:val="24"/>
        </w:rPr>
      </w:pPr>
      <w:r>
        <w:rPr>
          <w:i/>
          <w:sz w:val="24"/>
        </w:rPr>
        <w:t>Personal Representatives. </w:t>
      </w:r>
      <w:r>
        <w:rPr>
          <w:sz w:val="24"/>
        </w:rPr>
        <w:t>Where all the members of</w:t>
      </w:r>
      <w:r>
        <w:rPr>
          <w:spacing w:val="-3"/>
          <w:sz w:val="24"/>
        </w:rPr>
        <w:t> </w:t>
      </w:r>
      <w:r>
        <w:rPr>
          <w:sz w:val="24"/>
        </w:rPr>
        <w:t>the company die, the law permits</w:t>
      </w:r>
      <w:r>
        <w:rPr>
          <w:spacing w:val="-9"/>
          <w:sz w:val="24"/>
        </w:rPr>
        <w:t> </w:t>
      </w:r>
      <w:r>
        <w:rPr>
          <w:sz w:val="24"/>
        </w:rPr>
        <w:t>―any</w:t>
      </w:r>
      <w:r>
        <w:rPr>
          <w:spacing w:val="-14"/>
          <w:sz w:val="24"/>
        </w:rPr>
        <w:t> </w:t>
      </w:r>
      <w:r>
        <w:rPr>
          <w:sz w:val="24"/>
        </w:rPr>
        <w:t>of</w:t>
      </w:r>
      <w:r>
        <w:rPr>
          <w:spacing w:val="-15"/>
          <w:sz w:val="24"/>
        </w:rPr>
        <w:t> </w:t>
      </w:r>
      <w:r>
        <w:rPr>
          <w:sz w:val="24"/>
        </w:rPr>
        <w:t>the</w:t>
      </w:r>
      <w:r>
        <w:rPr>
          <w:spacing w:val="-11"/>
          <w:sz w:val="24"/>
        </w:rPr>
        <w:t> </w:t>
      </w:r>
      <w:r>
        <w:rPr>
          <w:sz w:val="24"/>
        </w:rPr>
        <w:t>personal</w:t>
      </w:r>
      <w:r>
        <w:rPr>
          <w:spacing w:val="-14"/>
          <w:sz w:val="24"/>
        </w:rPr>
        <w:t> </w:t>
      </w:r>
      <w:r>
        <w:rPr>
          <w:sz w:val="24"/>
        </w:rPr>
        <w:t>representatives…to</w:t>
      </w:r>
      <w:r>
        <w:rPr>
          <w:spacing w:val="-7"/>
          <w:sz w:val="24"/>
        </w:rPr>
        <w:t> </w:t>
      </w:r>
      <w:r>
        <w:rPr>
          <w:sz w:val="24"/>
        </w:rPr>
        <w:t>apply</w:t>
      </w:r>
      <w:r>
        <w:rPr>
          <w:spacing w:val="-14"/>
          <w:sz w:val="24"/>
        </w:rPr>
        <w:t> </w:t>
      </w:r>
      <w:r>
        <w:rPr>
          <w:sz w:val="24"/>
        </w:rPr>
        <w:t>to</w:t>
      </w:r>
      <w:r>
        <w:rPr>
          <w:spacing w:val="-10"/>
          <w:sz w:val="24"/>
        </w:rPr>
        <w:t> </w:t>
      </w:r>
      <w:r>
        <w:rPr>
          <w:sz w:val="24"/>
        </w:rPr>
        <w:t>the</w:t>
      </w:r>
      <w:r>
        <w:rPr>
          <w:spacing w:val="-11"/>
          <w:sz w:val="24"/>
        </w:rPr>
        <w:t> </w:t>
      </w:r>
      <w:r>
        <w:rPr>
          <w:sz w:val="24"/>
        </w:rPr>
        <w:t>court</w:t>
      </w:r>
      <w:r>
        <w:rPr>
          <w:spacing w:val="-6"/>
          <w:sz w:val="24"/>
        </w:rPr>
        <w:t> </w:t>
      </w:r>
      <w:r>
        <w:rPr>
          <w:sz w:val="24"/>
        </w:rPr>
        <w:t>for</w:t>
      </w:r>
      <w:r>
        <w:rPr>
          <w:spacing w:val="-9"/>
          <w:sz w:val="24"/>
        </w:rPr>
        <w:t> </w:t>
      </w:r>
      <w:r>
        <w:rPr>
          <w:sz w:val="24"/>
        </w:rPr>
        <w:t>an</w:t>
      </w:r>
      <w:r>
        <w:rPr>
          <w:spacing w:val="-14"/>
          <w:sz w:val="24"/>
        </w:rPr>
        <w:t> </w:t>
      </w:r>
      <w:r>
        <w:rPr>
          <w:sz w:val="24"/>
        </w:rPr>
        <w:t>order to convene a meeting of all the personal representatives of the shareholders entitled to attend and vote at a general meeting to appoint new directors to manage the company‖.</w:t>
      </w:r>
      <w:r>
        <w:rPr>
          <w:sz w:val="24"/>
          <w:vertAlign w:val="superscript"/>
        </w:rPr>
        <w:t>42</w:t>
      </w:r>
      <w:r>
        <w:rPr>
          <w:sz w:val="24"/>
          <w:vertAlign w:val="baseline"/>
        </w:rPr>
        <w:t> This is due to the exigency of the situation. The</w:t>
      </w:r>
      <w:r>
        <w:rPr>
          <w:spacing w:val="25"/>
          <w:sz w:val="24"/>
          <w:vertAlign w:val="baseline"/>
        </w:rPr>
        <w:t> </w:t>
      </w:r>
      <w:r>
        <w:rPr>
          <w:sz w:val="24"/>
          <w:vertAlign w:val="baseline"/>
        </w:rPr>
        <w:t>idea of the concept of the company envisages existence in perpetuity so that the death of one or</w:t>
      </w:r>
      <w:r>
        <w:rPr>
          <w:spacing w:val="17"/>
          <w:sz w:val="24"/>
          <w:vertAlign w:val="baseline"/>
        </w:rPr>
        <w:t> </w:t>
      </w:r>
      <w:r>
        <w:rPr>
          <w:sz w:val="24"/>
          <w:vertAlign w:val="baseline"/>
        </w:rPr>
        <w:t>all of the company‘s</w:t>
      </w:r>
      <w:r>
        <w:rPr>
          <w:spacing w:val="22"/>
          <w:sz w:val="24"/>
          <w:vertAlign w:val="baseline"/>
        </w:rPr>
        <w:t> </w:t>
      </w:r>
      <w:r>
        <w:rPr>
          <w:sz w:val="24"/>
          <w:vertAlign w:val="baseline"/>
        </w:rPr>
        <w:t>members or</w:t>
      </w:r>
      <w:r>
        <w:rPr>
          <w:spacing w:val="17"/>
          <w:sz w:val="24"/>
          <w:vertAlign w:val="baseline"/>
        </w:rPr>
        <w:t> </w:t>
      </w:r>
      <w:r>
        <w:rPr>
          <w:sz w:val="24"/>
          <w:vertAlign w:val="baseline"/>
        </w:rPr>
        <w:t>officers should</w:t>
      </w:r>
      <w:r>
        <w:rPr>
          <w:spacing w:val="20"/>
          <w:sz w:val="24"/>
          <w:vertAlign w:val="baseline"/>
        </w:rPr>
        <w:t> </w:t>
      </w:r>
      <w:r>
        <w:rPr>
          <w:sz w:val="24"/>
          <w:vertAlign w:val="baseline"/>
        </w:rPr>
        <w:t>not</w:t>
      </w:r>
      <w:r>
        <w:rPr>
          <w:spacing w:val="20"/>
          <w:sz w:val="24"/>
          <w:vertAlign w:val="baseline"/>
        </w:rPr>
        <w:t> </w:t>
      </w:r>
      <w:r>
        <w:rPr>
          <w:sz w:val="24"/>
          <w:vertAlign w:val="baseline"/>
        </w:rPr>
        <w:t>result</w:t>
      </w:r>
      <w:r>
        <w:rPr>
          <w:spacing w:val="25"/>
          <w:sz w:val="24"/>
          <w:vertAlign w:val="baseline"/>
        </w:rPr>
        <w:t> </w:t>
      </w:r>
      <w:r>
        <w:rPr>
          <w:sz w:val="24"/>
          <w:vertAlign w:val="baseline"/>
        </w:rPr>
        <w:t>in</w:t>
      </w:r>
    </w:p>
    <w:p>
      <w:pPr>
        <w:pStyle w:val="BodyText"/>
        <w:spacing w:before="2"/>
        <w:ind w:left="1191"/>
        <w:jc w:val="both"/>
      </w:pPr>
      <w:r>
        <w:rPr/>
        <w:t>the</w:t>
      </w:r>
      <w:r>
        <w:rPr>
          <w:spacing w:val="11"/>
        </w:rPr>
        <w:t> </w:t>
      </w:r>
      <w:r>
        <w:rPr/>
        <w:t>end</w:t>
      </w:r>
      <w:r>
        <w:rPr>
          <w:spacing w:val="14"/>
        </w:rPr>
        <w:t> </w:t>
      </w:r>
      <w:r>
        <w:rPr/>
        <w:t>of</w:t>
      </w:r>
      <w:r>
        <w:rPr>
          <w:spacing w:val="12"/>
        </w:rPr>
        <w:t> </w:t>
      </w:r>
      <w:r>
        <w:rPr/>
        <w:t>that</w:t>
      </w:r>
      <w:r>
        <w:rPr>
          <w:spacing w:val="19"/>
        </w:rPr>
        <w:t> </w:t>
      </w:r>
      <w:r>
        <w:rPr/>
        <w:t>entity.</w:t>
      </w:r>
      <w:r>
        <w:rPr>
          <w:spacing w:val="16"/>
        </w:rPr>
        <w:t> </w:t>
      </w:r>
      <w:r>
        <w:rPr/>
        <w:t>Thus,</w:t>
      </w:r>
      <w:r>
        <w:rPr>
          <w:spacing w:val="16"/>
        </w:rPr>
        <w:t> </w:t>
      </w:r>
      <w:r>
        <w:rPr/>
        <w:t>at</w:t>
      </w:r>
      <w:r>
        <w:rPr>
          <w:spacing w:val="20"/>
        </w:rPr>
        <w:t> </w:t>
      </w:r>
      <w:r>
        <w:rPr/>
        <w:t>any</w:t>
      </w:r>
      <w:r>
        <w:rPr>
          <w:spacing w:val="9"/>
        </w:rPr>
        <w:t> </w:t>
      </w:r>
      <w:r>
        <w:rPr/>
        <w:t>point</w:t>
      </w:r>
      <w:r>
        <w:rPr>
          <w:spacing w:val="24"/>
        </w:rPr>
        <w:t> </w:t>
      </w:r>
      <w:r>
        <w:rPr/>
        <w:t>in</w:t>
      </w:r>
      <w:r>
        <w:rPr>
          <w:spacing w:val="10"/>
        </w:rPr>
        <w:t> </w:t>
      </w:r>
      <w:r>
        <w:rPr/>
        <w:t>time</w:t>
      </w:r>
      <w:r>
        <w:rPr>
          <w:spacing w:val="22"/>
        </w:rPr>
        <w:t> </w:t>
      </w:r>
      <w:r>
        <w:rPr/>
        <w:t>when</w:t>
      </w:r>
      <w:r>
        <w:rPr>
          <w:spacing w:val="14"/>
        </w:rPr>
        <w:t> </w:t>
      </w:r>
      <w:r>
        <w:rPr/>
        <w:t>all</w:t>
      </w:r>
      <w:r>
        <w:rPr>
          <w:spacing w:val="11"/>
        </w:rPr>
        <w:t> </w:t>
      </w:r>
      <w:r>
        <w:rPr/>
        <w:t>the</w:t>
      </w:r>
      <w:r>
        <w:rPr>
          <w:spacing w:val="18"/>
        </w:rPr>
        <w:t> </w:t>
      </w:r>
      <w:r>
        <w:rPr/>
        <w:t>members</w:t>
      </w:r>
      <w:r>
        <w:rPr>
          <w:spacing w:val="16"/>
        </w:rPr>
        <w:t> </w:t>
      </w:r>
      <w:r>
        <w:rPr/>
        <w:t>die</w:t>
      </w:r>
      <w:r>
        <w:rPr>
          <w:spacing w:val="14"/>
        </w:rPr>
        <w:t> </w:t>
      </w:r>
      <w:r>
        <w:rPr>
          <w:spacing w:val="-5"/>
        </w:rPr>
        <w:t>at</w:t>
      </w:r>
    </w:p>
    <w:p>
      <w:pPr>
        <w:pStyle w:val="BodyText"/>
        <w:spacing w:before="3"/>
        <w:ind w:left="0"/>
        <w:rPr>
          <w:sz w:val="14"/>
        </w:rPr>
      </w:pPr>
      <w:r>
        <w:rPr/>
        <mc:AlternateContent>
          <mc:Choice Requires="wps">
            <w:drawing>
              <wp:anchor distT="0" distB="0" distL="0" distR="0" allowOverlap="1" layoutInCell="1" locked="0" behindDoc="1" simplePos="0" relativeHeight="487624704">
                <wp:simplePos x="0" y="0"/>
                <wp:positionH relativeFrom="page">
                  <wp:posOffset>1262481</wp:posOffset>
                </wp:positionH>
                <wp:positionV relativeFrom="paragraph">
                  <wp:posOffset>119444</wp:posOffset>
                </wp:positionV>
                <wp:extent cx="1829435" cy="9525"/>
                <wp:effectExtent l="0" t="0" r="0" b="0"/>
                <wp:wrapTopAndBottom/>
                <wp:docPr id="80" name="Graphic 80"/>
                <wp:cNvGraphicFramePr>
                  <a:graphicFrameLocks/>
                </wp:cNvGraphicFramePr>
                <a:graphic>
                  <a:graphicData uri="http://schemas.microsoft.com/office/word/2010/wordprocessingShape">
                    <wps:wsp>
                      <wps:cNvPr id="80" name="Graphic 8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5108pt;width:144.050pt;height:.71997pt;mso-position-horizontal-relative:page;mso-position-vertical-relative:paragraph;z-index:-15691776;mso-wrap-distance-left:0;mso-wrap-distance-right:0" id="docshape35"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41</w:t>
      </w:r>
      <w:r>
        <w:rPr>
          <w:rFonts w:ascii="Calibri"/>
          <w:sz w:val="20"/>
          <w:vertAlign w:val="baseline"/>
        </w:rPr>
        <w:t>Orojo, J.O. (2008).</w:t>
      </w:r>
      <w:r>
        <w:rPr>
          <w:rFonts w:ascii="Calibri"/>
          <w:i/>
          <w:sz w:val="20"/>
          <w:vertAlign w:val="baseline"/>
        </w:rPr>
        <w:t>Company Law and Practice in Nigeria, </w:t>
      </w:r>
      <w:r>
        <w:rPr>
          <w:rFonts w:ascii="Calibri"/>
          <w:sz w:val="20"/>
          <w:vertAlign w:val="baseline"/>
        </w:rPr>
        <w:t>5th edition, LexisNexis Butterworths, Durban, South Africa, p. 252.</w:t>
      </w:r>
    </w:p>
    <w:p>
      <w:pPr>
        <w:spacing w:after="0"/>
        <w:jc w:val="left"/>
        <w:rPr>
          <w:rFonts w:ascii="Calibri"/>
          <w:sz w:val="20"/>
        </w:rPr>
        <w:sectPr>
          <w:footerReference w:type="default" r:id="rId21"/>
          <w:pgSz w:w="11910" w:h="16840"/>
          <w:pgMar w:header="0" w:footer="1384" w:top="1320" w:bottom="1580" w:left="1680" w:right="1180"/>
        </w:sectPr>
      </w:pPr>
    </w:p>
    <w:p>
      <w:pPr>
        <w:pStyle w:val="BodyText"/>
        <w:spacing w:line="480" w:lineRule="auto" w:before="70"/>
        <w:ind w:left="1191" w:right="235"/>
        <w:jc w:val="both"/>
      </w:pPr>
      <w:r>
        <w:rPr/>
        <w:t>once and none has survived to convene a meeting to decide the direction for</w:t>
      </w:r>
      <w:r>
        <w:rPr>
          <w:spacing w:val="40"/>
        </w:rPr>
        <w:t> </w:t>
      </w:r>
      <w:r>
        <w:rPr/>
        <w:t>the company, personal representatives will automatically step in to take their place, pending the proper administration of the dead members‘ estate.</w:t>
      </w:r>
    </w:p>
    <w:p>
      <w:pPr>
        <w:pStyle w:val="ListParagraph"/>
        <w:numPr>
          <w:ilvl w:val="3"/>
          <w:numId w:val="8"/>
        </w:numPr>
        <w:tabs>
          <w:tab w:pos="1191" w:val="left" w:leader="none"/>
        </w:tabs>
        <w:spacing w:line="480" w:lineRule="auto" w:before="0" w:after="0"/>
        <w:ind w:left="1191" w:right="234" w:hanging="360"/>
        <w:jc w:val="both"/>
        <w:rPr>
          <w:sz w:val="24"/>
        </w:rPr>
      </w:pPr>
      <w:r>
        <w:rPr>
          <w:i/>
          <w:sz w:val="24"/>
        </w:rPr>
        <w:t>The Creditors. </w:t>
      </w:r>
      <w:r>
        <w:rPr>
          <w:sz w:val="24"/>
        </w:rPr>
        <w:t>Where all the directors and members of the company are dead and</w:t>
      </w:r>
      <w:r>
        <w:rPr>
          <w:spacing w:val="-1"/>
          <w:sz w:val="24"/>
        </w:rPr>
        <w:t> </w:t>
      </w:r>
      <w:r>
        <w:rPr>
          <w:sz w:val="24"/>
        </w:rPr>
        <w:t>their personal</w:t>
      </w:r>
      <w:r>
        <w:rPr>
          <w:spacing w:val="-6"/>
          <w:sz w:val="24"/>
        </w:rPr>
        <w:t> </w:t>
      </w:r>
      <w:r>
        <w:rPr>
          <w:sz w:val="24"/>
        </w:rPr>
        <w:t>representatives, for one</w:t>
      </w:r>
      <w:r>
        <w:rPr>
          <w:spacing w:val="-2"/>
          <w:sz w:val="24"/>
        </w:rPr>
        <w:t> </w:t>
      </w:r>
      <w:r>
        <w:rPr>
          <w:sz w:val="24"/>
        </w:rPr>
        <w:t>reason</w:t>
      </w:r>
      <w:r>
        <w:rPr>
          <w:spacing w:val="-6"/>
          <w:sz w:val="24"/>
        </w:rPr>
        <w:t> </w:t>
      </w:r>
      <w:r>
        <w:rPr>
          <w:sz w:val="24"/>
        </w:rPr>
        <w:t>or the</w:t>
      </w:r>
      <w:r>
        <w:rPr>
          <w:spacing w:val="-2"/>
          <w:sz w:val="24"/>
        </w:rPr>
        <w:t> </w:t>
      </w:r>
      <w:r>
        <w:rPr>
          <w:sz w:val="24"/>
        </w:rPr>
        <w:t>other, fail</w:t>
      </w:r>
      <w:r>
        <w:rPr>
          <w:spacing w:val="-5"/>
          <w:sz w:val="24"/>
        </w:rPr>
        <w:t> </w:t>
      </w:r>
      <w:r>
        <w:rPr>
          <w:sz w:val="24"/>
        </w:rPr>
        <w:t>to convene</w:t>
      </w:r>
      <w:r>
        <w:rPr>
          <w:spacing w:val="-2"/>
          <w:sz w:val="24"/>
        </w:rPr>
        <w:t> </w:t>
      </w:r>
      <w:r>
        <w:rPr>
          <w:sz w:val="24"/>
        </w:rPr>
        <w:t>a meeting to appoint new directors to manage the company, the law permits the creditors of the company, if there are any, to convene such a meeting and thereby appoint new directors for the company.</w:t>
      </w:r>
      <w:r>
        <w:rPr>
          <w:sz w:val="24"/>
          <w:vertAlign w:val="superscript"/>
        </w:rPr>
        <w:t>43</w:t>
      </w:r>
    </w:p>
    <w:p>
      <w:pPr>
        <w:pStyle w:val="BodyText"/>
        <w:spacing w:line="480" w:lineRule="auto" w:before="2"/>
        <w:ind w:right="231" w:firstLine="720"/>
        <w:jc w:val="both"/>
      </w:pPr>
      <w:r>
        <w:rPr/>
        <w:t>Where there are no creditors as well or they also fail to convene a meeting, the law is silent. Such</w:t>
      </w:r>
      <w:r>
        <w:rPr>
          <w:spacing w:val="-1"/>
        </w:rPr>
        <w:t> </w:t>
      </w:r>
      <w:r>
        <w:rPr/>
        <w:t>a situation is yet to be presented before the courts. Perhaps then, any </w:t>
      </w:r>
      <w:r>
        <w:rPr>
          <w:i/>
        </w:rPr>
        <w:t>sufficientlyinterested party </w:t>
      </w:r>
      <w:r>
        <w:rPr/>
        <w:t>may apply to the court for directions. Otherwise, the company effectively becomes defunct.</w:t>
      </w:r>
    </w:p>
    <w:p>
      <w:pPr>
        <w:pStyle w:val="Heading2"/>
        <w:numPr>
          <w:ilvl w:val="1"/>
          <w:numId w:val="8"/>
        </w:numPr>
        <w:tabs>
          <w:tab w:pos="1027" w:val="left" w:leader="none"/>
        </w:tabs>
        <w:spacing w:line="240" w:lineRule="auto" w:before="207" w:after="0"/>
        <w:ind w:left="1027" w:right="0" w:hanging="719"/>
        <w:jc w:val="both"/>
      </w:pPr>
      <w:bookmarkStart w:name="_TOC_250036" w:id="16"/>
      <w:r>
        <w:rPr/>
        <w:t>Types</w:t>
      </w:r>
      <w:r>
        <w:rPr>
          <w:spacing w:val="-2"/>
        </w:rPr>
        <w:t> </w:t>
      </w:r>
      <w:r>
        <w:rPr/>
        <w:t>of</w:t>
      </w:r>
      <w:bookmarkEnd w:id="16"/>
      <w:r>
        <w:rPr>
          <w:spacing w:val="-2"/>
        </w:rPr>
        <w:t> Directors</w:t>
      </w:r>
    </w:p>
    <w:p>
      <w:pPr>
        <w:pStyle w:val="BodyText"/>
        <w:spacing w:line="480" w:lineRule="auto" w:before="132"/>
        <w:ind w:right="234"/>
        <w:jc w:val="both"/>
      </w:pPr>
      <w:r>
        <w:rPr/>
        <w:t>From the nature of their appointment, the kind of services they render within the company and their tenure in office, the following types of</w:t>
      </w:r>
      <w:r>
        <w:rPr>
          <w:spacing w:val="-3"/>
        </w:rPr>
        <w:t> </w:t>
      </w:r>
      <w:r>
        <w:rPr/>
        <w:t>directors have generally been recognized in many corporate literature:</w:t>
      </w:r>
    </w:p>
    <w:p>
      <w:pPr>
        <w:pStyle w:val="ListParagraph"/>
        <w:numPr>
          <w:ilvl w:val="0"/>
          <w:numId w:val="10"/>
        </w:numPr>
        <w:tabs>
          <w:tab w:pos="1386" w:val="left" w:leader="none"/>
          <w:tab w:pos="1388" w:val="left" w:leader="none"/>
        </w:tabs>
        <w:spacing w:line="480" w:lineRule="auto" w:before="0" w:after="0"/>
        <w:ind w:left="1388" w:right="233" w:hanging="720"/>
        <w:jc w:val="both"/>
        <w:rPr>
          <w:sz w:val="24"/>
        </w:rPr>
      </w:pPr>
      <w:r>
        <w:rPr>
          <w:i/>
          <w:sz w:val="24"/>
        </w:rPr>
        <w:t>Executive and Non-Executive Directors</w:t>
      </w:r>
      <w:r>
        <w:rPr>
          <w:sz w:val="24"/>
        </w:rPr>
        <w:t>:- In corporate governance, which is</w:t>
      </w:r>
      <w:r>
        <w:rPr>
          <w:spacing w:val="40"/>
          <w:sz w:val="24"/>
        </w:rPr>
        <w:t> </w:t>
      </w:r>
      <w:r>
        <w:rPr>
          <w:sz w:val="24"/>
        </w:rPr>
        <w:t>a set of ideas essentially concerned with the proper management of companies for desired returns, there is often a two-tier board system in</w:t>
      </w:r>
      <w:r>
        <w:rPr>
          <w:spacing w:val="40"/>
          <w:sz w:val="24"/>
        </w:rPr>
        <w:t> </w:t>
      </w:r>
      <w:r>
        <w:rPr>
          <w:sz w:val="24"/>
        </w:rPr>
        <w:t>public companies whereby directors are often categorized into executive or full-time directors and non-executive or part-time directors, so that the former would see to managing the daily affairs of the company, while the latter would simply attend and lend their ideas at periodic meetings as the board</w:t>
      </w:r>
      <w:r>
        <w:rPr>
          <w:spacing w:val="80"/>
          <w:sz w:val="24"/>
        </w:rPr>
        <w:t> </w:t>
      </w:r>
      <w:r>
        <w:rPr>
          <w:sz w:val="24"/>
        </w:rPr>
        <w:t>for</w:t>
      </w:r>
      <w:r>
        <w:rPr>
          <w:spacing w:val="80"/>
          <w:sz w:val="24"/>
        </w:rPr>
        <w:t> </w:t>
      </w:r>
      <w:r>
        <w:rPr>
          <w:sz w:val="24"/>
        </w:rPr>
        <w:t>that</w:t>
      </w:r>
      <w:r>
        <w:rPr>
          <w:spacing w:val="80"/>
          <w:sz w:val="24"/>
        </w:rPr>
        <w:t> </w:t>
      </w:r>
      <w:r>
        <w:rPr>
          <w:sz w:val="24"/>
        </w:rPr>
        <w:t>company.</w:t>
      </w:r>
      <w:r>
        <w:rPr>
          <w:spacing w:val="80"/>
          <w:sz w:val="24"/>
        </w:rPr>
        <w:t> </w:t>
      </w:r>
      <w:r>
        <w:rPr>
          <w:sz w:val="24"/>
        </w:rPr>
        <w:t>The</w:t>
      </w:r>
      <w:r>
        <w:rPr>
          <w:spacing w:val="80"/>
          <w:sz w:val="24"/>
        </w:rPr>
        <w:t> </w:t>
      </w:r>
      <w:r>
        <w:rPr>
          <w:sz w:val="24"/>
        </w:rPr>
        <w:t>law</w:t>
      </w:r>
      <w:r>
        <w:rPr>
          <w:spacing w:val="80"/>
          <w:sz w:val="24"/>
        </w:rPr>
        <w:t> </w:t>
      </w:r>
      <w:r>
        <w:rPr>
          <w:sz w:val="24"/>
        </w:rPr>
        <w:t>says</w:t>
      </w:r>
      <w:r>
        <w:rPr>
          <w:spacing w:val="80"/>
          <w:sz w:val="24"/>
        </w:rPr>
        <w:t> </w:t>
      </w:r>
      <w:r>
        <w:rPr>
          <w:sz w:val="24"/>
        </w:rPr>
        <w:t>a</w:t>
      </w:r>
      <w:r>
        <w:rPr>
          <w:spacing w:val="80"/>
          <w:sz w:val="24"/>
        </w:rPr>
        <w:t> </w:t>
      </w:r>
      <w:r>
        <w:rPr>
          <w:sz w:val="24"/>
        </w:rPr>
        <w:t>director</w:t>
      </w:r>
      <w:r>
        <w:rPr>
          <w:spacing w:val="80"/>
          <w:sz w:val="24"/>
        </w:rPr>
        <w:t> </w:t>
      </w:r>
      <w:r>
        <w:rPr>
          <w:sz w:val="24"/>
        </w:rPr>
        <w:t>is</w:t>
      </w:r>
      <w:r>
        <w:rPr>
          <w:spacing w:val="80"/>
          <w:sz w:val="24"/>
        </w:rPr>
        <w:t> </w:t>
      </w:r>
      <w:r>
        <w:rPr>
          <w:sz w:val="24"/>
        </w:rPr>
        <w:t>simply</w:t>
      </w:r>
      <w:r>
        <w:rPr>
          <w:spacing w:val="80"/>
          <w:sz w:val="24"/>
        </w:rPr>
        <w:t> </w:t>
      </w:r>
      <w:r>
        <w:rPr>
          <w:sz w:val="24"/>
        </w:rPr>
        <w:t>someone</w:t>
      </w:r>
    </w:p>
    <w:p>
      <w:pPr>
        <w:pStyle w:val="BodyText"/>
        <w:spacing w:before="87"/>
        <w:ind w:left="0"/>
        <w:rPr>
          <w:sz w:val="20"/>
        </w:rPr>
      </w:pPr>
      <w:r>
        <w:rPr/>
        <mc:AlternateContent>
          <mc:Choice Requires="wps">
            <w:drawing>
              <wp:anchor distT="0" distB="0" distL="0" distR="0" allowOverlap="1" layoutInCell="1" locked="0" behindDoc="1" simplePos="0" relativeHeight="487625216">
                <wp:simplePos x="0" y="0"/>
                <wp:positionH relativeFrom="page">
                  <wp:posOffset>1262481</wp:posOffset>
                </wp:positionH>
                <wp:positionV relativeFrom="paragraph">
                  <wp:posOffset>216930</wp:posOffset>
                </wp:positionV>
                <wp:extent cx="1829435" cy="9525"/>
                <wp:effectExtent l="0" t="0" r="0" b="0"/>
                <wp:wrapTopAndBottom/>
                <wp:docPr id="82" name="Graphic 82"/>
                <wp:cNvGraphicFramePr>
                  <a:graphicFrameLocks/>
                </wp:cNvGraphicFramePr>
                <a:graphic>
                  <a:graphicData uri="http://schemas.microsoft.com/office/word/2010/wordprocessingShape">
                    <wps:wsp>
                      <wps:cNvPr id="82" name="Graphic 8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081108pt;width:144.050pt;height:.71997pt;mso-position-horizontal-relative:page;mso-position-vertical-relative:paragraph;z-index:-15691264;mso-wrap-distance-left:0;mso-wrap-distance-right:0" id="docshape3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43</w:t>
      </w:r>
      <w:r>
        <w:rPr>
          <w:rFonts w:ascii="Calibri"/>
          <w:spacing w:val="3"/>
          <w:sz w:val="20"/>
          <w:vertAlign w:val="baseline"/>
        </w:rPr>
        <w:t> </w:t>
      </w:r>
      <w:r>
        <w:rPr>
          <w:rFonts w:ascii="Calibri"/>
          <w:spacing w:val="-2"/>
          <w:sz w:val="20"/>
          <w:vertAlign w:val="baseline"/>
        </w:rPr>
        <w:t>Ibid.</w:t>
      </w:r>
    </w:p>
    <w:p>
      <w:pPr>
        <w:spacing w:after="0"/>
        <w:jc w:val="left"/>
        <w:rPr>
          <w:rFonts w:ascii="Calibri"/>
          <w:sz w:val="20"/>
        </w:rPr>
        <w:sectPr>
          <w:footerReference w:type="default" r:id="rId22"/>
          <w:pgSz w:w="11910" w:h="16840"/>
          <w:pgMar w:header="0" w:footer="1003" w:top="1320" w:bottom="1200" w:left="1680" w:right="1180"/>
        </w:sectPr>
      </w:pPr>
    </w:p>
    <w:p>
      <w:pPr>
        <w:pStyle w:val="BodyText"/>
        <w:spacing w:line="480" w:lineRule="auto" w:before="110"/>
        <w:ind w:left="1388" w:right="229"/>
        <w:jc w:val="both"/>
      </w:pPr>
      <w:r>
        <w:rPr/>
        <w:t>appointed to ―direct and manage the business of the company‖.</w:t>
      </w:r>
      <w:r>
        <w:rPr>
          <w:vertAlign w:val="superscript"/>
        </w:rPr>
        <w:t>44</w:t>
      </w:r>
      <w:r>
        <w:rPr>
          <w:vertAlign w:val="baseline"/>
        </w:rPr>
        <w:t> The Supreme Court observed, in </w:t>
      </w:r>
      <w:r>
        <w:rPr>
          <w:b/>
          <w:vertAlign w:val="baseline"/>
        </w:rPr>
        <w:t>Longe vs. First Bank of Nig. Plc</w:t>
      </w:r>
      <w:r>
        <w:rPr>
          <w:vertAlign w:val="baseline"/>
        </w:rPr>
        <w:t>,</w:t>
      </w:r>
      <w:r>
        <w:rPr>
          <w:vertAlign w:val="superscript"/>
        </w:rPr>
        <w:t>45</w:t>
      </w:r>
      <w:r>
        <w:rPr>
          <w:vertAlign w:val="baseline"/>
        </w:rPr>
        <w:t> that this definition</w:t>
      </w:r>
      <w:r>
        <w:rPr>
          <w:spacing w:val="35"/>
          <w:vertAlign w:val="baseline"/>
        </w:rPr>
        <w:t>  </w:t>
      </w:r>
      <w:r>
        <w:rPr>
          <w:vertAlign w:val="baseline"/>
        </w:rPr>
        <w:t>of</w:t>
      </w:r>
      <w:r>
        <w:rPr>
          <w:spacing w:val="35"/>
          <w:vertAlign w:val="baseline"/>
        </w:rPr>
        <w:t>  </w:t>
      </w:r>
      <w:r>
        <w:rPr>
          <w:vertAlign w:val="baseline"/>
        </w:rPr>
        <w:t>directors</w:t>
      </w:r>
      <w:r>
        <w:rPr>
          <w:spacing w:val="39"/>
          <w:vertAlign w:val="baseline"/>
        </w:rPr>
        <w:t>  </w:t>
      </w:r>
      <w:r>
        <w:rPr>
          <w:vertAlign w:val="baseline"/>
        </w:rPr>
        <w:t>above</w:t>
      </w:r>
      <w:r>
        <w:rPr>
          <w:spacing w:val="39"/>
          <w:vertAlign w:val="baseline"/>
        </w:rPr>
        <w:t>  </w:t>
      </w:r>
      <w:r>
        <w:rPr>
          <w:vertAlign w:val="baseline"/>
        </w:rPr>
        <w:t>does</w:t>
      </w:r>
      <w:r>
        <w:rPr>
          <w:spacing w:val="39"/>
          <w:vertAlign w:val="baseline"/>
        </w:rPr>
        <w:t>  </w:t>
      </w:r>
      <w:r>
        <w:rPr>
          <w:vertAlign w:val="baseline"/>
        </w:rPr>
        <w:t>not</w:t>
      </w:r>
      <w:r>
        <w:rPr>
          <w:spacing w:val="40"/>
          <w:vertAlign w:val="baseline"/>
        </w:rPr>
        <w:t>  </w:t>
      </w:r>
      <w:r>
        <w:rPr>
          <w:vertAlign w:val="baseline"/>
        </w:rPr>
        <w:t>recognize</w:t>
      </w:r>
      <w:r>
        <w:rPr>
          <w:spacing w:val="39"/>
          <w:vertAlign w:val="baseline"/>
        </w:rPr>
        <w:t>  </w:t>
      </w:r>
      <w:r>
        <w:rPr>
          <w:vertAlign w:val="baseline"/>
        </w:rPr>
        <w:t>the</w:t>
      </w:r>
      <w:r>
        <w:rPr>
          <w:spacing w:val="42"/>
          <w:vertAlign w:val="baseline"/>
        </w:rPr>
        <w:t>  </w:t>
      </w:r>
      <w:r>
        <w:rPr>
          <w:spacing w:val="-2"/>
          <w:vertAlign w:val="baseline"/>
        </w:rPr>
        <w:t>nomenclature</w:t>
      </w:r>
    </w:p>
    <w:p>
      <w:pPr>
        <w:pStyle w:val="BodyText"/>
        <w:spacing w:line="480" w:lineRule="auto"/>
        <w:ind w:left="1388" w:right="227"/>
        <w:jc w:val="both"/>
      </w:pPr>
      <w:r>
        <w:rPr/>
        <mc:AlternateContent>
          <mc:Choice Requires="wps">
            <w:drawing>
              <wp:anchor distT="0" distB="0" distL="0" distR="0" allowOverlap="1" layoutInCell="1" locked="0" behindDoc="0" simplePos="0" relativeHeight="15766528">
                <wp:simplePos x="0" y="0"/>
                <wp:positionH relativeFrom="page">
                  <wp:posOffset>1262481</wp:posOffset>
                </wp:positionH>
                <wp:positionV relativeFrom="paragraph">
                  <wp:posOffset>6996391</wp:posOffset>
                </wp:positionV>
                <wp:extent cx="1829435" cy="9525"/>
                <wp:effectExtent l="0" t="0" r="0" b="0"/>
                <wp:wrapNone/>
                <wp:docPr id="84" name="Graphic 84"/>
                <wp:cNvGraphicFramePr>
                  <a:graphicFrameLocks/>
                </wp:cNvGraphicFramePr>
                <a:graphic>
                  <a:graphicData uri="http://schemas.microsoft.com/office/word/2010/wordprocessingShape">
                    <wps:wsp>
                      <wps:cNvPr id="84" name="Graphic 84"/>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550.896973pt;width:144.050pt;height:.72003pt;mso-position-horizontal-relative:page;mso-position-vertical-relative:paragraph;z-index:15766528" id="docshape39" filled="true" fillcolor="#000000" stroked="false">
                <v:fill type="solid"/>
                <w10:wrap type="none"/>
              </v:rect>
            </w:pict>
          </mc:Fallback>
        </mc:AlternateContent>
      </w:r>
      <w:r>
        <w:rPr/>
        <w:t>―executive/non-executive‖.</w:t>
      </w:r>
      <w:r>
        <w:rPr>
          <w:vertAlign w:val="superscript"/>
        </w:rPr>
        <w:t>46</w:t>
      </w:r>
      <w:r>
        <w:rPr>
          <w:vertAlign w:val="baseline"/>
        </w:rPr>
        <w:t> When the Court of Appeal in </w:t>
      </w:r>
      <w:r>
        <w:rPr>
          <w:b/>
          <w:vertAlign w:val="baseline"/>
        </w:rPr>
        <w:t>Longe vs. First Bank of Nig. Plc.</w:t>
      </w:r>
      <w:r>
        <w:rPr>
          <w:vertAlign w:val="superscript"/>
        </w:rPr>
        <w:t>47</w:t>
      </w:r>
      <w:r>
        <w:rPr>
          <w:vertAlign w:val="baseline"/>
        </w:rPr>
        <w:t> sought to differentiate executive from non executive directors on the basis of their directorial status, the Supreme Court decided eventually that ―all directors, whether executive or non-executive, are the same</w:t>
      </w:r>
      <w:r>
        <w:rPr>
          <w:spacing w:val="-1"/>
          <w:vertAlign w:val="baseline"/>
        </w:rPr>
        <w:t> </w:t>
      </w:r>
      <w:r>
        <w:rPr>
          <w:vertAlign w:val="baseline"/>
        </w:rPr>
        <w:t>as long as</w:t>
      </w:r>
      <w:r>
        <w:rPr>
          <w:spacing w:val="-2"/>
          <w:vertAlign w:val="baseline"/>
        </w:rPr>
        <w:t> </w:t>
      </w:r>
      <w:r>
        <w:rPr>
          <w:vertAlign w:val="baseline"/>
        </w:rPr>
        <w:t>they</w:t>
      </w:r>
      <w:r>
        <w:rPr>
          <w:spacing w:val="-5"/>
          <w:vertAlign w:val="baseline"/>
        </w:rPr>
        <w:t> </w:t>
      </w:r>
      <w:r>
        <w:rPr>
          <w:vertAlign w:val="baseline"/>
        </w:rPr>
        <w:t>are</w:t>
      </w:r>
      <w:r>
        <w:rPr>
          <w:spacing w:val="-1"/>
          <w:vertAlign w:val="baseline"/>
        </w:rPr>
        <w:t> </w:t>
      </w:r>
      <w:r>
        <w:rPr>
          <w:vertAlign w:val="baseline"/>
        </w:rPr>
        <w:t>all</w:t>
      </w:r>
      <w:r>
        <w:rPr>
          <w:spacing w:val="-4"/>
          <w:vertAlign w:val="baseline"/>
        </w:rPr>
        <w:t> </w:t>
      </w:r>
      <w:r>
        <w:rPr>
          <w:vertAlign w:val="baseline"/>
        </w:rPr>
        <w:t>engaged to direct and manage</w:t>
      </w:r>
      <w:r>
        <w:rPr>
          <w:spacing w:val="-1"/>
          <w:vertAlign w:val="baseline"/>
        </w:rPr>
        <w:t> </w:t>
      </w:r>
      <w:r>
        <w:rPr>
          <w:vertAlign w:val="baseline"/>
        </w:rPr>
        <w:t>the business</w:t>
      </w:r>
      <w:r>
        <w:rPr>
          <w:spacing w:val="-2"/>
          <w:vertAlign w:val="baseline"/>
        </w:rPr>
        <w:t> </w:t>
      </w:r>
      <w:r>
        <w:rPr>
          <w:vertAlign w:val="baseline"/>
        </w:rPr>
        <w:t>of</w:t>
      </w:r>
      <w:r>
        <w:rPr>
          <w:spacing w:val="-8"/>
          <w:vertAlign w:val="baseline"/>
        </w:rPr>
        <w:t> </w:t>
      </w:r>
      <w:r>
        <w:rPr>
          <w:vertAlign w:val="baseline"/>
        </w:rPr>
        <w:t>the company.‖</w:t>
      </w:r>
      <w:r>
        <w:rPr>
          <w:vertAlign w:val="superscript"/>
        </w:rPr>
        <w:t>48</w:t>
      </w:r>
      <w:r>
        <w:rPr>
          <w:vertAlign w:val="baseline"/>
        </w:rPr>
        <w:t> However, in practice, some persons to be appointed to the</w:t>
      </w:r>
      <w:r>
        <w:rPr>
          <w:spacing w:val="80"/>
          <w:vertAlign w:val="baseline"/>
        </w:rPr>
        <w:t> </w:t>
      </w:r>
      <w:r>
        <w:rPr>
          <w:vertAlign w:val="baseline"/>
        </w:rPr>
        <w:t>office need not in fact be particularly skilled in the company‘s operations</w:t>
      </w:r>
      <w:r>
        <w:rPr>
          <w:spacing w:val="40"/>
          <w:vertAlign w:val="baseline"/>
        </w:rPr>
        <w:t> </w:t>
      </w:r>
      <w:r>
        <w:rPr>
          <w:vertAlign w:val="baseline"/>
        </w:rPr>
        <w:t>and may only be required to give policy advice or simply draw investors‘ confidence in the company simply by allowing their names to be associated with it. Most often, a</w:t>
      </w:r>
      <w:r>
        <w:rPr>
          <w:spacing w:val="-1"/>
          <w:vertAlign w:val="baseline"/>
        </w:rPr>
        <w:t> </w:t>
      </w:r>
      <w:r>
        <w:rPr>
          <w:vertAlign w:val="baseline"/>
        </w:rPr>
        <w:t>company appoints</w:t>
      </w:r>
      <w:r>
        <w:rPr>
          <w:spacing w:val="-2"/>
          <w:vertAlign w:val="baseline"/>
        </w:rPr>
        <w:t> </w:t>
      </w:r>
      <w:r>
        <w:rPr>
          <w:vertAlign w:val="baseline"/>
        </w:rPr>
        <w:t>directors</w:t>
      </w:r>
      <w:r>
        <w:rPr>
          <w:spacing w:val="-7"/>
          <w:vertAlign w:val="baseline"/>
        </w:rPr>
        <w:t> </w:t>
      </w:r>
      <w:r>
        <w:rPr>
          <w:vertAlign w:val="baseline"/>
        </w:rPr>
        <w:t>with</w:t>
      </w:r>
      <w:r>
        <w:rPr>
          <w:spacing w:val="-5"/>
          <w:vertAlign w:val="baseline"/>
        </w:rPr>
        <w:t> </w:t>
      </w:r>
      <w:r>
        <w:rPr>
          <w:vertAlign w:val="baseline"/>
        </w:rPr>
        <w:t>the</w:t>
      </w:r>
      <w:r>
        <w:rPr>
          <w:spacing w:val="-1"/>
          <w:vertAlign w:val="baseline"/>
        </w:rPr>
        <w:t> </w:t>
      </w:r>
      <w:r>
        <w:rPr>
          <w:vertAlign w:val="baseline"/>
        </w:rPr>
        <w:t>required skills and know-how to see to the practical, day-to-day aspects of management. These are the </w:t>
      </w:r>
      <w:r>
        <w:rPr>
          <w:i/>
          <w:vertAlign w:val="baseline"/>
        </w:rPr>
        <w:t>executive directors</w:t>
      </w:r>
      <w:r>
        <w:rPr>
          <w:vertAlign w:val="baseline"/>
        </w:rPr>
        <w:t>. They may also be referred to as service directors owing to the fact that they are often also salaried managers or employees of the</w:t>
      </w:r>
      <w:r>
        <w:rPr>
          <w:spacing w:val="-1"/>
          <w:vertAlign w:val="baseline"/>
        </w:rPr>
        <w:t> </w:t>
      </w:r>
      <w:r>
        <w:rPr>
          <w:vertAlign w:val="baseline"/>
        </w:rPr>
        <w:t>company</w:t>
      </w:r>
      <w:r>
        <w:rPr>
          <w:spacing w:val="-5"/>
          <w:vertAlign w:val="baseline"/>
        </w:rPr>
        <w:t> </w:t>
      </w:r>
      <w:r>
        <w:rPr>
          <w:vertAlign w:val="baseline"/>
        </w:rPr>
        <w:t>under contracts</w:t>
      </w:r>
      <w:r>
        <w:rPr>
          <w:spacing w:val="-7"/>
          <w:vertAlign w:val="baseline"/>
        </w:rPr>
        <w:t> </w:t>
      </w:r>
      <w:r>
        <w:rPr>
          <w:vertAlign w:val="baseline"/>
        </w:rPr>
        <w:t>of</w:t>
      </w:r>
      <w:r>
        <w:rPr>
          <w:spacing w:val="-8"/>
          <w:vertAlign w:val="baseline"/>
        </w:rPr>
        <w:t> </w:t>
      </w:r>
      <w:r>
        <w:rPr>
          <w:vertAlign w:val="baseline"/>
        </w:rPr>
        <w:t>service. On</w:t>
      </w:r>
      <w:r>
        <w:rPr>
          <w:spacing w:val="-6"/>
          <w:vertAlign w:val="baseline"/>
        </w:rPr>
        <w:t> </w:t>
      </w:r>
      <w:r>
        <w:rPr>
          <w:vertAlign w:val="baseline"/>
        </w:rPr>
        <w:t>the</w:t>
      </w:r>
      <w:r>
        <w:rPr>
          <w:spacing w:val="-1"/>
          <w:vertAlign w:val="baseline"/>
        </w:rPr>
        <w:t> </w:t>
      </w:r>
      <w:r>
        <w:rPr>
          <w:vertAlign w:val="baseline"/>
        </w:rPr>
        <w:t>other hand, in</w:t>
      </w:r>
      <w:r>
        <w:rPr>
          <w:spacing w:val="-5"/>
          <w:vertAlign w:val="baseline"/>
        </w:rPr>
        <w:t> </w:t>
      </w:r>
      <w:r>
        <w:rPr>
          <w:vertAlign w:val="baseline"/>
        </w:rPr>
        <w:t>order</w:t>
      </w:r>
      <w:r>
        <w:rPr>
          <w:spacing w:val="-3"/>
          <w:vertAlign w:val="baseline"/>
        </w:rPr>
        <w:t> </w:t>
      </w:r>
      <w:r>
        <w:rPr>
          <w:vertAlign w:val="baseline"/>
        </w:rPr>
        <w:t>to garner goodwill and tap from experienced persons in the way of business strategy and</w:t>
      </w:r>
      <w:r>
        <w:rPr>
          <w:spacing w:val="-3"/>
          <w:vertAlign w:val="baseline"/>
        </w:rPr>
        <w:t> </w:t>
      </w:r>
      <w:r>
        <w:rPr>
          <w:vertAlign w:val="baseline"/>
        </w:rPr>
        <w:t>policy</w:t>
      </w:r>
      <w:r>
        <w:rPr>
          <w:spacing w:val="-3"/>
          <w:vertAlign w:val="baseline"/>
        </w:rPr>
        <w:t> </w:t>
      </w:r>
      <w:r>
        <w:rPr>
          <w:vertAlign w:val="baseline"/>
        </w:rPr>
        <w:t>formulation,</w:t>
      </w:r>
      <w:r>
        <w:rPr>
          <w:spacing w:val="-1"/>
          <w:vertAlign w:val="baseline"/>
        </w:rPr>
        <w:t> </w:t>
      </w:r>
      <w:r>
        <w:rPr>
          <w:vertAlign w:val="baseline"/>
        </w:rPr>
        <w:t>the</w:t>
      </w:r>
      <w:r>
        <w:rPr>
          <w:spacing w:val="-4"/>
          <w:vertAlign w:val="baseline"/>
        </w:rPr>
        <w:t> </w:t>
      </w:r>
      <w:r>
        <w:rPr>
          <w:vertAlign w:val="baseline"/>
        </w:rPr>
        <w:t>company</w:t>
      </w:r>
      <w:r>
        <w:rPr>
          <w:spacing w:val="-3"/>
          <w:vertAlign w:val="baseline"/>
        </w:rPr>
        <w:t> </w:t>
      </w:r>
      <w:r>
        <w:rPr>
          <w:vertAlign w:val="baseline"/>
        </w:rPr>
        <w:t>might,</w:t>
      </w:r>
      <w:r>
        <w:rPr>
          <w:spacing w:val="-1"/>
          <w:vertAlign w:val="baseline"/>
        </w:rPr>
        <w:t> </w:t>
      </w:r>
      <w:r>
        <w:rPr>
          <w:vertAlign w:val="baseline"/>
        </w:rPr>
        <w:t>in</w:t>
      </w:r>
      <w:r>
        <w:rPr>
          <w:spacing w:val="-7"/>
          <w:vertAlign w:val="baseline"/>
        </w:rPr>
        <w:t> </w:t>
      </w:r>
      <w:r>
        <w:rPr>
          <w:vertAlign w:val="baseline"/>
        </w:rPr>
        <w:t>addition, also appoint persons who, though very busy men, are of great repute and can attend to certain needs of the company when consulted once in a while. These are the </w:t>
      </w:r>
      <w:r>
        <w:rPr>
          <w:i/>
          <w:vertAlign w:val="baseline"/>
        </w:rPr>
        <w:t>non- executive directors</w:t>
      </w:r>
      <w:r>
        <w:rPr>
          <w:vertAlign w:val="baseline"/>
        </w:rPr>
        <w:t>. More often, this classification of executive/non- executive</w:t>
      </w:r>
      <w:r>
        <w:rPr>
          <w:spacing w:val="48"/>
          <w:vertAlign w:val="baseline"/>
        </w:rPr>
        <w:t> </w:t>
      </w:r>
      <w:r>
        <w:rPr>
          <w:vertAlign w:val="baseline"/>
        </w:rPr>
        <w:t>is</w:t>
      </w:r>
      <w:r>
        <w:rPr>
          <w:spacing w:val="54"/>
          <w:vertAlign w:val="baseline"/>
        </w:rPr>
        <w:t> </w:t>
      </w:r>
      <w:r>
        <w:rPr>
          <w:vertAlign w:val="baseline"/>
        </w:rPr>
        <w:t>not</w:t>
      </w:r>
      <w:r>
        <w:rPr>
          <w:spacing w:val="51"/>
          <w:vertAlign w:val="baseline"/>
        </w:rPr>
        <w:t> </w:t>
      </w:r>
      <w:r>
        <w:rPr>
          <w:vertAlign w:val="baseline"/>
        </w:rPr>
        <w:t>found</w:t>
      </w:r>
      <w:r>
        <w:rPr>
          <w:spacing w:val="51"/>
          <w:vertAlign w:val="baseline"/>
        </w:rPr>
        <w:t> </w:t>
      </w:r>
      <w:r>
        <w:rPr>
          <w:vertAlign w:val="baseline"/>
        </w:rPr>
        <w:t>in</w:t>
      </w:r>
      <w:r>
        <w:rPr>
          <w:spacing w:val="50"/>
          <w:vertAlign w:val="baseline"/>
        </w:rPr>
        <w:t> </w:t>
      </w:r>
      <w:r>
        <w:rPr>
          <w:vertAlign w:val="baseline"/>
        </w:rPr>
        <w:t>corporate</w:t>
      </w:r>
      <w:r>
        <w:rPr>
          <w:spacing w:val="51"/>
          <w:vertAlign w:val="baseline"/>
        </w:rPr>
        <w:t> </w:t>
      </w:r>
      <w:r>
        <w:rPr>
          <w:vertAlign w:val="baseline"/>
        </w:rPr>
        <w:t>legislation</w:t>
      </w:r>
      <w:r>
        <w:rPr>
          <w:spacing w:val="46"/>
          <w:vertAlign w:val="baseline"/>
        </w:rPr>
        <w:t> </w:t>
      </w:r>
      <w:r>
        <w:rPr>
          <w:vertAlign w:val="baseline"/>
        </w:rPr>
        <w:t>but</w:t>
      </w:r>
      <w:r>
        <w:rPr>
          <w:spacing w:val="64"/>
          <w:vertAlign w:val="baseline"/>
        </w:rPr>
        <w:t> </w:t>
      </w:r>
      <w:r>
        <w:rPr>
          <w:vertAlign w:val="baseline"/>
        </w:rPr>
        <w:t>in</w:t>
      </w:r>
      <w:r>
        <w:rPr>
          <w:spacing w:val="47"/>
          <w:vertAlign w:val="baseline"/>
        </w:rPr>
        <w:t> </w:t>
      </w:r>
      <w:r>
        <w:rPr>
          <w:vertAlign w:val="baseline"/>
        </w:rPr>
        <w:t>corporate</w:t>
      </w:r>
      <w:r>
        <w:rPr>
          <w:spacing w:val="48"/>
          <w:vertAlign w:val="baseline"/>
        </w:rPr>
        <w:t> </w:t>
      </w:r>
      <w:r>
        <w:rPr>
          <w:vertAlign w:val="baseline"/>
        </w:rPr>
        <w:t>codes</w:t>
      </w:r>
      <w:r>
        <w:rPr>
          <w:spacing w:val="45"/>
          <w:vertAlign w:val="baseline"/>
        </w:rPr>
        <w:t> </w:t>
      </w:r>
      <w:r>
        <w:rPr>
          <w:spacing w:val="-5"/>
          <w:vertAlign w:val="baseline"/>
        </w:rPr>
        <w:t>of</w:t>
      </w:r>
    </w:p>
    <w:p>
      <w:pPr>
        <w:spacing w:before="96"/>
        <w:ind w:left="308" w:right="0" w:firstLine="0"/>
        <w:jc w:val="left"/>
        <w:rPr>
          <w:rFonts w:ascii="Calibri"/>
          <w:sz w:val="20"/>
        </w:rPr>
      </w:pPr>
      <w:r>
        <w:rPr>
          <w:rFonts w:ascii="Calibri"/>
          <w:sz w:val="20"/>
          <w:vertAlign w:val="superscript"/>
        </w:rPr>
        <w:t>44</w:t>
      </w:r>
      <w:r>
        <w:rPr>
          <w:rFonts w:ascii="Calibri"/>
          <w:sz w:val="20"/>
          <w:vertAlign w:val="baseline"/>
        </w:rPr>
        <w:t>See s.244(1)</w:t>
      </w:r>
      <w:r>
        <w:rPr>
          <w:rFonts w:ascii="Calibri"/>
          <w:spacing w:val="-4"/>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6"/>
          <w:sz w:val="20"/>
          <w:vertAlign w:val="baseline"/>
        </w:rPr>
        <w:t> </w:t>
      </w:r>
      <w:r>
        <w:rPr>
          <w:rFonts w:ascii="Calibri"/>
          <w:spacing w:val="-4"/>
          <w:sz w:val="20"/>
          <w:vertAlign w:val="baseline"/>
        </w:rPr>
        <w:t>CAMA.</w:t>
      </w:r>
    </w:p>
    <w:p>
      <w:pPr>
        <w:spacing w:before="1"/>
        <w:ind w:left="308" w:right="0" w:firstLine="0"/>
        <w:jc w:val="left"/>
        <w:rPr>
          <w:rFonts w:ascii="Calibri"/>
          <w:i/>
          <w:sz w:val="20"/>
        </w:rPr>
      </w:pPr>
      <w:r>
        <w:rPr>
          <w:rFonts w:ascii="Calibri"/>
          <w:sz w:val="20"/>
          <w:vertAlign w:val="superscript"/>
        </w:rPr>
        <w:t>45</w:t>
      </w:r>
      <w:r>
        <w:rPr>
          <w:rFonts w:ascii="Calibri"/>
          <w:sz w:val="20"/>
          <w:vertAlign w:val="baseline"/>
        </w:rPr>
        <w:t>(2010)</w:t>
      </w:r>
      <w:r>
        <w:rPr>
          <w:rFonts w:ascii="Calibri"/>
          <w:spacing w:val="-3"/>
          <w:sz w:val="20"/>
          <w:vertAlign w:val="baseline"/>
        </w:rPr>
        <w:t> </w:t>
      </w:r>
      <w:r>
        <w:rPr>
          <w:rFonts w:ascii="Calibri"/>
          <w:i/>
          <w:spacing w:val="-2"/>
          <w:sz w:val="20"/>
          <w:vertAlign w:val="baseline"/>
        </w:rPr>
        <w:t>Supra.</w:t>
      </w:r>
    </w:p>
    <w:p>
      <w:pPr>
        <w:spacing w:before="0"/>
        <w:ind w:left="308" w:right="0" w:firstLine="0"/>
        <w:jc w:val="left"/>
        <w:rPr>
          <w:rFonts w:ascii="Calibri"/>
          <w:sz w:val="20"/>
        </w:rPr>
      </w:pPr>
      <w:r>
        <w:rPr>
          <w:rFonts w:ascii="Calibri"/>
          <w:sz w:val="20"/>
          <w:vertAlign w:val="superscript"/>
        </w:rPr>
        <w:t>46</w:t>
      </w:r>
      <w:r>
        <w:rPr>
          <w:rFonts w:ascii="Calibri"/>
          <w:sz w:val="20"/>
          <w:vertAlign w:val="baseline"/>
        </w:rPr>
        <w:t>Per</w:t>
      </w:r>
      <w:r>
        <w:rPr>
          <w:rFonts w:ascii="Calibri"/>
          <w:spacing w:val="-5"/>
          <w:sz w:val="20"/>
          <w:vertAlign w:val="baseline"/>
        </w:rPr>
        <w:t> </w:t>
      </w:r>
      <w:r>
        <w:rPr>
          <w:rFonts w:ascii="Calibri"/>
          <w:sz w:val="20"/>
          <w:vertAlign w:val="baseline"/>
        </w:rPr>
        <w:t>Oguntade,</w:t>
      </w:r>
      <w:r>
        <w:rPr>
          <w:rFonts w:ascii="Calibri"/>
          <w:spacing w:val="-3"/>
          <w:sz w:val="20"/>
          <w:vertAlign w:val="baseline"/>
        </w:rPr>
        <w:t> </w:t>
      </w:r>
      <w:r>
        <w:rPr>
          <w:rFonts w:ascii="Calibri"/>
          <w:sz w:val="20"/>
          <w:vertAlign w:val="baseline"/>
        </w:rPr>
        <w:t>JSC.,</w:t>
      </w:r>
      <w:r>
        <w:rPr>
          <w:rFonts w:ascii="Calibri"/>
          <w:spacing w:val="-8"/>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294.</w:t>
      </w:r>
    </w:p>
    <w:p>
      <w:pPr>
        <w:spacing w:before="1"/>
        <w:ind w:left="308" w:right="0" w:firstLine="0"/>
        <w:jc w:val="left"/>
        <w:rPr>
          <w:rFonts w:ascii="Calibri"/>
          <w:sz w:val="20"/>
        </w:rPr>
      </w:pPr>
      <w:r>
        <w:rPr>
          <w:rFonts w:ascii="Calibri"/>
          <w:sz w:val="20"/>
          <w:vertAlign w:val="superscript"/>
        </w:rPr>
        <w:t>47</w:t>
      </w:r>
      <w:r>
        <w:rPr>
          <w:rFonts w:ascii="Calibri"/>
          <w:sz w:val="20"/>
          <w:vertAlign w:val="baseline"/>
        </w:rPr>
        <w:t>(2003)</w:t>
      </w:r>
      <w:r>
        <w:rPr>
          <w:rFonts w:ascii="Calibri"/>
          <w:spacing w:val="-3"/>
          <w:sz w:val="20"/>
          <w:vertAlign w:val="baseline"/>
        </w:rPr>
        <w:t> </w:t>
      </w:r>
      <w:r>
        <w:rPr>
          <w:rFonts w:ascii="Calibri"/>
          <w:sz w:val="20"/>
          <w:vertAlign w:val="baseline"/>
        </w:rPr>
        <w:t>3</w:t>
      </w:r>
      <w:r>
        <w:rPr>
          <w:rFonts w:ascii="Calibri"/>
          <w:spacing w:val="-3"/>
          <w:sz w:val="20"/>
          <w:vertAlign w:val="baseline"/>
        </w:rPr>
        <w:t> </w:t>
      </w:r>
      <w:r>
        <w:rPr>
          <w:rFonts w:ascii="Calibri"/>
          <w:sz w:val="20"/>
          <w:vertAlign w:val="baseline"/>
        </w:rPr>
        <w:t>NWLR</w:t>
      </w:r>
      <w:r>
        <w:rPr>
          <w:rFonts w:ascii="Calibri"/>
          <w:spacing w:val="-7"/>
          <w:sz w:val="20"/>
          <w:vertAlign w:val="baseline"/>
        </w:rPr>
        <w:t> </w:t>
      </w:r>
      <w:r>
        <w:rPr>
          <w:rFonts w:ascii="Calibri"/>
          <w:sz w:val="20"/>
          <w:vertAlign w:val="baseline"/>
        </w:rPr>
        <w:t>(pt.</w:t>
      </w:r>
      <w:r>
        <w:rPr>
          <w:rFonts w:ascii="Calibri"/>
          <w:spacing w:val="-1"/>
          <w:sz w:val="20"/>
          <w:vertAlign w:val="baseline"/>
        </w:rPr>
        <w:t> </w:t>
      </w:r>
      <w:r>
        <w:rPr>
          <w:rFonts w:ascii="Calibri"/>
          <w:sz w:val="20"/>
          <w:vertAlign w:val="baseline"/>
        </w:rPr>
        <w:t>967)</w:t>
      </w:r>
      <w:r>
        <w:rPr>
          <w:rFonts w:ascii="Calibri"/>
          <w:spacing w:val="-6"/>
          <w:sz w:val="20"/>
          <w:vertAlign w:val="baseline"/>
        </w:rPr>
        <w:t> </w:t>
      </w:r>
      <w:r>
        <w:rPr>
          <w:rFonts w:ascii="Calibri"/>
          <w:spacing w:val="-4"/>
          <w:sz w:val="20"/>
          <w:vertAlign w:val="baseline"/>
        </w:rPr>
        <w:t>228.</w:t>
      </w:r>
    </w:p>
    <w:p>
      <w:pPr>
        <w:spacing w:before="1"/>
        <w:ind w:left="308" w:right="0" w:firstLine="0"/>
        <w:jc w:val="left"/>
        <w:rPr>
          <w:rFonts w:ascii="Calibri"/>
          <w:sz w:val="20"/>
        </w:rPr>
      </w:pPr>
      <w:r>
        <w:rPr>
          <w:rFonts w:ascii="Calibri"/>
          <w:sz w:val="20"/>
          <w:vertAlign w:val="superscript"/>
        </w:rPr>
        <w:t>48</w:t>
      </w:r>
      <w:r>
        <w:rPr>
          <w:rFonts w:ascii="Calibri"/>
          <w:spacing w:val="-1"/>
          <w:sz w:val="20"/>
          <w:vertAlign w:val="baseline"/>
        </w:rPr>
        <w:t> </w:t>
      </w:r>
      <w:r>
        <w:rPr>
          <w:rFonts w:ascii="Calibri"/>
          <w:sz w:val="20"/>
          <w:vertAlign w:val="baseline"/>
        </w:rPr>
        <w:t>Per</w:t>
      </w:r>
      <w:r>
        <w:rPr>
          <w:rFonts w:ascii="Calibri"/>
          <w:spacing w:val="-6"/>
          <w:sz w:val="20"/>
          <w:vertAlign w:val="baseline"/>
        </w:rPr>
        <w:t> </w:t>
      </w:r>
      <w:r>
        <w:rPr>
          <w:rFonts w:ascii="Calibri"/>
          <w:sz w:val="20"/>
          <w:vertAlign w:val="baseline"/>
        </w:rPr>
        <w:t>Oguntade JSC,</w:t>
      </w:r>
      <w:r>
        <w:rPr>
          <w:rFonts w:ascii="Calibri"/>
          <w:spacing w:val="-5"/>
          <w:sz w:val="20"/>
          <w:vertAlign w:val="baseline"/>
        </w:rPr>
        <w:t> </w:t>
      </w:r>
      <w:r>
        <w:rPr>
          <w:rFonts w:ascii="Calibri"/>
          <w:sz w:val="20"/>
          <w:vertAlign w:val="baseline"/>
        </w:rPr>
        <w:t>(2010)</w:t>
      </w:r>
      <w:r>
        <w:rPr>
          <w:rFonts w:ascii="Calibri"/>
          <w:spacing w:val="-5"/>
          <w:sz w:val="20"/>
          <w:vertAlign w:val="baseline"/>
        </w:rPr>
        <w:t> </w:t>
      </w:r>
      <w:r>
        <w:rPr>
          <w:rFonts w:ascii="Calibri"/>
          <w:sz w:val="20"/>
          <w:vertAlign w:val="baseline"/>
        </w:rPr>
        <w:t>All</w:t>
      </w:r>
      <w:r>
        <w:rPr>
          <w:rFonts w:ascii="Calibri"/>
          <w:spacing w:val="-1"/>
          <w:sz w:val="20"/>
          <w:vertAlign w:val="baseline"/>
        </w:rPr>
        <w:t> </w:t>
      </w:r>
      <w:r>
        <w:rPr>
          <w:rFonts w:ascii="Calibri"/>
          <w:sz w:val="20"/>
          <w:vertAlign w:val="baseline"/>
        </w:rPr>
        <w:t>FWLR,</w:t>
      </w:r>
      <w:r>
        <w:rPr>
          <w:rFonts w:ascii="Calibri"/>
          <w:spacing w:val="-4"/>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p.</w:t>
      </w:r>
      <w:r>
        <w:rPr>
          <w:rFonts w:ascii="Calibri"/>
          <w:spacing w:val="-3"/>
          <w:sz w:val="20"/>
          <w:vertAlign w:val="baseline"/>
        </w:rPr>
        <w:t> </w:t>
      </w:r>
      <w:r>
        <w:rPr>
          <w:rFonts w:ascii="Calibri"/>
          <w:spacing w:val="-4"/>
          <w:sz w:val="20"/>
          <w:vertAlign w:val="baseline"/>
        </w:rPr>
        <w:t>296.</w:t>
      </w:r>
    </w:p>
    <w:p>
      <w:pPr>
        <w:spacing w:after="0"/>
        <w:jc w:val="left"/>
        <w:rPr>
          <w:rFonts w:ascii="Calibri"/>
          <w:sz w:val="20"/>
        </w:rPr>
        <w:sectPr>
          <w:footerReference w:type="default" r:id="rId23"/>
          <w:pgSz w:w="11910" w:h="16840"/>
          <w:pgMar w:header="0" w:footer="1003" w:top="1280" w:bottom="1200" w:left="1680" w:right="1180"/>
          <w:pgNumType w:start="52"/>
        </w:sectPr>
      </w:pPr>
    </w:p>
    <w:p>
      <w:pPr>
        <w:pStyle w:val="BodyText"/>
        <w:spacing w:line="480" w:lineRule="auto" w:before="70"/>
        <w:ind w:left="1388" w:right="223"/>
        <w:jc w:val="both"/>
      </w:pPr>
      <w:r>
        <w:rPr/>
        <w:t>ethics. In fact the only two instances it is directly mentioned in the CAMA are in s.244(2) on presumption of due appointment and s.282(4), where the same standard of care is required for both executive and non executive directors with the possibility of</w:t>
      </w:r>
      <w:r>
        <w:rPr>
          <w:spacing w:val="-1"/>
        </w:rPr>
        <w:t> </w:t>
      </w:r>
      <w:r>
        <w:rPr/>
        <w:t>a higher standard in the case of</w:t>
      </w:r>
      <w:r>
        <w:rPr>
          <w:spacing w:val="-1"/>
        </w:rPr>
        <w:t> </w:t>
      </w:r>
      <w:r>
        <w:rPr/>
        <w:t>an executive director.Executive directors have added duties and responsibilities as employees and</w:t>
      </w:r>
      <w:r>
        <w:rPr>
          <w:spacing w:val="34"/>
        </w:rPr>
        <w:t> </w:t>
      </w:r>
      <w:r>
        <w:rPr/>
        <w:t>managers of the company working under specific contracts</w:t>
      </w:r>
      <w:r>
        <w:rPr>
          <w:spacing w:val="40"/>
        </w:rPr>
        <w:t> </w:t>
      </w:r>
      <w:r>
        <w:rPr/>
        <w:t>of employment.</w:t>
      </w:r>
      <w:r>
        <w:rPr>
          <w:vertAlign w:val="superscript"/>
        </w:rPr>
        <w:t>49</w:t>
      </w:r>
    </w:p>
    <w:p>
      <w:pPr>
        <w:pStyle w:val="ListParagraph"/>
        <w:numPr>
          <w:ilvl w:val="0"/>
          <w:numId w:val="10"/>
        </w:numPr>
        <w:tabs>
          <w:tab w:pos="1388" w:val="left" w:leader="none"/>
        </w:tabs>
        <w:spacing w:line="480" w:lineRule="auto" w:before="1" w:after="0"/>
        <w:ind w:left="1388" w:right="229" w:hanging="720"/>
        <w:jc w:val="both"/>
        <w:rPr>
          <w:sz w:val="24"/>
        </w:rPr>
      </w:pPr>
      <w:r>
        <w:rPr/>
        <mc:AlternateContent>
          <mc:Choice Requires="wps">
            <w:drawing>
              <wp:anchor distT="0" distB="0" distL="0" distR="0" allowOverlap="1" layoutInCell="1" locked="0" behindDoc="0" simplePos="0" relativeHeight="15767040">
                <wp:simplePos x="0" y="0"/>
                <wp:positionH relativeFrom="page">
                  <wp:posOffset>1262481</wp:posOffset>
                </wp:positionH>
                <wp:positionV relativeFrom="paragraph">
                  <wp:posOffset>5594431</wp:posOffset>
                </wp:positionV>
                <wp:extent cx="1829435" cy="9525"/>
                <wp:effectExtent l="0" t="0" r="0" b="0"/>
                <wp:wrapNone/>
                <wp:docPr id="85" name="Graphic 85"/>
                <wp:cNvGraphicFramePr>
                  <a:graphicFrameLocks/>
                </wp:cNvGraphicFramePr>
                <a:graphic>
                  <a:graphicData uri="http://schemas.microsoft.com/office/word/2010/wordprocessingShape">
                    <wps:wsp>
                      <wps:cNvPr id="85" name="Graphic 8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440.506378pt;width:144.050pt;height:.72003pt;mso-position-horizontal-relative:page;mso-position-vertical-relative:paragraph;z-index:15767040" id="docshape40" filled="true" fillcolor="#000000" stroked="false">
                <v:fill type="solid"/>
                <w10:wrap type="none"/>
              </v:rect>
            </w:pict>
          </mc:Fallback>
        </mc:AlternateContent>
      </w:r>
      <w:r>
        <w:rPr>
          <w:i/>
          <w:sz w:val="24"/>
        </w:rPr>
        <w:t>Independent</w:t>
      </w:r>
      <w:r>
        <w:rPr>
          <w:i/>
          <w:spacing w:val="-2"/>
          <w:sz w:val="24"/>
        </w:rPr>
        <w:t> </w:t>
      </w:r>
      <w:r>
        <w:rPr>
          <w:i/>
          <w:sz w:val="24"/>
        </w:rPr>
        <w:t>Director</w:t>
      </w:r>
      <w:r>
        <w:rPr>
          <w:sz w:val="24"/>
        </w:rPr>
        <w:t>:-</w:t>
      </w:r>
      <w:r>
        <w:rPr>
          <w:spacing w:val="-1"/>
          <w:sz w:val="24"/>
        </w:rPr>
        <w:t> </w:t>
      </w:r>
      <w:r>
        <w:rPr>
          <w:sz w:val="24"/>
        </w:rPr>
        <w:t>This</w:t>
      </w:r>
      <w:r>
        <w:rPr>
          <w:spacing w:val="-1"/>
          <w:sz w:val="24"/>
        </w:rPr>
        <w:t> </w:t>
      </w:r>
      <w:r>
        <w:rPr>
          <w:sz w:val="24"/>
        </w:rPr>
        <w:t>is</w:t>
      </w:r>
      <w:r>
        <w:rPr>
          <w:spacing w:val="-1"/>
          <w:sz w:val="24"/>
        </w:rPr>
        <w:t> </w:t>
      </w:r>
      <w:r>
        <w:rPr>
          <w:sz w:val="24"/>
        </w:rPr>
        <w:t>a non-executive</w:t>
      </w:r>
      <w:r>
        <w:rPr>
          <w:spacing w:val="-3"/>
          <w:sz w:val="24"/>
        </w:rPr>
        <w:t> </w:t>
      </w:r>
      <w:r>
        <w:rPr>
          <w:sz w:val="24"/>
        </w:rPr>
        <w:t>director,</w:t>
      </w:r>
      <w:r>
        <w:rPr>
          <w:spacing w:val="-1"/>
          <w:sz w:val="24"/>
        </w:rPr>
        <w:t> </w:t>
      </w:r>
      <w:r>
        <w:rPr>
          <w:sz w:val="24"/>
        </w:rPr>
        <w:t>also known in board circles as an ―outsider‖, often placed on the board of a public company specifically to lend an independent and objective judgment to its activities. He is a creature of American corporate literature of the 70s. Corporate scandals gradually led to a review of the functions of the board from an advisory board characterized by consultation activities, to a monitoring</w:t>
      </w:r>
      <w:r>
        <w:rPr>
          <w:spacing w:val="40"/>
          <w:sz w:val="24"/>
        </w:rPr>
        <w:t> </w:t>
      </w:r>
      <w:r>
        <w:rPr>
          <w:sz w:val="24"/>
        </w:rPr>
        <w:t>board entrusted with both control and strategy guiding functions.</w:t>
      </w:r>
      <w:r>
        <w:rPr>
          <w:sz w:val="24"/>
          <w:vertAlign w:val="superscript"/>
        </w:rPr>
        <w:t>50</w:t>
      </w:r>
      <w:r>
        <w:rPr>
          <w:sz w:val="24"/>
          <w:vertAlign w:val="baseline"/>
        </w:rPr>
        <w:t> The independent director was to be the harbinger of this radical change in board functions. To achieve this, his description is often explicitly provided in corporate codes. For example, paragraph 5.5 of the Nigerian Securities and Exchange Commission (SEC) Code of Corporate Governance for Public Companies</w:t>
      </w:r>
      <w:r>
        <w:rPr>
          <w:spacing w:val="-3"/>
          <w:sz w:val="24"/>
          <w:vertAlign w:val="baseline"/>
        </w:rPr>
        <w:t> </w:t>
      </w:r>
      <w:r>
        <w:rPr>
          <w:sz w:val="24"/>
          <w:vertAlign w:val="baseline"/>
        </w:rPr>
        <w:t>(2011)</w:t>
      </w:r>
      <w:r>
        <w:rPr>
          <w:spacing w:val="-1"/>
          <w:sz w:val="24"/>
          <w:vertAlign w:val="baseline"/>
        </w:rPr>
        <w:t> </w:t>
      </w:r>
      <w:r>
        <w:rPr>
          <w:sz w:val="24"/>
          <w:vertAlign w:val="baseline"/>
        </w:rPr>
        <w:t>requires</w:t>
      </w:r>
      <w:r>
        <w:rPr>
          <w:spacing w:val="-3"/>
          <w:sz w:val="24"/>
          <w:vertAlign w:val="baseline"/>
        </w:rPr>
        <w:t> </w:t>
      </w:r>
      <w:r>
        <w:rPr>
          <w:sz w:val="24"/>
          <w:vertAlign w:val="baseline"/>
        </w:rPr>
        <w:t>an</w:t>
      </w:r>
      <w:r>
        <w:rPr>
          <w:spacing w:val="-2"/>
          <w:sz w:val="24"/>
          <w:vertAlign w:val="baseline"/>
        </w:rPr>
        <w:t> </w:t>
      </w:r>
      <w:r>
        <w:rPr>
          <w:sz w:val="24"/>
          <w:vertAlign w:val="baseline"/>
        </w:rPr>
        <w:t>independent director</w:t>
      </w:r>
      <w:r>
        <w:rPr>
          <w:spacing w:val="-4"/>
          <w:sz w:val="24"/>
          <w:vertAlign w:val="baseline"/>
        </w:rPr>
        <w:t> </w:t>
      </w:r>
      <w:r>
        <w:rPr>
          <w:sz w:val="24"/>
          <w:vertAlign w:val="baseline"/>
        </w:rPr>
        <w:t>to be</w:t>
      </w:r>
      <w:r>
        <w:rPr>
          <w:spacing w:val="-3"/>
          <w:sz w:val="24"/>
          <w:vertAlign w:val="baseline"/>
        </w:rPr>
        <w:t> </w:t>
      </w:r>
      <w:r>
        <w:rPr>
          <w:sz w:val="24"/>
          <w:vertAlign w:val="baseline"/>
        </w:rPr>
        <w:t>a</w:t>
      </w:r>
      <w:r>
        <w:rPr>
          <w:spacing w:val="-3"/>
          <w:sz w:val="24"/>
          <w:vertAlign w:val="baseline"/>
        </w:rPr>
        <w:t> </w:t>
      </w:r>
      <w:r>
        <w:rPr>
          <w:sz w:val="24"/>
          <w:vertAlign w:val="baseline"/>
        </w:rPr>
        <w:t>person</w:t>
      </w:r>
      <w:r>
        <w:rPr>
          <w:spacing w:val="-6"/>
          <w:sz w:val="24"/>
          <w:vertAlign w:val="baseline"/>
        </w:rPr>
        <w:t> </w:t>
      </w:r>
      <w:r>
        <w:rPr>
          <w:sz w:val="24"/>
          <w:vertAlign w:val="baseline"/>
        </w:rPr>
        <w:t>who is not a substantial shareholder, nor a supplier or customer of the company. He must not</w:t>
      </w:r>
      <w:r>
        <w:rPr>
          <w:spacing w:val="-1"/>
          <w:sz w:val="24"/>
          <w:vertAlign w:val="baseline"/>
        </w:rPr>
        <w:t> </w:t>
      </w:r>
      <w:r>
        <w:rPr>
          <w:sz w:val="24"/>
          <w:vertAlign w:val="baseline"/>
        </w:rPr>
        <w:t>be</w:t>
      </w:r>
      <w:r>
        <w:rPr>
          <w:spacing w:val="-2"/>
          <w:sz w:val="24"/>
          <w:vertAlign w:val="baseline"/>
        </w:rPr>
        <w:t> </w:t>
      </w:r>
      <w:r>
        <w:rPr>
          <w:sz w:val="24"/>
          <w:vertAlign w:val="baseline"/>
        </w:rPr>
        <w:t>a member of</w:t>
      </w:r>
      <w:r>
        <w:rPr>
          <w:spacing w:val="-8"/>
          <w:sz w:val="24"/>
          <w:vertAlign w:val="baseline"/>
        </w:rPr>
        <w:t> </w:t>
      </w:r>
      <w:r>
        <w:rPr>
          <w:sz w:val="24"/>
          <w:vertAlign w:val="baseline"/>
        </w:rPr>
        <w:t>the immediate</w:t>
      </w:r>
      <w:r>
        <w:rPr>
          <w:spacing w:val="-2"/>
          <w:sz w:val="24"/>
          <w:vertAlign w:val="baseline"/>
        </w:rPr>
        <w:t> </w:t>
      </w:r>
      <w:r>
        <w:rPr>
          <w:sz w:val="24"/>
          <w:vertAlign w:val="baseline"/>
        </w:rPr>
        <w:t>family</w:t>
      </w:r>
      <w:r>
        <w:rPr>
          <w:spacing w:val="-9"/>
          <w:sz w:val="24"/>
          <w:vertAlign w:val="baseline"/>
        </w:rPr>
        <w:t> </w:t>
      </w:r>
      <w:r>
        <w:rPr>
          <w:sz w:val="24"/>
          <w:vertAlign w:val="baseline"/>
        </w:rPr>
        <w:t>of any</w:t>
      </w:r>
      <w:r>
        <w:rPr>
          <w:spacing w:val="-6"/>
          <w:sz w:val="24"/>
          <w:vertAlign w:val="baseline"/>
        </w:rPr>
        <w:t> </w:t>
      </w:r>
      <w:r>
        <w:rPr>
          <w:sz w:val="24"/>
          <w:vertAlign w:val="baseline"/>
        </w:rPr>
        <w:t>person</w:t>
      </w:r>
      <w:r>
        <w:rPr>
          <w:spacing w:val="-6"/>
          <w:sz w:val="24"/>
          <w:vertAlign w:val="baseline"/>
        </w:rPr>
        <w:t> </w:t>
      </w:r>
      <w:r>
        <w:rPr>
          <w:sz w:val="24"/>
          <w:vertAlign w:val="baseline"/>
        </w:rPr>
        <w:t>with</w:t>
      </w:r>
      <w:r>
        <w:rPr>
          <w:spacing w:val="-6"/>
          <w:sz w:val="24"/>
          <w:vertAlign w:val="baseline"/>
        </w:rPr>
        <w:t> </w:t>
      </w:r>
      <w:r>
        <w:rPr>
          <w:sz w:val="24"/>
          <w:vertAlign w:val="baseline"/>
        </w:rPr>
        <w:t>strong</w:t>
      </w:r>
      <w:r>
        <w:rPr>
          <w:spacing w:val="-1"/>
          <w:sz w:val="24"/>
          <w:vertAlign w:val="baseline"/>
        </w:rPr>
        <w:t> </w:t>
      </w:r>
      <w:r>
        <w:rPr>
          <w:sz w:val="24"/>
          <w:vertAlign w:val="baseline"/>
        </w:rPr>
        <w:t>ties to the company. Similarly, paragraph B.1.1. of the UK Corporate</w:t>
      </w:r>
      <w:r>
        <w:rPr>
          <w:spacing w:val="40"/>
          <w:sz w:val="24"/>
          <w:vertAlign w:val="baseline"/>
        </w:rPr>
        <w:t> </w:t>
      </w:r>
      <w:r>
        <w:rPr>
          <w:sz w:val="24"/>
          <w:vertAlign w:val="baseline"/>
        </w:rPr>
        <w:t>Governance</w:t>
      </w:r>
      <w:r>
        <w:rPr>
          <w:spacing w:val="14"/>
          <w:sz w:val="24"/>
          <w:vertAlign w:val="baseline"/>
        </w:rPr>
        <w:t> </w:t>
      </w:r>
      <w:r>
        <w:rPr>
          <w:sz w:val="24"/>
          <w:vertAlign w:val="baseline"/>
        </w:rPr>
        <w:t>Code</w:t>
      </w:r>
      <w:r>
        <w:rPr>
          <w:spacing w:val="17"/>
          <w:sz w:val="24"/>
          <w:vertAlign w:val="baseline"/>
        </w:rPr>
        <w:t> </w:t>
      </w:r>
      <w:r>
        <w:rPr>
          <w:sz w:val="24"/>
          <w:vertAlign w:val="baseline"/>
        </w:rPr>
        <w:t>(2012)</w:t>
      </w:r>
      <w:r>
        <w:rPr>
          <w:spacing w:val="18"/>
          <w:sz w:val="24"/>
          <w:vertAlign w:val="baseline"/>
        </w:rPr>
        <w:t> </w:t>
      </w:r>
      <w:r>
        <w:rPr>
          <w:sz w:val="24"/>
          <w:vertAlign w:val="baseline"/>
        </w:rPr>
        <w:t>suggests</w:t>
      </w:r>
      <w:r>
        <w:rPr>
          <w:spacing w:val="11"/>
          <w:sz w:val="24"/>
          <w:vertAlign w:val="baseline"/>
        </w:rPr>
        <w:t> </w:t>
      </w:r>
      <w:r>
        <w:rPr>
          <w:sz w:val="24"/>
          <w:vertAlign w:val="baseline"/>
        </w:rPr>
        <w:t>that</w:t>
      </w:r>
      <w:r>
        <w:rPr>
          <w:spacing w:val="22"/>
          <w:sz w:val="24"/>
          <w:vertAlign w:val="baseline"/>
        </w:rPr>
        <w:t> </w:t>
      </w:r>
      <w:r>
        <w:rPr>
          <w:sz w:val="24"/>
          <w:vertAlign w:val="baseline"/>
        </w:rPr>
        <w:t>he</w:t>
      </w:r>
      <w:r>
        <w:rPr>
          <w:spacing w:val="22"/>
          <w:sz w:val="24"/>
          <w:vertAlign w:val="baseline"/>
        </w:rPr>
        <w:t> </w:t>
      </w:r>
      <w:r>
        <w:rPr>
          <w:sz w:val="24"/>
          <w:vertAlign w:val="baseline"/>
        </w:rPr>
        <w:t>must</w:t>
      </w:r>
      <w:r>
        <w:rPr>
          <w:spacing w:val="22"/>
          <w:sz w:val="24"/>
          <w:vertAlign w:val="baseline"/>
        </w:rPr>
        <w:t> </w:t>
      </w:r>
      <w:r>
        <w:rPr>
          <w:sz w:val="24"/>
          <w:vertAlign w:val="baseline"/>
        </w:rPr>
        <w:t>not</w:t>
      </w:r>
      <w:r>
        <w:rPr>
          <w:spacing w:val="23"/>
          <w:sz w:val="24"/>
          <w:vertAlign w:val="baseline"/>
        </w:rPr>
        <w:t> </w:t>
      </w:r>
      <w:r>
        <w:rPr>
          <w:sz w:val="24"/>
          <w:vertAlign w:val="baseline"/>
        </w:rPr>
        <w:t>have</w:t>
      </w:r>
      <w:r>
        <w:rPr>
          <w:spacing w:val="21"/>
          <w:sz w:val="24"/>
          <w:vertAlign w:val="baseline"/>
        </w:rPr>
        <w:t> </w:t>
      </w:r>
      <w:r>
        <w:rPr>
          <w:sz w:val="24"/>
          <w:vertAlign w:val="baseline"/>
        </w:rPr>
        <w:t>been</w:t>
      </w:r>
      <w:r>
        <w:rPr>
          <w:spacing w:val="13"/>
          <w:sz w:val="24"/>
          <w:vertAlign w:val="baseline"/>
        </w:rPr>
        <w:t> </w:t>
      </w:r>
      <w:r>
        <w:rPr>
          <w:sz w:val="24"/>
          <w:vertAlign w:val="baseline"/>
        </w:rPr>
        <w:t>an</w:t>
      </w:r>
      <w:r>
        <w:rPr>
          <w:spacing w:val="13"/>
          <w:sz w:val="24"/>
          <w:vertAlign w:val="baseline"/>
        </w:rPr>
        <w:t> </w:t>
      </w:r>
      <w:r>
        <w:rPr>
          <w:spacing w:val="-2"/>
          <w:sz w:val="24"/>
          <w:vertAlign w:val="baseline"/>
        </w:rPr>
        <w:t>employee</w:t>
      </w:r>
    </w:p>
    <w:p>
      <w:pPr>
        <w:spacing w:before="95"/>
        <w:ind w:left="308" w:right="0" w:firstLine="0"/>
        <w:jc w:val="left"/>
        <w:rPr>
          <w:rFonts w:ascii="Calibri"/>
          <w:sz w:val="20"/>
        </w:rPr>
      </w:pPr>
      <w:r>
        <w:rPr>
          <w:rFonts w:ascii="Calibri"/>
          <w:sz w:val="20"/>
          <w:vertAlign w:val="superscript"/>
        </w:rPr>
        <w:t>49</w:t>
      </w:r>
      <w:r>
        <w:rPr>
          <w:rFonts w:ascii="Calibri"/>
          <w:sz w:val="20"/>
          <w:vertAlign w:val="baseline"/>
        </w:rPr>
        <w:t>Irukwu,</w:t>
      </w:r>
      <w:r>
        <w:rPr>
          <w:rFonts w:ascii="Calibri"/>
          <w:spacing w:val="40"/>
          <w:sz w:val="20"/>
          <w:vertAlign w:val="baseline"/>
        </w:rPr>
        <w:t> </w:t>
      </w:r>
      <w:r>
        <w:rPr>
          <w:rFonts w:ascii="Calibri"/>
          <w:sz w:val="20"/>
          <w:vertAlign w:val="baseline"/>
        </w:rPr>
        <w:t>O.J.</w:t>
      </w:r>
      <w:r>
        <w:rPr>
          <w:rFonts w:ascii="Calibri"/>
          <w:spacing w:val="40"/>
          <w:sz w:val="20"/>
          <w:vertAlign w:val="baseline"/>
        </w:rPr>
        <w:t> </w:t>
      </w:r>
      <w:r>
        <w:rPr>
          <w:rFonts w:ascii="Calibri"/>
          <w:sz w:val="20"/>
          <w:vertAlign w:val="baseline"/>
        </w:rPr>
        <w:t>(1994).</w:t>
      </w:r>
      <w:r>
        <w:rPr>
          <w:rFonts w:ascii="Calibri"/>
          <w:i/>
          <w:sz w:val="20"/>
          <w:vertAlign w:val="baseline"/>
        </w:rPr>
        <w:t>The</w:t>
      </w:r>
      <w:r>
        <w:rPr>
          <w:rFonts w:ascii="Calibri"/>
          <w:i/>
          <w:spacing w:val="40"/>
          <w:sz w:val="20"/>
          <w:vertAlign w:val="baseline"/>
        </w:rPr>
        <w:t> </w:t>
      </w:r>
      <w:r>
        <w:rPr>
          <w:rFonts w:ascii="Calibri"/>
          <w:i/>
          <w:sz w:val="20"/>
          <w:vertAlign w:val="baseline"/>
        </w:rPr>
        <w:t>Company,</w:t>
      </w:r>
      <w:r>
        <w:rPr>
          <w:rFonts w:ascii="Calibri"/>
          <w:i/>
          <w:spacing w:val="40"/>
          <w:sz w:val="20"/>
          <w:vertAlign w:val="baseline"/>
        </w:rPr>
        <w:t> </w:t>
      </w:r>
      <w:r>
        <w:rPr>
          <w:rFonts w:ascii="Calibri"/>
          <w:i/>
          <w:sz w:val="20"/>
          <w:vertAlign w:val="baseline"/>
        </w:rPr>
        <w:t>the</w:t>
      </w:r>
      <w:r>
        <w:rPr>
          <w:rFonts w:ascii="Calibri"/>
          <w:i/>
          <w:spacing w:val="40"/>
          <w:sz w:val="20"/>
          <w:vertAlign w:val="baseline"/>
        </w:rPr>
        <w:t> </w:t>
      </w:r>
      <w:r>
        <w:rPr>
          <w:rFonts w:ascii="Calibri"/>
          <w:i/>
          <w:sz w:val="20"/>
          <w:vertAlign w:val="baseline"/>
        </w:rPr>
        <w:t>Shareholder,</w:t>
      </w:r>
      <w:r>
        <w:rPr>
          <w:rFonts w:ascii="Calibri"/>
          <w:i/>
          <w:spacing w:val="40"/>
          <w:sz w:val="20"/>
          <w:vertAlign w:val="baseline"/>
        </w:rPr>
        <w:t> </w:t>
      </w:r>
      <w:r>
        <w:rPr>
          <w:rFonts w:ascii="Calibri"/>
          <w:i/>
          <w:sz w:val="20"/>
          <w:vertAlign w:val="baseline"/>
        </w:rPr>
        <w:t>the</w:t>
      </w:r>
      <w:r>
        <w:rPr>
          <w:rFonts w:ascii="Calibri"/>
          <w:i/>
          <w:spacing w:val="40"/>
          <w:sz w:val="20"/>
          <w:vertAlign w:val="baseline"/>
        </w:rPr>
        <w:t> </w:t>
      </w:r>
      <w:r>
        <w:rPr>
          <w:rFonts w:ascii="Calibri"/>
          <w:i/>
          <w:sz w:val="20"/>
          <w:vertAlign w:val="baseline"/>
        </w:rPr>
        <w:t>Director</w:t>
      </w:r>
      <w:r>
        <w:rPr>
          <w:rFonts w:ascii="Calibri"/>
          <w:i/>
          <w:spacing w:val="40"/>
          <w:sz w:val="20"/>
          <w:vertAlign w:val="baseline"/>
        </w:rPr>
        <w:t> </w:t>
      </w:r>
      <w:r>
        <w:rPr>
          <w:rFonts w:ascii="Calibri"/>
          <w:i/>
          <w:sz w:val="20"/>
          <w:vertAlign w:val="baseline"/>
        </w:rPr>
        <w:t>and</w:t>
      </w:r>
      <w:r>
        <w:rPr>
          <w:rFonts w:ascii="Calibri"/>
          <w:i/>
          <w:spacing w:val="40"/>
          <w:sz w:val="20"/>
          <w:vertAlign w:val="baseline"/>
        </w:rPr>
        <w:t> </w:t>
      </w:r>
      <w:r>
        <w:rPr>
          <w:rFonts w:ascii="Calibri"/>
          <w:i/>
          <w:sz w:val="20"/>
          <w:vertAlign w:val="baseline"/>
        </w:rPr>
        <w:t>the</w:t>
      </w:r>
      <w:r>
        <w:rPr>
          <w:rFonts w:ascii="Calibri"/>
          <w:i/>
          <w:spacing w:val="40"/>
          <w:sz w:val="20"/>
          <w:vertAlign w:val="baseline"/>
        </w:rPr>
        <w:t> </w:t>
      </w:r>
      <w:r>
        <w:rPr>
          <w:rFonts w:ascii="Calibri"/>
          <w:i/>
          <w:sz w:val="20"/>
          <w:vertAlign w:val="baseline"/>
        </w:rPr>
        <w:t>Law,</w:t>
      </w:r>
      <w:r>
        <w:rPr>
          <w:rFonts w:ascii="Calibri"/>
          <w:i/>
          <w:spacing w:val="40"/>
          <w:sz w:val="20"/>
          <w:vertAlign w:val="baseline"/>
        </w:rPr>
        <w:t> </w:t>
      </w:r>
      <w:r>
        <w:rPr>
          <w:rFonts w:ascii="Calibri"/>
          <w:sz w:val="20"/>
          <w:vertAlign w:val="baseline"/>
        </w:rPr>
        <w:t>Fourth</w:t>
      </w:r>
      <w:r>
        <w:rPr>
          <w:rFonts w:ascii="Calibri"/>
          <w:spacing w:val="40"/>
          <w:sz w:val="20"/>
          <w:vertAlign w:val="baseline"/>
        </w:rPr>
        <w:t> </w:t>
      </w:r>
      <w:r>
        <w:rPr>
          <w:rFonts w:ascii="Calibri"/>
          <w:sz w:val="20"/>
          <w:vertAlign w:val="baseline"/>
        </w:rPr>
        <w:t>Dimension Publishing Co. Ltd. Enugu, p. 72.</w:t>
      </w:r>
    </w:p>
    <w:p>
      <w:pPr>
        <w:tabs>
          <w:tab w:pos="3332" w:val="left" w:leader="none"/>
          <w:tab w:pos="5915" w:val="left" w:leader="none"/>
          <w:tab w:pos="8807" w:val="right" w:leader="none"/>
        </w:tabs>
        <w:spacing w:before="1"/>
        <w:ind w:left="308" w:right="227" w:firstLine="0"/>
        <w:jc w:val="left"/>
        <w:rPr>
          <w:rFonts w:ascii="Calibri"/>
          <w:sz w:val="20"/>
        </w:rPr>
      </w:pPr>
      <w:r>
        <w:rPr>
          <w:rFonts w:ascii="Calibri"/>
          <w:sz w:val="20"/>
          <w:vertAlign w:val="superscript"/>
        </w:rPr>
        <w:t>50</w:t>
      </w:r>
      <w:r>
        <w:rPr>
          <w:rFonts w:ascii="Calibri"/>
          <w:sz w:val="20"/>
          <w:vertAlign w:val="baseline"/>
        </w:rPr>
        <w:t>Pirani, P. (2013).</w:t>
      </w:r>
      <w:r>
        <w:rPr>
          <w:rFonts w:ascii="Calibri"/>
          <w:i/>
          <w:sz w:val="20"/>
          <w:vertAlign w:val="baseline"/>
        </w:rPr>
        <w:t>Independent Directors in Publicly Traded Companies: Origin and Evolution Over Time</w:t>
      </w:r>
      <w:r>
        <w:rPr>
          <w:rFonts w:ascii="Calibri"/>
          <w:sz w:val="20"/>
          <w:vertAlign w:val="baseline"/>
        </w:rPr>
        <w:t>. </w:t>
      </w:r>
      <w:r>
        <w:rPr>
          <w:rFonts w:ascii="Calibri"/>
          <w:spacing w:val="-2"/>
          <w:sz w:val="20"/>
          <w:vertAlign w:val="baseline"/>
        </w:rPr>
        <w:t>Retrieved</w:t>
      </w:r>
      <w:r>
        <w:rPr>
          <w:rFonts w:ascii="Calibri"/>
          <w:sz w:val="20"/>
          <w:vertAlign w:val="baseline"/>
        </w:rPr>
        <w:tab/>
      </w:r>
      <w:r>
        <w:rPr>
          <w:rFonts w:ascii="Calibri"/>
          <w:spacing w:val="-5"/>
          <w:sz w:val="20"/>
          <w:vertAlign w:val="baseline"/>
        </w:rPr>
        <w:t>May</w:t>
      </w:r>
      <w:r>
        <w:rPr>
          <w:rFonts w:ascii="Calibri"/>
          <w:sz w:val="20"/>
          <w:vertAlign w:val="baseline"/>
        </w:rPr>
        <w:tab/>
      </w:r>
      <w:r>
        <w:rPr>
          <w:rFonts w:ascii="Calibri"/>
          <w:spacing w:val="-5"/>
          <w:sz w:val="20"/>
          <w:vertAlign w:val="baseline"/>
        </w:rPr>
        <w:t>26,</w:t>
      </w:r>
      <w:r>
        <w:rPr>
          <w:rFonts w:ascii="Calibri"/>
          <w:sz w:val="20"/>
          <w:vertAlign w:val="baseline"/>
        </w:rPr>
        <w:tab/>
      </w:r>
      <w:r>
        <w:rPr>
          <w:rFonts w:ascii="Calibri"/>
          <w:spacing w:val="-4"/>
          <w:sz w:val="20"/>
          <w:vertAlign w:val="baseline"/>
        </w:rPr>
        <w:t>2013</w:t>
      </w:r>
    </w:p>
    <w:p>
      <w:pPr>
        <w:spacing w:before="2"/>
        <w:ind w:left="308" w:right="0" w:firstLine="0"/>
        <w:jc w:val="left"/>
        <w:rPr>
          <w:rFonts w:ascii="Calibri"/>
          <w:sz w:val="20"/>
        </w:rPr>
      </w:pPr>
      <w:r>
        <w:rPr>
          <w:rFonts w:ascii="Calibri"/>
          <w:spacing w:val="-2"/>
          <w:sz w:val="20"/>
        </w:rPr>
        <w:t>from</w:t>
      </w:r>
      <w:hyperlink r:id="rId24">
        <w:r>
          <w:rPr>
            <w:rFonts w:ascii="Calibri"/>
            <w:color w:val="0000FF"/>
            <w:spacing w:val="-2"/>
            <w:sz w:val="20"/>
            <w:u w:val="single" w:color="0000FF"/>
          </w:rPr>
          <w:t>http://papers.ssrn.com/sol3/papers.cfm?abstract_id=2261239&amp;download=yes</w:t>
        </w:r>
      </w:hyperlink>
      <w:r>
        <w:rPr>
          <w:rFonts w:ascii="Calibri"/>
          <w:spacing w:val="-2"/>
          <w:sz w:val="20"/>
        </w:rPr>
        <w:t>.</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left="1388" w:right="234"/>
        <w:jc w:val="both"/>
      </w:pPr>
      <w:r>
        <w:rPr/>
        <w:t>of the company within the last five years nor had any material business relationship with it within the last three years. He should not be a representative of a significant shareholder nor have any close family ties</w:t>
      </w:r>
      <w:r>
        <w:rPr>
          <w:spacing w:val="40"/>
        </w:rPr>
        <w:t> </w:t>
      </w:r>
      <w:r>
        <w:rPr/>
        <w:t>with any of the company‘s officers. The OECD Principles of Corporate Governance (2004) requires a sufficient number of such independent directors to form board membership and specifically carry out tasks where there is a potential of conflict of interest such as financial reporting, nomination of board members and deciding board remuneration. Though known in corporate codes of ethics worldwide, he is hardly mentioned in company legislations. The most important thing is that he must appear so independent of the board, that his views would be objective and unbiased enough to give the shareholders and prospective investors balanced information so that they in turn can make an informed judgment.</w:t>
      </w:r>
    </w:p>
    <w:p>
      <w:pPr>
        <w:pStyle w:val="ListParagraph"/>
        <w:numPr>
          <w:ilvl w:val="0"/>
          <w:numId w:val="10"/>
        </w:numPr>
        <w:tabs>
          <w:tab w:pos="1385" w:val="left" w:leader="none"/>
          <w:tab w:pos="1388" w:val="left" w:leader="none"/>
        </w:tabs>
        <w:spacing w:line="480" w:lineRule="auto" w:before="2" w:after="0"/>
        <w:ind w:left="1388" w:right="231" w:hanging="720"/>
        <w:jc w:val="both"/>
        <w:rPr>
          <w:sz w:val="24"/>
        </w:rPr>
      </w:pPr>
      <w:r>
        <w:rPr/>
        <mc:AlternateContent>
          <mc:Choice Requires="wps">
            <w:drawing>
              <wp:anchor distT="0" distB="0" distL="0" distR="0" allowOverlap="1" layoutInCell="1" locked="0" behindDoc="0" simplePos="0" relativeHeight="15767552">
                <wp:simplePos x="0" y="0"/>
                <wp:positionH relativeFrom="page">
                  <wp:posOffset>1262481</wp:posOffset>
                </wp:positionH>
                <wp:positionV relativeFrom="paragraph">
                  <wp:posOffset>3958215</wp:posOffset>
                </wp:positionV>
                <wp:extent cx="1829435" cy="9525"/>
                <wp:effectExtent l="0" t="0" r="0" b="0"/>
                <wp:wrapNone/>
                <wp:docPr id="86" name="Graphic 86"/>
                <wp:cNvGraphicFramePr>
                  <a:graphicFrameLocks/>
                </wp:cNvGraphicFramePr>
                <a:graphic>
                  <a:graphicData uri="http://schemas.microsoft.com/office/word/2010/wordprocessingShape">
                    <wps:wsp>
                      <wps:cNvPr id="86" name="Graphic 8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311.670502pt;width:144.050pt;height:.71997pt;mso-position-horizontal-relative:page;mso-position-vertical-relative:paragraph;z-index:15767552" id="docshape41" filled="true" fillcolor="#000000" stroked="false">
                <v:fill type="solid"/>
                <w10:wrap type="none"/>
              </v:rect>
            </w:pict>
          </mc:Fallback>
        </mc:AlternateContent>
      </w:r>
      <w:r>
        <w:rPr>
          <w:i/>
          <w:sz w:val="24"/>
        </w:rPr>
        <w:t>Alternate and Assignee Directors</w:t>
      </w:r>
      <w:r>
        <w:rPr>
          <w:sz w:val="24"/>
        </w:rPr>
        <w:t>:- The articles of a company may allow a duly</w:t>
      </w:r>
      <w:r>
        <w:rPr>
          <w:spacing w:val="-1"/>
          <w:sz w:val="24"/>
        </w:rPr>
        <w:t> </w:t>
      </w:r>
      <w:r>
        <w:rPr>
          <w:sz w:val="24"/>
        </w:rPr>
        <w:t>appointed director to delegate his powers to another, who shall</w:t>
      </w:r>
      <w:r>
        <w:rPr>
          <w:spacing w:val="-1"/>
          <w:sz w:val="24"/>
        </w:rPr>
        <w:t> </w:t>
      </w:r>
      <w:r>
        <w:rPr>
          <w:sz w:val="24"/>
        </w:rPr>
        <w:t>exercise the powers of the director appointing himfor a while. Such appointee becomes an </w:t>
      </w:r>
      <w:r>
        <w:rPr>
          <w:i/>
          <w:sz w:val="24"/>
        </w:rPr>
        <w:t>alternate</w:t>
      </w:r>
      <w:r>
        <w:rPr>
          <w:sz w:val="24"/>
        </w:rPr>
        <w:t>. Alternate directors are usually created for administrative convenience, especially where an alien is involved,</w:t>
      </w:r>
      <w:r>
        <w:rPr>
          <w:sz w:val="24"/>
          <w:vertAlign w:val="superscript"/>
        </w:rPr>
        <w:t>51</w:t>
      </w:r>
      <w:r>
        <w:rPr>
          <w:sz w:val="24"/>
          <w:vertAlign w:val="baseline"/>
        </w:rPr>
        <w:t> so that the alternate would usually be a local/resident director. Thus, delegation in this sense is usually the preserve of non-executive directors, who are not often</w:t>
      </w:r>
      <w:r>
        <w:rPr>
          <w:spacing w:val="-6"/>
          <w:sz w:val="24"/>
          <w:vertAlign w:val="baseline"/>
        </w:rPr>
        <w:t> </w:t>
      </w:r>
      <w:r>
        <w:rPr>
          <w:sz w:val="24"/>
          <w:vertAlign w:val="baseline"/>
        </w:rPr>
        <w:t>on</w:t>
      </w:r>
      <w:r>
        <w:rPr>
          <w:spacing w:val="-1"/>
          <w:sz w:val="24"/>
          <w:vertAlign w:val="baseline"/>
        </w:rPr>
        <w:t> </w:t>
      </w:r>
      <w:r>
        <w:rPr>
          <w:sz w:val="24"/>
          <w:vertAlign w:val="baseline"/>
        </w:rPr>
        <w:t>hand. The alternate</w:t>
      </w:r>
      <w:r>
        <w:rPr>
          <w:spacing w:val="-2"/>
          <w:sz w:val="24"/>
          <w:vertAlign w:val="baseline"/>
        </w:rPr>
        <w:t> </w:t>
      </w:r>
      <w:r>
        <w:rPr>
          <w:sz w:val="24"/>
          <w:vertAlign w:val="baseline"/>
        </w:rPr>
        <w:t>also has</w:t>
      </w:r>
      <w:r>
        <w:rPr>
          <w:spacing w:val="-3"/>
          <w:sz w:val="24"/>
          <w:vertAlign w:val="baseline"/>
        </w:rPr>
        <w:t> </w:t>
      </w:r>
      <w:r>
        <w:rPr>
          <w:sz w:val="24"/>
          <w:vertAlign w:val="baseline"/>
        </w:rPr>
        <w:t>the</w:t>
      </w:r>
      <w:r>
        <w:rPr>
          <w:spacing w:val="-2"/>
          <w:sz w:val="24"/>
          <w:vertAlign w:val="baseline"/>
        </w:rPr>
        <w:t> </w:t>
      </w:r>
      <w:r>
        <w:rPr>
          <w:sz w:val="24"/>
          <w:vertAlign w:val="baseline"/>
        </w:rPr>
        <w:t>power to</w:t>
      </w:r>
      <w:r>
        <w:rPr>
          <w:spacing w:val="-1"/>
          <w:sz w:val="24"/>
          <w:vertAlign w:val="baseline"/>
        </w:rPr>
        <w:t> </w:t>
      </w:r>
      <w:r>
        <w:rPr>
          <w:sz w:val="24"/>
          <w:vertAlign w:val="baseline"/>
        </w:rPr>
        <w:t>resign. Assignee</w:t>
      </w:r>
      <w:r>
        <w:rPr>
          <w:spacing w:val="-2"/>
          <w:sz w:val="24"/>
          <w:vertAlign w:val="baseline"/>
        </w:rPr>
        <w:t> </w:t>
      </w:r>
      <w:r>
        <w:rPr>
          <w:sz w:val="24"/>
          <w:vertAlign w:val="baseline"/>
        </w:rPr>
        <w:t>directors, on</w:t>
      </w:r>
      <w:r>
        <w:rPr>
          <w:spacing w:val="-11"/>
          <w:sz w:val="24"/>
          <w:vertAlign w:val="baseline"/>
        </w:rPr>
        <w:t> </w:t>
      </w:r>
      <w:r>
        <w:rPr>
          <w:sz w:val="24"/>
          <w:vertAlign w:val="baseline"/>
        </w:rPr>
        <w:t>the</w:t>
      </w:r>
      <w:r>
        <w:rPr>
          <w:spacing w:val="-2"/>
          <w:sz w:val="24"/>
          <w:vertAlign w:val="baseline"/>
        </w:rPr>
        <w:t> </w:t>
      </w:r>
      <w:r>
        <w:rPr>
          <w:sz w:val="24"/>
          <w:vertAlign w:val="baseline"/>
        </w:rPr>
        <w:t>other hand, are</w:t>
      </w:r>
      <w:r>
        <w:rPr>
          <w:spacing w:val="-2"/>
          <w:sz w:val="24"/>
          <w:vertAlign w:val="baseline"/>
        </w:rPr>
        <w:t> </w:t>
      </w:r>
      <w:r>
        <w:rPr>
          <w:sz w:val="24"/>
          <w:vertAlign w:val="baseline"/>
        </w:rPr>
        <w:t>appointed</w:t>
      </w:r>
      <w:r>
        <w:rPr>
          <w:spacing w:val="-1"/>
          <w:sz w:val="24"/>
          <w:vertAlign w:val="baseline"/>
        </w:rPr>
        <w:t> </w:t>
      </w:r>
      <w:r>
        <w:rPr>
          <w:sz w:val="24"/>
          <w:vertAlign w:val="baseline"/>
        </w:rPr>
        <w:t>by</w:t>
      </w:r>
      <w:r>
        <w:rPr>
          <w:spacing w:val="-6"/>
          <w:sz w:val="24"/>
          <w:vertAlign w:val="baseline"/>
        </w:rPr>
        <w:t> </w:t>
      </w:r>
      <w:r>
        <w:rPr>
          <w:sz w:val="24"/>
          <w:vertAlign w:val="baseline"/>
        </w:rPr>
        <w:t>sitting</w:t>
      </w:r>
      <w:r>
        <w:rPr>
          <w:spacing w:val="-1"/>
          <w:sz w:val="24"/>
          <w:vertAlign w:val="baseline"/>
        </w:rPr>
        <w:t> </w:t>
      </w:r>
      <w:r>
        <w:rPr>
          <w:sz w:val="24"/>
          <w:vertAlign w:val="baseline"/>
        </w:rPr>
        <w:t>directors</w:t>
      </w:r>
      <w:r>
        <w:rPr>
          <w:spacing w:val="-3"/>
          <w:sz w:val="24"/>
          <w:vertAlign w:val="baseline"/>
        </w:rPr>
        <w:t> </w:t>
      </w:r>
      <w:r>
        <w:rPr>
          <w:sz w:val="24"/>
          <w:vertAlign w:val="baseline"/>
        </w:rPr>
        <w:t>to</w:t>
      </w:r>
      <w:r>
        <w:rPr>
          <w:spacing w:val="-1"/>
          <w:sz w:val="24"/>
          <w:vertAlign w:val="baseline"/>
        </w:rPr>
        <w:t> </w:t>
      </w:r>
      <w:r>
        <w:rPr>
          <w:sz w:val="24"/>
          <w:vertAlign w:val="baseline"/>
        </w:rPr>
        <w:t>hold brief</w:t>
      </w:r>
      <w:r>
        <w:rPr>
          <w:spacing w:val="-4"/>
          <w:sz w:val="24"/>
          <w:vertAlign w:val="baseline"/>
        </w:rPr>
        <w:t> </w:t>
      </w:r>
      <w:r>
        <w:rPr>
          <w:sz w:val="24"/>
          <w:vertAlign w:val="baseline"/>
        </w:rPr>
        <w:t>for them</w:t>
      </w:r>
      <w:r>
        <w:rPr>
          <w:spacing w:val="-6"/>
          <w:sz w:val="24"/>
          <w:vertAlign w:val="baseline"/>
        </w:rPr>
        <w:t> </w:t>
      </w:r>
      <w:r>
        <w:rPr>
          <w:sz w:val="24"/>
          <w:vertAlign w:val="baseline"/>
        </w:rPr>
        <w:t>for the long haul. In </w:t>
      </w:r>
      <w:r>
        <w:rPr>
          <w:b/>
          <w:sz w:val="24"/>
          <w:vertAlign w:val="baseline"/>
        </w:rPr>
        <w:t>Baffa vs. Odili,</w:t>
      </w:r>
      <w:r>
        <w:rPr>
          <w:sz w:val="24"/>
          <w:vertAlign w:val="superscript"/>
        </w:rPr>
        <w:t>52</w:t>
      </w:r>
      <w:r>
        <w:rPr>
          <w:sz w:val="24"/>
          <w:vertAlign w:val="baseline"/>
        </w:rPr>
        <w:t>the court distinguished alternate from assignee directors by stating that</w:t>
      </w:r>
      <w:r>
        <w:rPr>
          <w:spacing w:val="24"/>
          <w:sz w:val="24"/>
          <w:vertAlign w:val="baseline"/>
        </w:rPr>
        <w:t> </w:t>
      </w:r>
      <w:r>
        <w:rPr>
          <w:sz w:val="24"/>
          <w:vertAlign w:val="baseline"/>
        </w:rPr>
        <w:t>alternates are appointed by directors,</w:t>
      </w:r>
      <w:r>
        <w:rPr>
          <w:spacing w:val="21"/>
          <w:sz w:val="24"/>
          <w:vertAlign w:val="baseline"/>
        </w:rPr>
        <w:t> </w:t>
      </w:r>
      <w:r>
        <w:rPr>
          <w:sz w:val="24"/>
          <w:vertAlign w:val="baseline"/>
        </w:rPr>
        <w:t>who</w:t>
      </w:r>
    </w:p>
    <w:p>
      <w:pPr>
        <w:spacing w:before="276"/>
        <w:ind w:left="308" w:right="0" w:firstLine="0"/>
        <w:jc w:val="left"/>
        <w:rPr>
          <w:rFonts w:ascii="Calibri"/>
          <w:sz w:val="20"/>
        </w:rPr>
      </w:pPr>
      <w:r>
        <w:rPr>
          <w:rFonts w:ascii="Calibri"/>
          <w:sz w:val="20"/>
          <w:vertAlign w:val="superscript"/>
        </w:rPr>
        <w:t>51</w:t>
      </w:r>
      <w:r>
        <w:rPr>
          <w:rFonts w:ascii="Calibri"/>
          <w:sz w:val="20"/>
          <w:vertAlign w:val="baseline"/>
        </w:rPr>
        <w:t>Ogbuanya,</w:t>
      </w:r>
      <w:r>
        <w:rPr>
          <w:rFonts w:ascii="Calibri"/>
          <w:spacing w:val="-10"/>
          <w:sz w:val="20"/>
          <w:vertAlign w:val="baseline"/>
        </w:rPr>
        <w:t> </w:t>
      </w:r>
      <w:r>
        <w:rPr>
          <w:rFonts w:ascii="Calibri"/>
          <w:sz w:val="20"/>
          <w:vertAlign w:val="baseline"/>
        </w:rPr>
        <w:t>N.C.S.</w:t>
      </w:r>
      <w:r>
        <w:rPr>
          <w:rFonts w:ascii="Calibri"/>
          <w:spacing w:val="-1"/>
          <w:sz w:val="20"/>
          <w:vertAlign w:val="baseline"/>
        </w:rPr>
        <w:t> </w:t>
      </w:r>
      <w:r>
        <w:rPr>
          <w:rFonts w:ascii="Calibri"/>
          <w:sz w:val="20"/>
          <w:vertAlign w:val="baseline"/>
        </w:rPr>
        <w:t>op.cit.,</w:t>
      </w:r>
      <w:r>
        <w:rPr>
          <w:rFonts w:ascii="Calibri"/>
          <w:spacing w:val="-10"/>
          <w:sz w:val="20"/>
          <w:vertAlign w:val="baseline"/>
        </w:rPr>
        <w:t> </w:t>
      </w:r>
      <w:r>
        <w:rPr>
          <w:rFonts w:ascii="Calibri"/>
          <w:sz w:val="20"/>
          <w:vertAlign w:val="baseline"/>
        </w:rPr>
        <w:t>p.</w:t>
      </w:r>
      <w:r>
        <w:rPr>
          <w:rFonts w:ascii="Calibri"/>
          <w:spacing w:val="-3"/>
          <w:sz w:val="20"/>
          <w:vertAlign w:val="baseline"/>
        </w:rPr>
        <w:t> </w:t>
      </w:r>
      <w:r>
        <w:rPr>
          <w:rFonts w:ascii="Calibri"/>
          <w:spacing w:val="-4"/>
          <w:sz w:val="20"/>
          <w:vertAlign w:val="baseline"/>
        </w:rPr>
        <w:t>326.</w:t>
      </w:r>
    </w:p>
    <w:p>
      <w:pPr>
        <w:spacing w:before="1"/>
        <w:ind w:left="308" w:right="0" w:firstLine="0"/>
        <w:jc w:val="left"/>
        <w:rPr>
          <w:rFonts w:ascii="Calibri"/>
          <w:sz w:val="20"/>
        </w:rPr>
      </w:pPr>
      <w:r>
        <w:rPr>
          <w:rFonts w:ascii="Calibri"/>
          <w:sz w:val="20"/>
          <w:vertAlign w:val="superscript"/>
        </w:rPr>
        <w:t>52</w:t>
      </w:r>
      <w:r>
        <w:rPr>
          <w:rFonts w:ascii="Calibri"/>
          <w:sz w:val="20"/>
          <w:vertAlign w:val="baseline"/>
        </w:rPr>
        <w:t>(2001)</w:t>
      </w:r>
      <w:r>
        <w:rPr>
          <w:rFonts w:ascii="Calibri"/>
          <w:spacing w:val="-1"/>
          <w:sz w:val="20"/>
          <w:vertAlign w:val="baseline"/>
        </w:rPr>
        <w:t> </w:t>
      </w:r>
      <w:r>
        <w:rPr>
          <w:rFonts w:ascii="Calibri"/>
          <w:sz w:val="20"/>
          <w:vertAlign w:val="baseline"/>
        </w:rPr>
        <w:t>15</w:t>
      </w:r>
      <w:r>
        <w:rPr>
          <w:rFonts w:ascii="Calibri"/>
          <w:spacing w:val="-3"/>
          <w:sz w:val="20"/>
          <w:vertAlign w:val="baseline"/>
        </w:rPr>
        <w:t> </w:t>
      </w:r>
      <w:r>
        <w:rPr>
          <w:rFonts w:ascii="Calibri"/>
          <w:sz w:val="20"/>
          <w:vertAlign w:val="baseline"/>
        </w:rPr>
        <w:t>NWLR,</w:t>
      </w:r>
      <w:r>
        <w:rPr>
          <w:rFonts w:ascii="Calibri"/>
          <w:spacing w:val="-8"/>
          <w:sz w:val="20"/>
          <w:vertAlign w:val="baseline"/>
        </w:rPr>
        <w:t> </w:t>
      </w:r>
      <w:r>
        <w:rPr>
          <w:rFonts w:ascii="Calibri"/>
          <w:sz w:val="20"/>
          <w:vertAlign w:val="baseline"/>
        </w:rPr>
        <w:t>Pt.</w:t>
      </w:r>
      <w:r>
        <w:rPr>
          <w:rFonts w:ascii="Calibri"/>
          <w:spacing w:val="-5"/>
          <w:sz w:val="20"/>
          <w:vertAlign w:val="baseline"/>
        </w:rPr>
        <w:t> </w:t>
      </w:r>
      <w:r>
        <w:rPr>
          <w:rFonts w:ascii="Calibri"/>
          <w:sz w:val="20"/>
          <w:vertAlign w:val="baseline"/>
        </w:rPr>
        <w:t>737,</w:t>
      </w:r>
      <w:r>
        <w:rPr>
          <w:rFonts w:ascii="Calibri"/>
          <w:spacing w:val="-3"/>
          <w:sz w:val="20"/>
          <w:vertAlign w:val="baseline"/>
        </w:rPr>
        <w:t> </w:t>
      </w:r>
      <w:r>
        <w:rPr>
          <w:rFonts w:ascii="Calibri"/>
          <w:sz w:val="20"/>
          <w:vertAlign w:val="baseline"/>
        </w:rPr>
        <w:t>at</w:t>
      </w:r>
      <w:r>
        <w:rPr>
          <w:rFonts w:ascii="Calibri"/>
          <w:spacing w:val="-3"/>
          <w:sz w:val="20"/>
          <w:vertAlign w:val="baseline"/>
        </w:rPr>
        <w:t> </w:t>
      </w:r>
      <w:r>
        <w:rPr>
          <w:rFonts w:ascii="Calibri"/>
          <w:spacing w:val="-4"/>
          <w:sz w:val="20"/>
          <w:vertAlign w:val="baseline"/>
        </w:rPr>
        <w:t>709.</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left="1388" w:right="228"/>
        <w:jc w:val="both"/>
      </w:pPr>
      <w:r>
        <w:rPr/>
        <w:t>are allowed to temporarily delegate their functions under the articles of a company, while in the case of an assignee director, such delegation of</w:t>
      </w:r>
      <w:r>
        <w:rPr>
          <w:spacing w:val="40"/>
        </w:rPr>
        <w:t> </w:t>
      </w:r>
      <w:r>
        <w:rPr/>
        <w:t>powers and duties is of a more permanent nature.</w:t>
      </w:r>
      <w:r>
        <w:rPr>
          <w:vertAlign w:val="superscript"/>
        </w:rPr>
        <w:t>53</w:t>
      </w:r>
    </w:p>
    <w:p>
      <w:pPr>
        <w:pStyle w:val="ListParagraph"/>
        <w:numPr>
          <w:ilvl w:val="0"/>
          <w:numId w:val="10"/>
        </w:numPr>
        <w:tabs>
          <w:tab w:pos="1386" w:val="left" w:leader="none"/>
          <w:tab w:pos="1388" w:val="left" w:leader="none"/>
        </w:tabs>
        <w:spacing w:line="480" w:lineRule="auto" w:before="0" w:after="0"/>
        <w:ind w:left="1388" w:right="225" w:hanging="720"/>
        <w:jc w:val="both"/>
        <w:rPr>
          <w:sz w:val="24"/>
        </w:rPr>
      </w:pPr>
      <w:r>
        <w:rPr>
          <w:i/>
          <w:sz w:val="24"/>
        </w:rPr>
        <w:t>Managing Director:-</w:t>
      </w:r>
      <w:r>
        <w:rPr>
          <w:sz w:val="24"/>
        </w:rPr>
        <w:t>This is a title usually employed for the chief executive officer of the company: the head of </w:t>
      </w:r>
      <w:r>
        <w:rPr>
          <w:i/>
          <w:sz w:val="24"/>
        </w:rPr>
        <w:t>management</w:t>
      </w:r>
      <w:r>
        <w:rPr>
          <w:sz w:val="24"/>
        </w:rPr>
        <w:t>. The holder of this title takes full responsibility for the activities of the company and derives his powers from delegation by the board, in accordance with the articles of association. The law recognizes the office in question in that s.64(b) </w:t>
      </w:r>
      <w:r>
        <w:rPr>
          <w:i/>
          <w:sz w:val="24"/>
        </w:rPr>
        <w:t>permits </w:t>
      </w:r>
      <w:r>
        <w:rPr>
          <w:sz w:val="24"/>
        </w:rPr>
        <w:t>the board of directors to, from time to time, appoint one or more of their</w:t>
      </w:r>
      <w:r>
        <w:rPr>
          <w:spacing w:val="40"/>
          <w:sz w:val="24"/>
        </w:rPr>
        <w:t> </w:t>
      </w:r>
      <w:r>
        <w:rPr>
          <w:sz w:val="24"/>
        </w:rPr>
        <w:t>body to the office of managing director and delegate all or any of their powers to such managing director. S.263(5) further provides that, in the exercise of the powers so delegated to him, he shall conform to any regulations that may be made by the directors. He is therefore answerable to the board. It is important to note that a </w:t>
      </w:r>
      <w:r>
        <w:rPr>
          <w:i/>
          <w:sz w:val="24"/>
        </w:rPr>
        <w:t>managing director </w:t>
      </w:r>
      <w:r>
        <w:rPr>
          <w:sz w:val="24"/>
        </w:rPr>
        <w:t>is, prima facie, a </w:t>
      </w:r>
      <w:r>
        <w:rPr>
          <w:i/>
          <w:sz w:val="24"/>
        </w:rPr>
        <w:t>director </w:t>
      </w:r>
      <w:r>
        <w:rPr>
          <w:sz w:val="24"/>
        </w:rPr>
        <w:t>within the meaning of</w:t>
      </w:r>
      <w:r>
        <w:rPr>
          <w:spacing w:val="-3"/>
          <w:sz w:val="24"/>
        </w:rPr>
        <w:t> </w:t>
      </w:r>
      <w:r>
        <w:rPr>
          <w:sz w:val="24"/>
        </w:rPr>
        <w:t>the law. The Supreme Court emphasized this fact in </w:t>
      </w:r>
      <w:r>
        <w:rPr>
          <w:b/>
          <w:sz w:val="24"/>
        </w:rPr>
        <w:t>Longe vs. First Bank of Nig. Plc</w:t>
      </w:r>
      <w:r>
        <w:rPr>
          <w:sz w:val="24"/>
        </w:rPr>
        <w:t>.,</w:t>
      </w:r>
      <w:r>
        <w:rPr>
          <w:sz w:val="24"/>
          <w:vertAlign w:val="superscript"/>
        </w:rPr>
        <w:t>54</w:t>
      </w:r>
      <w:r>
        <w:rPr>
          <w:sz w:val="24"/>
          <w:vertAlign w:val="baseline"/>
        </w:rPr>
        <w:t> when it stated</w:t>
      </w:r>
      <w:r>
        <w:rPr>
          <w:spacing w:val="-1"/>
          <w:sz w:val="24"/>
          <w:vertAlign w:val="baseline"/>
        </w:rPr>
        <w:t> </w:t>
      </w:r>
      <w:r>
        <w:rPr>
          <w:sz w:val="24"/>
          <w:vertAlign w:val="baseline"/>
        </w:rPr>
        <w:t>that, ―under any definition, a managing director is the directing mind and will and the </w:t>
      </w:r>
      <w:r>
        <w:rPr>
          <w:i/>
          <w:sz w:val="24"/>
          <w:vertAlign w:val="baseline"/>
        </w:rPr>
        <w:t>alter ego </w:t>
      </w:r>
      <w:r>
        <w:rPr>
          <w:sz w:val="24"/>
          <w:vertAlign w:val="baseline"/>
        </w:rPr>
        <w:t>of the company, through which the company acts.‖</w:t>
      </w:r>
      <w:r>
        <w:rPr>
          <w:sz w:val="24"/>
          <w:vertAlign w:val="superscript"/>
        </w:rPr>
        <w:t>55</w:t>
      </w:r>
      <w:r>
        <w:rPr>
          <w:sz w:val="24"/>
          <w:vertAlign w:val="baseline"/>
        </w:rPr>
        <w:t> Subject</w:t>
      </w:r>
      <w:r>
        <w:rPr>
          <w:spacing w:val="40"/>
          <w:sz w:val="24"/>
          <w:vertAlign w:val="baseline"/>
        </w:rPr>
        <w:t> </w:t>
      </w:r>
      <w:r>
        <w:rPr>
          <w:sz w:val="24"/>
          <w:vertAlign w:val="baseline"/>
        </w:rPr>
        <w:t>to the</w:t>
      </w:r>
      <w:r>
        <w:rPr>
          <w:spacing w:val="40"/>
          <w:sz w:val="24"/>
          <w:vertAlign w:val="baseline"/>
        </w:rPr>
        <w:t> </w:t>
      </w:r>
      <w:r>
        <w:rPr>
          <w:sz w:val="24"/>
          <w:vertAlign w:val="baseline"/>
        </w:rPr>
        <w:t>terms of any employment contract between him and the company, he shall also be</w:t>
      </w:r>
      <w:r>
        <w:rPr>
          <w:spacing w:val="-2"/>
          <w:sz w:val="24"/>
          <w:vertAlign w:val="baseline"/>
        </w:rPr>
        <w:t> </w:t>
      </w:r>
      <w:r>
        <w:rPr>
          <w:sz w:val="24"/>
          <w:vertAlign w:val="baseline"/>
        </w:rPr>
        <w:t>entitled</w:t>
      </w:r>
      <w:r>
        <w:rPr>
          <w:spacing w:val="-1"/>
          <w:sz w:val="24"/>
          <w:vertAlign w:val="baseline"/>
        </w:rPr>
        <w:t> </w:t>
      </w:r>
      <w:r>
        <w:rPr>
          <w:sz w:val="24"/>
          <w:vertAlign w:val="baseline"/>
        </w:rPr>
        <w:t>to remuneration</w:t>
      </w:r>
      <w:r>
        <w:rPr>
          <w:spacing w:val="-6"/>
          <w:sz w:val="24"/>
          <w:vertAlign w:val="baseline"/>
        </w:rPr>
        <w:t> </w:t>
      </w:r>
      <w:r>
        <w:rPr>
          <w:sz w:val="24"/>
          <w:vertAlign w:val="baseline"/>
        </w:rPr>
        <w:t>determined by</w:t>
      </w:r>
      <w:r>
        <w:rPr>
          <w:spacing w:val="-6"/>
          <w:sz w:val="24"/>
          <w:vertAlign w:val="baseline"/>
        </w:rPr>
        <w:t> </w:t>
      </w:r>
      <w:r>
        <w:rPr>
          <w:sz w:val="24"/>
          <w:vertAlign w:val="baseline"/>
        </w:rPr>
        <w:t>the directors.</w:t>
      </w:r>
      <w:r>
        <w:rPr>
          <w:sz w:val="24"/>
          <w:vertAlign w:val="superscript"/>
        </w:rPr>
        <w:t>56</w:t>
      </w:r>
      <w:r>
        <w:rPr>
          <w:sz w:val="24"/>
          <w:vertAlign w:val="baseline"/>
        </w:rPr>
        <w:t> The managing director is usually, though not necessarily, a member of the board of</w:t>
      </w:r>
      <w:r>
        <w:rPr>
          <w:spacing w:val="40"/>
          <w:sz w:val="24"/>
          <w:vertAlign w:val="baseline"/>
        </w:rPr>
        <w:t> </w:t>
      </w:r>
      <w:r>
        <w:rPr>
          <w:sz w:val="24"/>
          <w:vertAlign w:val="baseline"/>
        </w:rPr>
        <w:t>directors</w:t>
      </w:r>
      <w:r>
        <w:rPr>
          <w:spacing w:val="23"/>
          <w:sz w:val="24"/>
          <w:vertAlign w:val="baseline"/>
        </w:rPr>
        <w:t> </w:t>
      </w:r>
      <w:r>
        <w:rPr>
          <w:sz w:val="24"/>
          <w:vertAlign w:val="baseline"/>
        </w:rPr>
        <w:t>of</w:t>
      </w:r>
      <w:r>
        <w:rPr>
          <w:spacing w:val="17"/>
          <w:sz w:val="24"/>
          <w:vertAlign w:val="baseline"/>
        </w:rPr>
        <w:t> </w:t>
      </w:r>
      <w:r>
        <w:rPr>
          <w:sz w:val="24"/>
          <w:vertAlign w:val="baseline"/>
        </w:rPr>
        <w:t>the</w:t>
      </w:r>
      <w:r>
        <w:rPr>
          <w:spacing w:val="24"/>
          <w:sz w:val="24"/>
          <w:vertAlign w:val="baseline"/>
        </w:rPr>
        <w:t> </w:t>
      </w:r>
      <w:r>
        <w:rPr>
          <w:sz w:val="24"/>
          <w:vertAlign w:val="baseline"/>
        </w:rPr>
        <w:t>company,</w:t>
      </w:r>
      <w:r>
        <w:rPr>
          <w:spacing w:val="32"/>
          <w:sz w:val="24"/>
          <w:vertAlign w:val="baseline"/>
        </w:rPr>
        <w:t> </w:t>
      </w:r>
      <w:r>
        <w:rPr>
          <w:sz w:val="24"/>
          <w:vertAlign w:val="baseline"/>
        </w:rPr>
        <w:t>so</w:t>
      </w:r>
      <w:r>
        <w:rPr>
          <w:spacing w:val="29"/>
          <w:sz w:val="24"/>
          <w:vertAlign w:val="baseline"/>
        </w:rPr>
        <w:t> </w:t>
      </w:r>
      <w:r>
        <w:rPr>
          <w:sz w:val="24"/>
          <w:vertAlign w:val="baseline"/>
        </w:rPr>
        <w:t>that</w:t>
      </w:r>
      <w:r>
        <w:rPr>
          <w:spacing w:val="30"/>
          <w:sz w:val="24"/>
          <w:vertAlign w:val="baseline"/>
        </w:rPr>
        <w:t> </w:t>
      </w:r>
      <w:r>
        <w:rPr>
          <w:sz w:val="24"/>
          <w:vertAlign w:val="baseline"/>
        </w:rPr>
        <w:t>he</w:t>
      </w:r>
      <w:r>
        <w:rPr>
          <w:spacing w:val="29"/>
          <w:sz w:val="24"/>
          <w:vertAlign w:val="baseline"/>
        </w:rPr>
        <w:t> </w:t>
      </w:r>
      <w:r>
        <w:rPr>
          <w:sz w:val="24"/>
          <w:vertAlign w:val="baseline"/>
        </w:rPr>
        <w:t>holds</w:t>
      </w:r>
      <w:r>
        <w:rPr>
          <w:spacing w:val="27"/>
          <w:sz w:val="24"/>
          <w:vertAlign w:val="baseline"/>
        </w:rPr>
        <w:t> </w:t>
      </w:r>
      <w:r>
        <w:rPr>
          <w:sz w:val="24"/>
          <w:vertAlign w:val="baseline"/>
        </w:rPr>
        <w:t>dual</w:t>
      </w:r>
      <w:r>
        <w:rPr>
          <w:spacing w:val="25"/>
          <w:sz w:val="24"/>
          <w:vertAlign w:val="baseline"/>
        </w:rPr>
        <w:t> </w:t>
      </w:r>
      <w:r>
        <w:rPr>
          <w:sz w:val="24"/>
          <w:vertAlign w:val="baseline"/>
        </w:rPr>
        <w:t>positions</w:t>
      </w:r>
      <w:r>
        <w:rPr>
          <w:spacing w:val="27"/>
          <w:sz w:val="24"/>
          <w:vertAlign w:val="baseline"/>
        </w:rPr>
        <w:t> </w:t>
      </w:r>
      <w:r>
        <w:rPr>
          <w:sz w:val="24"/>
          <w:vertAlign w:val="baseline"/>
        </w:rPr>
        <w:t>both</w:t>
      </w:r>
      <w:r>
        <w:rPr>
          <w:spacing w:val="20"/>
          <w:sz w:val="24"/>
          <w:vertAlign w:val="baseline"/>
        </w:rPr>
        <w:t> </w:t>
      </w:r>
      <w:r>
        <w:rPr>
          <w:sz w:val="24"/>
          <w:vertAlign w:val="baseline"/>
        </w:rPr>
        <w:t>as</w:t>
      </w:r>
      <w:r>
        <w:rPr>
          <w:spacing w:val="27"/>
          <w:sz w:val="24"/>
          <w:vertAlign w:val="baseline"/>
        </w:rPr>
        <w:t> </w:t>
      </w:r>
      <w:r>
        <w:rPr>
          <w:sz w:val="24"/>
          <w:vertAlign w:val="baseline"/>
        </w:rPr>
        <w:t>alter</w:t>
      </w:r>
      <w:r>
        <w:rPr>
          <w:spacing w:val="26"/>
          <w:sz w:val="24"/>
          <w:vertAlign w:val="baseline"/>
        </w:rPr>
        <w:t> </w:t>
      </w:r>
      <w:r>
        <w:rPr>
          <w:sz w:val="24"/>
          <w:vertAlign w:val="baseline"/>
        </w:rPr>
        <w:t>ego</w:t>
      </w:r>
    </w:p>
    <w:p>
      <w:pPr>
        <w:pStyle w:val="BodyText"/>
        <w:ind w:left="0"/>
        <w:rPr>
          <w:sz w:val="20"/>
        </w:rPr>
      </w:pPr>
    </w:p>
    <w:p>
      <w:pPr>
        <w:pStyle w:val="BodyText"/>
        <w:ind w:left="0"/>
        <w:rPr>
          <w:sz w:val="20"/>
        </w:rPr>
      </w:pPr>
    </w:p>
    <w:p>
      <w:pPr>
        <w:pStyle w:val="BodyText"/>
        <w:spacing w:before="62"/>
        <w:ind w:left="0"/>
        <w:rPr>
          <w:sz w:val="20"/>
        </w:rPr>
      </w:pPr>
      <w:r>
        <w:rPr/>
        <mc:AlternateContent>
          <mc:Choice Requires="wps">
            <w:drawing>
              <wp:anchor distT="0" distB="0" distL="0" distR="0" allowOverlap="1" layoutInCell="1" locked="0" behindDoc="1" simplePos="0" relativeHeight="487627264">
                <wp:simplePos x="0" y="0"/>
                <wp:positionH relativeFrom="page">
                  <wp:posOffset>1262481</wp:posOffset>
                </wp:positionH>
                <wp:positionV relativeFrom="paragraph">
                  <wp:posOffset>200831</wp:posOffset>
                </wp:positionV>
                <wp:extent cx="1829435" cy="9525"/>
                <wp:effectExtent l="0" t="0" r="0" b="0"/>
                <wp:wrapTopAndBottom/>
                <wp:docPr id="87" name="Graphic 87"/>
                <wp:cNvGraphicFramePr>
                  <a:graphicFrameLocks/>
                </wp:cNvGraphicFramePr>
                <a:graphic>
                  <a:graphicData uri="http://schemas.microsoft.com/office/word/2010/wordprocessingShape">
                    <wps:wsp>
                      <wps:cNvPr id="87" name="Graphic 87"/>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5.813486pt;width:144.050pt;height:.72003pt;mso-position-horizontal-relative:page;mso-position-vertical-relative:paragraph;z-index:-15689216;mso-wrap-distance-left:0;mso-wrap-distance-right:0" id="docshape4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53</w:t>
      </w:r>
      <w:r>
        <w:rPr>
          <w:rFonts w:ascii="Calibri"/>
          <w:sz w:val="20"/>
          <w:vertAlign w:val="baseline"/>
        </w:rPr>
        <w:t>Bhadmus,</w:t>
      </w:r>
      <w:r>
        <w:rPr>
          <w:rFonts w:ascii="Calibri"/>
          <w:spacing w:val="-7"/>
          <w:sz w:val="20"/>
          <w:vertAlign w:val="baseline"/>
        </w:rPr>
        <w:t> </w:t>
      </w:r>
      <w:r>
        <w:rPr>
          <w:rFonts w:ascii="Calibri"/>
          <w:sz w:val="20"/>
          <w:vertAlign w:val="baseline"/>
        </w:rPr>
        <w:t>Y.H.</w:t>
      </w:r>
      <w:r>
        <w:rPr>
          <w:rFonts w:ascii="Calibri"/>
          <w:spacing w:val="-7"/>
          <w:sz w:val="20"/>
          <w:vertAlign w:val="baseline"/>
        </w:rPr>
        <w:t> </w:t>
      </w:r>
      <w:r>
        <w:rPr>
          <w:rFonts w:ascii="Calibri"/>
          <w:sz w:val="20"/>
          <w:vertAlign w:val="baseline"/>
        </w:rPr>
        <w:t>(2009).</w:t>
      </w:r>
      <w:r>
        <w:rPr>
          <w:rFonts w:ascii="Calibri"/>
          <w:spacing w:val="-5"/>
          <w:sz w:val="20"/>
          <w:vertAlign w:val="baseline"/>
        </w:rPr>
        <w:t> </w:t>
      </w:r>
      <w:r>
        <w:rPr>
          <w:rFonts w:ascii="Calibri"/>
          <w:i/>
          <w:sz w:val="20"/>
          <w:vertAlign w:val="baseline"/>
        </w:rPr>
        <w:t>Bhadmus</w:t>
      </w:r>
      <w:r>
        <w:rPr>
          <w:rFonts w:ascii="Calibri"/>
          <w:i/>
          <w:spacing w:val="-9"/>
          <w:sz w:val="20"/>
          <w:vertAlign w:val="baseline"/>
        </w:rPr>
        <w:t> </w:t>
      </w:r>
      <w:r>
        <w:rPr>
          <w:rFonts w:ascii="Calibri"/>
          <w:i/>
          <w:sz w:val="20"/>
          <w:vertAlign w:val="baseline"/>
        </w:rPr>
        <w:t>on</w:t>
      </w:r>
      <w:r>
        <w:rPr>
          <w:rFonts w:ascii="Calibri"/>
          <w:i/>
          <w:spacing w:val="-7"/>
          <w:sz w:val="20"/>
          <w:vertAlign w:val="baseline"/>
        </w:rPr>
        <w:t> </w:t>
      </w:r>
      <w:r>
        <w:rPr>
          <w:rFonts w:ascii="Calibri"/>
          <w:i/>
          <w:sz w:val="20"/>
          <w:vertAlign w:val="baseline"/>
        </w:rPr>
        <w:t>Corporate</w:t>
      </w:r>
      <w:r>
        <w:rPr>
          <w:rFonts w:ascii="Calibri"/>
          <w:i/>
          <w:spacing w:val="-9"/>
          <w:sz w:val="20"/>
          <w:vertAlign w:val="baseline"/>
        </w:rPr>
        <w:t> </w:t>
      </w:r>
      <w:r>
        <w:rPr>
          <w:rFonts w:ascii="Calibri"/>
          <w:i/>
          <w:sz w:val="20"/>
          <w:vertAlign w:val="baseline"/>
        </w:rPr>
        <w:t>Law</w:t>
      </w:r>
      <w:r>
        <w:rPr>
          <w:rFonts w:ascii="Calibri"/>
          <w:i/>
          <w:spacing w:val="-9"/>
          <w:sz w:val="20"/>
          <w:vertAlign w:val="baseline"/>
        </w:rPr>
        <w:t> </w:t>
      </w:r>
      <w:r>
        <w:rPr>
          <w:rFonts w:ascii="Calibri"/>
          <w:i/>
          <w:sz w:val="20"/>
          <w:vertAlign w:val="baseline"/>
        </w:rPr>
        <w:t>Practice,</w:t>
      </w:r>
      <w:r>
        <w:rPr>
          <w:rFonts w:ascii="Calibri"/>
          <w:sz w:val="20"/>
          <w:vertAlign w:val="baseline"/>
        </w:rPr>
        <w:t>Chenglo</w:t>
      </w:r>
      <w:r>
        <w:rPr>
          <w:rFonts w:ascii="Calibri"/>
          <w:spacing w:val="-8"/>
          <w:sz w:val="20"/>
          <w:vertAlign w:val="baseline"/>
        </w:rPr>
        <w:t> </w:t>
      </w:r>
      <w:r>
        <w:rPr>
          <w:rFonts w:ascii="Calibri"/>
          <w:sz w:val="20"/>
          <w:vertAlign w:val="baseline"/>
        </w:rPr>
        <w:t>Limited,</w:t>
      </w:r>
      <w:r>
        <w:rPr>
          <w:rFonts w:ascii="Calibri"/>
          <w:spacing w:val="-11"/>
          <w:sz w:val="20"/>
          <w:vertAlign w:val="baseline"/>
        </w:rPr>
        <w:t> </w:t>
      </w:r>
      <w:r>
        <w:rPr>
          <w:rFonts w:ascii="Calibri"/>
          <w:sz w:val="20"/>
          <w:vertAlign w:val="baseline"/>
        </w:rPr>
        <w:t>Enugu,</w:t>
      </w:r>
      <w:r>
        <w:rPr>
          <w:rFonts w:ascii="Calibri"/>
          <w:spacing w:val="-6"/>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177.</w:t>
      </w:r>
    </w:p>
    <w:p>
      <w:pPr>
        <w:spacing w:before="1"/>
        <w:ind w:left="308" w:right="0" w:firstLine="0"/>
        <w:jc w:val="left"/>
        <w:rPr>
          <w:rFonts w:ascii="Calibri"/>
          <w:sz w:val="20"/>
        </w:rPr>
      </w:pPr>
      <w:r>
        <w:rPr>
          <w:rFonts w:ascii="Calibri"/>
          <w:sz w:val="20"/>
          <w:vertAlign w:val="superscript"/>
        </w:rPr>
        <w:t>54</w:t>
      </w:r>
      <w:r>
        <w:rPr>
          <w:rFonts w:ascii="Calibri"/>
          <w:sz w:val="20"/>
          <w:vertAlign w:val="baseline"/>
        </w:rPr>
        <w:t>(2010)</w:t>
      </w:r>
      <w:r>
        <w:rPr>
          <w:rFonts w:ascii="Calibri"/>
          <w:spacing w:val="-4"/>
          <w:sz w:val="20"/>
          <w:vertAlign w:val="baseline"/>
        </w:rPr>
        <w:t> </w:t>
      </w:r>
      <w:r>
        <w:rPr>
          <w:rFonts w:ascii="Calibri"/>
          <w:spacing w:val="-2"/>
          <w:sz w:val="20"/>
          <w:vertAlign w:val="baseline"/>
        </w:rPr>
        <w:t>Supra.</w:t>
      </w:r>
    </w:p>
    <w:p>
      <w:pPr>
        <w:spacing w:before="0"/>
        <w:ind w:left="308" w:right="0" w:firstLine="0"/>
        <w:jc w:val="left"/>
        <w:rPr>
          <w:rFonts w:ascii="Calibri"/>
          <w:sz w:val="20"/>
        </w:rPr>
      </w:pPr>
      <w:r>
        <w:rPr>
          <w:rFonts w:ascii="Calibri"/>
          <w:sz w:val="20"/>
          <w:vertAlign w:val="superscript"/>
        </w:rPr>
        <w:t>55</w:t>
      </w:r>
      <w:r>
        <w:rPr>
          <w:rFonts w:ascii="Calibri"/>
          <w:sz w:val="20"/>
          <w:vertAlign w:val="baseline"/>
        </w:rPr>
        <w:t>Per</w:t>
      </w:r>
      <w:r>
        <w:rPr>
          <w:rFonts w:ascii="Calibri"/>
          <w:spacing w:val="-4"/>
          <w:sz w:val="20"/>
          <w:vertAlign w:val="baseline"/>
        </w:rPr>
        <w:t> </w:t>
      </w:r>
      <w:r>
        <w:rPr>
          <w:rFonts w:ascii="Calibri"/>
          <w:sz w:val="20"/>
          <w:vertAlign w:val="baseline"/>
        </w:rPr>
        <w:t>Oguntade,</w:t>
      </w:r>
      <w:r>
        <w:rPr>
          <w:rFonts w:ascii="Calibri"/>
          <w:spacing w:val="-2"/>
          <w:sz w:val="20"/>
          <w:vertAlign w:val="baseline"/>
        </w:rPr>
        <w:t> </w:t>
      </w:r>
      <w:r>
        <w:rPr>
          <w:rFonts w:ascii="Calibri"/>
          <w:sz w:val="20"/>
          <w:vertAlign w:val="baseline"/>
        </w:rPr>
        <w:t>JSC,</w:t>
      </w:r>
      <w:r>
        <w:rPr>
          <w:rFonts w:ascii="Calibri"/>
          <w:spacing w:val="-3"/>
          <w:sz w:val="20"/>
          <w:vertAlign w:val="baseline"/>
        </w:rPr>
        <w:t> </w:t>
      </w:r>
      <w:r>
        <w:rPr>
          <w:rFonts w:ascii="Calibri"/>
          <w:sz w:val="20"/>
          <w:vertAlign w:val="baseline"/>
        </w:rPr>
        <w:t>at</w:t>
      </w:r>
      <w:r>
        <w:rPr>
          <w:rFonts w:ascii="Calibri"/>
          <w:spacing w:val="-6"/>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295.</w:t>
      </w:r>
    </w:p>
    <w:p>
      <w:pPr>
        <w:spacing w:before="1"/>
        <w:ind w:left="308" w:right="0" w:firstLine="0"/>
        <w:jc w:val="left"/>
        <w:rPr>
          <w:rFonts w:ascii="Calibri"/>
          <w:sz w:val="20"/>
        </w:rPr>
      </w:pPr>
      <w:r>
        <w:rPr>
          <w:rFonts w:ascii="Calibri"/>
          <w:sz w:val="20"/>
          <w:vertAlign w:val="superscript"/>
        </w:rPr>
        <w:t>56</w:t>
      </w:r>
      <w:r>
        <w:rPr>
          <w:rFonts w:ascii="Calibri"/>
          <w:sz w:val="20"/>
          <w:vertAlign w:val="baseline"/>
        </w:rPr>
        <w:t> Refer</w:t>
      </w:r>
      <w:r>
        <w:rPr>
          <w:rFonts w:ascii="Calibri"/>
          <w:spacing w:val="-5"/>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s.268(1)</w:t>
      </w:r>
      <w:r>
        <w:rPr>
          <w:rFonts w:ascii="Calibri"/>
          <w:spacing w:val="-5"/>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the</w:t>
      </w:r>
      <w:r>
        <w:rPr>
          <w:rFonts w:ascii="Calibri"/>
          <w:spacing w:val="-2"/>
          <w:sz w:val="20"/>
          <w:vertAlign w:val="baseline"/>
        </w:rPr>
        <w:t> </w:t>
      </w:r>
      <w:r>
        <w:rPr>
          <w:rFonts w:ascii="Calibri"/>
          <w:spacing w:val="-4"/>
          <w:sz w:val="20"/>
          <w:vertAlign w:val="baseline"/>
        </w:rPr>
        <w:t>CAMA.</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left="1388" w:right="231"/>
        <w:jc w:val="both"/>
      </w:pPr>
      <w:r>
        <w:rPr/>
        <w:t>and employee of the company.</w:t>
      </w:r>
      <w:r>
        <w:rPr>
          <w:vertAlign w:val="superscript"/>
        </w:rPr>
        <w:t>57</w:t>
      </w:r>
      <w:r>
        <w:rPr>
          <w:vertAlign w:val="baseline"/>
        </w:rPr>
        <w:t> This implication can be drawn from the wordings of s.64(b) CAMA. He also ceases to hold office, if for any reason he ceases to hold office as a director.</w:t>
      </w:r>
      <w:r>
        <w:rPr>
          <w:vertAlign w:val="superscript"/>
        </w:rPr>
        <w:t>58</w:t>
      </w:r>
      <w:r>
        <w:rPr>
          <w:vertAlign w:val="baseline"/>
        </w:rPr>
        <w:t> Corporate codes of ethics available today suggest that the board should, as much as possible, be independent of management in order to play the role of overseer to check the excesses of executive</w:t>
      </w:r>
      <w:r>
        <w:rPr>
          <w:spacing w:val="-4"/>
          <w:vertAlign w:val="baseline"/>
        </w:rPr>
        <w:t> </w:t>
      </w:r>
      <w:r>
        <w:rPr>
          <w:vertAlign w:val="baseline"/>
        </w:rPr>
        <w:t>directors.</w:t>
      </w:r>
      <w:r>
        <w:rPr>
          <w:vertAlign w:val="superscript"/>
        </w:rPr>
        <w:t>59</w:t>
      </w:r>
      <w:r>
        <w:rPr>
          <w:spacing w:val="-1"/>
          <w:vertAlign w:val="baseline"/>
        </w:rPr>
        <w:t> </w:t>
      </w:r>
      <w:r>
        <w:rPr>
          <w:vertAlign w:val="baseline"/>
        </w:rPr>
        <w:t>Therefore,</w:t>
      </w:r>
      <w:r>
        <w:rPr>
          <w:spacing w:val="-1"/>
          <w:vertAlign w:val="baseline"/>
        </w:rPr>
        <w:t> </w:t>
      </w:r>
      <w:r>
        <w:rPr>
          <w:vertAlign w:val="baseline"/>
        </w:rPr>
        <w:t>ideally,</w:t>
      </w:r>
      <w:r>
        <w:rPr>
          <w:spacing w:val="-1"/>
          <w:vertAlign w:val="baseline"/>
        </w:rPr>
        <w:t> </w:t>
      </w:r>
      <w:r>
        <w:rPr>
          <w:vertAlign w:val="baseline"/>
        </w:rPr>
        <w:t>the managing</w:t>
      </w:r>
      <w:r>
        <w:rPr>
          <w:spacing w:val="-3"/>
          <w:vertAlign w:val="baseline"/>
        </w:rPr>
        <w:t> </w:t>
      </w:r>
      <w:r>
        <w:rPr>
          <w:vertAlign w:val="baseline"/>
        </w:rPr>
        <w:t>director</w:t>
      </w:r>
      <w:r>
        <w:rPr>
          <w:spacing w:val="-2"/>
          <w:vertAlign w:val="baseline"/>
        </w:rPr>
        <w:t> </w:t>
      </w:r>
      <w:r>
        <w:rPr>
          <w:vertAlign w:val="baseline"/>
        </w:rPr>
        <w:t>should not,</w:t>
      </w:r>
      <w:r>
        <w:rPr>
          <w:spacing w:val="-6"/>
          <w:vertAlign w:val="baseline"/>
        </w:rPr>
        <w:t> </w:t>
      </w:r>
      <w:r>
        <w:rPr>
          <w:vertAlign w:val="baseline"/>
        </w:rPr>
        <w:t>at the same time, be the chairman of the board, although he may be a board member.</w:t>
      </w:r>
      <w:r>
        <w:rPr>
          <w:vertAlign w:val="superscript"/>
        </w:rPr>
        <w:t>60</w:t>
      </w:r>
      <w:r>
        <w:rPr>
          <w:vertAlign w:val="baseline"/>
        </w:rPr>
        <w:t> It is noteworthy</w:t>
      </w:r>
      <w:r>
        <w:rPr>
          <w:spacing w:val="-11"/>
          <w:vertAlign w:val="baseline"/>
        </w:rPr>
        <w:t> </w:t>
      </w:r>
      <w:r>
        <w:rPr>
          <w:vertAlign w:val="baseline"/>
        </w:rPr>
        <w:t>that the</w:t>
      </w:r>
      <w:r>
        <w:rPr>
          <w:spacing w:val="-3"/>
          <w:vertAlign w:val="baseline"/>
        </w:rPr>
        <w:t> </w:t>
      </w:r>
      <w:r>
        <w:rPr>
          <w:vertAlign w:val="baseline"/>
        </w:rPr>
        <w:t>CA neither mentions nor provides for</w:t>
      </w:r>
      <w:r>
        <w:rPr>
          <w:spacing w:val="-1"/>
          <w:vertAlign w:val="baseline"/>
        </w:rPr>
        <w:t> </w:t>
      </w:r>
      <w:r>
        <w:rPr>
          <w:vertAlign w:val="baseline"/>
        </w:rPr>
        <w:t>the managing director, leaving it entirely to the articles to do so.</w:t>
      </w:r>
    </w:p>
    <w:p>
      <w:pPr>
        <w:pStyle w:val="ListParagraph"/>
        <w:numPr>
          <w:ilvl w:val="0"/>
          <w:numId w:val="10"/>
        </w:numPr>
        <w:tabs>
          <w:tab w:pos="1386" w:val="left" w:leader="none"/>
          <w:tab w:pos="1388" w:val="left" w:leader="none"/>
        </w:tabs>
        <w:spacing w:line="480" w:lineRule="auto" w:before="2" w:after="0"/>
        <w:ind w:left="1388" w:right="222" w:hanging="720"/>
        <w:jc w:val="both"/>
        <w:rPr>
          <w:sz w:val="24"/>
        </w:rPr>
      </w:pPr>
      <w:r>
        <w:rPr>
          <w:i/>
          <w:sz w:val="24"/>
        </w:rPr>
        <w:t>Representative/Nominee Director:</w:t>
      </w:r>
      <w:r>
        <w:rPr>
          <w:sz w:val="24"/>
        </w:rPr>
        <w:t>-The CAMA prohibits corporate directorship, so that corporations by themselves and in their names, cannot occupy</w:t>
      </w:r>
      <w:r>
        <w:rPr>
          <w:spacing w:val="-8"/>
          <w:sz w:val="24"/>
        </w:rPr>
        <w:t> </w:t>
      </w:r>
      <w:r>
        <w:rPr>
          <w:sz w:val="24"/>
        </w:rPr>
        <w:t>the office of</w:t>
      </w:r>
      <w:r>
        <w:rPr>
          <w:spacing w:val="-6"/>
          <w:sz w:val="24"/>
        </w:rPr>
        <w:t> </w:t>
      </w:r>
      <w:r>
        <w:rPr>
          <w:sz w:val="24"/>
        </w:rPr>
        <w:t>director</w:t>
      </w:r>
      <w:r>
        <w:rPr>
          <w:spacing w:val="-1"/>
          <w:sz w:val="24"/>
        </w:rPr>
        <w:t> </w:t>
      </w:r>
      <w:r>
        <w:rPr>
          <w:sz w:val="24"/>
        </w:rPr>
        <w:t>in</w:t>
      </w:r>
      <w:r>
        <w:rPr>
          <w:spacing w:val="-3"/>
          <w:sz w:val="24"/>
        </w:rPr>
        <w:t> </w:t>
      </w:r>
      <w:r>
        <w:rPr>
          <w:sz w:val="24"/>
        </w:rPr>
        <w:t>any</w:t>
      </w:r>
      <w:r>
        <w:rPr>
          <w:spacing w:val="-3"/>
          <w:sz w:val="24"/>
        </w:rPr>
        <w:t> </w:t>
      </w:r>
      <w:r>
        <w:rPr>
          <w:sz w:val="24"/>
        </w:rPr>
        <w:t>company.</w:t>
      </w:r>
      <w:r>
        <w:rPr>
          <w:sz w:val="24"/>
          <w:vertAlign w:val="superscript"/>
        </w:rPr>
        <w:t>61</w:t>
      </w:r>
      <w:r>
        <w:rPr>
          <w:sz w:val="24"/>
          <w:vertAlign w:val="baseline"/>
        </w:rPr>
        <w:t> However, a </w:t>
      </w:r>
      <w:r>
        <w:rPr>
          <w:i/>
          <w:sz w:val="24"/>
          <w:vertAlign w:val="baseline"/>
        </w:rPr>
        <w:t>representative </w:t>
      </w:r>
      <w:r>
        <w:rPr>
          <w:sz w:val="24"/>
          <w:vertAlign w:val="baseline"/>
        </w:rPr>
        <w:t>of a company can be nominated and then appointed to the board of another company for a given term. In the particulars of</w:t>
      </w:r>
      <w:r>
        <w:rPr>
          <w:spacing w:val="-2"/>
          <w:sz w:val="24"/>
          <w:vertAlign w:val="baseline"/>
        </w:rPr>
        <w:t> </w:t>
      </w:r>
      <w:r>
        <w:rPr>
          <w:sz w:val="24"/>
          <w:vertAlign w:val="baseline"/>
        </w:rPr>
        <w:t>directors in the form</w:t>
      </w:r>
      <w:r>
        <w:rPr>
          <w:spacing w:val="-4"/>
          <w:sz w:val="24"/>
          <w:vertAlign w:val="baseline"/>
        </w:rPr>
        <w:t> </w:t>
      </w:r>
      <w:r>
        <w:rPr>
          <w:sz w:val="24"/>
          <w:vertAlign w:val="baseline"/>
        </w:rPr>
        <w:t>of Form CAC7 filed by the company, such a director is reflected as a representative/nominee of the company that has appointed him.</w:t>
      </w:r>
      <w:r>
        <w:rPr>
          <w:sz w:val="24"/>
          <w:vertAlign w:val="superscript"/>
        </w:rPr>
        <w:t>62</w:t>
      </w:r>
      <w:r>
        <w:rPr>
          <w:sz w:val="24"/>
          <w:vertAlign w:val="baseline"/>
        </w:rPr>
        <w:t> Where the articles permit,</w:t>
      </w:r>
      <w:r>
        <w:rPr>
          <w:sz w:val="24"/>
          <w:vertAlign w:val="superscript"/>
        </w:rPr>
        <w:t>63</w:t>
      </w:r>
      <w:r>
        <w:rPr>
          <w:sz w:val="24"/>
          <w:vertAlign w:val="baseline"/>
        </w:rPr>
        <w:t> a particular shareholder or class of shareholders or even a creditor, may be empowered to nominate a director on the board. The latter becomes a </w:t>
      </w:r>
      <w:r>
        <w:rPr>
          <w:i/>
          <w:sz w:val="24"/>
          <w:vertAlign w:val="baseline"/>
        </w:rPr>
        <w:t>nominee </w:t>
      </w:r>
      <w:r>
        <w:rPr>
          <w:sz w:val="24"/>
          <w:vertAlign w:val="baseline"/>
        </w:rPr>
        <w:t>of the shareholder or creditor.</w:t>
      </w:r>
    </w:p>
    <w:p>
      <w:pPr>
        <w:pStyle w:val="BodyText"/>
        <w:ind w:left="0"/>
        <w:rPr>
          <w:sz w:val="20"/>
        </w:rPr>
      </w:pPr>
    </w:p>
    <w:p>
      <w:pPr>
        <w:pStyle w:val="BodyText"/>
        <w:ind w:left="0"/>
        <w:rPr>
          <w:sz w:val="20"/>
        </w:rPr>
      </w:pPr>
    </w:p>
    <w:p>
      <w:pPr>
        <w:pStyle w:val="BodyText"/>
        <w:ind w:left="0"/>
        <w:rPr>
          <w:sz w:val="20"/>
        </w:rPr>
      </w:pPr>
    </w:p>
    <w:p>
      <w:pPr>
        <w:pStyle w:val="BodyText"/>
        <w:spacing w:before="21"/>
        <w:ind w:left="0"/>
        <w:rPr>
          <w:sz w:val="20"/>
        </w:rPr>
      </w:pPr>
      <w:r>
        <w:rPr/>
        <mc:AlternateContent>
          <mc:Choice Requires="wps">
            <w:drawing>
              <wp:anchor distT="0" distB="0" distL="0" distR="0" allowOverlap="1" layoutInCell="1" locked="0" behindDoc="1" simplePos="0" relativeHeight="487627776">
                <wp:simplePos x="0" y="0"/>
                <wp:positionH relativeFrom="page">
                  <wp:posOffset>1262481</wp:posOffset>
                </wp:positionH>
                <wp:positionV relativeFrom="paragraph">
                  <wp:posOffset>174973</wp:posOffset>
                </wp:positionV>
                <wp:extent cx="1829435" cy="9525"/>
                <wp:effectExtent l="0" t="0" r="0" b="0"/>
                <wp:wrapTopAndBottom/>
                <wp:docPr id="88" name="Graphic 88"/>
                <wp:cNvGraphicFramePr>
                  <a:graphicFrameLocks/>
                </wp:cNvGraphicFramePr>
                <a:graphic>
                  <a:graphicData uri="http://schemas.microsoft.com/office/word/2010/wordprocessingShape">
                    <wps:wsp>
                      <wps:cNvPr id="88" name="Graphic 88"/>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3.777431pt;width:144.050pt;height:.72003pt;mso-position-horizontal-relative:page;mso-position-vertical-relative:paragraph;z-index:-15688704;mso-wrap-distance-left:0;mso-wrap-distance-right:0" id="docshape43"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57</w:t>
      </w:r>
      <w:r>
        <w:rPr>
          <w:rFonts w:ascii="Calibri"/>
          <w:sz w:val="20"/>
          <w:vertAlign w:val="baseline"/>
        </w:rPr>
        <w:t>Ogbuanya,</w:t>
      </w:r>
      <w:r>
        <w:rPr>
          <w:rFonts w:ascii="Calibri"/>
          <w:spacing w:val="-10"/>
          <w:sz w:val="20"/>
          <w:vertAlign w:val="baseline"/>
        </w:rPr>
        <w:t> </w:t>
      </w:r>
      <w:r>
        <w:rPr>
          <w:rFonts w:ascii="Calibri"/>
          <w:sz w:val="20"/>
          <w:vertAlign w:val="baseline"/>
        </w:rPr>
        <w:t>N.C.S.</w:t>
      </w:r>
      <w:r>
        <w:rPr>
          <w:rFonts w:ascii="Calibri"/>
          <w:spacing w:val="-1"/>
          <w:sz w:val="20"/>
          <w:vertAlign w:val="baseline"/>
        </w:rPr>
        <w:t> </w:t>
      </w:r>
      <w:r>
        <w:rPr>
          <w:rFonts w:ascii="Calibri"/>
          <w:sz w:val="20"/>
          <w:vertAlign w:val="baseline"/>
        </w:rPr>
        <w:t>op.cit.,</w:t>
      </w:r>
      <w:r>
        <w:rPr>
          <w:rFonts w:ascii="Calibri"/>
          <w:spacing w:val="-8"/>
          <w:sz w:val="20"/>
          <w:vertAlign w:val="baseline"/>
        </w:rPr>
        <w:t> </w:t>
      </w:r>
      <w:r>
        <w:rPr>
          <w:rFonts w:ascii="Calibri"/>
          <w:sz w:val="20"/>
          <w:vertAlign w:val="baseline"/>
        </w:rPr>
        <w:t>p.</w:t>
      </w:r>
      <w:r>
        <w:rPr>
          <w:rFonts w:ascii="Calibri"/>
          <w:spacing w:val="-6"/>
          <w:sz w:val="20"/>
          <w:vertAlign w:val="baseline"/>
        </w:rPr>
        <w:t> </w:t>
      </w:r>
      <w:r>
        <w:rPr>
          <w:rFonts w:ascii="Calibri"/>
          <w:spacing w:val="-4"/>
          <w:sz w:val="20"/>
          <w:vertAlign w:val="baseline"/>
        </w:rPr>
        <w:t>325.</w:t>
      </w:r>
    </w:p>
    <w:p>
      <w:pPr>
        <w:spacing w:before="1"/>
        <w:ind w:left="308" w:right="0" w:firstLine="0"/>
        <w:jc w:val="both"/>
        <w:rPr>
          <w:rFonts w:ascii="Calibri"/>
          <w:sz w:val="20"/>
        </w:rPr>
      </w:pPr>
      <w:r>
        <w:rPr>
          <w:rFonts w:ascii="Calibri"/>
          <w:sz w:val="20"/>
          <w:vertAlign w:val="superscript"/>
        </w:rPr>
        <w:t>58</w:t>
      </w:r>
      <w:r>
        <w:rPr>
          <w:rFonts w:ascii="Calibri"/>
          <w:spacing w:val="-4"/>
          <w:sz w:val="20"/>
          <w:vertAlign w:val="baseline"/>
        </w:rPr>
        <w:t> </w:t>
      </w:r>
      <w:r>
        <w:rPr>
          <w:rFonts w:ascii="Calibri"/>
          <w:sz w:val="20"/>
          <w:vertAlign w:val="baseline"/>
        </w:rPr>
        <w:t>See</w:t>
      </w:r>
      <w:r>
        <w:rPr>
          <w:rFonts w:ascii="Calibri"/>
          <w:spacing w:val="-9"/>
          <w:sz w:val="20"/>
          <w:vertAlign w:val="baseline"/>
        </w:rPr>
        <w:t> </w:t>
      </w:r>
      <w:r>
        <w:rPr>
          <w:rFonts w:ascii="Calibri"/>
          <w:i/>
          <w:sz w:val="20"/>
          <w:vertAlign w:val="baseline"/>
        </w:rPr>
        <w:t>Yalaju-Amaye</w:t>
      </w:r>
      <w:r>
        <w:rPr>
          <w:rFonts w:ascii="Calibri"/>
          <w:i/>
          <w:spacing w:val="-10"/>
          <w:sz w:val="20"/>
          <w:vertAlign w:val="baseline"/>
        </w:rPr>
        <w:t> </w:t>
      </w:r>
      <w:r>
        <w:rPr>
          <w:rFonts w:ascii="Calibri"/>
          <w:i/>
          <w:sz w:val="20"/>
          <w:vertAlign w:val="baseline"/>
        </w:rPr>
        <w:t>vs.</w:t>
      </w:r>
      <w:r>
        <w:rPr>
          <w:rFonts w:ascii="Calibri"/>
          <w:i/>
          <w:spacing w:val="-8"/>
          <w:sz w:val="20"/>
          <w:vertAlign w:val="baseline"/>
        </w:rPr>
        <w:t> </w:t>
      </w:r>
      <w:r>
        <w:rPr>
          <w:rFonts w:ascii="Calibri"/>
          <w:i/>
          <w:sz w:val="20"/>
          <w:vertAlign w:val="baseline"/>
        </w:rPr>
        <w:t>Associated</w:t>
      </w:r>
      <w:r>
        <w:rPr>
          <w:rFonts w:ascii="Calibri"/>
          <w:i/>
          <w:spacing w:val="-9"/>
          <w:sz w:val="20"/>
          <w:vertAlign w:val="baseline"/>
        </w:rPr>
        <w:t> </w:t>
      </w:r>
      <w:r>
        <w:rPr>
          <w:rFonts w:ascii="Calibri"/>
          <w:i/>
          <w:sz w:val="20"/>
          <w:vertAlign w:val="baseline"/>
        </w:rPr>
        <w:t>Registered</w:t>
      </w:r>
      <w:r>
        <w:rPr>
          <w:rFonts w:ascii="Calibri"/>
          <w:i/>
          <w:spacing w:val="-8"/>
          <w:sz w:val="20"/>
          <w:vertAlign w:val="baseline"/>
        </w:rPr>
        <w:t> </w:t>
      </w:r>
      <w:r>
        <w:rPr>
          <w:rFonts w:ascii="Calibri"/>
          <w:i/>
          <w:sz w:val="20"/>
          <w:vertAlign w:val="baseline"/>
        </w:rPr>
        <w:t>Engineering</w:t>
      </w:r>
      <w:r>
        <w:rPr>
          <w:rFonts w:ascii="Calibri"/>
          <w:i/>
          <w:spacing w:val="-8"/>
          <w:sz w:val="20"/>
          <w:vertAlign w:val="baseline"/>
        </w:rPr>
        <w:t> </w:t>
      </w:r>
      <w:r>
        <w:rPr>
          <w:rFonts w:ascii="Calibri"/>
          <w:i/>
          <w:sz w:val="20"/>
          <w:vertAlign w:val="baseline"/>
        </w:rPr>
        <w:t>Contractors</w:t>
      </w:r>
      <w:r>
        <w:rPr>
          <w:rFonts w:ascii="Calibri"/>
          <w:i/>
          <w:spacing w:val="-10"/>
          <w:sz w:val="20"/>
          <w:vertAlign w:val="baseline"/>
        </w:rPr>
        <w:t> </w:t>
      </w:r>
      <w:r>
        <w:rPr>
          <w:rFonts w:ascii="Calibri"/>
          <w:i/>
          <w:sz w:val="20"/>
          <w:vertAlign w:val="baseline"/>
        </w:rPr>
        <w:t>Ltd</w:t>
      </w:r>
      <w:r>
        <w:rPr>
          <w:rFonts w:ascii="Calibri"/>
          <w:sz w:val="20"/>
          <w:vertAlign w:val="baseline"/>
        </w:rPr>
        <w:t>.</w:t>
      </w:r>
      <w:r>
        <w:rPr>
          <w:rFonts w:ascii="Calibri"/>
          <w:spacing w:val="-9"/>
          <w:sz w:val="20"/>
          <w:vertAlign w:val="baseline"/>
        </w:rPr>
        <w:t> </w:t>
      </w:r>
      <w:r>
        <w:rPr>
          <w:rFonts w:ascii="Calibri"/>
          <w:sz w:val="20"/>
          <w:vertAlign w:val="baseline"/>
        </w:rPr>
        <w:t>(1978)</w:t>
      </w:r>
      <w:r>
        <w:rPr>
          <w:rFonts w:ascii="Calibri"/>
          <w:spacing w:val="-4"/>
          <w:sz w:val="20"/>
          <w:vertAlign w:val="baseline"/>
        </w:rPr>
        <w:t> </w:t>
      </w:r>
      <w:r>
        <w:rPr>
          <w:rFonts w:ascii="Calibri"/>
          <w:sz w:val="20"/>
          <w:vertAlign w:val="baseline"/>
        </w:rPr>
        <w:t>All</w:t>
      </w:r>
      <w:r>
        <w:rPr>
          <w:rFonts w:ascii="Calibri"/>
          <w:spacing w:val="-9"/>
          <w:sz w:val="20"/>
          <w:vertAlign w:val="baseline"/>
        </w:rPr>
        <w:t> </w:t>
      </w:r>
      <w:r>
        <w:rPr>
          <w:rFonts w:ascii="Calibri"/>
          <w:sz w:val="20"/>
          <w:vertAlign w:val="baseline"/>
        </w:rPr>
        <w:t>NLR,</w:t>
      </w:r>
      <w:r>
        <w:rPr>
          <w:rFonts w:ascii="Calibri"/>
          <w:spacing w:val="-7"/>
          <w:sz w:val="20"/>
          <w:vertAlign w:val="baseline"/>
        </w:rPr>
        <w:t> </w:t>
      </w:r>
      <w:r>
        <w:rPr>
          <w:rFonts w:ascii="Calibri"/>
          <w:spacing w:val="-4"/>
          <w:sz w:val="20"/>
          <w:vertAlign w:val="baseline"/>
        </w:rPr>
        <w:t>124.</w:t>
      </w:r>
    </w:p>
    <w:p>
      <w:pPr>
        <w:spacing w:line="237" w:lineRule="auto" w:before="2"/>
        <w:ind w:left="308" w:right="230" w:firstLine="0"/>
        <w:jc w:val="both"/>
        <w:rPr>
          <w:rFonts w:ascii="Calibri"/>
          <w:sz w:val="20"/>
        </w:rPr>
      </w:pPr>
      <w:r>
        <w:rPr>
          <w:rFonts w:ascii="Calibri"/>
          <w:sz w:val="20"/>
          <w:vertAlign w:val="superscript"/>
        </w:rPr>
        <w:t>59</w:t>
      </w:r>
      <w:r>
        <w:rPr>
          <w:rFonts w:ascii="Calibri"/>
          <w:sz w:val="20"/>
          <w:vertAlign w:val="baseline"/>
        </w:rPr>
        <w:t> See for example ss. 2.2 and 4.5 of the Securities and Exchange Commission (SEC) Code of Corporate Governance for Public Companies in Nigeria, 2011 and s. 5.3 Central Bank of Nigeria (CBN) Code of Corporate Governance for Banks in Nigeria, Post Consolidation, 2006.</w:t>
      </w:r>
    </w:p>
    <w:p>
      <w:pPr>
        <w:spacing w:before="3"/>
        <w:ind w:left="308" w:right="229" w:firstLine="0"/>
        <w:jc w:val="both"/>
        <w:rPr>
          <w:rFonts w:ascii="Calibri"/>
          <w:sz w:val="20"/>
        </w:rPr>
      </w:pPr>
      <w:r>
        <w:rPr>
          <w:rFonts w:ascii="Calibri"/>
          <w:sz w:val="20"/>
          <w:vertAlign w:val="superscript"/>
        </w:rPr>
        <w:t>60</w:t>
      </w:r>
      <w:r>
        <w:rPr>
          <w:rFonts w:ascii="Calibri"/>
          <w:sz w:val="20"/>
          <w:vertAlign w:val="baseline"/>
        </w:rPr>
        <w:t> The Organization for Economic Cooperation and Development (OECD) considers this good practice. Refer to paragraph E, page 65 of the OECD Principles of Corporate Governance 2004.</w:t>
      </w:r>
    </w:p>
    <w:p>
      <w:pPr>
        <w:spacing w:before="2"/>
        <w:ind w:left="308" w:right="0" w:firstLine="0"/>
        <w:jc w:val="left"/>
        <w:rPr>
          <w:rFonts w:ascii="Calibri"/>
          <w:sz w:val="20"/>
        </w:rPr>
      </w:pPr>
      <w:r>
        <w:rPr>
          <w:rFonts w:ascii="Calibri"/>
          <w:sz w:val="20"/>
          <w:vertAlign w:val="superscript"/>
        </w:rPr>
        <w:t>61</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s.</w:t>
      </w:r>
      <w:r>
        <w:rPr>
          <w:rFonts w:ascii="Calibri"/>
          <w:spacing w:val="1"/>
          <w:sz w:val="20"/>
          <w:vertAlign w:val="baseline"/>
        </w:rPr>
        <w:t> </w:t>
      </w:r>
      <w:r>
        <w:rPr>
          <w:rFonts w:ascii="Calibri"/>
          <w:spacing w:val="-2"/>
          <w:sz w:val="20"/>
          <w:vertAlign w:val="baseline"/>
        </w:rPr>
        <w:t>257(1)(d).</w:t>
      </w:r>
    </w:p>
    <w:p>
      <w:pPr>
        <w:spacing w:before="0"/>
        <w:ind w:left="308" w:right="0" w:firstLine="0"/>
        <w:jc w:val="left"/>
        <w:rPr>
          <w:rFonts w:ascii="Calibri"/>
          <w:sz w:val="20"/>
        </w:rPr>
      </w:pPr>
      <w:r>
        <w:rPr>
          <w:rFonts w:ascii="Calibri"/>
          <w:sz w:val="20"/>
          <w:vertAlign w:val="superscript"/>
        </w:rPr>
        <w:t>62</w:t>
      </w:r>
      <w:r>
        <w:rPr>
          <w:rFonts w:ascii="Calibri"/>
          <w:sz w:val="20"/>
          <w:vertAlign w:val="baseline"/>
        </w:rPr>
        <w:t>Ogbuanya,</w:t>
      </w:r>
      <w:r>
        <w:rPr>
          <w:rFonts w:ascii="Calibri"/>
          <w:spacing w:val="-10"/>
          <w:sz w:val="20"/>
          <w:vertAlign w:val="baseline"/>
        </w:rPr>
        <w:t> </w:t>
      </w:r>
      <w:r>
        <w:rPr>
          <w:rFonts w:ascii="Calibri"/>
          <w:sz w:val="20"/>
          <w:vertAlign w:val="baseline"/>
        </w:rPr>
        <w:t>N.C.S.</w:t>
      </w:r>
      <w:r>
        <w:rPr>
          <w:rFonts w:ascii="Calibri"/>
          <w:spacing w:val="-1"/>
          <w:sz w:val="20"/>
          <w:vertAlign w:val="baseline"/>
        </w:rPr>
        <w:t> </w:t>
      </w:r>
      <w:r>
        <w:rPr>
          <w:rFonts w:ascii="Calibri"/>
          <w:sz w:val="20"/>
          <w:vertAlign w:val="baseline"/>
        </w:rPr>
        <w:t>op.cit.,</w:t>
      </w:r>
      <w:r>
        <w:rPr>
          <w:rFonts w:ascii="Calibri"/>
          <w:spacing w:val="-9"/>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328.</w:t>
      </w:r>
    </w:p>
    <w:p>
      <w:pPr>
        <w:spacing w:before="1"/>
        <w:ind w:left="308" w:right="0" w:firstLine="0"/>
        <w:jc w:val="left"/>
        <w:rPr>
          <w:rFonts w:ascii="Calibri"/>
          <w:sz w:val="20"/>
        </w:rPr>
      </w:pPr>
      <w:r>
        <w:rPr>
          <w:rFonts w:ascii="Calibri"/>
          <w:sz w:val="20"/>
          <w:vertAlign w:val="superscript"/>
        </w:rPr>
        <w:t>63</w:t>
      </w:r>
      <w:r>
        <w:rPr>
          <w:rFonts w:ascii="Calibri"/>
          <w:sz w:val="20"/>
          <w:vertAlign w:val="baseline"/>
        </w:rPr>
        <w:t> As</w:t>
      </w:r>
      <w:r>
        <w:rPr>
          <w:rFonts w:ascii="Calibri"/>
          <w:spacing w:val="-4"/>
          <w:sz w:val="20"/>
          <w:vertAlign w:val="baseline"/>
        </w:rPr>
        <w:t> </w:t>
      </w:r>
      <w:r>
        <w:rPr>
          <w:rFonts w:ascii="Calibri"/>
          <w:sz w:val="20"/>
          <w:vertAlign w:val="baseline"/>
        </w:rPr>
        <w:t>suggested</w:t>
      </w:r>
      <w:r>
        <w:rPr>
          <w:rFonts w:ascii="Calibri"/>
          <w:spacing w:val="-1"/>
          <w:sz w:val="20"/>
          <w:vertAlign w:val="baseline"/>
        </w:rPr>
        <w:t> </w:t>
      </w:r>
      <w:r>
        <w:rPr>
          <w:rFonts w:ascii="Calibri"/>
          <w:sz w:val="20"/>
          <w:vertAlign w:val="baseline"/>
        </w:rPr>
        <w:t>by</w:t>
      </w:r>
      <w:r>
        <w:rPr>
          <w:rFonts w:ascii="Calibri"/>
          <w:spacing w:val="-2"/>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41(3)</w:t>
      </w:r>
      <w:r>
        <w:rPr>
          <w:rFonts w:ascii="Calibri"/>
          <w:spacing w:val="-4"/>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6"/>
          <w:sz w:val="20"/>
          <w:vertAlign w:val="baseline"/>
        </w:rPr>
        <w:t> </w:t>
      </w:r>
      <w:r>
        <w:rPr>
          <w:rFonts w:ascii="Calibri"/>
          <w:spacing w:val="-4"/>
          <w:sz w:val="20"/>
          <w:vertAlign w:val="baseline"/>
        </w:rPr>
        <w:t>CAMA.</w:t>
      </w:r>
    </w:p>
    <w:p>
      <w:pPr>
        <w:spacing w:after="0"/>
        <w:jc w:val="left"/>
        <w:rPr>
          <w:rFonts w:ascii="Calibri"/>
          <w:sz w:val="20"/>
        </w:rPr>
        <w:sectPr>
          <w:pgSz w:w="11910" w:h="16840"/>
          <w:pgMar w:header="0" w:footer="1003" w:top="1280" w:bottom="1200" w:left="1680" w:right="1180"/>
        </w:sectPr>
      </w:pPr>
    </w:p>
    <w:p>
      <w:pPr>
        <w:pStyle w:val="ListParagraph"/>
        <w:numPr>
          <w:ilvl w:val="0"/>
          <w:numId w:val="10"/>
        </w:numPr>
        <w:tabs>
          <w:tab w:pos="1386" w:val="left" w:leader="none"/>
          <w:tab w:pos="1388" w:val="left" w:leader="none"/>
        </w:tabs>
        <w:spacing w:line="480" w:lineRule="auto" w:before="70" w:after="0"/>
        <w:ind w:left="1388" w:right="222" w:hanging="720"/>
        <w:jc w:val="both"/>
        <w:rPr>
          <w:sz w:val="24"/>
        </w:rPr>
      </w:pPr>
      <w:r>
        <w:rPr>
          <w:i/>
          <w:sz w:val="24"/>
        </w:rPr>
        <w:t>De Facto/De Jure Director:</w:t>
      </w:r>
      <w:r>
        <w:rPr>
          <w:sz w:val="24"/>
        </w:rPr>
        <w:t>- A </w:t>
      </w:r>
      <w:r>
        <w:rPr>
          <w:i/>
          <w:sz w:val="24"/>
        </w:rPr>
        <w:t>de facto </w:t>
      </w:r>
      <w:r>
        <w:rPr>
          <w:sz w:val="24"/>
        </w:rPr>
        <w:t>director is described as a person</w:t>
      </w:r>
      <w:r>
        <w:rPr>
          <w:spacing w:val="40"/>
          <w:sz w:val="24"/>
        </w:rPr>
        <w:t> </w:t>
      </w:r>
      <w:r>
        <w:rPr>
          <w:sz w:val="24"/>
        </w:rPr>
        <w:t>who has not been formally appointed and neither has the relevant</w:t>
      </w:r>
      <w:r>
        <w:rPr>
          <w:spacing w:val="40"/>
          <w:sz w:val="24"/>
        </w:rPr>
        <w:t> </w:t>
      </w:r>
      <w:r>
        <w:rPr>
          <w:sz w:val="24"/>
        </w:rPr>
        <w:t>government agency been notified of his appointment in the papers filed by the company, as would have been the case for a </w:t>
      </w:r>
      <w:r>
        <w:rPr>
          <w:i/>
          <w:sz w:val="24"/>
        </w:rPr>
        <w:t>de jure </w:t>
      </w:r>
      <w:r>
        <w:rPr>
          <w:sz w:val="24"/>
        </w:rPr>
        <w:t>director. Yet, he is a director ―in fact‖. He is treated as a director by the courts if there is a dispute, because he has </w:t>
      </w:r>
      <w:r>
        <w:rPr>
          <w:i/>
          <w:sz w:val="24"/>
        </w:rPr>
        <w:t>acted </w:t>
      </w:r>
      <w:r>
        <w:rPr>
          <w:sz w:val="24"/>
        </w:rPr>
        <w:t>like a director and therefore, must take legal responsibility</w:t>
      </w:r>
      <w:r>
        <w:rPr>
          <w:spacing w:val="-1"/>
          <w:sz w:val="24"/>
        </w:rPr>
        <w:t> </w:t>
      </w:r>
      <w:r>
        <w:rPr>
          <w:sz w:val="24"/>
        </w:rPr>
        <w:t>for those</w:t>
      </w:r>
      <w:r>
        <w:rPr>
          <w:spacing w:val="-2"/>
          <w:sz w:val="24"/>
        </w:rPr>
        <w:t> </w:t>
      </w:r>
      <w:r>
        <w:rPr>
          <w:sz w:val="24"/>
        </w:rPr>
        <w:t>actions</w:t>
      </w:r>
      <w:r>
        <w:rPr>
          <w:spacing w:val="-3"/>
          <w:sz w:val="24"/>
        </w:rPr>
        <w:t> </w:t>
      </w:r>
      <w:r>
        <w:rPr>
          <w:sz w:val="24"/>
        </w:rPr>
        <w:t>as if he</w:t>
      </w:r>
      <w:r>
        <w:rPr>
          <w:spacing w:val="-2"/>
          <w:sz w:val="24"/>
        </w:rPr>
        <w:t> </w:t>
      </w:r>
      <w:r>
        <w:rPr>
          <w:sz w:val="24"/>
        </w:rPr>
        <w:t>was</w:t>
      </w:r>
      <w:r>
        <w:rPr>
          <w:spacing w:val="-3"/>
          <w:sz w:val="24"/>
        </w:rPr>
        <w:t> </w:t>
      </w:r>
      <w:r>
        <w:rPr>
          <w:sz w:val="24"/>
        </w:rPr>
        <w:t>one. Thus, one</w:t>
      </w:r>
      <w:r>
        <w:rPr>
          <w:spacing w:val="-2"/>
          <w:sz w:val="24"/>
        </w:rPr>
        <w:t> </w:t>
      </w:r>
      <w:r>
        <w:rPr>
          <w:sz w:val="24"/>
        </w:rPr>
        <w:t>would</w:t>
      </w:r>
      <w:r>
        <w:rPr>
          <w:spacing w:val="-1"/>
          <w:sz w:val="24"/>
        </w:rPr>
        <w:t> </w:t>
      </w:r>
      <w:r>
        <w:rPr>
          <w:sz w:val="24"/>
        </w:rPr>
        <w:t>usually</w:t>
      </w:r>
      <w:r>
        <w:rPr>
          <w:spacing w:val="-1"/>
          <w:sz w:val="24"/>
        </w:rPr>
        <w:t> </w:t>
      </w:r>
      <w:r>
        <w:rPr>
          <w:sz w:val="24"/>
        </w:rPr>
        <w:t>not hear about him unless there was some trouble. If </w:t>
      </w:r>
      <w:r>
        <w:rPr>
          <w:i/>
          <w:sz w:val="24"/>
        </w:rPr>
        <w:t>de jure </w:t>
      </w:r>
      <w:r>
        <w:rPr>
          <w:sz w:val="24"/>
        </w:rPr>
        <w:t>directors are</w:t>
      </w:r>
      <w:r>
        <w:rPr>
          <w:spacing w:val="80"/>
          <w:sz w:val="24"/>
        </w:rPr>
        <w:t> </w:t>
      </w:r>
      <w:r>
        <w:rPr>
          <w:sz w:val="24"/>
        </w:rPr>
        <w:t>persons</w:t>
      </w:r>
      <w:r>
        <w:rPr>
          <w:spacing w:val="-1"/>
          <w:sz w:val="24"/>
        </w:rPr>
        <w:t> </w:t>
      </w:r>
      <w:r>
        <w:rPr>
          <w:i/>
          <w:sz w:val="24"/>
        </w:rPr>
        <w:t>duly appointed </w:t>
      </w:r>
      <w:r>
        <w:rPr>
          <w:sz w:val="24"/>
        </w:rPr>
        <w:t>by</w:t>
      </w:r>
      <w:r>
        <w:rPr>
          <w:spacing w:val="-5"/>
          <w:sz w:val="24"/>
        </w:rPr>
        <w:t> </w:t>
      </w:r>
      <w:r>
        <w:rPr>
          <w:sz w:val="24"/>
        </w:rPr>
        <w:t>the company</w:t>
      </w:r>
      <w:r>
        <w:rPr>
          <w:spacing w:val="-5"/>
          <w:sz w:val="24"/>
        </w:rPr>
        <w:t> </w:t>
      </w:r>
      <w:r>
        <w:rPr>
          <w:sz w:val="24"/>
        </w:rPr>
        <w:t>to direct and manage</w:t>
      </w:r>
      <w:r>
        <w:rPr>
          <w:spacing w:val="-1"/>
          <w:sz w:val="24"/>
        </w:rPr>
        <w:t> </w:t>
      </w:r>
      <w:r>
        <w:rPr>
          <w:sz w:val="24"/>
        </w:rPr>
        <w:t>the business of the company,</w:t>
      </w:r>
      <w:r>
        <w:rPr>
          <w:sz w:val="24"/>
          <w:vertAlign w:val="superscript"/>
        </w:rPr>
        <w:t>64</w:t>
      </w:r>
      <w:r>
        <w:rPr>
          <w:sz w:val="24"/>
          <w:vertAlign w:val="baseline"/>
        </w:rPr>
        <w:t> then it follows that </w:t>
      </w:r>
      <w:r>
        <w:rPr>
          <w:i/>
          <w:sz w:val="24"/>
          <w:vertAlign w:val="baseline"/>
        </w:rPr>
        <w:t>de facto </w:t>
      </w:r>
      <w:r>
        <w:rPr>
          <w:sz w:val="24"/>
          <w:vertAlign w:val="baseline"/>
        </w:rPr>
        <w:t>directors are persons who,</w:t>
      </w:r>
      <w:r>
        <w:rPr>
          <w:spacing w:val="40"/>
          <w:sz w:val="24"/>
          <w:vertAlign w:val="baseline"/>
        </w:rPr>
        <w:t> </w:t>
      </w:r>
      <w:r>
        <w:rPr>
          <w:sz w:val="24"/>
          <w:vertAlign w:val="baseline"/>
        </w:rPr>
        <w:t>though not duly appointed by the company, in fact direct and manage the business of the company. Their liability is such that, where they act on</w:t>
      </w:r>
      <w:r>
        <w:rPr>
          <w:spacing w:val="80"/>
          <w:sz w:val="24"/>
          <w:vertAlign w:val="baseline"/>
        </w:rPr>
        <w:t> </w:t>
      </w:r>
      <w:r>
        <w:rPr>
          <w:sz w:val="24"/>
          <w:vertAlign w:val="baseline"/>
        </w:rPr>
        <w:t>behalf of the company, their acts shall not bind the company and they shall be personally liable for such actions, unless it can be proved that the company held them out as its director.</w:t>
      </w:r>
      <w:r>
        <w:rPr>
          <w:sz w:val="24"/>
          <w:vertAlign w:val="superscript"/>
        </w:rPr>
        <w:t>65</w:t>
      </w:r>
      <w:r>
        <w:rPr>
          <w:sz w:val="24"/>
          <w:vertAlign w:val="baseline"/>
        </w:rPr>
        <w:t> In </w:t>
      </w:r>
      <w:r>
        <w:rPr>
          <w:b/>
          <w:sz w:val="24"/>
          <w:vertAlign w:val="baseline"/>
        </w:rPr>
        <w:t>Re Paycheck Services 3 Ltd</w:t>
      </w:r>
      <w:r>
        <w:rPr>
          <w:sz w:val="24"/>
          <w:vertAlign w:val="baseline"/>
        </w:rPr>
        <w:t>.,</w:t>
      </w:r>
      <w:r>
        <w:rPr>
          <w:sz w:val="24"/>
          <w:vertAlign w:val="superscript"/>
        </w:rPr>
        <w:t>66</w:t>
      </w:r>
      <w:r>
        <w:rPr>
          <w:sz w:val="24"/>
          <w:vertAlign w:val="baseline"/>
        </w:rPr>
        <w:t> the UK</w:t>
      </w:r>
      <w:r>
        <w:rPr>
          <w:spacing w:val="-5"/>
          <w:sz w:val="24"/>
          <w:vertAlign w:val="baseline"/>
        </w:rPr>
        <w:t> </w:t>
      </w:r>
      <w:r>
        <w:rPr>
          <w:sz w:val="24"/>
          <w:vertAlign w:val="baseline"/>
        </w:rPr>
        <w:t>Supreme Court recently reviewed the meaning of</w:t>
      </w:r>
      <w:r>
        <w:rPr>
          <w:spacing w:val="-7"/>
          <w:sz w:val="24"/>
          <w:vertAlign w:val="baseline"/>
        </w:rPr>
        <w:t> </w:t>
      </w:r>
      <w:r>
        <w:rPr>
          <w:sz w:val="24"/>
          <w:vertAlign w:val="baseline"/>
        </w:rPr>
        <w:t>de facto director in the case of a large number of companies that had the same single corporate director. The issue was whether the only active director</w:t>
      </w:r>
      <w:r>
        <w:rPr>
          <w:spacing w:val="-2"/>
          <w:sz w:val="24"/>
          <w:vertAlign w:val="baseline"/>
        </w:rPr>
        <w:t> </w:t>
      </w:r>
      <w:r>
        <w:rPr>
          <w:sz w:val="24"/>
          <w:vertAlign w:val="baseline"/>
        </w:rPr>
        <w:t>of</w:t>
      </w:r>
      <w:r>
        <w:rPr>
          <w:spacing w:val="-7"/>
          <w:sz w:val="24"/>
          <w:vertAlign w:val="baseline"/>
        </w:rPr>
        <w:t> </w:t>
      </w:r>
      <w:r>
        <w:rPr>
          <w:sz w:val="24"/>
          <w:vertAlign w:val="baseline"/>
        </w:rPr>
        <w:t>the latter could be regarded as a de facto director of the companies and held accountable for unlawful dividends paid by those companies. The decision of the Court of Appeal</w:t>
      </w:r>
      <w:r>
        <w:rPr>
          <w:sz w:val="24"/>
          <w:vertAlign w:val="superscript"/>
        </w:rPr>
        <w:t>67</w:t>
      </w:r>
      <w:r>
        <w:rPr>
          <w:sz w:val="24"/>
          <w:vertAlign w:val="baseline"/>
        </w:rPr>
        <w:t> was upheld that the mere fact that a director of a company acts on behalf</w:t>
      </w:r>
      <w:r>
        <w:rPr>
          <w:spacing w:val="-1"/>
          <w:sz w:val="24"/>
          <w:vertAlign w:val="baseline"/>
        </w:rPr>
        <w:t> </w:t>
      </w:r>
      <w:r>
        <w:rPr>
          <w:sz w:val="24"/>
          <w:vertAlign w:val="baseline"/>
        </w:rPr>
        <w:t>of</w:t>
      </w:r>
      <w:r>
        <w:rPr>
          <w:spacing w:val="-6"/>
          <w:sz w:val="24"/>
          <w:vertAlign w:val="baseline"/>
        </w:rPr>
        <w:t> </w:t>
      </w:r>
      <w:r>
        <w:rPr>
          <w:sz w:val="24"/>
          <w:vertAlign w:val="baseline"/>
        </w:rPr>
        <w:t>that company in its role as a corporate director</w:t>
      </w:r>
      <w:r>
        <w:rPr>
          <w:spacing w:val="-1"/>
          <w:sz w:val="24"/>
          <w:vertAlign w:val="baseline"/>
        </w:rPr>
        <w:t> </w:t>
      </w:r>
      <w:r>
        <w:rPr>
          <w:sz w:val="24"/>
          <w:vertAlign w:val="baseline"/>
        </w:rPr>
        <w:t>of</w:t>
      </w:r>
      <w:r>
        <w:rPr>
          <w:spacing w:val="-6"/>
          <w:sz w:val="24"/>
          <w:vertAlign w:val="baseline"/>
        </w:rPr>
        <w:t> </w:t>
      </w:r>
      <w:r>
        <w:rPr>
          <w:sz w:val="24"/>
          <w:vertAlign w:val="baseline"/>
        </w:rPr>
        <w:t>another company does</w:t>
      </w:r>
      <w:r>
        <w:rPr>
          <w:spacing w:val="56"/>
          <w:sz w:val="24"/>
          <w:vertAlign w:val="baseline"/>
        </w:rPr>
        <w:t> </w:t>
      </w:r>
      <w:r>
        <w:rPr>
          <w:sz w:val="24"/>
          <w:vertAlign w:val="baseline"/>
        </w:rPr>
        <w:t>not</w:t>
      </w:r>
      <w:r>
        <w:rPr>
          <w:spacing w:val="62"/>
          <w:sz w:val="24"/>
          <w:vertAlign w:val="baseline"/>
        </w:rPr>
        <w:t> </w:t>
      </w:r>
      <w:r>
        <w:rPr>
          <w:sz w:val="24"/>
          <w:vertAlign w:val="baseline"/>
        </w:rPr>
        <w:t>by</w:t>
      </w:r>
      <w:r>
        <w:rPr>
          <w:spacing w:val="40"/>
          <w:sz w:val="24"/>
          <w:vertAlign w:val="baseline"/>
        </w:rPr>
        <w:t> </w:t>
      </w:r>
      <w:r>
        <w:rPr>
          <w:sz w:val="24"/>
          <w:vertAlign w:val="baseline"/>
        </w:rPr>
        <w:t>itself</w:t>
      </w:r>
      <w:r>
        <w:rPr>
          <w:spacing w:val="60"/>
          <w:sz w:val="24"/>
          <w:vertAlign w:val="baseline"/>
        </w:rPr>
        <w:t> </w:t>
      </w:r>
      <w:r>
        <w:rPr>
          <w:sz w:val="24"/>
          <w:vertAlign w:val="baseline"/>
        </w:rPr>
        <w:t>make</w:t>
      </w:r>
      <w:r>
        <w:rPr>
          <w:spacing w:val="57"/>
          <w:sz w:val="24"/>
          <w:vertAlign w:val="baseline"/>
        </w:rPr>
        <w:t> </w:t>
      </w:r>
      <w:r>
        <w:rPr>
          <w:sz w:val="24"/>
          <w:vertAlign w:val="baseline"/>
        </w:rPr>
        <w:t>that</w:t>
      </w:r>
      <w:r>
        <w:rPr>
          <w:spacing w:val="62"/>
          <w:sz w:val="24"/>
          <w:vertAlign w:val="baseline"/>
        </w:rPr>
        <w:t> </w:t>
      </w:r>
      <w:r>
        <w:rPr>
          <w:sz w:val="24"/>
          <w:vertAlign w:val="baseline"/>
        </w:rPr>
        <w:t>individual</w:t>
      </w:r>
      <w:r>
        <w:rPr>
          <w:spacing w:val="40"/>
          <w:sz w:val="24"/>
          <w:vertAlign w:val="baseline"/>
        </w:rPr>
        <w:t> </w:t>
      </w:r>
      <w:r>
        <w:rPr>
          <w:sz w:val="24"/>
          <w:vertAlign w:val="baseline"/>
        </w:rPr>
        <w:t>a</w:t>
      </w:r>
      <w:r>
        <w:rPr>
          <w:spacing w:val="57"/>
          <w:sz w:val="24"/>
          <w:vertAlign w:val="baseline"/>
        </w:rPr>
        <w:t> </w:t>
      </w:r>
      <w:r>
        <w:rPr>
          <w:sz w:val="24"/>
          <w:vertAlign w:val="baseline"/>
        </w:rPr>
        <w:t>de</w:t>
      </w:r>
      <w:r>
        <w:rPr>
          <w:spacing w:val="62"/>
          <w:sz w:val="24"/>
          <w:vertAlign w:val="baseline"/>
        </w:rPr>
        <w:t> </w:t>
      </w:r>
      <w:r>
        <w:rPr>
          <w:sz w:val="24"/>
          <w:vertAlign w:val="baseline"/>
        </w:rPr>
        <w:t>facto</w:t>
      </w:r>
      <w:r>
        <w:rPr>
          <w:spacing w:val="62"/>
          <w:sz w:val="24"/>
          <w:vertAlign w:val="baseline"/>
        </w:rPr>
        <w:t> </w:t>
      </w:r>
      <w:r>
        <w:rPr>
          <w:sz w:val="24"/>
          <w:vertAlign w:val="baseline"/>
        </w:rPr>
        <w:t>director</w:t>
      </w:r>
      <w:r>
        <w:rPr>
          <w:spacing w:val="40"/>
          <w:sz w:val="24"/>
          <w:vertAlign w:val="baseline"/>
        </w:rPr>
        <w:t> </w:t>
      </w:r>
      <w:r>
        <w:rPr>
          <w:sz w:val="24"/>
          <w:vertAlign w:val="baseline"/>
        </w:rPr>
        <w:t>of</w:t>
      </w:r>
      <w:r>
        <w:rPr>
          <w:spacing w:val="40"/>
          <w:sz w:val="24"/>
          <w:vertAlign w:val="baseline"/>
        </w:rPr>
        <w:t> </w:t>
      </w:r>
      <w:r>
        <w:rPr>
          <w:sz w:val="24"/>
          <w:vertAlign w:val="baseline"/>
        </w:rPr>
        <w:t>the</w:t>
      </w:r>
      <w:r>
        <w:rPr>
          <w:spacing w:val="62"/>
          <w:sz w:val="24"/>
          <w:vertAlign w:val="baseline"/>
        </w:rPr>
        <w:t> </w:t>
      </w:r>
      <w:r>
        <w:rPr>
          <w:sz w:val="24"/>
          <w:vertAlign w:val="baseline"/>
        </w:rPr>
        <w:t>latter</w:t>
      </w:r>
    </w:p>
    <w:p>
      <w:pPr>
        <w:pStyle w:val="BodyText"/>
        <w:spacing w:before="4"/>
        <w:ind w:left="0"/>
        <w:rPr>
          <w:sz w:val="17"/>
        </w:rPr>
      </w:pPr>
      <w:r>
        <w:rPr/>
        <mc:AlternateContent>
          <mc:Choice Requires="wps">
            <w:drawing>
              <wp:anchor distT="0" distB="0" distL="0" distR="0" allowOverlap="1" layoutInCell="1" locked="0" behindDoc="1" simplePos="0" relativeHeight="487628288">
                <wp:simplePos x="0" y="0"/>
                <wp:positionH relativeFrom="page">
                  <wp:posOffset>1262481</wp:posOffset>
                </wp:positionH>
                <wp:positionV relativeFrom="paragraph">
                  <wp:posOffset>142416</wp:posOffset>
                </wp:positionV>
                <wp:extent cx="1829435" cy="9525"/>
                <wp:effectExtent l="0" t="0" r="0" b="0"/>
                <wp:wrapTopAndBottom/>
                <wp:docPr id="89" name="Graphic 89"/>
                <wp:cNvGraphicFramePr>
                  <a:graphicFrameLocks/>
                </wp:cNvGraphicFramePr>
                <a:graphic>
                  <a:graphicData uri="http://schemas.microsoft.com/office/word/2010/wordprocessingShape">
                    <wps:wsp>
                      <wps:cNvPr id="89" name="Graphic 8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213877pt;width:144.050pt;height:.72003pt;mso-position-horizontal-relative:page;mso-position-vertical-relative:paragraph;z-index:-15688192;mso-wrap-distance-left:0;mso-wrap-distance-right:0" id="docshape44" filled="true" fillcolor="#000000" stroked="false">
                <v:fill type="solid"/>
                <w10:wrap type="topAndBottom"/>
              </v:rect>
            </w:pict>
          </mc:Fallback>
        </mc:AlternateContent>
      </w:r>
    </w:p>
    <w:p>
      <w:pPr>
        <w:spacing w:before="102"/>
        <w:ind w:left="308" w:right="0" w:firstLine="0"/>
        <w:jc w:val="left"/>
        <w:rPr>
          <w:rFonts w:ascii="Calibri" w:hAnsi="Calibri"/>
          <w:sz w:val="20"/>
        </w:rPr>
      </w:pPr>
      <w:r>
        <w:rPr>
          <w:rFonts w:ascii="Calibri" w:hAnsi="Calibri"/>
          <w:sz w:val="20"/>
          <w:vertAlign w:val="superscript"/>
        </w:rPr>
        <w:t>64</w:t>
      </w:r>
      <w:r>
        <w:rPr>
          <w:rFonts w:ascii="Calibri" w:hAnsi="Calibri"/>
          <w:sz w:val="20"/>
          <w:vertAlign w:val="baseline"/>
        </w:rPr>
        <w:t> See</w:t>
      </w:r>
      <w:r>
        <w:rPr>
          <w:rFonts w:ascii="Calibri" w:hAnsi="Calibri"/>
          <w:spacing w:val="-6"/>
          <w:sz w:val="20"/>
          <w:vertAlign w:val="baseline"/>
        </w:rPr>
        <w:t> </w:t>
      </w:r>
      <w:r>
        <w:rPr>
          <w:rFonts w:ascii="Calibri" w:hAnsi="Calibri"/>
          <w:sz w:val="20"/>
          <w:vertAlign w:val="baseline"/>
        </w:rPr>
        <w:t>s. 244(1)</w:t>
      </w:r>
      <w:r>
        <w:rPr>
          <w:rFonts w:ascii="Calibri" w:hAnsi="Calibri"/>
          <w:spacing w:val="-1"/>
          <w:sz w:val="20"/>
          <w:vertAlign w:val="baseline"/>
        </w:rPr>
        <w:t> </w:t>
      </w:r>
      <w:r>
        <w:rPr>
          <w:rFonts w:ascii="Calibri" w:hAnsi="Calibri"/>
          <w:sz w:val="20"/>
          <w:vertAlign w:val="baseline"/>
        </w:rPr>
        <w:t>of the</w:t>
      </w:r>
      <w:r>
        <w:rPr>
          <w:rFonts w:ascii="Calibri" w:hAnsi="Calibri"/>
          <w:spacing w:val="-1"/>
          <w:sz w:val="20"/>
          <w:vertAlign w:val="baseline"/>
        </w:rPr>
        <w:t> </w:t>
      </w:r>
      <w:r>
        <w:rPr>
          <w:rFonts w:ascii="Calibri" w:hAnsi="Calibri"/>
          <w:sz w:val="20"/>
          <w:vertAlign w:val="baseline"/>
        </w:rPr>
        <w:t>CAMA</w:t>
      </w:r>
      <w:r>
        <w:rPr>
          <w:rFonts w:ascii="Calibri" w:hAnsi="Calibri"/>
          <w:spacing w:val="-7"/>
          <w:sz w:val="20"/>
          <w:vertAlign w:val="baseline"/>
        </w:rPr>
        <w:t> </w:t>
      </w:r>
      <w:r>
        <w:rPr>
          <w:rFonts w:ascii="Calibri" w:hAnsi="Calibri"/>
          <w:sz w:val="20"/>
          <w:vertAlign w:val="baseline"/>
        </w:rPr>
        <w:t>on</w:t>
      </w:r>
      <w:r>
        <w:rPr>
          <w:rFonts w:ascii="Calibri" w:hAnsi="Calibri"/>
          <w:spacing w:val="-5"/>
          <w:sz w:val="20"/>
          <w:vertAlign w:val="baseline"/>
        </w:rPr>
        <w:t> </w:t>
      </w:r>
      <w:r>
        <w:rPr>
          <w:rFonts w:ascii="Calibri" w:hAnsi="Calibri"/>
          <w:sz w:val="20"/>
          <w:vertAlign w:val="baseline"/>
        </w:rPr>
        <w:t>“the</w:t>
      </w:r>
      <w:r>
        <w:rPr>
          <w:rFonts w:ascii="Calibri" w:hAnsi="Calibri"/>
          <w:spacing w:val="-11"/>
          <w:sz w:val="20"/>
          <w:vertAlign w:val="baseline"/>
        </w:rPr>
        <w:t> </w:t>
      </w:r>
      <w:r>
        <w:rPr>
          <w:rFonts w:ascii="Calibri" w:hAnsi="Calibri"/>
          <w:sz w:val="20"/>
          <w:vertAlign w:val="baseline"/>
        </w:rPr>
        <w:t>meaning</w:t>
      </w:r>
      <w:r>
        <w:rPr>
          <w:rFonts w:ascii="Calibri" w:hAnsi="Calibri"/>
          <w:spacing w:val="-5"/>
          <w:sz w:val="20"/>
          <w:vertAlign w:val="baseline"/>
        </w:rPr>
        <w:t> </w:t>
      </w:r>
      <w:r>
        <w:rPr>
          <w:rFonts w:ascii="Calibri" w:hAnsi="Calibri"/>
          <w:sz w:val="20"/>
          <w:vertAlign w:val="baseline"/>
        </w:rPr>
        <w:t>of</w:t>
      </w:r>
      <w:r>
        <w:rPr>
          <w:rFonts w:ascii="Calibri" w:hAnsi="Calibri"/>
          <w:spacing w:val="-6"/>
          <w:sz w:val="20"/>
          <w:vertAlign w:val="baseline"/>
        </w:rPr>
        <w:t> </w:t>
      </w:r>
      <w:r>
        <w:rPr>
          <w:rFonts w:ascii="Calibri" w:hAnsi="Calibri"/>
          <w:spacing w:val="-2"/>
          <w:sz w:val="20"/>
          <w:vertAlign w:val="baseline"/>
        </w:rPr>
        <w:t>directors.”</w:t>
      </w:r>
    </w:p>
    <w:p>
      <w:pPr>
        <w:spacing w:before="1"/>
        <w:ind w:left="308" w:right="0" w:firstLine="0"/>
        <w:jc w:val="left"/>
        <w:rPr>
          <w:rFonts w:ascii="Calibri"/>
          <w:sz w:val="20"/>
        </w:rPr>
      </w:pPr>
      <w:r>
        <w:rPr>
          <w:rFonts w:ascii="Calibri"/>
          <w:sz w:val="20"/>
          <w:vertAlign w:val="superscript"/>
        </w:rPr>
        <w:t>65</w:t>
      </w:r>
      <w:r>
        <w:rPr>
          <w:rFonts w:ascii="Calibri"/>
          <w:spacing w:val="2"/>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w:t>
      </w:r>
      <w:r>
        <w:rPr>
          <w:rFonts w:ascii="Calibri"/>
          <w:spacing w:val="2"/>
          <w:sz w:val="20"/>
          <w:vertAlign w:val="baseline"/>
        </w:rPr>
        <w:t> </w:t>
      </w:r>
      <w:r>
        <w:rPr>
          <w:rFonts w:ascii="Calibri"/>
          <w:sz w:val="20"/>
          <w:vertAlign w:val="baseline"/>
        </w:rPr>
        <w:t>250</w:t>
      </w:r>
      <w:r>
        <w:rPr>
          <w:rFonts w:ascii="Calibri"/>
          <w:spacing w:val="-5"/>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 </w:t>
      </w:r>
      <w:r>
        <w:rPr>
          <w:rFonts w:ascii="Calibri"/>
          <w:spacing w:val="-4"/>
          <w:sz w:val="20"/>
          <w:vertAlign w:val="baseline"/>
        </w:rPr>
        <w:t>CAMA.</w:t>
      </w:r>
    </w:p>
    <w:p>
      <w:pPr>
        <w:spacing w:before="0"/>
        <w:ind w:left="308" w:right="0" w:firstLine="0"/>
        <w:jc w:val="left"/>
        <w:rPr>
          <w:rFonts w:ascii="Calibri"/>
          <w:sz w:val="20"/>
        </w:rPr>
      </w:pPr>
      <w:r>
        <w:rPr>
          <w:rFonts w:ascii="Calibri"/>
          <w:sz w:val="20"/>
          <w:vertAlign w:val="superscript"/>
        </w:rPr>
        <w:t>66</w:t>
      </w:r>
      <w:r>
        <w:rPr>
          <w:rFonts w:ascii="Calibri"/>
          <w:sz w:val="20"/>
          <w:vertAlign w:val="baseline"/>
        </w:rPr>
        <w:t>(2010)</w:t>
      </w:r>
      <w:r>
        <w:rPr>
          <w:rFonts w:ascii="Calibri"/>
          <w:spacing w:val="-2"/>
          <w:sz w:val="20"/>
          <w:vertAlign w:val="baseline"/>
        </w:rPr>
        <w:t> </w:t>
      </w:r>
      <w:r>
        <w:rPr>
          <w:rFonts w:ascii="Calibri"/>
          <w:sz w:val="20"/>
          <w:vertAlign w:val="baseline"/>
        </w:rPr>
        <w:t>UKSC</w:t>
      </w:r>
      <w:r>
        <w:rPr>
          <w:rFonts w:ascii="Calibri"/>
          <w:spacing w:val="-9"/>
          <w:sz w:val="20"/>
          <w:vertAlign w:val="baseline"/>
        </w:rPr>
        <w:t> </w:t>
      </w:r>
      <w:r>
        <w:rPr>
          <w:rFonts w:ascii="Calibri"/>
          <w:sz w:val="20"/>
          <w:vertAlign w:val="baseline"/>
        </w:rPr>
        <w:t>51,</w:t>
      </w:r>
      <w:r>
        <w:rPr>
          <w:rFonts w:ascii="Calibri"/>
          <w:spacing w:val="-4"/>
          <w:sz w:val="20"/>
          <w:vertAlign w:val="baseline"/>
        </w:rPr>
        <w:t> </w:t>
      </w:r>
      <w:r>
        <w:rPr>
          <w:rFonts w:ascii="Calibri"/>
          <w:sz w:val="20"/>
          <w:vertAlign w:val="baseline"/>
        </w:rPr>
        <w:t>(2011)</w:t>
      </w:r>
      <w:r>
        <w:rPr>
          <w:rFonts w:ascii="Calibri"/>
          <w:spacing w:val="-5"/>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BCLC</w:t>
      </w:r>
      <w:r>
        <w:rPr>
          <w:rFonts w:ascii="Calibri"/>
          <w:spacing w:val="-4"/>
          <w:sz w:val="20"/>
          <w:vertAlign w:val="baseline"/>
        </w:rPr>
        <w:t> 141.</w:t>
      </w:r>
    </w:p>
    <w:p>
      <w:pPr>
        <w:spacing w:before="1"/>
        <w:ind w:left="308" w:right="0" w:firstLine="0"/>
        <w:jc w:val="left"/>
        <w:rPr>
          <w:rFonts w:ascii="Calibri"/>
          <w:sz w:val="20"/>
        </w:rPr>
      </w:pPr>
      <w:r>
        <w:rPr>
          <w:rFonts w:ascii="Calibri"/>
          <w:sz w:val="20"/>
          <w:vertAlign w:val="superscript"/>
        </w:rPr>
        <w:t>67</w:t>
      </w:r>
      <w:r>
        <w:rPr>
          <w:rFonts w:ascii="Calibri"/>
          <w:sz w:val="20"/>
          <w:vertAlign w:val="baseline"/>
        </w:rPr>
        <w:t>(2009)</w:t>
      </w:r>
      <w:r>
        <w:rPr>
          <w:rFonts w:ascii="Calibri"/>
          <w:spacing w:val="-5"/>
          <w:sz w:val="20"/>
          <w:vertAlign w:val="baseline"/>
        </w:rPr>
        <w:t> </w:t>
      </w:r>
      <w:r>
        <w:rPr>
          <w:rFonts w:ascii="Calibri"/>
          <w:sz w:val="20"/>
          <w:vertAlign w:val="baseline"/>
        </w:rPr>
        <w:t>EWCA</w:t>
      </w:r>
      <w:r>
        <w:rPr>
          <w:rFonts w:ascii="Calibri"/>
          <w:spacing w:val="-2"/>
          <w:sz w:val="20"/>
          <w:vertAlign w:val="baseline"/>
        </w:rPr>
        <w:t> </w:t>
      </w:r>
      <w:r>
        <w:rPr>
          <w:rFonts w:ascii="Calibri"/>
          <w:sz w:val="20"/>
          <w:vertAlign w:val="baseline"/>
        </w:rPr>
        <w:t>Civ</w:t>
      </w:r>
      <w:r>
        <w:rPr>
          <w:rFonts w:ascii="Calibri"/>
          <w:spacing w:val="-6"/>
          <w:sz w:val="20"/>
          <w:vertAlign w:val="baseline"/>
        </w:rPr>
        <w:t> </w:t>
      </w:r>
      <w:r>
        <w:rPr>
          <w:rFonts w:ascii="Calibri"/>
          <w:sz w:val="20"/>
          <w:vertAlign w:val="baseline"/>
        </w:rPr>
        <w:t>625,</w:t>
      </w:r>
      <w:r>
        <w:rPr>
          <w:rFonts w:ascii="Calibri"/>
          <w:spacing w:val="-3"/>
          <w:sz w:val="20"/>
          <w:vertAlign w:val="baseline"/>
        </w:rPr>
        <w:t> </w:t>
      </w:r>
      <w:r>
        <w:rPr>
          <w:rFonts w:ascii="Calibri"/>
          <w:sz w:val="20"/>
          <w:vertAlign w:val="baseline"/>
        </w:rPr>
        <w:t>(2009)</w:t>
      </w:r>
      <w:r>
        <w:rPr>
          <w:rFonts w:ascii="Calibri"/>
          <w:spacing w:val="-1"/>
          <w:sz w:val="20"/>
          <w:vertAlign w:val="baseline"/>
        </w:rPr>
        <w:t> </w:t>
      </w:r>
      <w:r>
        <w:rPr>
          <w:rFonts w:ascii="Calibri"/>
          <w:sz w:val="20"/>
          <w:vertAlign w:val="baseline"/>
        </w:rPr>
        <w:t>2</w:t>
      </w:r>
      <w:r>
        <w:rPr>
          <w:rFonts w:ascii="Calibri"/>
          <w:spacing w:val="-7"/>
          <w:sz w:val="20"/>
          <w:vertAlign w:val="baseline"/>
        </w:rPr>
        <w:t> </w:t>
      </w:r>
      <w:r>
        <w:rPr>
          <w:rFonts w:ascii="Calibri"/>
          <w:sz w:val="20"/>
          <w:vertAlign w:val="baseline"/>
        </w:rPr>
        <w:t>BCLC</w:t>
      </w:r>
      <w:r>
        <w:rPr>
          <w:rFonts w:ascii="Calibri"/>
          <w:spacing w:val="-8"/>
          <w:sz w:val="20"/>
          <w:vertAlign w:val="baseline"/>
        </w:rPr>
        <w:t> </w:t>
      </w:r>
      <w:r>
        <w:rPr>
          <w:rFonts w:ascii="Calibri"/>
          <w:spacing w:val="-4"/>
          <w:sz w:val="20"/>
          <w:vertAlign w:val="baseline"/>
        </w:rPr>
        <w:t>309.</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left="1388" w:right="235"/>
        <w:jc w:val="both"/>
      </w:pPr>
      <w:r>
        <w:rPr/>
        <w:t>company.</w:t>
      </w:r>
      <w:r>
        <w:rPr>
          <w:vertAlign w:val="superscript"/>
        </w:rPr>
        <w:t>68</w:t>
      </w:r>
      <w:r>
        <w:rPr>
          <w:vertAlign w:val="baseline"/>
        </w:rPr>
        <w:t> A de jure director, on the other hand, is a director ―in law‖, i.e. whose appointment is recognized by the law and documented as such with the relevant government agency. He has the proper mandate of</w:t>
      </w:r>
      <w:r>
        <w:rPr>
          <w:spacing w:val="-2"/>
          <w:vertAlign w:val="baseline"/>
        </w:rPr>
        <w:t> </w:t>
      </w:r>
      <w:r>
        <w:rPr>
          <w:vertAlign w:val="baseline"/>
        </w:rPr>
        <w:t>the company to act on its behalf. The company will take full responsibility for any actions he may take within that mandate.</w:t>
      </w:r>
    </w:p>
    <w:p>
      <w:pPr>
        <w:pStyle w:val="ListParagraph"/>
        <w:numPr>
          <w:ilvl w:val="0"/>
          <w:numId w:val="10"/>
        </w:numPr>
        <w:tabs>
          <w:tab w:pos="1388" w:val="left" w:leader="none"/>
        </w:tabs>
        <w:spacing w:line="480" w:lineRule="auto" w:before="1" w:after="0"/>
        <w:ind w:left="1388" w:right="229" w:hanging="720"/>
        <w:jc w:val="both"/>
        <w:rPr>
          <w:sz w:val="24"/>
        </w:rPr>
      </w:pPr>
      <w:r>
        <w:rPr>
          <w:i/>
          <w:sz w:val="24"/>
        </w:rPr>
        <w:t>Director by Estoppel:-</w:t>
      </w:r>
      <w:r>
        <w:rPr>
          <w:sz w:val="24"/>
        </w:rPr>
        <w:t>where a person not duly appointed to the post of director acts as one, without the company holding him out as its director, he is fully responsible for his actions and any liabilities he may incur. He becomes a ―de facto director‖ by virtue of his actions. However, where a person, though</w:t>
      </w:r>
      <w:r>
        <w:rPr>
          <w:spacing w:val="-5"/>
          <w:sz w:val="24"/>
        </w:rPr>
        <w:t> </w:t>
      </w:r>
      <w:r>
        <w:rPr>
          <w:sz w:val="24"/>
        </w:rPr>
        <w:t>not duly</w:t>
      </w:r>
      <w:r>
        <w:rPr>
          <w:spacing w:val="-5"/>
          <w:sz w:val="24"/>
        </w:rPr>
        <w:t> </w:t>
      </w:r>
      <w:r>
        <w:rPr>
          <w:sz w:val="24"/>
        </w:rPr>
        <w:t>appointed a</w:t>
      </w:r>
      <w:r>
        <w:rPr>
          <w:spacing w:val="-1"/>
          <w:sz w:val="24"/>
        </w:rPr>
        <w:t> </w:t>
      </w:r>
      <w:r>
        <w:rPr>
          <w:sz w:val="24"/>
        </w:rPr>
        <w:t>director</w:t>
      </w:r>
      <w:r>
        <w:rPr>
          <w:spacing w:val="-3"/>
          <w:sz w:val="24"/>
        </w:rPr>
        <w:t> </w:t>
      </w:r>
      <w:r>
        <w:rPr>
          <w:sz w:val="24"/>
        </w:rPr>
        <w:t>of</w:t>
      </w:r>
      <w:r>
        <w:rPr>
          <w:spacing w:val="-8"/>
          <w:sz w:val="24"/>
        </w:rPr>
        <w:t> </w:t>
      </w:r>
      <w:r>
        <w:rPr>
          <w:sz w:val="24"/>
        </w:rPr>
        <w:t>a</w:t>
      </w:r>
      <w:r>
        <w:rPr>
          <w:spacing w:val="-1"/>
          <w:sz w:val="24"/>
        </w:rPr>
        <w:t> </w:t>
      </w:r>
      <w:r>
        <w:rPr>
          <w:sz w:val="24"/>
        </w:rPr>
        <w:t>company, is held out by</w:t>
      </w:r>
      <w:r>
        <w:rPr>
          <w:spacing w:val="-10"/>
          <w:sz w:val="24"/>
        </w:rPr>
        <w:t> </w:t>
      </w:r>
      <w:r>
        <w:rPr>
          <w:sz w:val="24"/>
        </w:rPr>
        <w:t>the company as its director, then he thereby becomes a director of the company in his dealings with</w:t>
      </w:r>
      <w:r>
        <w:rPr>
          <w:spacing w:val="-3"/>
          <w:sz w:val="24"/>
        </w:rPr>
        <w:t> </w:t>
      </w:r>
      <w:r>
        <w:rPr>
          <w:sz w:val="24"/>
        </w:rPr>
        <w:t>any</w:t>
      </w:r>
      <w:r>
        <w:rPr>
          <w:spacing w:val="-3"/>
          <w:sz w:val="24"/>
        </w:rPr>
        <w:t> </w:t>
      </w:r>
      <w:r>
        <w:rPr>
          <w:sz w:val="24"/>
        </w:rPr>
        <w:t>third parties to whom</w:t>
      </w:r>
      <w:r>
        <w:rPr>
          <w:spacing w:val="-7"/>
          <w:sz w:val="24"/>
        </w:rPr>
        <w:t> </w:t>
      </w:r>
      <w:r>
        <w:rPr>
          <w:sz w:val="24"/>
        </w:rPr>
        <w:t>such</w:t>
      </w:r>
      <w:r>
        <w:rPr>
          <w:spacing w:val="-3"/>
          <w:sz w:val="24"/>
        </w:rPr>
        <w:t> </w:t>
      </w:r>
      <w:r>
        <w:rPr>
          <w:sz w:val="24"/>
        </w:rPr>
        <w:t>representation</w:t>
      </w:r>
      <w:r>
        <w:rPr>
          <w:spacing w:val="-3"/>
          <w:sz w:val="24"/>
        </w:rPr>
        <w:t> </w:t>
      </w:r>
      <w:r>
        <w:rPr>
          <w:sz w:val="24"/>
        </w:rPr>
        <w:t>was made. The company then becomes liable to any such third party and becomes </w:t>
      </w:r>
      <w:r>
        <w:rPr>
          <w:i/>
          <w:sz w:val="24"/>
        </w:rPr>
        <w:t>estopped </w:t>
      </w:r>
      <w:r>
        <w:rPr>
          <w:sz w:val="24"/>
        </w:rPr>
        <w:t>from denying the fact of his directorship.</w:t>
      </w:r>
      <w:r>
        <w:rPr>
          <w:sz w:val="24"/>
          <w:vertAlign w:val="superscript"/>
        </w:rPr>
        <w:t>69</w:t>
      </w:r>
      <w:r>
        <w:rPr>
          <w:sz w:val="24"/>
          <w:vertAlign w:val="baseline"/>
        </w:rPr>
        <w:t> For example, the company may make such misrepresentation of him to the public through the particulars of directors it files with the companies registry.</w:t>
      </w:r>
      <w:r>
        <w:rPr>
          <w:sz w:val="24"/>
          <w:vertAlign w:val="superscript"/>
        </w:rPr>
        <w:t>70</w:t>
      </w:r>
    </w:p>
    <w:p>
      <w:pPr>
        <w:pStyle w:val="ListParagraph"/>
        <w:numPr>
          <w:ilvl w:val="0"/>
          <w:numId w:val="10"/>
        </w:numPr>
        <w:tabs>
          <w:tab w:pos="1385" w:val="left" w:leader="none"/>
          <w:tab w:pos="1388" w:val="left" w:leader="none"/>
        </w:tabs>
        <w:spacing w:line="480" w:lineRule="auto" w:before="2" w:after="0"/>
        <w:ind w:left="1388" w:right="230" w:hanging="720"/>
        <w:jc w:val="both"/>
        <w:rPr>
          <w:sz w:val="24"/>
        </w:rPr>
      </w:pPr>
      <w:r>
        <w:rPr>
          <w:i/>
          <w:sz w:val="24"/>
        </w:rPr>
        <w:t>Life Director:</w:t>
      </w:r>
      <w:r>
        <w:rPr>
          <w:sz w:val="24"/>
        </w:rPr>
        <w:t>- S.255 of the CAMA states that a person may be appointed a director for life, although removable under the Act. This appointment may either be in</w:t>
      </w:r>
      <w:r>
        <w:rPr>
          <w:spacing w:val="-1"/>
          <w:sz w:val="24"/>
        </w:rPr>
        <w:t> </w:t>
      </w:r>
      <w:r>
        <w:rPr>
          <w:sz w:val="24"/>
        </w:rPr>
        <w:t>the list of</w:t>
      </w:r>
      <w:r>
        <w:rPr>
          <w:spacing w:val="-4"/>
          <w:sz w:val="24"/>
        </w:rPr>
        <w:t> </w:t>
      </w:r>
      <w:r>
        <w:rPr>
          <w:sz w:val="24"/>
        </w:rPr>
        <w:t>first directors</w:t>
      </w:r>
      <w:r>
        <w:rPr>
          <w:spacing w:val="-3"/>
          <w:sz w:val="24"/>
        </w:rPr>
        <w:t> </w:t>
      </w:r>
      <w:r>
        <w:rPr>
          <w:sz w:val="24"/>
        </w:rPr>
        <w:t>presented</w:t>
      </w:r>
      <w:r>
        <w:rPr>
          <w:spacing w:val="-1"/>
          <w:sz w:val="24"/>
        </w:rPr>
        <w:t> </w:t>
      </w:r>
      <w:r>
        <w:rPr>
          <w:sz w:val="24"/>
        </w:rPr>
        <w:t>to</w:t>
      </w:r>
      <w:r>
        <w:rPr>
          <w:spacing w:val="-1"/>
          <w:sz w:val="24"/>
        </w:rPr>
        <w:t> </w:t>
      </w:r>
      <w:r>
        <w:rPr>
          <w:sz w:val="24"/>
        </w:rPr>
        <w:t>the</w:t>
      </w:r>
      <w:r>
        <w:rPr>
          <w:spacing w:val="-2"/>
          <w:sz w:val="24"/>
        </w:rPr>
        <w:t> </w:t>
      </w:r>
      <w:r>
        <w:rPr>
          <w:sz w:val="24"/>
        </w:rPr>
        <w:t>CAC at incorporation</w:t>
      </w:r>
      <w:r>
        <w:rPr>
          <w:spacing w:val="-6"/>
          <w:sz w:val="24"/>
        </w:rPr>
        <w:t> </w:t>
      </w:r>
      <w:r>
        <w:rPr>
          <w:sz w:val="24"/>
        </w:rPr>
        <w:t>or simply by appropriate designation in the articles.Such a director must vacate his office, should any of the situations listed in s.257, happen to him. However, he is neither subject toretirementnor rotation as is normally the case with other directors. In</w:t>
      </w:r>
      <w:r>
        <w:rPr>
          <w:spacing w:val="-1"/>
          <w:sz w:val="24"/>
        </w:rPr>
        <w:t> </w:t>
      </w:r>
      <w:r>
        <w:rPr>
          <w:sz w:val="24"/>
        </w:rPr>
        <w:t>practice, he is more often</w:t>
      </w:r>
      <w:r>
        <w:rPr>
          <w:spacing w:val="-1"/>
          <w:sz w:val="24"/>
        </w:rPr>
        <w:t> </w:t>
      </w:r>
      <w:r>
        <w:rPr>
          <w:sz w:val="24"/>
        </w:rPr>
        <w:t>a founder, co-founder</w:t>
      </w:r>
    </w:p>
    <w:p>
      <w:pPr>
        <w:pStyle w:val="BodyText"/>
        <w:spacing w:before="2"/>
        <w:ind w:left="1388"/>
        <w:jc w:val="both"/>
      </w:pPr>
      <w:r>
        <w:rPr/>
        <w:t>or</w:t>
      </w:r>
      <w:r>
        <w:rPr>
          <w:spacing w:val="17"/>
        </w:rPr>
        <w:t> </w:t>
      </w:r>
      <w:r>
        <w:rPr/>
        <w:t>major</w:t>
      </w:r>
      <w:r>
        <w:rPr>
          <w:spacing w:val="24"/>
        </w:rPr>
        <w:t> </w:t>
      </w:r>
      <w:r>
        <w:rPr/>
        <w:t>shareholder</w:t>
      </w:r>
      <w:r>
        <w:rPr>
          <w:spacing w:val="28"/>
        </w:rPr>
        <w:t> </w:t>
      </w:r>
      <w:r>
        <w:rPr/>
        <w:t>in</w:t>
      </w:r>
      <w:r>
        <w:rPr>
          <w:spacing w:val="18"/>
        </w:rPr>
        <w:t> </w:t>
      </w:r>
      <w:r>
        <w:rPr/>
        <w:t>a</w:t>
      </w:r>
      <w:r>
        <w:rPr>
          <w:spacing w:val="22"/>
        </w:rPr>
        <w:t> </w:t>
      </w:r>
      <w:r>
        <w:rPr/>
        <w:t>private</w:t>
      </w:r>
      <w:r>
        <w:rPr>
          <w:spacing w:val="21"/>
        </w:rPr>
        <w:t> </w:t>
      </w:r>
      <w:r>
        <w:rPr/>
        <w:t>company</w:t>
      </w:r>
      <w:r>
        <w:rPr>
          <w:spacing w:val="18"/>
        </w:rPr>
        <w:t> </w:t>
      </w:r>
      <w:r>
        <w:rPr/>
        <w:t>and</w:t>
      </w:r>
      <w:r>
        <w:rPr>
          <w:spacing w:val="27"/>
        </w:rPr>
        <w:t> </w:t>
      </w:r>
      <w:r>
        <w:rPr/>
        <w:t>his</w:t>
      </w:r>
      <w:r>
        <w:rPr>
          <w:spacing w:val="20"/>
        </w:rPr>
        <w:t> </w:t>
      </w:r>
      <w:r>
        <w:rPr/>
        <w:t>tenure</w:t>
      </w:r>
      <w:r>
        <w:rPr>
          <w:spacing w:val="27"/>
        </w:rPr>
        <w:t> </w:t>
      </w:r>
      <w:r>
        <w:rPr/>
        <w:t>is</w:t>
      </w:r>
      <w:r>
        <w:rPr>
          <w:spacing w:val="21"/>
        </w:rPr>
        <w:t> </w:t>
      </w:r>
      <w:r>
        <w:rPr>
          <w:spacing w:val="-2"/>
        </w:rPr>
        <w:t>acknowledged</w:t>
      </w:r>
    </w:p>
    <w:p>
      <w:pPr>
        <w:pStyle w:val="BodyText"/>
        <w:spacing w:before="3"/>
        <w:ind w:left="0"/>
        <w:rPr>
          <w:sz w:val="14"/>
        </w:rPr>
      </w:pPr>
      <w:r>
        <w:rPr/>
        <mc:AlternateContent>
          <mc:Choice Requires="wps">
            <w:drawing>
              <wp:anchor distT="0" distB="0" distL="0" distR="0" allowOverlap="1" layoutInCell="1" locked="0" behindDoc="1" simplePos="0" relativeHeight="487628800">
                <wp:simplePos x="0" y="0"/>
                <wp:positionH relativeFrom="page">
                  <wp:posOffset>1262481</wp:posOffset>
                </wp:positionH>
                <wp:positionV relativeFrom="paragraph">
                  <wp:posOffset>119444</wp:posOffset>
                </wp:positionV>
                <wp:extent cx="1829435" cy="9525"/>
                <wp:effectExtent l="0" t="0" r="0" b="0"/>
                <wp:wrapTopAndBottom/>
                <wp:docPr id="90" name="Graphic 90"/>
                <wp:cNvGraphicFramePr>
                  <a:graphicFrameLocks/>
                </wp:cNvGraphicFramePr>
                <a:graphic>
                  <a:graphicData uri="http://schemas.microsoft.com/office/word/2010/wordprocessingShape">
                    <wps:wsp>
                      <wps:cNvPr id="90" name="Graphic 9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5108pt;width:144.050pt;height:.71997pt;mso-position-horizontal-relative:page;mso-position-vertical-relative:paragraph;z-index:-15687680;mso-wrap-distance-left:0;mso-wrap-distance-right:0" id="docshape45"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68</w:t>
      </w:r>
      <w:r>
        <w:rPr>
          <w:rFonts w:ascii="Calibri"/>
          <w:spacing w:val="1"/>
          <w:sz w:val="20"/>
          <w:vertAlign w:val="baseline"/>
        </w:rPr>
        <w:t> </w:t>
      </w:r>
      <w:r>
        <w:rPr>
          <w:rFonts w:ascii="Calibri"/>
          <w:sz w:val="20"/>
          <w:vertAlign w:val="baseline"/>
        </w:rPr>
        <w:t>Birds,</w:t>
      </w:r>
      <w:r>
        <w:rPr>
          <w:rFonts w:ascii="Calibri"/>
          <w:spacing w:val="-2"/>
          <w:sz w:val="20"/>
          <w:vertAlign w:val="baseline"/>
        </w:rPr>
        <w:t> </w:t>
      </w:r>
      <w:r>
        <w:rPr>
          <w:rFonts w:ascii="Calibri"/>
          <w:sz w:val="20"/>
          <w:vertAlign w:val="baseline"/>
        </w:rPr>
        <w:t>J.</w:t>
      </w:r>
      <w:r>
        <w:rPr>
          <w:rFonts w:ascii="Calibri"/>
          <w:spacing w:val="-2"/>
          <w:sz w:val="20"/>
          <w:vertAlign w:val="baseline"/>
        </w:rPr>
        <w:t> </w:t>
      </w:r>
      <w:r>
        <w:rPr>
          <w:rFonts w:ascii="Calibri"/>
          <w:sz w:val="20"/>
          <w:vertAlign w:val="baseline"/>
        </w:rPr>
        <w:t>et</w:t>
      </w:r>
      <w:r>
        <w:rPr>
          <w:rFonts w:ascii="Calibri"/>
          <w:spacing w:val="-5"/>
          <w:sz w:val="20"/>
          <w:vertAlign w:val="baseline"/>
        </w:rPr>
        <w:t> </w:t>
      </w:r>
      <w:r>
        <w:rPr>
          <w:rFonts w:ascii="Calibri"/>
          <w:sz w:val="20"/>
          <w:vertAlign w:val="baseline"/>
        </w:rPr>
        <w:t>al.</w:t>
      </w:r>
      <w:r>
        <w:rPr>
          <w:rFonts w:ascii="Calibri"/>
          <w:spacing w:val="-6"/>
          <w:sz w:val="20"/>
          <w:vertAlign w:val="baseline"/>
        </w:rPr>
        <w:t> </w:t>
      </w:r>
      <w:r>
        <w:rPr>
          <w:rFonts w:ascii="Calibri"/>
          <w:i/>
          <w:sz w:val="20"/>
          <w:vertAlign w:val="baseline"/>
        </w:rPr>
        <w:t>op.cit.</w:t>
      </w:r>
      <w:r>
        <w:rPr>
          <w:rFonts w:ascii="Calibri"/>
          <w:sz w:val="20"/>
          <w:vertAlign w:val="baseline"/>
        </w:rPr>
        <w:t>,</w:t>
      </w:r>
      <w:r>
        <w:rPr>
          <w:rFonts w:ascii="Calibri"/>
          <w:spacing w:val="-7"/>
          <w:sz w:val="20"/>
          <w:vertAlign w:val="baseline"/>
        </w:rPr>
        <w:t> </w:t>
      </w:r>
      <w:r>
        <w:rPr>
          <w:rFonts w:ascii="Calibri"/>
          <w:spacing w:val="-2"/>
          <w:sz w:val="20"/>
          <w:vertAlign w:val="baseline"/>
        </w:rPr>
        <w:t>p.579.</w:t>
      </w:r>
    </w:p>
    <w:p>
      <w:pPr>
        <w:spacing w:before="1"/>
        <w:ind w:left="308" w:right="0" w:firstLine="0"/>
        <w:jc w:val="left"/>
        <w:rPr>
          <w:rFonts w:ascii="Calibri"/>
          <w:sz w:val="20"/>
        </w:rPr>
      </w:pPr>
      <w:r>
        <w:rPr>
          <w:rFonts w:ascii="Calibri"/>
          <w:sz w:val="20"/>
          <w:vertAlign w:val="superscript"/>
        </w:rPr>
        <w:t>69</w:t>
      </w:r>
      <w:r>
        <w:rPr>
          <w:rFonts w:ascii="Calibri"/>
          <w:sz w:val="20"/>
          <w:vertAlign w:val="baseline"/>
        </w:rPr>
        <w:t> See</w:t>
      </w:r>
      <w:r>
        <w:rPr>
          <w:rFonts w:ascii="Calibri"/>
          <w:spacing w:val="-4"/>
          <w:sz w:val="20"/>
          <w:vertAlign w:val="baseline"/>
        </w:rPr>
        <w:t> </w:t>
      </w:r>
      <w:r>
        <w:rPr>
          <w:rFonts w:ascii="Calibri"/>
          <w:sz w:val="20"/>
          <w:vertAlign w:val="baseline"/>
        </w:rPr>
        <w:t>generally</w:t>
      </w:r>
      <w:r>
        <w:rPr>
          <w:rFonts w:ascii="Calibri"/>
          <w:spacing w:val="-4"/>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250</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6"/>
          <w:sz w:val="20"/>
          <w:vertAlign w:val="baseline"/>
        </w:rPr>
        <w:t> </w:t>
      </w:r>
      <w:r>
        <w:rPr>
          <w:rFonts w:ascii="Calibri"/>
          <w:spacing w:val="-2"/>
          <w:sz w:val="20"/>
          <w:vertAlign w:val="baseline"/>
        </w:rPr>
        <w:t>CAMA.</w:t>
      </w:r>
    </w:p>
    <w:p>
      <w:pPr>
        <w:spacing w:before="0"/>
        <w:ind w:left="308" w:right="0" w:firstLine="0"/>
        <w:jc w:val="left"/>
        <w:rPr>
          <w:rFonts w:ascii="Calibri"/>
          <w:sz w:val="20"/>
        </w:rPr>
      </w:pPr>
      <w:r>
        <w:rPr>
          <w:rFonts w:ascii="Calibri"/>
          <w:sz w:val="20"/>
          <w:vertAlign w:val="superscript"/>
        </w:rPr>
        <w:t>70</w:t>
      </w:r>
      <w:r>
        <w:rPr>
          <w:rFonts w:ascii="Calibri"/>
          <w:sz w:val="20"/>
          <w:vertAlign w:val="baseline"/>
        </w:rPr>
        <w:t> Refer</w:t>
      </w:r>
      <w:r>
        <w:rPr>
          <w:rFonts w:ascii="Calibri"/>
          <w:spacing w:val="-5"/>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 69(b)</w:t>
      </w:r>
      <w:r>
        <w:rPr>
          <w:rFonts w:ascii="Calibri"/>
          <w:spacing w:val="-5"/>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the</w:t>
      </w:r>
      <w:r>
        <w:rPr>
          <w:rFonts w:ascii="Calibri"/>
          <w:spacing w:val="-2"/>
          <w:sz w:val="20"/>
          <w:vertAlign w:val="baseline"/>
        </w:rPr>
        <w:t> </w:t>
      </w:r>
      <w:r>
        <w:rPr>
          <w:rFonts w:ascii="Calibri"/>
          <w:spacing w:val="-4"/>
          <w:sz w:val="20"/>
          <w:vertAlign w:val="baseline"/>
        </w:rPr>
        <w:t>CAMA.</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left="1388" w:right="241"/>
        <w:jc w:val="both"/>
      </w:pPr>
      <w:r>
        <w:rPr/>
        <w:t>by</w:t>
      </w:r>
      <w:r>
        <w:rPr>
          <w:spacing w:val="-10"/>
        </w:rPr>
        <w:t> </w:t>
      </w:r>
      <w:r>
        <w:rPr/>
        <w:t>the</w:t>
      </w:r>
      <w:r>
        <w:rPr>
          <w:spacing w:val="-7"/>
        </w:rPr>
        <w:t> </w:t>
      </w:r>
      <w:r>
        <w:rPr/>
        <w:t>articles.</w:t>
      </w:r>
      <w:r>
        <w:rPr>
          <w:spacing w:val="-5"/>
        </w:rPr>
        <w:t> </w:t>
      </w:r>
      <w:r>
        <w:rPr/>
        <w:t>He</w:t>
      </w:r>
      <w:r>
        <w:rPr>
          <w:spacing w:val="-5"/>
        </w:rPr>
        <w:t> </w:t>
      </w:r>
      <w:r>
        <w:rPr/>
        <w:t>often</w:t>
      </w:r>
      <w:r>
        <w:rPr>
          <w:spacing w:val="-10"/>
        </w:rPr>
        <w:t> </w:t>
      </w:r>
      <w:r>
        <w:rPr/>
        <w:t>holds</w:t>
      </w:r>
      <w:r>
        <w:rPr>
          <w:spacing w:val="-4"/>
        </w:rPr>
        <w:t> </w:t>
      </w:r>
      <w:r>
        <w:rPr/>
        <w:t>―preference‖</w:t>
      </w:r>
      <w:r>
        <w:rPr>
          <w:spacing w:val="-7"/>
        </w:rPr>
        <w:t> </w:t>
      </w:r>
      <w:r>
        <w:rPr/>
        <w:t>or</w:t>
      </w:r>
      <w:r>
        <w:rPr>
          <w:spacing w:val="-5"/>
        </w:rPr>
        <w:t> </w:t>
      </w:r>
      <w:r>
        <w:rPr/>
        <w:t>―founders‖</w:t>
      </w:r>
      <w:r>
        <w:rPr>
          <w:spacing w:val="-3"/>
        </w:rPr>
        <w:t> </w:t>
      </w:r>
      <w:r>
        <w:rPr/>
        <w:t>shares,</w:t>
      </w:r>
      <w:r>
        <w:rPr>
          <w:spacing w:val="-5"/>
        </w:rPr>
        <w:t> </w:t>
      </w:r>
      <w:r>
        <w:rPr/>
        <w:t>which</w:t>
      </w:r>
      <w:r>
        <w:rPr>
          <w:spacing w:val="-10"/>
        </w:rPr>
        <w:t> </w:t>
      </w:r>
      <w:r>
        <w:rPr/>
        <w:t>are of a special class with special rights attached.</w:t>
      </w:r>
    </w:p>
    <w:p>
      <w:pPr>
        <w:pStyle w:val="ListParagraph"/>
        <w:numPr>
          <w:ilvl w:val="0"/>
          <w:numId w:val="10"/>
        </w:numPr>
        <w:tabs>
          <w:tab w:pos="1386" w:val="left" w:leader="none"/>
          <w:tab w:pos="1388" w:val="left" w:leader="none"/>
        </w:tabs>
        <w:spacing w:line="480" w:lineRule="auto" w:before="0" w:after="0"/>
        <w:ind w:left="1388" w:right="228" w:hanging="720"/>
        <w:jc w:val="both"/>
        <w:rPr>
          <w:sz w:val="24"/>
        </w:rPr>
      </w:pPr>
      <w:r>
        <w:rPr>
          <w:i/>
          <w:sz w:val="24"/>
        </w:rPr>
        <w:t>Shadow Directors:</w:t>
      </w:r>
      <w:r>
        <w:rPr>
          <w:sz w:val="24"/>
        </w:rPr>
        <w:t>- In order to identify those with real influence on</w:t>
      </w:r>
      <w:r>
        <w:rPr>
          <w:spacing w:val="40"/>
          <w:sz w:val="24"/>
        </w:rPr>
        <w:t> </w:t>
      </w:r>
      <w:r>
        <w:rPr>
          <w:sz w:val="24"/>
        </w:rPr>
        <w:t>corporate affairs other than professional advisers,</w:t>
      </w:r>
      <w:r>
        <w:rPr>
          <w:sz w:val="24"/>
          <w:vertAlign w:val="superscript"/>
        </w:rPr>
        <w:t>71</w:t>
      </w:r>
      <w:r>
        <w:rPr>
          <w:sz w:val="24"/>
          <w:vertAlign w:val="baseline"/>
        </w:rPr>
        <w:t> corporate law acknowledges the existence of</w:t>
      </w:r>
      <w:r>
        <w:rPr>
          <w:spacing w:val="-5"/>
          <w:sz w:val="24"/>
          <w:vertAlign w:val="baseline"/>
        </w:rPr>
        <w:t> </w:t>
      </w:r>
      <w:r>
        <w:rPr>
          <w:sz w:val="24"/>
          <w:vertAlign w:val="baseline"/>
        </w:rPr>
        <w:t>the shadow director. He is described as ―any person on whose instructions and directions the directors are accustomed to act.‖</w:t>
      </w:r>
      <w:r>
        <w:rPr>
          <w:sz w:val="24"/>
          <w:vertAlign w:val="superscript"/>
        </w:rPr>
        <w:t>72</w:t>
      </w:r>
      <w:r>
        <w:rPr>
          <w:sz w:val="24"/>
          <w:vertAlign w:val="baseline"/>
        </w:rPr>
        <w:t> In practice, identifying him is no easy task. In the first place, the law clarifies that persons who give advice in their professional capacity, upon which directors act, do not fall under this description.</w:t>
      </w:r>
      <w:r>
        <w:rPr>
          <w:sz w:val="24"/>
          <w:vertAlign w:val="superscript"/>
        </w:rPr>
        <w:t>73</w:t>
      </w:r>
      <w:r>
        <w:rPr>
          <w:sz w:val="24"/>
          <w:vertAlign w:val="baseline"/>
        </w:rPr>
        <w:t> This effectively excludes lawyers, auditors</w:t>
      </w:r>
      <w:r>
        <w:rPr>
          <w:spacing w:val="-1"/>
          <w:sz w:val="24"/>
          <w:vertAlign w:val="baseline"/>
        </w:rPr>
        <w:t> </w:t>
      </w:r>
      <w:r>
        <w:rPr>
          <w:sz w:val="24"/>
          <w:vertAlign w:val="baseline"/>
        </w:rPr>
        <w:t>and other such</w:t>
      </w:r>
      <w:r>
        <w:rPr>
          <w:spacing w:val="-4"/>
          <w:sz w:val="24"/>
          <w:vertAlign w:val="baseline"/>
        </w:rPr>
        <w:t> </w:t>
      </w:r>
      <w:r>
        <w:rPr>
          <w:sz w:val="24"/>
          <w:vertAlign w:val="baseline"/>
        </w:rPr>
        <w:t>professionals</w:t>
      </w:r>
      <w:r>
        <w:rPr>
          <w:spacing w:val="-1"/>
          <w:sz w:val="24"/>
          <w:vertAlign w:val="baseline"/>
        </w:rPr>
        <w:t> </w:t>
      </w:r>
      <w:r>
        <w:rPr>
          <w:sz w:val="24"/>
          <w:vertAlign w:val="baseline"/>
        </w:rPr>
        <w:t>periodically</w:t>
      </w:r>
      <w:r>
        <w:rPr>
          <w:spacing w:val="-4"/>
          <w:sz w:val="24"/>
          <w:vertAlign w:val="baseline"/>
        </w:rPr>
        <w:t> </w:t>
      </w:r>
      <w:r>
        <w:rPr>
          <w:sz w:val="24"/>
          <w:vertAlign w:val="baseline"/>
        </w:rPr>
        <w:t>engaged by</w:t>
      </w:r>
      <w:r>
        <w:rPr>
          <w:spacing w:val="-7"/>
          <w:sz w:val="24"/>
          <w:vertAlign w:val="baseline"/>
        </w:rPr>
        <w:t> </w:t>
      </w:r>
      <w:r>
        <w:rPr>
          <w:sz w:val="24"/>
          <w:vertAlign w:val="baseline"/>
        </w:rPr>
        <w:t>the company</w:t>
      </w:r>
      <w:r>
        <w:rPr>
          <w:spacing w:val="-2"/>
          <w:sz w:val="24"/>
          <w:vertAlign w:val="baseline"/>
        </w:rPr>
        <w:t> </w:t>
      </w:r>
      <w:r>
        <w:rPr>
          <w:sz w:val="24"/>
          <w:vertAlign w:val="baseline"/>
        </w:rPr>
        <w:t>for</w:t>
      </w:r>
      <w:r>
        <w:rPr>
          <w:spacing w:val="-1"/>
          <w:sz w:val="24"/>
          <w:vertAlign w:val="baseline"/>
        </w:rPr>
        <w:t> </w:t>
      </w:r>
      <w:r>
        <w:rPr>
          <w:sz w:val="24"/>
          <w:vertAlign w:val="baseline"/>
        </w:rPr>
        <w:t>expert advice. It has been</w:t>
      </w:r>
      <w:r>
        <w:rPr>
          <w:spacing w:val="-2"/>
          <w:sz w:val="24"/>
          <w:vertAlign w:val="baseline"/>
        </w:rPr>
        <w:t> </w:t>
      </w:r>
      <w:r>
        <w:rPr>
          <w:sz w:val="24"/>
          <w:vertAlign w:val="baseline"/>
        </w:rPr>
        <w:t>suggested</w:t>
      </w:r>
      <w:r>
        <w:rPr>
          <w:spacing w:val="-2"/>
          <w:sz w:val="24"/>
          <w:vertAlign w:val="baseline"/>
        </w:rPr>
        <w:t> </w:t>
      </w:r>
      <w:r>
        <w:rPr>
          <w:sz w:val="24"/>
          <w:vertAlign w:val="baseline"/>
        </w:rPr>
        <w:t>that</w:t>
      </w:r>
      <w:r>
        <w:rPr>
          <w:spacing w:val="-2"/>
          <w:sz w:val="24"/>
          <w:vertAlign w:val="baseline"/>
        </w:rPr>
        <w:t> </w:t>
      </w:r>
      <w:r>
        <w:rPr>
          <w:sz w:val="24"/>
          <w:vertAlign w:val="baseline"/>
        </w:rPr>
        <w:t>there is no need to show</w:t>
      </w:r>
      <w:r>
        <w:rPr>
          <w:spacing w:val="-1"/>
          <w:sz w:val="24"/>
          <w:vertAlign w:val="baseline"/>
        </w:rPr>
        <w:t> </w:t>
      </w:r>
      <w:r>
        <w:rPr>
          <w:sz w:val="24"/>
          <w:vertAlign w:val="baseline"/>
        </w:rPr>
        <w:t>in all cases</w:t>
      </w:r>
      <w:r>
        <w:rPr>
          <w:spacing w:val="-2"/>
          <w:sz w:val="24"/>
          <w:vertAlign w:val="baseline"/>
        </w:rPr>
        <w:t> </w:t>
      </w:r>
      <w:r>
        <w:rPr>
          <w:sz w:val="24"/>
          <w:vertAlign w:val="baseline"/>
        </w:rPr>
        <w:t>that the</w:t>
      </w:r>
      <w:r>
        <w:rPr>
          <w:spacing w:val="-1"/>
          <w:sz w:val="24"/>
          <w:vertAlign w:val="baseline"/>
        </w:rPr>
        <w:t> </w:t>
      </w:r>
      <w:r>
        <w:rPr>
          <w:sz w:val="24"/>
          <w:vertAlign w:val="baseline"/>
        </w:rPr>
        <w:t>properly</w:t>
      </w:r>
      <w:r>
        <w:rPr>
          <w:spacing w:val="-5"/>
          <w:sz w:val="24"/>
          <w:vertAlign w:val="baseline"/>
        </w:rPr>
        <w:t> </w:t>
      </w:r>
      <w:r>
        <w:rPr>
          <w:sz w:val="24"/>
          <w:vertAlign w:val="baseline"/>
        </w:rPr>
        <w:t>appointed directors</w:t>
      </w:r>
      <w:r>
        <w:rPr>
          <w:spacing w:val="-2"/>
          <w:sz w:val="24"/>
          <w:vertAlign w:val="baseline"/>
        </w:rPr>
        <w:t> </w:t>
      </w:r>
      <w:r>
        <w:rPr>
          <w:sz w:val="24"/>
          <w:vertAlign w:val="baseline"/>
        </w:rPr>
        <w:t>cast themselves in a subservient role or surrender their respective discretions.</w:t>
      </w:r>
      <w:r>
        <w:rPr>
          <w:sz w:val="24"/>
          <w:vertAlign w:val="superscript"/>
        </w:rPr>
        <w:t>74</w:t>
      </w:r>
      <w:r>
        <w:rPr>
          <w:sz w:val="24"/>
          <w:vertAlign w:val="baseline"/>
        </w:rPr>
        <w:t>Nevertheless, the words</w:t>
      </w:r>
      <w:r>
        <w:rPr>
          <w:spacing w:val="-5"/>
          <w:sz w:val="24"/>
          <w:vertAlign w:val="baseline"/>
        </w:rPr>
        <w:t> </w:t>
      </w:r>
      <w:r>
        <w:rPr>
          <w:sz w:val="24"/>
          <w:vertAlign w:val="baseline"/>
        </w:rPr>
        <w:t>―accustomed</w:t>
      </w:r>
      <w:r>
        <w:rPr>
          <w:spacing w:val="-3"/>
          <w:sz w:val="24"/>
          <w:vertAlign w:val="baseline"/>
        </w:rPr>
        <w:t> </w:t>
      </w:r>
      <w:r>
        <w:rPr>
          <w:sz w:val="24"/>
          <w:vertAlign w:val="baseline"/>
        </w:rPr>
        <w:t>to act‖ in</w:t>
      </w:r>
      <w:r>
        <w:rPr>
          <w:spacing w:val="-3"/>
          <w:sz w:val="24"/>
          <w:vertAlign w:val="baseline"/>
        </w:rPr>
        <w:t> </w:t>
      </w:r>
      <w:r>
        <w:rPr>
          <w:sz w:val="24"/>
          <w:vertAlign w:val="baseline"/>
        </w:rPr>
        <w:t>s.245</w:t>
      </w:r>
      <w:r>
        <w:rPr>
          <w:spacing w:val="-3"/>
          <w:sz w:val="24"/>
          <w:vertAlign w:val="baseline"/>
        </w:rPr>
        <w:t> </w:t>
      </w:r>
      <w:r>
        <w:rPr>
          <w:sz w:val="24"/>
          <w:vertAlign w:val="baseline"/>
        </w:rPr>
        <w:t>of</w:t>
      </w:r>
      <w:r>
        <w:rPr>
          <w:spacing w:val="-9"/>
          <w:sz w:val="24"/>
          <w:vertAlign w:val="baseline"/>
        </w:rPr>
        <w:t> </w:t>
      </w:r>
      <w:r>
        <w:rPr>
          <w:sz w:val="24"/>
          <w:vertAlign w:val="baseline"/>
        </w:rPr>
        <w:t>the CAMA,</w:t>
      </w:r>
      <w:r>
        <w:rPr>
          <w:spacing w:val="-1"/>
          <w:sz w:val="24"/>
          <w:vertAlign w:val="baseline"/>
        </w:rPr>
        <w:t> </w:t>
      </w:r>
      <w:r>
        <w:rPr>
          <w:sz w:val="24"/>
          <w:vertAlign w:val="baseline"/>
        </w:rPr>
        <w:t>require</w:t>
      </w:r>
      <w:r>
        <w:rPr>
          <w:spacing w:val="-3"/>
          <w:sz w:val="24"/>
          <w:vertAlign w:val="baseline"/>
        </w:rPr>
        <w:t> </w:t>
      </w:r>
      <w:r>
        <w:rPr>
          <w:sz w:val="24"/>
          <w:vertAlign w:val="baseline"/>
        </w:rPr>
        <w:t>some </w:t>
      </w:r>
      <w:r>
        <w:rPr>
          <w:i/>
          <w:sz w:val="24"/>
          <w:vertAlign w:val="baseline"/>
        </w:rPr>
        <w:t>pattern</w:t>
      </w:r>
      <w:r>
        <w:rPr>
          <w:i/>
          <w:spacing w:val="-2"/>
          <w:sz w:val="24"/>
          <w:vertAlign w:val="baseline"/>
        </w:rPr>
        <w:t> </w:t>
      </w:r>
      <w:r>
        <w:rPr>
          <w:sz w:val="24"/>
          <w:vertAlign w:val="baseline"/>
        </w:rPr>
        <w:t>and a single instruction, however significant, will not suffice. In his dealings</w:t>
      </w:r>
      <w:r>
        <w:rPr>
          <w:spacing w:val="80"/>
          <w:sz w:val="24"/>
          <w:vertAlign w:val="baseline"/>
        </w:rPr>
        <w:t> </w:t>
      </w:r>
      <w:r>
        <w:rPr>
          <w:sz w:val="24"/>
          <w:vertAlign w:val="baseline"/>
        </w:rPr>
        <w:t>with the company, the shadow director is bound by the same rules of</w:t>
      </w:r>
      <w:r>
        <w:rPr>
          <w:spacing w:val="80"/>
          <w:sz w:val="24"/>
          <w:vertAlign w:val="baseline"/>
        </w:rPr>
        <w:t> </w:t>
      </w:r>
      <w:r>
        <w:rPr>
          <w:sz w:val="24"/>
          <w:vertAlign w:val="baseline"/>
        </w:rPr>
        <w:t>conduct as</w:t>
      </w:r>
      <w:r>
        <w:rPr>
          <w:spacing w:val="-4"/>
          <w:sz w:val="24"/>
          <w:vertAlign w:val="baseline"/>
        </w:rPr>
        <w:t> </w:t>
      </w:r>
      <w:r>
        <w:rPr>
          <w:sz w:val="24"/>
          <w:vertAlign w:val="baseline"/>
        </w:rPr>
        <w:t>the company‘s directors, especially in those areas where conflicts of interest may arise.</w:t>
      </w:r>
      <w:r>
        <w:rPr>
          <w:sz w:val="24"/>
          <w:vertAlign w:val="superscript"/>
        </w:rPr>
        <w:t>75</w:t>
      </w:r>
      <w:r>
        <w:rPr>
          <w:sz w:val="24"/>
          <w:vertAlign w:val="baseline"/>
        </w:rPr>
        <w:t> However, the UK Court of Appeal in </w:t>
      </w:r>
      <w:r>
        <w:rPr>
          <w:b/>
          <w:sz w:val="24"/>
          <w:vertAlign w:val="baseline"/>
        </w:rPr>
        <w:t>Ultraframe (UK) Ltd. vs. Fielding</w:t>
      </w:r>
      <w:r>
        <w:rPr>
          <w:sz w:val="24"/>
          <w:vertAlign w:val="baseline"/>
        </w:rPr>
        <w:t>,</w:t>
      </w:r>
      <w:r>
        <w:rPr>
          <w:sz w:val="24"/>
          <w:vertAlign w:val="superscript"/>
        </w:rPr>
        <w:t>76</w:t>
      </w:r>
      <w:r>
        <w:rPr>
          <w:sz w:val="24"/>
          <w:vertAlign w:val="baseline"/>
        </w:rPr>
        <w:t> held that although a shadow director is subject to the requirements imposed by a number of statutory provisions, he does not normally owe fiduciary duties to the company. Perhaps this is because fiduciary</w:t>
      </w:r>
      <w:r>
        <w:rPr>
          <w:spacing w:val="8"/>
          <w:sz w:val="24"/>
          <w:vertAlign w:val="baseline"/>
        </w:rPr>
        <w:t> </w:t>
      </w:r>
      <w:r>
        <w:rPr>
          <w:sz w:val="24"/>
          <w:vertAlign w:val="baseline"/>
        </w:rPr>
        <w:t>duties</w:t>
      </w:r>
      <w:r>
        <w:rPr>
          <w:spacing w:val="18"/>
          <w:sz w:val="24"/>
          <w:vertAlign w:val="baseline"/>
        </w:rPr>
        <w:t> </w:t>
      </w:r>
      <w:r>
        <w:rPr>
          <w:sz w:val="24"/>
          <w:vertAlign w:val="baseline"/>
        </w:rPr>
        <w:t>arise</w:t>
      </w:r>
      <w:r>
        <w:rPr>
          <w:spacing w:val="24"/>
          <w:sz w:val="24"/>
          <w:vertAlign w:val="baseline"/>
        </w:rPr>
        <w:t> </w:t>
      </w:r>
      <w:r>
        <w:rPr>
          <w:sz w:val="24"/>
          <w:vertAlign w:val="baseline"/>
        </w:rPr>
        <w:t>from</w:t>
      </w:r>
      <w:r>
        <w:rPr>
          <w:spacing w:val="11"/>
          <w:sz w:val="24"/>
          <w:vertAlign w:val="baseline"/>
        </w:rPr>
        <w:t> </w:t>
      </w:r>
      <w:r>
        <w:rPr>
          <w:sz w:val="24"/>
          <w:vertAlign w:val="baseline"/>
        </w:rPr>
        <w:t>the</w:t>
      </w:r>
      <w:r>
        <w:rPr>
          <w:spacing w:val="24"/>
          <w:sz w:val="24"/>
          <w:vertAlign w:val="baseline"/>
        </w:rPr>
        <w:t> </w:t>
      </w:r>
      <w:r>
        <w:rPr>
          <w:sz w:val="24"/>
          <w:vertAlign w:val="baseline"/>
        </w:rPr>
        <w:t>fact</w:t>
      </w:r>
      <w:r>
        <w:rPr>
          <w:spacing w:val="25"/>
          <w:sz w:val="24"/>
          <w:vertAlign w:val="baseline"/>
        </w:rPr>
        <w:t> </w:t>
      </w:r>
      <w:r>
        <w:rPr>
          <w:sz w:val="24"/>
          <w:vertAlign w:val="baseline"/>
        </w:rPr>
        <w:t>of</w:t>
      </w:r>
      <w:r>
        <w:rPr>
          <w:spacing w:val="13"/>
          <w:sz w:val="24"/>
          <w:vertAlign w:val="baseline"/>
        </w:rPr>
        <w:t> </w:t>
      </w:r>
      <w:r>
        <w:rPr>
          <w:sz w:val="24"/>
          <w:vertAlign w:val="baseline"/>
        </w:rPr>
        <w:t>one</w:t>
      </w:r>
      <w:r>
        <w:rPr>
          <w:spacing w:val="19"/>
          <w:sz w:val="24"/>
          <w:vertAlign w:val="baseline"/>
        </w:rPr>
        <w:t> </w:t>
      </w:r>
      <w:r>
        <w:rPr>
          <w:sz w:val="24"/>
          <w:vertAlign w:val="baseline"/>
        </w:rPr>
        <w:t>party</w:t>
      </w:r>
      <w:r>
        <w:rPr>
          <w:spacing w:val="10"/>
          <w:sz w:val="24"/>
          <w:vertAlign w:val="baseline"/>
        </w:rPr>
        <w:t> </w:t>
      </w:r>
      <w:r>
        <w:rPr>
          <w:sz w:val="24"/>
          <w:vertAlign w:val="baseline"/>
        </w:rPr>
        <w:t>reposing</w:t>
      </w:r>
      <w:r>
        <w:rPr>
          <w:spacing w:val="20"/>
          <w:sz w:val="24"/>
          <w:vertAlign w:val="baseline"/>
        </w:rPr>
        <w:t> </w:t>
      </w:r>
      <w:r>
        <w:rPr>
          <w:sz w:val="24"/>
          <w:vertAlign w:val="baseline"/>
        </w:rPr>
        <w:t>trust</w:t>
      </w:r>
      <w:r>
        <w:rPr>
          <w:spacing w:val="16"/>
          <w:sz w:val="24"/>
          <w:vertAlign w:val="baseline"/>
        </w:rPr>
        <w:t> </w:t>
      </w:r>
      <w:r>
        <w:rPr>
          <w:sz w:val="24"/>
          <w:vertAlign w:val="baseline"/>
        </w:rPr>
        <w:t>on</w:t>
      </w:r>
      <w:r>
        <w:rPr>
          <w:spacing w:val="15"/>
          <w:sz w:val="24"/>
          <w:vertAlign w:val="baseline"/>
        </w:rPr>
        <w:t> </w:t>
      </w:r>
      <w:r>
        <w:rPr>
          <w:sz w:val="24"/>
          <w:vertAlign w:val="baseline"/>
        </w:rPr>
        <w:t>the</w:t>
      </w:r>
      <w:r>
        <w:rPr>
          <w:spacing w:val="20"/>
          <w:sz w:val="24"/>
          <w:vertAlign w:val="baseline"/>
        </w:rPr>
        <w:t> </w:t>
      </w:r>
      <w:r>
        <w:rPr>
          <w:spacing w:val="-2"/>
          <w:sz w:val="24"/>
          <w:vertAlign w:val="baseline"/>
        </w:rPr>
        <w:t>other.</w:t>
      </w:r>
    </w:p>
    <w:p>
      <w:pPr>
        <w:pStyle w:val="BodyText"/>
        <w:spacing w:before="32"/>
        <w:ind w:left="0"/>
        <w:rPr>
          <w:sz w:val="20"/>
        </w:rPr>
      </w:pPr>
      <w:r>
        <w:rPr/>
        <mc:AlternateContent>
          <mc:Choice Requires="wps">
            <w:drawing>
              <wp:anchor distT="0" distB="0" distL="0" distR="0" allowOverlap="1" layoutInCell="1" locked="0" behindDoc="1" simplePos="0" relativeHeight="487629312">
                <wp:simplePos x="0" y="0"/>
                <wp:positionH relativeFrom="page">
                  <wp:posOffset>1262481</wp:posOffset>
                </wp:positionH>
                <wp:positionV relativeFrom="paragraph">
                  <wp:posOffset>181630</wp:posOffset>
                </wp:positionV>
                <wp:extent cx="1829435" cy="9525"/>
                <wp:effectExtent l="0" t="0" r="0" b="0"/>
                <wp:wrapTopAndBottom/>
                <wp:docPr id="91" name="Graphic 91"/>
                <wp:cNvGraphicFramePr>
                  <a:graphicFrameLocks/>
                </wp:cNvGraphicFramePr>
                <a:graphic>
                  <a:graphicData uri="http://schemas.microsoft.com/office/word/2010/wordprocessingShape">
                    <wps:wsp>
                      <wps:cNvPr id="91" name="Graphic 9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301593pt;width:144.050pt;height:.71997pt;mso-position-horizontal-relative:page;mso-position-vertical-relative:paragraph;z-index:-15687168;mso-wrap-distance-left:0;mso-wrap-distance-right:0" id="docshape46" filled="true" fillcolor="#000000" stroked="false">
                <v:fill type="solid"/>
                <w10:wrap type="topAndBottom"/>
              </v:rect>
            </w:pict>
          </mc:Fallback>
        </mc:AlternateContent>
      </w:r>
    </w:p>
    <w:p>
      <w:pPr>
        <w:spacing w:before="102"/>
        <w:ind w:left="308" w:right="0" w:firstLine="0"/>
        <w:jc w:val="left"/>
        <w:rPr>
          <w:rFonts w:ascii="Calibri"/>
          <w:i/>
          <w:sz w:val="20"/>
        </w:rPr>
      </w:pPr>
      <w:r>
        <w:rPr>
          <w:rFonts w:ascii="Calibri"/>
          <w:sz w:val="20"/>
          <w:vertAlign w:val="superscript"/>
        </w:rPr>
        <w:t>71</w:t>
      </w:r>
      <w:r>
        <w:rPr>
          <w:rFonts w:ascii="Calibri"/>
          <w:sz w:val="20"/>
          <w:vertAlign w:val="baseline"/>
        </w:rPr>
        <w:t>Per</w:t>
      </w:r>
      <w:r>
        <w:rPr>
          <w:rFonts w:ascii="Calibri"/>
          <w:spacing w:val="-6"/>
          <w:sz w:val="20"/>
          <w:vertAlign w:val="baseline"/>
        </w:rPr>
        <w:t> </w:t>
      </w:r>
      <w:r>
        <w:rPr>
          <w:rFonts w:ascii="Calibri"/>
          <w:sz w:val="20"/>
          <w:vertAlign w:val="baseline"/>
        </w:rPr>
        <w:t>Morritt</w:t>
      </w:r>
      <w:r>
        <w:rPr>
          <w:rFonts w:ascii="Calibri"/>
          <w:spacing w:val="-7"/>
          <w:sz w:val="20"/>
          <w:vertAlign w:val="baseline"/>
        </w:rPr>
        <w:t> </w:t>
      </w:r>
      <w:r>
        <w:rPr>
          <w:rFonts w:ascii="Calibri"/>
          <w:sz w:val="20"/>
          <w:vertAlign w:val="baseline"/>
        </w:rPr>
        <w:t>L.J.</w:t>
      </w:r>
      <w:r>
        <w:rPr>
          <w:rFonts w:ascii="Calibri"/>
          <w:spacing w:val="-5"/>
          <w:sz w:val="20"/>
          <w:vertAlign w:val="baseline"/>
        </w:rPr>
        <w:t> </w:t>
      </w:r>
      <w:r>
        <w:rPr>
          <w:rFonts w:ascii="Calibri"/>
          <w:sz w:val="20"/>
          <w:vertAlign w:val="baseline"/>
        </w:rPr>
        <w:t>in </w:t>
      </w:r>
      <w:r>
        <w:rPr>
          <w:rFonts w:ascii="Calibri"/>
          <w:i/>
          <w:sz w:val="20"/>
          <w:vertAlign w:val="baseline"/>
        </w:rPr>
        <w:t>Secretary</w:t>
      </w:r>
      <w:r>
        <w:rPr>
          <w:rFonts w:ascii="Calibri"/>
          <w:i/>
          <w:spacing w:val="-6"/>
          <w:sz w:val="20"/>
          <w:vertAlign w:val="baseline"/>
        </w:rPr>
        <w:t> </w:t>
      </w:r>
      <w:r>
        <w:rPr>
          <w:rFonts w:ascii="Calibri"/>
          <w:i/>
          <w:sz w:val="20"/>
          <w:vertAlign w:val="baseline"/>
        </w:rPr>
        <w:t>of</w:t>
      </w:r>
      <w:r>
        <w:rPr>
          <w:rFonts w:ascii="Calibri"/>
          <w:i/>
          <w:spacing w:val="-7"/>
          <w:sz w:val="20"/>
          <w:vertAlign w:val="baseline"/>
        </w:rPr>
        <w:t> </w:t>
      </w:r>
      <w:r>
        <w:rPr>
          <w:rFonts w:ascii="Calibri"/>
          <w:i/>
          <w:sz w:val="20"/>
          <w:vertAlign w:val="baseline"/>
        </w:rPr>
        <w:t>State</w:t>
      </w:r>
      <w:r>
        <w:rPr>
          <w:rFonts w:ascii="Calibri"/>
          <w:i/>
          <w:spacing w:val="-6"/>
          <w:sz w:val="20"/>
          <w:vertAlign w:val="baseline"/>
        </w:rPr>
        <w:t> </w:t>
      </w:r>
      <w:r>
        <w:rPr>
          <w:rFonts w:ascii="Calibri"/>
          <w:i/>
          <w:sz w:val="20"/>
          <w:vertAlign w:val="baseline"/>
        </w:rPr>
        <w:t>for</w:t>
      </w:r>
      <w:r>
        <w:rPr>
          <w:rFonts w:ascii="Calibri"/>
          <w:i/>
          <w:spacing w:val="-5"/>
          <w:sz w:val="20"/>
          <w:vertAlign w:val="baseline"/>
        </w:rPr>
        <w:t> </w:t>
      </w:r>
      <w:r>
        <w:rPr>
          <w:rFonts w:ascii="Calibri"/>
          <w:i/>
          <w:sz w:val="20"/>
          <w:vertAlign w:val="baseline"/>
        </w:rPr>
        <w:t>Trade</w:t>
      </w:r>
      <w:r>
        <w:rPr>
          <w:rFonts w:ascii="Calibri"/>
          <w:i/>
          <w:spacing w:val="-7"/>
          <w:sz w:val="20"/>
          <w:vertAlign w:val="baseline"/>
        </w:rPr>
        <w:t> </w:t>
      </w:r>
      <w:r>
        <w:rPr>
          <w:rFonts w:ascii="Calibri"/>
          <w:i/>
          <w:sz w:val="20"/>
          <w:vertAlign w:val="baseline"/>
        </w:rPr>
        <w:t>and</w:t>
      </w:r>
      <w:r>
        <w:rPr>
          <w:rFonts w:ascii="Calibri"/>
          <w:i/>
          <w:spacing w:val="-8"/>
          <w:sz w:val="20"/>
          <w:vertAlign w:val="baseline"/>
        </w:rPr>
        <w:t> </w:t>
      </w:r>
      <w:r>
        <w:rPr>
          <w:rFonts w:ascii="Calibri"/>
          <w:i/>
          <w:sz w:val="20"/>
          <w:vertAlign w:val="baseline"/>
        </w:rPr>
        <w:t>Industry</w:t>
      </w:r>
      <w:r>
        <w:rPr>
          <w:rFonts w:ascii="Calibri"/>
          <w:i/>
          <w:spacing w:val="-7"/>
          <w:sz w:val="20"/>
          <w:vertAlign w:val="baseline"/>
        </w:rPr>
        <w:t> </w:t>
      </w:r>
      <w:r>
        <w:rPr>
          <w:rFonts w:ascii="Calibri"/>
          <w:i/>
          <w:sz w:val="20"/>
          <w:vertAlign w:val="baseline"/>
        </w:rPr>
        <w:t>vs. Deverell</w:t>
      </w:r>
      <w:r>
        <w:rPr>
          <w:rFonts w:ascii="Calibri"/>
          <w:i/>
          <w:spacing w:val="-5"/>
          <w:sz w:val="20"/>
          <w:vertAlign w:val="baseline"/>
        </w:rPr>
        <w:t> </w:t>
      </w:r>
      <w:r>
        <w:rPr>
          <w:rFonts w:ascii="Calibri"/>
          <w:i/>
          <w:sz w:val="20"/>
          <w:vertAlign w:val="baseline"/>
        </w:rPr>
        <w:t>(2000)</w:t>
      </w:r>
      <w:r>
        <w:rPr>
          <w:rFonts w:ascii="Calibri"/>
          <w:i/>
          <w:spacing w:val="-2"/>
          <w:sz w:val="20"/>
          <w:vertAlign w:val="baseline"/>
        </w:rPr>
        <w:t> </w:t>
      </w:r>
      <w:r>
        <w:rPr>
          <w:rFonts w:ascii="Calibri"/>
          <w:i/>
          <w:sz w:val="20"/>
          <w:vertAlign w:val="baseline"/>
        </w:rPr>
        <w:t>2</w:t>
      </w:r>
      <w:r>
        <w:rPr>
          <w:rFonts w:ascii="Calibri"/>
          <w:i/>
          <w:spacing w:val="-8"/>
          <w:sz w:val="20"/>
          <w:vertAlign w:val="baseline"/>
        </w:rPr>
        <w:t> </w:t>
      </w:r>
      <w:r>
        <w:rPr>
          <w:rFonts w:ascii="Calibri"/>
          <w:i/>
          <w:sz w:val="20"/>
          <w:vertAlign w:val="baseline"/>
        </w:rPr>
        <w:t>B.C.L.C</w:t>
      </w:r>
      <w:r>
        <w:rPr>
          <w:rFonts w:ascii="Calibri"/>
          <w:i/>
          <w:spacing w:val="-6"/>
          <w:sz w:val="20"/>
          <w:vertAlign w:val="baseline"/>
        </w:rPr>
        <w:t> </w:t>
      </w:r>
      <w:r>
        <w:rPr>
          <w:rFonts w:ascii="Calibri"/>
          <w:i/>
          <w:spacing w:val="-4"/>
          <w:sz w:val="20"/>
          <w:vertAlign w:val="baseline"/>
        </w:rPr>
        <w:t>133.</w:t>
      </w:r>
    </w:p>
    <w:p>
      <w:pPr>
        <w:spacing w:before="1"/>
        <w:ind w:left="308" w:right="0" w:firstLine="0"/>
        <w:jc w:val="left"/>
        <w:rPr>
          <w:rFonts w:ascii="Calibri"/>
          <w:sz w:val="20"/>
        </w:rPr>
      </w:pPr>
      <w:r>
        <w:rPr>
          <w:rFonts w:ascii="Calibri"/>
          <w:sz w:val="20"/>
          <w:vertAlign w:val="superscript"/>
        </w:rPr>
        <w:t>72</w:t>
      </w:r>
      <w:r>
        <w:rPr>
          <w:rFonts w:ascii="Calibri"/>
          <w:spacing w:val="-2"/>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s.</w:t>
      </w:r>
      <w:r>
        <w:rPr>
          <w:rFonts w:ascii="Calibri"/>
          <w:spacing w:val="-2"/>
          <w:sz w:val="20"/>
          <w:vertAlign w:val="baseline"/>
        </w:rPr>
        <w:t> </w:t>
      </w:r>
      <w:r>
        <w:rPr>
          <w:rFonts w:ascii="Calibri"/>
          <w:sz w:val="20"/>
          <w:vertAlign w:val="baseline"/>
        </w:rPr>
        <w:t>245(1)</w:t>
      </w:r>
      <w:r>
        <w:rPr>
          <w:rFonts w:ascii="Calibri"/>
          <w:spacing w:val="-3"/>
          <w:sz w:val="20"/>
          <w:vertAlign w:val="baseline"/>
        </w:rPr>
        <w:t> </w:t>
      </w:r>
      <w:r>
        <w:rPr>
          <w:rFonts w:ascii="Calibri"/>
          <w:sz w:val="20"/>
          <w:vertAlign w:val="baseline"/>
        </w:rPr>
        <w:t>of</w:t>
      </w:r>
      <w:r>
        <w:rPr>
          <w:rFonts w:ascii="Calibri"/>
          <w:spacing w:val="-2"/>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CAMA</w:t>
      </w:r>
      <w:r>
        <w:rPr>
          <w:rFonts w:ascii="Calibri"/>
          <w:spacing w:val="-9"/>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251(1)</w:t>
      </w:r>
      <w:r>
        <w:rPr>
          <w:rFonts w:ascii="Calibri"/>
          <w:spacing w:val="-3"/>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the</w:t>
      </w:r>
      <w:r>
        <w:rPr>
          <w:rFonts w:ascii="Calibri"/>
          <w:spacing w:val="1"/>
          <w:sz w:val="20"/>
          <w:vertAlign w:val="baseline"/>
        </w:rPr>
        <w:t> </w:t>
      </w:r>
      <w:r>
        <w:rPr>
          <w:rFonts w:ascii="Calibri"/>
          <w:spacing w:val="-5"/>
          <w:sz w:val="20"/>
          <w:vertAlign w:val="baseline"/>
        </w:rPr>
        <w:t>CA.</w:t>
      </w:r>
    </w:p>
    <w:p>
      <w:pPr>
        <w:spacing w:before="1"/>
        <w:ind w:left="308" w:right="0" w:firstLine="0"/>
        <w:jc w:val="left"/>
        <w:rPr>
          <w:rFonts w:ascii="Calibri"/>
          <w:sz w:val="20"/>
        </w:rPr>
      </w:pPr>
      <w:r>
        <w:rPr>
          <w:rFonts w:ascii="Calibri"/>
          <w:sz w:val="20"/>
          <w:vertAlign w:val="superscript"/>
        </w:rPr>
        <w:t>73</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245(3)</w:t>
      </w:r>
      <w:r>
        <w:rPr>
          <w:rFonts w:ascii="Calibri"/>
          <w:spacing w:val="-1"/>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6"/>
          <w:sz w:val="20"/>
          <w:vertAlign w:val="baseline"/>
        </w:rPr>
        <w:t> </w:t>
      </w:r>
      <w:r>
        <w:rPr>
          <w:rFonts w:ascii="Calibri"/>
          <w:spacing w:val="-4"/>
          <w:sz w:val="20"/>
          <w:vertAlign w:val="baseline"/>
        </w:rPr>
        <w:t>CAMA.</w:t>
      </w:r>
    </w:p>
    <w:p>
      <w:pPr>
        <w:spacing w:before="1"/>
        <w:ind w:left="308" w:right="0" w:firstLine="0"/>
        <w:jc w:val="left"/>
        <w:rPr>
          <w:rFonts w:ascii="Calibri"/>
          <w:sz w:val="20"/>
        </w:rPr>
      </w:pPr>
      <w:r>
        <w:rPr>
          <w:rFonts w:ascii="Calibri"/>
          <w:sz w:val="20"/>
          <w:vertAlign w:val="superscript"/>
        </w:rPr>
        <w:t>74</w:t>
      </w:r>
      <w:r>
        <w:rPr>
          <w:rFonts w:ascii="Calibri"/>
          <w:sz w:val="20"/>
          <w:vertAlign w:val="baseline"/>
        </w:rPr>
        <w:t>Per</w:t>
      </w:r>
      <w:r>
        <w:rPr>
          <w:rFonts w:ascii="Calibri"/>
          <w:spacing w:val="-5"/>
          <w:sz w:val="20"/>
          <w:vertAlign w:val="baseline"/>
        </w:rPr>
        <w:t> </w:t>
      </w:r>
      <w:r>
        <w:rPr>
          <w:rFonts w:ascii="Calibri"/>
          <w:sz w:val="20"/>
          <w:vertAlign w:val="baseline"/>
        </w:rPr>
        <w:t>Morritt</w:t>
      </w:r>
      <w:r>
        <w:rPr>
          <w:rFonts w:ascii="Calibri"/>
          <w:spacing w:val="-7"/>
          <w:sz w:val="20"/>
          <w:vertAlign w:val="baseline"/>
        </w:rPr>
        <w:t> </w:t>
      </w:r>
      <w:r>
        <w:rPr>
          <w:rFonts w:ascii="Calibri"/>
          <w:sz w:val="20"/>
          <w:vertAlign w:val="baseline"/>
        </w:rPr>
        <w:t>L.J.,</w:t>
      </w:r>
      <w:r>
        <w:rPr>
          <w:rFonts w:ascii="Calibri"/>
          <w:spacing w:val="-7"/>
          <w:sz w:val="20"/>
          <w:vertAlign w:val="baseline"/>
        </w:rPr>
        <w:t> </w:t>
      </w:r>
      <w:r>
        <w:rPr>
          <w:rFonts w:ascii="Calibri"/>
          <w:sz w:val="20"/>
          <w:vertAlign w:val="baseline"/>
        </w:rPr>
        <w:t>in</w:t>
      </w:r>
      <w:r>
        <w:rPr>
          <w:rFonts w:ascii="Calibri"/>
          <w:spacing w:val="-6"/>
          <w:sz w:val="20"/>
          <w:vertAlign w:val="baseline"/>
        </w:rPr>
        <w:t> </w:t>
      </w:r>
      <w:r>
        <w:rPr>
          <w:rFonts w:ascii="Calibri"/>
          <w:i/>
          <w:sz w:val="20"/>
          <w:vertAlign w:val="baseline"/>
        </w:rPr>
        <w:t>Secretary</w:t>
      </w:r>
      <w:r>
        <w:rPr>
          <w:rFonts w:ascii="Calibri"/>
          <w:i/>
          <w:spacing w:val="-6"/>
          <w:sz w:val="20"/>
          <w:vertAlign w:val="baseline"/>
        </w:rPr>
        <w:t> </w:t>
      </w:r>
      <w:r>
        <w:rPr>
          <w:rFonts w:ascii="Calibri"/>
          <w:i/>
          <w:sz w:val="20"/>
          <w:vertAlign w:val="baseline"/>
        </w:rPr>
        <w:t>of</w:t>
      </w:r>
      <w:r>
        <w:rPr>
          <w:rFonts w:ascii="Calibri"/>
          <w:i/>
          <w:spacing w:val="-1"/>
          <w:sz w:val="20"/>
          <w:vertAlign w:val="baseline"/>
        </w:rPr>
        <w:t> </w:t>
      </w:r>
      <w:r>
        <w:rPr>
          <w:rFonts w:ascii="Calibri"/>
          <w:i/>
          <w:sz w:val="20"/>
          <w:vertAlign w:val="baseline"/>
        </w:rPr>
        <w:t>State</w:t>
      </w:r>
      <w:r>
        <w:rPr>
          <w:rFonts w:ascii="Calibri"/>
          <w:i/>
          <w:spacing w:val="-6"/>
          <w:sz w:val="20"/>
          <w:vertAlign w:val="baseline"/>
        </w:rPr>
        <w:t> </w:t>
      </w:r>
      <w:r>
        <w:rPr>
          <w:rFonts w:ascii="Calibri"/>
          <w:i/>
          <w:sz w:val="20"/>
          <w:vertAlign w:val="baseline"/>
        </w:rPr>
        <w:t>for</w:t>
      </w:r>
      <w:r>
        <w:rPr>
          <w:rFonts w:ascii="Calibri"/>
          <w:i/>
          <w:spacing w:val="-4"/>
          <w:sz w:val="20"/>
          <w:vertAlign w:val="baseline"/>
        </w:rPr>
        <w:t> </w:t>
      </w:r>
      <w:r>
        <w:rPr>
          <w:rFonts w:ascii="Calibri"/>
          <w:i/>
          <w:sz w:val="20"/>
          <w:vertAlign w:val="baseline"/>
        </w:rPr>
        <w:t>Trade</w:t>
      </w:r>
      <w:r>
        <w:rPr>
          <w:rFonts w:ascii="Calibri"/>
          <w:i/>
          <w:spacing w:val="-6"/>
          <w:sz w:val="20"/>
          <w:vertAlign w:val="baseline"/>
        </w:rPr>
        <w:t> </w:t>
      </w:r>
      <w:r>
        <w:rPr>
          <w:rFonts w:ascii="Calibri"/>
          <w:i/>
          <w:sz w:val="20"/>
          <w:vertAlign w:val="baseline"/>
        </w:rPr>
        <w:t>and</w:t>
      </w:r>
      <w:r>
        <w:rPr>
          <w:rFonts w:ascii="Calibri"/>
          <w:i/>
          <w:spacing w:val="-5"/>
          <w:sz w:val="20"/>
          <w:vertAlign w:val="baseline"/>
        </w:rPr>
        <w:t> </w:t>
      </w:r>
      <w:r>
        <w:rPr>
          <w:rFonts w:ascii="Calibri"/>
          <w:i/>
          <w:sz w:val="20"/>
          <w:vertAlign w:val="baseline"/>
        </w:rPr>
        <w:t>Industry</w:t>
      </w:r>
      <w:r>
        <w:rPr>
          <w:rFonts w:ascii="Calibri"/>
          <w:i/>
          <w:spacing w:val="-6"/>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Deverell</w:t>
      </w:r>
      <w:r>
        <w:rPr>
          <w:rFonts w:ascii="Calibri"/>
          <w:i/>
          <w:spacing w:val="-4"/>
          <w:sz w:val="20"/>
          <w:vertAlign w:val="baseline"/>
        </w:rPr>
        <w:t> </w:t>
      </w:r>
      <w:r>
        <w:rPr>
          <w:rFonts w:ascii="Calibri"/>
          <w:spacing w:val="-2"/>
          <w:sz w:val="20"/>
          <w:vertAlign w:val="baseline"/>
        </w:rPr>
        <w:t>supra.</w:t>
      </w:r>
    </w:p>
    <w:p>
      <w:pPr>
        <w:spacing w:before="0"/>
        <w:ind w:left="308" w:right="0" w:firstLine="0"/>
        <w:jc w:val="left"/>
        <w:rPr>
          <w:rFonts w:ascii="Calibri"/>
          <w:sz w:val="20"/>
        </w:rPr>
      </w:pPr>
      <w:r>
        <w:rPr>
          <w:rFonts w:ascii="Calibri"/>
          <w:sz w:val="20"/>
          <w:vertAlign w:val="superscript"/>
        </w:rPr>
        <w:t>75</w:t>
      </w:r>
      <w:r>
        <w:rPr>
          <w:rFonts w:ascii="Calibri"/>
          <w:sz w:val="20"/>
          <w:vertAlign w:val="baseline"/>
        </w:rPr>
        <w:t>Irukwu,</w:t>
      </w:r>
      <w:r>
        <w:rPr>
          <w:rFonts w:ascii="Calibri"/>
          <w:spacing w:val="-8"/>
          <w:sz w:val="20"/>
          <w:vertAlign w:val="baseline"/>
        </w:rPr>
        <w:t> </w:t>
      </w:r>
      <w:r>
        <w:rPr>
          <w:rFonts w:ascii="Calibri"/>
          <w:sz w:val="20"/>
          <w:vertAlign w:val="baseline"/>
        </w:rPr>
        <w:t>O.J.</w:t>
      </w:r>
      <w:r>
        <w:rPr>
          <w:rFonts w:ascii="Calibri"/>
          <w:spacing w:val="-3"/>
          <w:sz w:val="20"/>
          <w:vertAlign w:val="baseline"/>
        </w:rPr>
        <w:t> </w:t>
      </w:r>
      <w:r>
        <w:rPr>
          <w:rFonts w:ascii="Calibri"/>
          <w:i/>
          <w:sz w:val="20"/>
          <w:vertAlign w:val="baseline"/>
        </w:rPr>
        <w:t>op.cit.</w:t>
      </w:r>
      <w:r>
        <w:rPr>
          <w:rFonts w:ascii="Calibri"/>
          <w:sz w:val="20"/>
          <w:vertAlign w:val="baseline"/>
        </w:rPr>
        <w:t>,</w:t>
      </w:r>
      <w:r>
        <w:rPr>
          <w:rFonts w:ascii="Calibri"/>
          <w:spacing w:val="-3"/>
          <w:sz w:val="20"/>
          <w:vertAlign w:val="baseline"/>
        </w:rPr>
        <w:t> </w:t>
      </w:r>
      <w:r>
        <w:rPr>
          <w:rFonts w:ascii="Calibri"/>
          <w:sz w:val="20"/>
          <w:vertAlign w:val="baseline"/>
        </w:rPr>
        <w:t>p.</w:t>
      </w:r>
      <w:r>
        <w:rPr>
          <w:rFonts w:ascii="Calibri"/>
          <w:spacing w:val="-4"/>
          <w:sz w:val="20"/>
          <w:vertAlign w:val="baseline"/>
        </w:rPr>
        <w:t> </w:t>
      </w:r>
      <w:r>
        <w:rPr>
          <w:rFonts w:ascii="Calibri"/>
          <w:spacing w:val="-5"/>
          <w:sz w:val="20"/>
          <w:vertAlign w:val="baseline"/>
        </w:rPr>
        <w:t>73.</w:t>
      </w:r>
    </w:p>
    <w:p>
      <w:pPr>
        <w:spacing w:before="1"/>
        <w:ind w:left="308" w:right="0" w:firstLine="0"/>
        <w:jc w:val="left"/>
        <w:rPr>
          <w:rFonts w:ascii="Calibri"/>
          <w:sz w:val="20"/>
        </w:rPr>
      </w:pPr>
      <w:r>
        <w:rPr>
          <w:rFonts w:ascii="Calibri"/>
          <w:sz w:val="20"/>
          <w:vertAlign w:val="superscript"/>
        </w:rPr>
        <w:t>76</w:t>
      </w:r>
      <w:r>
        <w:rPr>
          <w:rFonts w:ascii="Calibri"/>
          <w:sz w:val="20"/>
          <w:vertAlign w:val="baseline"/>
        </w:rPr>
        <w:t> (2005)</w:t>
      </w:r>
      <w:r>
        <w:rPr>
          <w:rFonts w:ascii="Calibri"/>
          <w:spacing w:val="-5"/>
          <w:sz w:val="20"/>
          <w:vertAlign w:val="baseline"/>
        </w:rPr>
        <w:t> </w:t>
      </w:r>
      <w:r>
        <w:rPr>
          <w:rFonts w:ascii="Calibri"/>
          <w:sz w:val="20"/>
          <w:vertAlign w:val="baseline"/>
        </w:rPr>
        <w:t>EWHC</w:t>
      </w:r>
      <w:r>
        <w:rPr>
          <w:rFonts w:ascii="Calibri"/>
          <w:spacing w:val="-4"/>
          <w:sz w:val="20"/>
          <w:vertAlign w:val="baseline"/>
        </w:rPr>
        <w:t> </w:t>
      </w:r>
      <w:r>
        <w:rPr>
          <w:rFonts w:ascii="Calibri"/>
          <w:sz w:val="20"/>
          <w:vertAlign w:val="baseline"/>
        </w:rPr>
        <w:t>1638</w:t>
      </w:r>
      <w:r>
        <w:rPr>
          <w:rFonts w:ascii="Calibri"/>
          <w:spacing w:val="-7"/>
          <w:sz w:val="20"/>
          <w:vertAlign w:val="baseline"/>
        </w:rPr>
        <w:t> </w:t>
      </w:r>
      <w:r>
        <w:rPr>
          <w:rFonts w:ascii="Calibri"/>
          <w:spacing w:val="-4"/>
          <w:sz w:val="20"/>
          <w:vertAlign w:val="baseline"/>
        </w:rPr>
        <w:t>(Ch)</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left="1388" w:right="225"/>
        <w:jc w:val="both"/>
      </w:pPr>
      <w:r>
        <w:rPr/>
        <w:t>Since the company can be said to be ―officially unaware‖ of the shadow director, clearly it has not placed any trust on him.The judgments of Lords Collins and Walker of the UK Supreme Court in </w:t>
      </w:r>
      <w:r>
        <w:rPr>
          <w:b/>
        </w:rPr>
        <w:t>Re Paycheck Services 3 Ltd</w:t>
      </w:r>
      <w:r>
        <w:rPr/>
        <w:t>.</w:t>
      </w:r>
      <w:r>
        <w:rPr>
          <w:vertAlign w:val="superscript"/>
        </w:rPr>
        <w:t>77</w:t>
      </w:r>
      <w:r>
        <w:rPr>
          <w:vertAlign w:val="baseline"/>
        </w:rPr>
        <w:t> suggest that de facto and shadow directorships can</w:t>
      </w:r>
      <w:r>
        <w:rPr>
          <w:spacing w:val="-2"/>
          <w:vertAlign w:val="baseline"/>
        </w:rPr>
        <w:t> </w:t>
      </w:r>
      <w:r>
        <w:rPr>
          <w:vertAlign w:val="baseline"/>
        </w:rPr>
        <w:t>overlap, where the facts indicate that someone is both a shadow director in respect of certain functions and a de facto in respect of others. In the latter case, he would be subject to the full range of fiduciary duties.</w:t>
      </w:r>
      <w:r>
        <w:rPr>
          <w:vertAlign w:val="superscript"/>
        </w:rPr>
        <w:t>78</w:t>
      </w:r>
      <w:r>
        <w:rPr>
          <w:vertAlign w:val="baseline"/>
        </w:rPr>
        <w:t> Judicial decisions in the UK, such as in </w:t>
      </w:r>
      <w:r>
        <w:rPr>
          <w:b/>
          <w:vertAlign w:val="baseline"/>
        </w:rPr>
        <w:t>Re PFTZM Ltd.</w:t>
      </w:r>
      <w:r>
        <w:rPr>
          <w:vertAlign w:val="superscript"/>
        </w:rPr>
        <w:t>79</w:t>
      </w:r>
      <w:r>
        <w:rPr>
          <w:vertAlign w:val="baseline"/>
        </w:rPr>
        <w:t>have expanded upon the definition of shadow director indicating that a corporate body can also be identified as one.</w:t>
      </w:r>
    </w:p>
    <w:p>
      <w:pPr>
        <w:pStyle w:val="BodyText"/>
        <w:spacing w:line="480" w:lineRule="auto" w:before="2"/>
        <w:ind w:right="233" w:firstLine="720"/>
        <w:jc w:val="both"/>
      </w:pPr>
      <w:r>
        <w:rPr/>
        <w:t>It is pertinent to note that S.244(2) of CAMA provides that there shall be every rebuttable presumption that all persons who are described by the company as directors whether as Executive or otherwise, have been duly appointed. Accordingly, whenever the appointment of a director is called to question, there is a presumption of validity regarding his prior acts, notwithstanding any defect that may afterwards be discovered</w:t>
      </w:r>
      <w:r>
        <w:rPr>
          <w:spacing w:val="40"/>
        </w:rPr>
        <w:t> </w:t>
      </w:r>
      <w:r>
        <w:rPr/>
        <w:t>in his appointment or qualification.</w:t>
      </w:r>
      <w:r>
        <w:rPr>
          <w:vertAlign w:val="superscript"/>
        </w:rPr>
        <w:t>80</w:t>
      </w:r>
      <w:r>
        <w:rPr>
          <w:vertAlign w:val="baseline"/>
        </w:rPr>
        <w:t> This is in order to protect third parties that might have transacted with him in good faith, without this knowledge.</w:t>
      </w:r>
    </w:p>
    <w:p>
      <w:pPr>
        <w:pStyle w:val="Heading2"/>
        <w:numPr>
          <w:ilvl w:val="1"/>
          <w:numId w:val="8"/>
        </w:numPr>
        <w:tabs>
          <w:tab w:pos="1027" w:val="left" w:leader="none"/>
        </w:tabs>
        <w:spacing w:line="240" w:lineRule="auto" w:before="207" w:after="0"/>
        <w:ind w:left="1027" w:right="0" w:hanging="719"/>
        <w:jc w:val="both"/>
      </w:pPr>
      <w:bookmarkStart w:name="_TOC_250035" w:id="17"/>
      <w:r>
        <w:rPr/>
        <w:t>Status</w:t>
      </w:r>
      <w:r>
        <w:rPr>
          <w:spacing w:val="1"/>
        </w:rPr>
        <w:t> </w:t>
      </w:r>
      <w:r>
        <w:rPr/>
        <w:t>of </w:t>
      </w:r>
      <w:bookmarkEnd w:id="17"/>
      <w:r>
        <w:rPr>
          <w:spacing w:val="-2"/>
        </w:rPr>
        <w:t>Directors</w:t>
      </w:r>
    </w:p>
    <w:p>
      <w:pPr>
        <w:pStyle w:val="BodyText"/>
        <w:spacing w:line="480" w:lineRule="auto" w:before="133"/>
        <w:ind w:right="233"/>
        <w:jc w:val="both"/>
      </w:pPr>
      <w:r>
        <w:rPr/>
        <w:t>There</w:t>
      </w:r>
      <w:r>
        <w:rPr>
          <w:spacing w:val="-2"/>
        </w:rPr>
        <w:t> </w:t>
      </w:r>
      <w:r>
        <w:rPr/>
        <w:t>are</w:t>
      </w:r>
      <w:r>
        <w:rPr>
          <w:spacing w:val="-2"/>
        </w:rPr>
        <w:t> </w:t>
      </w:r>
      <w:r>
        <w:rPr/>
        <w:t>various</w:t>
      </w:r>
      <w:r>
        <w:rPr>
          <w:spacing w:val="-4"/>
        </w:rPr>
        <w:t> </w:t>
      </w:r>
      <w:r>
        <w:rPr/>
        <w:t>ways</w:t>
      </w:r>
      <w:r>
        <w:rPr>
          <w:spacing w:val="-4"/>
        </w:rPr>
        <w:t> </w:t>
      </w:r>
      <w:r>
        <w:rPr/>
        <w:t>through</w:t>
      </w:r>
      <w:r>
        <w:rPr>
          <w:spacing w:val="-6"/>
        </w:rPr>
        <w:t> </w:t>
      </w:r>
      <w:r>
        <w:rPr/>
        <w:t>which</w:t>
      </w:r>
      <w:r>
        <w:rPr>
          <w:spacing w:val="-6"/>
        </w:rPr>
        <w:t> </w:t>
      </w:r>
      <w:r>
        <w:rPr/>
        <w:t>a</w:t>
      </w:r>
      <w:r>
        <w:rPr>
          <w:spacing w:val="-2"/>
        </w:rPr>
        <w:t> </w:t>
      </w:r>
      <w:r>
        <w:rPr/>
        <w:t>holder of the</w:t>
      </w:r>
      <w:r>
        <w:rPr>
          <w:spacing w:val="-2"/>
        </w:rPr>
        <w:t> </w:t>
      </w:r>
      <w:r>
        <w:rPr/>
        <w:t>title</w:t>
      </w:r>
      <w:r>
        <w:rPr>
          <w:spacing w:val="-2"/>
        </w:rPr>
        <w:t> </w:t>
      </w:r>
      <w:r>
        <w:rPr/>
        <w:t>of</w:t>
      </w:r>
      <w:r>
        <w:rPr>
          <w:spacing w:val="-5"/>
        </w:rPr>
        <w:t> </w:t>
      </w:r>
      <w:r>
        <w:rPr/>
        <w:t>―director‖ may</w:t>
      </w:r>
      <w:r>
        <w:rPr>
          <w:spacing w:val="-6"/>
        </w:rPr>
        <w:t> </w:t>
      </w:r>
      <w:r>
        <w:rPr/>
        <w:t>come</w:t>
      </w:r>
      <w:r>
        <w:rPr>
          <w:spacing w:val="-2"/>
        </w:rPr>
        <w:t> </w:t>
      </w:r>
      <w:r>
        <w:rPr/>
        <w:t>to</w:t>
      </w:r>
      <w:r>
        <w:rPr>
          <w:spacing w:val="-2"/>
        </w:rPr>
        <w:t> </w:t>
      </w:r>
      <w:r>
        <w:rPr/>
        <w:t>it: if the company does not outrightly appoint someone a director, the law may deem him so. But, however a director</w:t>
      </w:r>
      <w:r>
        <w:rPr>
          <w:spacing w:val="-1"/>
        </w:rPr>
        <w:t> </w:t>
      </w:r>
      <w:r>
        <w:rPr/>
        <w:t>comes to his office, the law considers from</w:t>
      </w:r>
      <w:r>
        <w:rPr>
          <w:spacing w:val="-6"/>
        </w:rPr>
        <w:t> </w:t>
      </w:r>
      <w:r>
        <w:rPr/>
        <w:t>the onset that he takes actions for and on behalf of his company, which is a person in law. In simple terms, therefore, he is a representative.</w:t>
      </w:r>
    </w:p>
    <w:p>
      <w:pPr>
        <w:pStyle w:val="BodyText"/>
        <w:ind w:left="0"/>
        <w:rPr>
          <w:sz w:val="20"/>
        </w:rPr>
      </w:pPr>
    </w:p>
    <w:p>
      <w:pPr>
        <w:pStyle w:val="BodyText"/>
        <w:spacing w:before="226"/>
        <w:ind w:left="0"/>
        <w:rPr>
          <w:sz w:val="20"/>
        </w:rPr>
      </w:pPr>
      <w:r>
        <w:rPr/>
        <mc:AlternateContent>
          <mc:Choice Requires="wps">
            <w:drawing>
              <wp:anchor distT="0" distB="0" distL="0" distR="0" allowOverlap="1" layoutInCell="1" locked="0" behindDoc="1" simplePos="0" relativeHeight="487629824">
                <wp:simplePos x="0" y="0"/>
                <wp:positionH relativeFrom="page">
                  <wp:posOffset>1262481</wp:posOffset>
                </wp:positionH>
                <wp:positionV relativeFrom="paragraph">
                  <wp:posOffset>304943</wp:posOffset>
                </wp:positionV>
                <wp:extent cx="1829435" cy="9525"/>
                <wp:effectExtent l="0" t="0" r="0" b="0"/>
                <wp:wrapTopAndBottom/>
                <wp:docPr id="92" name="Graphic 92"/>
                <wp:cNvGraphicFramePr>
                  <a:graphicFrameLocks/>
                </wp:cNvGraphicFramePr>
                <a:graphic>
                  <a:graphicData uri="http://schemas.microsoft.com/office/word/2010/wordprocessingShape">
                    <wps:wsp>
                      <wps:cNvPr id="92" name="Graphic 92"/>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4.011337pt;width:144.050pt;height:.72003pt;mso-position-horizontal-relative:page;mso-position-vertical-relative:paragraph;z-index:-15686656;mso-wrap-distance-left:0;mso-wrap-distance-right:0" id="docshape47" filled="true" fillcolor="#000000" stroked="false">
                <v:fill type="solid"/>
                <w10:wrap type="topAndBottom"/>
              </v:rect>
            </w:pict>
          </mc:Fallback>
        </mc:AlternateContent>
      </w:r>
    </w:p>
    <w:p>
      <w:pPr>
        <w:spacing w:before="102"/>
        <w:ind w:left="308" w:right="6298" w:firstLine="0"/>
        <w:jc w:val="left"/>
        <w:rPr>
          <w:rFonts w:ascii="Calibri"/>
          <w:sz w:val="20"/>
        </w:rPr>
      </w:pPr>
      <w:r>
        <w:rPr>
          <w:rFonts w:ascii="Calibri"/>
          <w:sz w:val="20"/>
          <w:vertAlign w:val="superscript"/>
        </w:rPr>
        <w:t>77</w:t>
      </w:r>
      <w:r>
        <w:rPr>
          <w:rFonts w:ascii="Calibri"/>
          <w:sz w:val="20"/>
          <w:vertAlign w:val="baseline"/>
        </w:rPr>
        <w:t>Supra, at 91 and 110. </w:t>
      </w:r>
      <w:r>
        <w:rPr>
          <w:rFonts w:ascii="Calibri"/>
          <w:sz w:val="20"/>
          <w:vertAlign w:val="superscript"/>
        </w:rPr>
        <w:t>78</w:t>
      </w:r>
      <w:r>
        <w:rPr>
          <w:rFonts w:ascii="Calibri"/>
          <w:sz w:val="20"/>
          <w:vertAlign w:val="baseline"/>
        </w:rPr>
        <w:t>Birds,</w:t>
      </w:r>
      <w:r>
        <w:rPr>
          <w:rFonts w:ascii="Calibri"/>
          <w:spacing w:val="-5"/>
          <w:sz w:val="20"/>
          <w:vertAlign w:val="baseline"/>
        </w:rPr>
        <w:t> </w:t>
      </w:r>
      <w:r>
        <w:rPr>
          <w:rFonts w:ascii="Calibri"/>
          <w:sz w:val="20"/>
          <w:vertAlign w:val="baseline"/>
        </w:rPr>
        <w:t>J.</w:t>
      </w:r>
      <w:r>
        <w:rPr>
          <w:rFonts w:ascii="Calibri"/>
          <w:spacing w:val="-6"/>
          <w:sz w:val="20"/>
          <w:vertAlign w:val="baseline"/>
        </w:rPr>
        <w:t> </w:t>
      </w:r>
      <w:r>
        <w:rPr>
          <w:rFonts w:ascii="Calibri"/>
          <w:sz w:val="20"/>
          <w:vertAlign w:val="baseline"/>
        </w:rPr>
        <w:t>et</w:t>
      </w:r>
      <w:r>
        <w:rPr>
          <w:rFonts w:ascii="Calibri"/>
          <w:spacing w:val="-8"/>
          <w:sz w:val="20"/>
          <w:vertAlign w:val="baseline"/>
        </w:rPr>
        <w:t> </w:t>
      </w:r>
      <w:r>
        <w:rPr>
          <w:rFonts w:ascii="Calibri"/>
          <w:sz w:val="20"/>
          <w:vertAlign w:val="baseline"/>
        </w:rPr>
        <w:t>al.</w:t>
      </w:r>
      <w:r>
        <w:rPr>
          <w:rFonts w:ascii="Calibri"/>
          <w:spacing w:val="-6"/>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p. 581. </w:t>
      </w:r>
      <w:r>
        <w:rPr>
          <w:rFonts w:ascii="Calibri"/>
          <w:sz w:val="20"/>
          <w:vertAlign w:val="superscript"/>
        </w:rPr>
        <w:t>79</w:t>
      </w:r>
      <w:r>
        <w:rPr>
          <w:rFonts w:ascii="Calibri"/>
          <w:sz w:val="20"/>
          <w:vertAlign w:val="baseline"/>
        </w:rPr>
        <w:t>(1995) BCC 280.</w:t>
      </w:r>
    </w:p>
    <w:p>
      <w:pPr>
        <w:spacing w:before="2"/>
        <w:ind w:left="308" w:right="0" w:firstLine="0"/>
        <w:jc w:val="left"/>
        <w:rPr>
          <w:rFonts w:ascii="Calibri"/>
          <w:sz w:val="20"/>
        </w:rPr>
      </w:pPr>
      <w:r>
        <w:rPr>
          <w:rFonts w:ascii="Calibri"/>
          <w:sz w:val="20"/>
          <w:vertAlign w:val="superscript"/>
        </w:rPr>
        <w:t>80</w:t>
      </w:r>
      <w:r>
        <w:rPr>
          <w:rFonts w:ascii="Calibri"/>
          <w:sz w:val="20"/>
          <w:vertAlign w:val="baseline"/>
        </w:rPr>
        <w:t> See</w:t>
      </w:r>
      <w:r>
        <w:rPr>
          <w:rFonts w:ascii="Calibri"/>
          <w:spacing w:val="-5"/>
          <w:sz w:val="20"/>
          <w:vertAlign w:val="baseline"/>
        </w:rPr>
        <w:t> </w:t>
      </w:r>
      <w:r>
        <w:rPr>
          <w:rFonts w:ascii="Calibri"/>
          <w:sz w:val="20"/>
          <w:vertAlign w:val="baseline"/>
        </w:rPr>
        <w:t>ss. 260</w:t>
      </w:r>
      <w:r>
        <w:rPr>
          <w:rFonts w:ascii="Calibri"/>
          <w:spacing w:val="-2"/>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the CAMA</w:t>
      </w:r>
      <w:r>
        <w:rPr>
          <w:rFonts w:ascii="Calibri"/>
          <w:spacing w:val="-7"/>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161</w:t>
      </w:r>
      <w:r>
        <w:rPr>
          <w:rFonts w:ascii="Calibri"/>
          <w:spacing w:val="-2"/>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3"/>
          <w:sz w:val="20"/>
          <w:vertAlign w:val="baseline"/>
        </w:rPr>
        <w:t> </w:t>
      </w:r>
      <w:r>
        <w:rPr>
          <w:rFonts w:ascii="Calibri"/>
          <w:spacing w:val="-5"/>
          <w:sz w:val="20"/>
          <w:vertAlign w:val="baseline"/>
        </w:rPr>
        <w:t>CA.</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28" w:firstLine="720"/>
        <w:jc w:val="both"/>
      </w:pPr>
      <w:r>
        <w:rPr/>
        <w:t>Generally, a director is an </w:t>
      </w:r>
      <w:r>
        <w:rPr>
          <w:i/>
        </w:rPr>
        <w:t>officer </w:t>
      </w:r>
      <w:r>
        <w:rPr/>
        <w:t>in the company,</w:t>
      </w:r>
      <w:r>
        <w:rPr>
          <w:vertAlign w:val="superscript"/>
        </w:rPr>
        <w:t>81</w:t>
      </w:r>
      <w:r>
        <w:rPr>
          <w:vertAlign w:val="baseline"/>
        </w:rPr>
        <w:t> like any other official who holds any administrative post within the corporation. He may also be a mere </w:t>
      </w:r>
      <w:r>
        <w:rPr>
          <w:i/>
          <w:vertAlign w:val="baseline"/>
        </w:rPr>
        <w:t>employee</w:t>
      </w:r>
      <w:r>
        <w:rPr>
          <w:vertAlign w:val="baseline"/>
        </w:rPr>
        <w:t>, if he is employed by the company under some contract of</w:t>
      </w:r>
      <w:r>
        <w:rPr>
          <w:spacing w:val="-2"/>
          <w:vertAlign w:val="baseline"/>
        </w:rPr>
        <w:t> </w:t>
      </w:r>
      <w:r>
        <w:rPr>
          <w:vertAlign w:val="baseline"/>
        </w:rPr>
        <w:t>service,</w:t>
      </w:r>
      <w:r>
        <w:rPr>
          <w:vertAlign w:val="superscript"/>
        </w:rPr>
        <w:t>82</w:t>
      </w:r>
      <w:r>
        <w:rPr>
          <w:vertAlign w:val="baseline"/>
        </w:rPr>
        <w:t> simply. This would most often be the case with the executive director, also known as </w:t>
      </w:r>
      <w:r>
        <w:rPr>
          <w:i/>
          <w:vertAlign w:val="baseline"/>
        </w:rPr>
        <w:t>service director</w:t>
      </w:r>
      <w:r>
        <w:rPr>
          <w:vertAlign w:val="baseline"/>
        </w:rPr>
        <w:t>. However, as observed by the Nigerian Supreme Court in </w:t>
      </w:r>
      <w:r>
        <w:rPr>
          <w:b/>
          <w:vertAlign w:val="baseline"/>
        </w:rPr>
        <w:t>Longe vs. First Bank of Nig. Plc.</w:t>
      </w:r>
      <w:r>
        <w:rPr>
          <w:vertAlign w:val="baseline"/>
        </w:rPr>
        <w:t>,</w:t>
      </w:r>
      <w:r>
        <w:rPr>
          <w:vertAlign w:val="superscript"/>
        </w:rPr>
        <w:t>83</w:t>
      </w:r>
      <w:r>
        <w:rPr>
          <w:vertAlign w:val="baseline"/>
        </w:rPr>
        <w:t> this still does not derogate from</w:t>
      </w:r>
      <w:r>
        <w:rPr>
          <w:spacing w:val="-5"/>
          <w:vertAlign w:val="baseline"/>
        </w:rPr>
        <w:t> </w:t>
      </w:r>
      <w:r>
        <w:rPr>
          <w:vertAlign w:val="baseline"/>
        </w:rPr>
        <w:t>the fact of</w:t>
      </w:r>
      <w:r>
        <w:rPr>
          <w:spacing w:val="-3"/>
          <w:vertAlign w:val="baseline"/>
        </w:rPr>
        <w:t> </w:t>
      </w:r>
      <w:r>
        <w:rPr>
          <w:vertAlign w:val="baseline"/>
        </w:rPr>
        <w:t>his </w:t>
      </w:r>
      <w:r>
        <w:rPr>
          <w:i/>
          <w:vertAlign w:val="baseline"/>
        </w:rPr>
        <w:t>directorship, </w:t>
      </w:r>
      <w:r>
        <w:rPr>
          <w:vertAlign w:val="baseline"/>
        </w:rPr>
        <w:t>as long as he is seen to be directing and managing the business of the company.</w:t>
      </w:r>
    </w:p>
    <w:p>
      <w:pPr>
        <w:pStyle w:val="BodyText"/>
        <w:spacing w:before="1"/>
        <w:jc w:val="both"/>
      </w:pPr>
      <w:r>
        <w:rPr/>
        <w:t>According</w:t>
      </w:r>
      <w:r>
        <w:rPr>
          <w:spacing w:val="-3"/>
        </w:rPr>
        <w:t> </w:t>
      </w:r>
      <w:r>
        <w:rPr/>
        <w:t>to</w:t>
      </w:r>
      <w:r>
        <w:rPr>
          <w:spacing w:val="3"/>
        </w:rPr>
        <w:t> </w:t>
      </w:r>
      <w:r>
        <w:rPr>
          <w:spacing w:val="-2"/>
        </w:rPr>
        <w:t>s.283(1)</w:t>
      </w:r>
    </w:p>
    <w:p>
      <w:pPr>
        <w:pStyle w:val="BodyText"/>
        <w:ind w:left="0"/>
      </w:pPr>
    </w:p>
    <w:p>
      <w:pPr>
        <w:spacing w:line="240" w:lineRule="auto" w:before="1"/>
        <w:ind w:left="2007" w:right="2225" w:firstLine="0"/>
        <w:jc w:val="both"/>
        <w:rPr>
          <w:i/>
          <w:sz w:val="24"/>
        </w:rPr>
      </w:pPr>
      <w:r>
        <w:rPr>
          <w:i/>
          <w:sz w:val="24"/>
        </w:rPr>
        <w:t>Directors are trustees of the company‘s moneys, properties and their powers and as such, must account for all the moneys over which </w:t>
      </w:r>
      <w:r>
        <w:rPr>
          <w:i/>
          <w:sz w:val="24"/>
        </w:rPr>
        <w:t>they exercise control and shall refund any moneys improperly paid away, and shall exercise their power honestly, in the interest of the company</w:t>
      </w:r>
      <w:r>
        <w:rPr>
          <w:i/>
          <w:spacing w:val="40"/>
          <w:sz w:val="24"/>
        </w:rPr>
        <w:t> </w:t>
      </w:r>
      <w:r>
        <w:rPr>
          <w:i/>
          <w:sz w:val="24"/>
        </w:rPr>
        <w:t>and all the shareholders, and not in their own or sectional interests.</w:t>
      </w:r>
    </w:p>
    <w:p>
      <w:pPr>
        <w:pStyle w:val="BodyText"/>
        <w:spacing w:before="2"/>
        <w:ind w:left="0"/>
        <w:rPr>
          <w:i/>
        </w:rPr>
      </w:pPr>
    </w:p>
    <w:p>
      <w:pPr>
        <w:pStyle w:val="BodyText"/>
        <w:spacing w:line="480" w:lineRule="auto" w:before="1"/>
        <w:ind w:right="237" w:firstLine="720"/>
        <w:jc w:val="both"/>
      </w:pPr>
      <w:r>
        <w:rPr/>
        <w:t>Further</w:t>
      </w:r>
      <w:r>
        <w:rPr>
          <w:spacing w:val="-15"/>
        </w:rPr>
        <w:t> </w:t>
      </w:r>
      <w:r>
        <w:rPr/>
        <w:t>s.283(2)</w:t>
      </w:r>
      <w:r>
        <w:rPr>
          <w:spacing w:val="-14"/>
        </w:rPr>
        <w:t> </w:t>
      </w:r>
      <w:r>
        <w:rPr/>
        <w:t>states</w:t>
      </w:r>
      <w:r>
        <w:rPr>
          <w:spacing w:val="-15"/>
        </w:rPr>
        <w:t> </w:t>
      </w:r>
      <w:r>
        <w:rPr/>
        <w:t>that</w:t>
      </w:r>
      <w:r>
        <w:rPr>
          <w:spacing w:val="-8"/>
        </w:rPr>
        <w:t> </w:t>
      </w:r>
      <w:r>
        <w:rPr/>
        <w:t>―a</w:t>
      </w:r>
      <w:r>
        <w:rPr>
          <w:spacing w:val="-13"/>
        </w:rPr>
        <w:t> </w:t>
      </w:r>
      <w:r>
        <w:rPr/>
        <w:t>director</w:t>
      </w:r>
      <w:r>
        <w:rPr>
          <w:spacing w:val="-11"/>
        </w:rPr>
        <w:t> </w:t>
      </w:r>
      <w:r>
        <w:rPr/>
        <w:t>may,</w:t>
      </w:r>
      <w:r>
        <w:rPr>
          <w:spacing w:val="-11"/>
        </w:rPr>
        <w:t> </w:t>
      </w:r>
      <w:r>
        <w:rPr/>
        <w:t>when</w:t>
      </w:r>
      <w:r>
        <w:rPr>
          <w:spacing w:val="-12"/>
        </w:rPr>
        <w:t> </w:t>
      </w:r>
      <w:r>
        <w:rPr/>
        <w:t>acting</w:t>
      </w:r>
      <w:r>
        <w:rPr>
          <w:spacing w:val="-12"/>
        </w:rPr>
        <w:t> </w:t>
      </w:r>
      <w:r>
        <w:rPr/>
        <w:t>within</w:t>
      </w:r>
      <w:r>
        <w:rPr>
          <w:spacing w:val="-9"/>
        </w:rPr>
        <w:t> </w:t>
      </w:r>
      <w:r>
        <w:rPr/>
        <w:t>his</w:t>
      </w:r>
      <w:r>
        <w:rPr>
          <w:spacing w:val="-15"/>
        </w:rPr>
        <w:t> </w:t>
      </w:r>
      <w:r>
        <w:rPr/>
        <w:t>authority</w:t>
      </w:r>
      <w:r>
        <w:rPr>
          <w:spacing w:val="-15"/>
        </w:rPr>
        <w:t> </w:t>
      </w:r>
      <w:r>
        <w:rPr/>
        <w:t>and the powers of the company, be regarded as agent of the company….‖ This much was emphasized by</w:t>
      </w:r>
      <w:r>
        <w:rPr>
          <w:spacing w:val="-6"/>
        </w:rPr>
        <w:t> </w:t>
      </w:r>
      <w:r>
        <w:rPr/>
        <w:t>the</w:t>
      </w:r>
      <w:r>
        <w:rPr>
          <w:spacing w:val="-2"/>
        </w:rPr>
        <w:t> </w:t>
      </w:r>
      <w:r>
        <w:rPr/>
        <w:t>court in</w:t>
      </w:r>
      <w:r>
        <w:rPr>
          <w:spacing w:val="-2"/>
        </w:rPr>
        <w:t> </w:t>
      </w:r>
      <w:r>
        <w:rPr>
          <w:b/>
        </w:rPr>
        <w:t>Trenco. Nig. Ltd. vs. African</w:t>
      </w:r>
      <w:r>
        <w:rPr>
          <w:b/>
          <w:spacing w:val="-1"/>
        </w:rPr>
        <w:t> </w:t>
      </w:r>
      <w:r>
        <w:rPr>
          <w:b/>
        </w:rPr>
        <w:t>Real</w:t>
      </w:r>
      <w:r>
        <w:rPr>
          <w:b/>
          <w:spacing w:val="-6"/>
        </w:rPr>
        <w:t> </w:t>
      </w:r>
      <w:r>
        <w:rPr>
          <w:b/>
        </w:rPr>
        <w:t>Estate</w:t>
      </w:r>
      <w:r>
        <w:rPr>
          <w:b/>
          <w:spacing w:val="-2"/>
        </w:rPr>
        <w:t> </w:t>
      </w:r>
      <w:r>
        <w:rPr>
          <w:b/>
        </w:rPr>
        <w:t>and</w:t>
      </w:r>
      <w:r>
        <w:rPr>
          <w:b/>
          <w:spacing w:val="-1"/>
        </w:rPr>
        <w:t> </w:t>
      </w:r>
      <w:r>
        <w:rPr>
          <w:b/>
        </w:rPr>
        <w:t>Investment Co.</w:t>
      </w:r>
      <w:r>
        <w:rPr>
          <w:b/>
          <w:spacing w:val="-1"/>
        </w:rPr>
        <w:t> </w:t>
      </w:r>
      <w:r>
        <w:rPr>
          <w:b/>
        </w:rPr>
        <w:t>Ltd.,</w:t>
      </w:r>
      <w:r>
        <w:rPr>
          <w:vertAlign w:val="superscript"/>
        </w:rPr>
        <w:t>84</w:t>
      </w:r>
      <w:r>
        <w:rPr>
          <w:vertAlign w:val="baseline"/>
        </w:rPr>
        <w:t> wherein</w:t>
      </w:r>
      <w:r>
        <w:rPr>
          <w:spacing w:val="-2"/>
          <w:vertAlign w:val="baseline"/>
        </w:rPr>
        <w:t> </w:t>
      </w:r>
      <w:r>
        <w:rPr>
          <w:vertAlign w:val="baseline"/>
        </w:rPr>
        <w:t>was stated</w:t>
      </w:r>
      <w:r>
        <w:rPr>
          <w:spacing w:val="-6"/>
          <w:vertAlign w:val="baseline"/>
        </w:rPr>
        <w:t> </w:t>
      </w:r>
      <w:r>
        <w:rPr>
          <w:vertAlign w:val="baseline"/>
        </w:rPr>
        <w:t>that a</w:t>
      </w:r>
      <w:r>
        <w:rPr>
          <w:spacing w:val="-3"/>
          <w:vertAlign w:val="baseline"/>
        </w:rPr>
        <w:t> </w:t>
      </w:r>
      <w:r>
        <w:rPr>
          <w:vertAlign w:val="baseline"/>
        </w:rPr>
        <w:t>company, although</w:t>
      </w:r>
      <w:r>
        <w:rPr>
          <w:spacing w:val="-6"/>
          <w:vertAlign w:val="baseline"/>
        </w:rPr>
        <w:t> </w:t>
      </w:r>
      <w:r>
        <w:rPr>
          <w:vertAlign w:val="baseline"/>
        </w:rPr>
        <w:t>having</w:t>
      </w:r>
      <w:r>
        <w:rPr>
          <w:spacing w:val="-2"/>
          <w:vertAlign w:val="baseline"/>
        </w:rPr>
        <w:t> </w:t>
      </w:r>
      <w:r>
        <w:rPr>
          <w:vertAlign w:val="baseline"/>
        </w:rPr>
        <w:t>a corporate</w:t>
      </w:r>
      <w:r>
        <w:rPr>
          <w:spacing w:val="-3"/>
          <w:vertAlign w:val="baseline"/>
        </w:rPr>
        <w:t> </w:t>
      </w:r>
      <w:r>
        <w:rPr>
          <w:vertAlign w:val="baseline"/>
        </w:rPr>
        <w:t>personality, is deemed to have human</w:t>
      </w:r>
      <w:r>
        <w:rPr>
          <w:spacing w:val="-1"/>
          <w:vertAlign w:val="baseline"/>
        </w:rPr>
        <w:t> </w:t>
      </w:r>
      <w:r>
        <w:rPr>
          <w:vertAlign w:val="baseline"/>
        </w:rPr>
        <w:t>personality</w:t>
      </w:r>
      <w:r>
        <w:rPr>
          <w:spacing w:val="-1"/>
          <w:vertAlign w:val="baseline"/>
        </w:rPr>
        <w:t> </w:t>
      </w:r>
      <w:r>
        <w:rPr>
          <w:vertAlign w:val="baseline"/>
        </w:rPr>
        <w:t>through</w:t>
      </w:r>
      <w:r>
        <w:rPr>
          <w:spacing w:val="-1"/>
          <w:vertAlign w:val="baseline"/>
        </w:rPr>
        <w:t> </w:t>
      </w:r>
      <w:r>
        <w:rPr>
          <w:vertAlign w:val="baseline"/>
        </w:rPr>
        <w:t>its officers and agents, the directors being </w:t>
      </w:r>
      <w:r>
        <w:rPr>
          <w:spacing w:val="-2"/>
          <w:vertAlign w:val="baseline"/>
        </w:rPr>
        <w:t>such.</w:t>
      </w:r>
      <w:r>
        <w:rPr>
          <w:spacing w:val="-2"/>
          <w:vertAlign w:val="superscript"/>
        </w:rPr>
        <w:t>85</w:t>
      </w:r>
    </w:p>
    <w:p>
      <w:pPr>
        <w:pStyle w:val="BodyText"/>
        <w:spacing w:line="480" w:lineRule="auto" w:before="1"/>
        <w:ind w:right="236" w:firstLine="720"/>
        <w:jc w:val="both"/>
      </w:pPr>
      <w:r>
        <w:rPr/>
        <w:t>In the relationship between the company and other persons, and with respect to the functions he performs and any legitimate powers he may wield, a director is an</w:t>
      </w:r>
      <w:r>
        <w:rPr>
          <w:spacing w:val="40"/>
        </w:rPr>
        <w:t> </w:t>
      </w:r>
      <w:r>
        <w:rPr/>
        <w:t>agent</w:t>
      </w:r>
      <w:r>
        <w:rPr>
          <w:spacing w:val="14"/>
        </w:rPr>
        <w:t> </w:t>
      </w:r>
      <w:r>
        <w:rPr/>
        <w:t>in</w:t>
      </w:r>
      <w:r>
        <w:rPr>
          <w:spacing w:val="2"/>
        </w:rPr>
        <w:t> </w:t>
      </w:r>
      <w:r>
        <w:rPr/>
        <w:t>the</w:t>
      </w:r>
      <w:r>
        <w:rPr>
          <w:spacing w:val="5"/>
        </w:rPr>
        <w:t> </w:t>
      </w:r>
      <w:r>
        <w:rPr/>
        <w:t>general</w:t>
      </w:r>
      <w:r>
        <w:rPr>
          <w:spacing w:val="6"/>
        </w:rPr>
        <w:t> </w:t>
      </w:r>
      <w:r>
        <w:rPr/>
        <w:t>sense</w:t>
      </w:r>
      <w:r>
        <w:rPr>
          <w:spacing w:val="5"/>
        </w:rPr>
        <w:t> </w:t>
      </w:r>
      <w:r>
        <w:rPr/>
        <w:t>of</w:t>
      </w:r>
      <w:r>
        <w:rPr>
          <w:spacing w:val="-2"/>
        </w:rPr>
        <w:t> </w:t>
      </w:r>
      <w:r>
        <w:rPr/>
        <w:t>the</w:t>
      </w:r>
      <w:r>
        <w:rPr>
          <w:spacing w:val="5"/>
        </w:rPr>
        <w:t> </w:t>
      </w:r>
      <w:r>
        <w:rPr/>
        <w:t>word.</w:t>
      </w:r>
      <w:r>
        <w:rPr>
          <w:vertAlign w:val="superscript"/>
        </w:rPr>
        <w:t>86</w:t>
      </w:r>
      <w:r>
        <w:rPr>
          <w:spacing w:val="8"/>
          <w:vertAlign w:val="baseline"/>
        </w:rPr>
        <w:t> </w:t>
      </w:r>
      <w:r>
        <w:rPr>
          <w:vertAlign w:val="baseline"/>
        </w:rPr>
        <w:t>This</w:t>
      </w:r>
      <w:r>
        <w:rPr>
          <w:spacing w:val="8"/>
          <w:vertAlign w:val="baseline"/>
        </w:rPr>
        <w:t> </w:t>
      </w:r>
      <w:r>
        <w:rPr>
          <w:vertAlign w:val="baseline"/>
        </w:rPr>
        <w:t>stems</w:t>
      </w:r>
      <w:r>
        <w:rPr>
          <w:spacing w:val="13"/>
          <w:vertAlign w:val="baseline"/>
        </w:rPr>
        <w:t> </w:t>
      </w:r>
      <w:r>
        <w:rPr>
          <w:vertAlign w:val="baseline"/>
        </w:rPr>
        <w:t>from</w:t>
      </w:r>
      <w:r>
        <w:rPr>
          <w:spacing w:val="-4"/>
          <w:vertAlign w:val="baseline"/>
        </w:rPr>
        <w:t> </w:t>
      </w:r>
      <w:r>
        <w:rPr>
          <w:vertAlign w:val="baseline"/>
        </w:rPr>
        <w:t>the</w:t>
      </w:r>
      <w:r>
        <w:rPr>
          <w:spacing w:val="9"/>
          <w:vertAlign w:val="baseline"/>
        </w:rPr>
        <w:t> </w:t>
      </w:r>
      <w:r>
        <w:rPr>
          <w:vertAlign w:val="baseline"/>
        </w:rPr>
        <w:t>fact</w:t>
      </w:r>
      <w:r>
        <w:rPr>
          <w:spacing w:val="11"/>
          <w:vertAlign w:val="baseline"/>
        </w:rPr>
        <w:t> </w:t>
      </w:r>
      <w:r>
        <w:rPr>
          <w:vertAlign w:val="baseline"/>
        </w:rPr>
        <w:t>of</w:t>
      </w:r>
      <w:r>
        <w:rPr>
          <w:spacing w:val="-2"/>
          <w:vertAlign w:val="baseline"/>
        </w:rPr>
        <w:t> </w:t>
      </w:r>
      <w:r>
        <w:rPr>
          <w:vertAlign w:val="baseline"/>
        </w:rPr>
        <w:t>the</w:t>
      </w:r>
      <w:r>
        <w:rPr>
          <w:spacing w:val="5"/>
          <w:vertAlign w:val="baseline"/>
        </w:rPr>
        <w:t> </w:t>
      </w:r>
      <w:r>
        <w:rPr>
          <w:vertAlign w:val="baseline"/>
        </w:rPr>
        <w:t>company</w:t>
      </w:r>
      <w:r>
        <w:rPr>
          <w:spacing w:val="5"/>
          <w:vertAlign w:val="baseline"/>
        </w:rPr>
        <w:t> </w:t>
      </w:r>
      <w:r>
        <w:rPr>
          <w:spacing w:val="-2"/>
          <w:vertAlign w:val="baseline"/>
        </w:rPr>
        <w:t>being</w:t>
      </w:r>
    </w:p>
    <w:p>
      <w:pPr>
        <w:pStyle w:val="BodyText"/>
        <w:spacing w:before="62"/>
        <w:ind w:left="0"/>
        <w:rPr>
          <w:sz w:val="20"/>
        </w:rPr>
      </w:pPr>
      <w:r>
        <w:rPr/>
        <mc:AlternateContent>
          <mc:Choice Requires="wps">
            <w:drawing>
              <wp:anchor distT="0" distB="0" distL="0" distR="0" allowOverlap="1" layoutInCell="1" locked="0" behindDoc="1" simplePos="0" relativeHeight="487630336">
                <wp:simplePos x="0" y="0"/>
                <wp:positionH relativeFrom="page">
                  <wp:posOffset>1262481</wp:posOffset>
                </wp:positionH>
                <wp:positionV relativeFrom="paragraph">
                  <wp:posOffset>200665</wp:posOffset>
                </wp:positionV>
                <wp:extent cx="1829435" cy="9525"/>
                <wp:effectExtent l="0" t="0" r="0" b="0"/>
                <wp:wrapTopAndBottom/>
                <wp:docPr id="93" name="Graphic 93"/>
                <wp:cNvGraphicFramePr>
                  <a:graphicFrameLocks/>
                </wp:cNvGraphicFramePr>
                <a:graphic>
                  <a:graphicData uri="http://schemas.microsoft.com/office/word/2010/wordprocessingShape">
                    <wps:wsp>
                      <wps:cNvPr id="93" name="Graphic 9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5.800421pt;width:144.050pt;height:.71997pt;mso-position-horizontal-relative:page;mso-position-vertical-relative:paragraph;z-index:-15686144;mso-wrap-distance-left:0;mso-wrap-distance-right:0" id="docshape48" filled="true" fillcolor="#000000" stroked="false">
                <v:fill type="solid"/>
                <w10:wrap type="topAndBottom"/>
              </v:rect>
            </w:pict>
          </mc:Fallback>
        </mc:AlternateContent>
      </w:r>
    </w:p>
    <w:p>
      <w:pPr>
        <w:spacing w:before="97"/>
        <w:ind w:left="308" w:right="0" w:firstLine="0"/>
        <w:jc w:val="left"/>
        <w:rPr>
          <w:rFonts w:ascii="Calibri"/>
          <w:sz w:val="20"/>
        </w:rPr>
      </w:pPr>
      <w:r>
        <w:rPr>
          <w:rFonts w:ascii="Calibri"/>
          <w:sz w:val="20"/>
          <w:vertAlign w:val="superscript"/>
        </w:rPr>
        <w:t>81</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567</w:t>
      </w:r>
      <w:r>
        <w:rPr>
          <w:rFonts w:ascii="Calibri"/>
          <w:spacing w:val="-2"/>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the CAMA</w:t>
      </w:r>
      <w:r>
        <w:rPr>
          <w:rFonts w:ascii="Calibri"/>
          <w:spacing w:val="-7"/>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12</w:t>
      </w:r>
      <w:r>
        <w:rPr>
          <w:rFonts w:ascii="Calibri"/>
          <w:spacing w:val="-2"/>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16(6)</w:t>
      </w:r>
      <w:r>
        <w:rPr>
          <w:rFonts w:ascii="Calibri"/>
          <w:spacing w:val="-4"/>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5"/>
          <w:sz w:val="20"/>
          <w:vertAlign w:val="baseline"/>
        </w:rPr>
        <w:t> CA.</w:t>
      </w:r>
    </w:p>
    <w:p>
      <w:pPr>
        <w:spacing w:before="1"/>
        <w:ind w:left="308" w:right="0" w:firstLine="0"/>
        <w:jc w:val="left"/>
        <w:rPr>
          <w:rFonts w:ascii="Calibri"/>
          <w:sz w:val="20"/>
        </w:rPr>
      </w:pPr>
      <w:r>
        <w:rPr>
          <w:rFonts w:ascii="Calibri"/>
          <w:sz w:val="20"/>
          <w:vertAlign w:val="superscript"/>
        </w:rPr>
        <w:t>82</w:t>
      </w:r>
      <w:r>
        <w:rPr>
          <w:rFonts w:ascii="Calibri"/>
          <w:spacing w:val="-1"/>
          <w:sz w:val="20"/>
          <w:vertAlign w:val="baseline"/>
        </w:rPr>
        <w:t> </w:t>
      </w:r>
      <w:r>
        <w:rPr>
          <w:rFonts w:ascii="Calibri"/>
          <w:sz w:val="20"/>
          <w:vertAlign w:val="baseline"/>
        </w:rPr>
        <w:t>Refer</w:t>
      </w:r>
      <w:r>
        <w:rPr>
          <w:rFonts w:ascii="Calibri"/>
          <w:spacing w:val="-4"/>
          <w:sz w:val="20"/>
          <w:vertAlign w:val="baseline"/>
        </w:rPr>
        <w:t> </w:t>
      </w:r>
      <w:r>
        <w:rPr>
          <w:rFonts w:ascii="Calibri"/>
          <w:sz w:val="20"/>
          <w:vertAlign w:val="baseline"/>
        </w:rPr>
        <w:t>generally</w:t>
      </w:r>
      <w:r>
        <w:rPr>
          <w:rFonts w:ascii="Calibri"/>
          <w:spacing w:val="-7"/>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ss. 291</w:t>
      </w:r>
      <w:r>
        <w:rPr>
          <w:rFonts w:ascii="Calibri"/>
          <w:spacing w:val="-3"/>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the</w:t>
      </w:r>
      <w:r>
        <w:rPr>
          <w:rFonts w:ascii="Calibri"/>
          <w:spacing w:val="-1"/>
          <w:sz w:val="20"/>
          <w:vertAlign w:val="baseline"/>
        </w:rPr>
        <w:t> </w:t>
      </w:r>
      <w:r>
        <w:rPr>
          <w:rFonts w:ascii="Calibri"/>
          <w:sz w:val="20"/>
          <w:vertAlign w:val="baseline"/>
        </w:rPr>
        <w:t>CAMA</w:t>
      </w:r>
      <w:r>
        <w:rPr>
          <w:rFonts w:ascii="Calibri"/>
          <w:spacing w:val="-8"/>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188</w:t>
      </w:r>
      <w:r>
        <w:rPr>
          <w:rFonts w:ascii="Calibri"/>
          <w:spacing w:val="-3"/>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227</w:t>
      </w:r>
      <w:r>
        <w:rPr>
          <w:rFonts w:ascii="Calibri"/>
          <w:spacing w:val="-3"/>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1"/>
          <w:sz w:val="20"/>
          <w:vertAlign w:val="baseline"/>
        </w:rPr>
        <w:t> </w:t>
      </w:r>
      <w:r>
        <w:rPr>
          <w:rFonts w:ascii="Calibri"/>
          <w:spacing w:val="-5"/>
          <w:sz w:val="20"/>
          <w:vertAlign w:val="baseline"/>
        </w:rPr>
        <w:t>CA.</w:t>
      </w:r>
    </w:p>
    <w:p>
      <w:pPr>
        <w:spacing w:before="1"/>
        <w:ind w:left="308" w:right="0" w:firstLine="0"/>
        <w:jc w:val="left"/>
        <w:rPr>
          <w:rFonts w:ascii="Calibri"/>
          <w:sz w:val="20"/>
        </w:rPr>
      </w:pPr>
      <w:r>
        <w:rPr>
          <w:rFonts w:ascii="Calibri"/>
          <w:sz w:val="20"/>
          <w:vertAlign w:val="superscript"/>
        </w:rPr>
        <w:t>83</w:t>
      </w:r>
      <w:r>
        <w:rPr>
          <w:rFonts w:ascii="Calibri"/>
          <w:sz w:val="20"/>
          <w:vertAlign w:val="baseline"/>
        </w:rPr>
        <w:t>(2010)</w:t>
      </w:r>
      <w:r>
        <w:rPr>
          <w:rFonts w:ascii="Calibri"/>
          <w:spacing w:val="-4"/>
          <w:sz w:val="20"/>
          <w:vertAlign w:val="baseline"/>
        </w:rPr>
        <w:t> </w:t>
      </w:r>
      <w:r>
        <w:rPr>
          <w:rFonts w:ascii="Calibri"/>
          <w:spacing w:val="-2"/>
          <w:sz w:val="20"/>
          <w:vertAlign w:val="baseline"/>
        </w:rPr>
        <w:t>Supra.</w:t>
      </w:r>
    </w:p>
    <w:p>
      <w:pPr>
        <w:spacing w:before="1"/>
        <w:ind w:left="308" w:right="0" w:firstLine="0"/>
        <w:jc w:val="left"/>
        <w:rPr>
          <w:rFonts w:ascii="Calibri"/>
          <w:sz w:val="20"/>
        </w:rPr>
      </w:pPr>
      <w:r>
        <w:rPr>
          <w:rFonts w:ascii="Calibri"/>
          <w:sz w:val="20"/>
          <w:vertAlign w:val="superscript"/>
        </w:rPr>
        <w:t>84</w:t>
      </w:r>
      <w:r>
        <w:rPr>
          <w:rFonts w:ascii="Calibri"/>
          <w:sz w:val="20"/>
          <w:vertAlign w:val="baseline"/>
        </w:rPr>
        <w:t>(1978)</w:t>
      </w:r>
      <w:r>
        <w:rPr>
          <w:rFonts w:ascii="Calibri"/>
          <w:spacing w:val="-4"/>
          <w:sz w:val="20"/>
          <w:vertAlign w:val="baseline"/>
        </w:rPr>
        <w:t> </w:t>
      </w:r>
      <w:r>
        <w:rPr>
          <w:rFonts w:ascii="Calibri"/>
          <w:sz w:val="20"/>
          <w:vertAlign w:val="baseline"/>
        </w:rPr>
        <w:t>All</w:t>
      </w:r>
      <w:r>
        <w:rPr>
          <w:rFonts w:ascii="Calibri"/>
          <w:spacing w:val="-2"/>
          <w:sz w:val="20"/>
          <w:vertAlign w:val="baseline"/>
        </w:rPr>
        <w:t> </w:t>
      </w:r>
      <w:r>
        <w:rPr>
          <w:rFonts w:ascii="Calibri"/>
          <w:sz w:val="20"/>
          <w:vertAlign w:val="baseline"/>
        </w:rPr>
        <w:t>NLR,</w:t>
      </w:r>
      <w:r>
        <w:rPr>
          <w:rFonts w:ascii="Calibri"/>
          <w:spacing w:val="-6"/>
          <w:sz w:val="20"/>
          <w:vertAlign w:val="baseline"/>
        </w:rPr>
        <w:t> </w:t>
      </w:r>
      <w:r>
        <w:rPr>
          <w:rFonts w:ascii="Calibri"/>
          <w:sz w:val="20"/>
          <w:vertAlign w:val="baseline"/>
        </w:rPr>
        <w:t>124;</w:t>
      </w:r>
      <w:r>
        <w:rPr>
          <w:rFonts w:ascii="Calibri"/>
          <w:spacing w:val="-9"/>
          <w:sz w:val="20"/>
          <w:vertAlign w:val="baseline"/>
        </w:rPr>
        <w:t> </w:t>
      </w:r>
      <w:r>
        <w:rPr>
          <w:rFonts w:ascii="Calibri"/>
          <w:sz w:val="20"/>
          <w:vertAlign w:val="baseline"/>
        </w:rPr>
        <w:t>(1978)</w:t>
      </w:r>
      <w:r>
        <w:rPr>
          <w:rFonts w:ascii="Calibri"/>
          <w:spacing w:val="-3"/>
          <w:sz w:val="20"/>
          <w:vertAlign w:val="baseline"/>
        </w:rPr>
        <w:t> </w:t>
      </w:r>
      <w:r>
        <w:rPr>
          <w:rFonts w:ascii="Calibri"/>
          <w:sz w:val="20"/>
          <w:vertAlign w:val="baseline"/>
        </w:rPr>
        <w:t>NSCC</w:t>
      </w:r>
      <w:r>
        <w:rPr>
          <w:rFonts w:ascii="Calibri"/>
          <w:spacing w:val="-6"/>
          <w:sz w:val="20"/>
          <w:vertAlign w:val="baseline"/>
        </w:rPr>
        <w:t> </w:t>
      </w:r>
      <w:r>
        <w:rPr>
          <w:rFonts w:ascii="Calibri"/>
          <w:spacing w:val="-4"/>
          <w:sz w:val="20"/>
          <w:vertAlign w:val="baseline"/>
        </w:rPr>
        <w:t>220.</w:t>
      </w:r>
    </w:p>
    <w:p>
      <w:pPr>
        <w:spacing w:before="0"/>
        <w:ind w:left="308" w:right="0" w:firstLine="0"/>
        <w:jc w:val="left"/>
        <w:rPr>
          <w:rFonts w:ascii="Calibri"/>
          <w:sz w:val="20"/>
        </w:rPr>
      </w:pPr>
      <w:r>
        <w:rPr>
          <w:rFonts w:ascii="Calibri"/>
          <w:sz w:val="20"/>
          <w:vertAlign w:val="superscript"/>
        </w:rPr>
        <w:t>85</w:t>
      </w:r>
      <w:r>
        <w:rPr>
          <w:rFonts w:ascii="Calibri"/>
          <w:sz w:val="20"/>
          <w:vertAlign w:val="baseline"/>
        </w:rPr>
        <w:t>Per</w:t>
      </w:r>
      <w:r>
        <w:rPr>
          <w:rFonts w:ascii="Calibri"/>
          <w:spacing w:val="-4"/>
          <w:sz w:val="20"/>
          <w:vertAlign w:val="baseline"/>
        </w:rPr>
        <w:t> </w:t>
      </w:r>
      <w:r>
        <w:rPr>
          <w:rFonts w:ascii="Calibri"/>
          <w:sz w:val="20"/>
          <w:vertAlign w:val="baseline"/>
        </w:rPr>
        <w:t>Aniagolu</w:t>
      </w:r>
      <w:r>
        <w:rPr>
          <w:rFonts w:ascii="Calibri"/>
          <w:spacing w:val="-6"/>
          <w:sz w:val="20"/>
          <w:vertAlign w:val="baseline"/>
        </w:rPr>
        <w:t> </w:t>
      </w:r>
      <w:r>
        <w:rPr>
          <w:rFonts w:ascii="Calibri"/>
          <w:spacing w:val="-2"/>
          <w:sz w:val="20"/>
          <w:vertAlign w:val="baseline"/>
        </w:rPr>
        <w:t>J.S.C.</w:t>
      </w:r>
    </w:p>
    <w:p>
      <w:pPr>
        <w:spacing w:before="1"/>
        <w:ind w:left="308" w:right="0" w:firstLine="0"/>
        <w:jc w:val="left"/>
        <w:rPr>
          <w:rFonts w:ascii="Calibri"/>
          <w:i/>
          <w:sz w:val="20"/>
        </w:rPr>
      </w:pPr>
      <w:r>
        <w:rPr>
          <w:rFonts w:ascii="Calibri"/>
          <w:sz w:val="20"/>
          <w:vertAlign w:val="superscript"/>
        </w:rPr>
        <w:t>86</w:t>
      </w:r>
      <w:r>
        <w:rPr>
          <w:rFonts w:ascii="Calibri"/>
          <w:spacing w:val="-4"/>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4"/>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283(2)</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CAMA.</w:t>
      </w:r>
      <w:r>
        <w:rPr>
          <w:rFonts w:ascii="Calibri"/>
          <w:spacing w:val="-3"/>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also</w:t>
      </w:r>
      <w:r>
        <w:rPr>
          <w:rFonts w:ascii="Calibri"/>
          <w:spacing w:val="-5"/>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Supreme</w:t>
      </w:r>
      <w:r>
        <w:rPr>
          <w:rFonts w:ascii="Calibri"/>
          <w:spacing w:val="-4"/>
          <w:sz w:val="20"/>
          <w:vertAlign w:val="baseline"/>
        </w:rPr>
        <w:t> </w:t>
      </w:r>
      <w:r>
        <w:rPr>
          <w:rFonts w:ascii="Calibri"/>
          <w:sz w:val="20"/>
          <w:vertAlign w:val="baseline"/>
        </w:rPr>
        <w:t>Court</w:t>
      </w:r>
      <w:r>
        <w:rPr>
          <w:rFonts w:ascii="Calibri"/>
          <w:spacing w:val="-10"/>
          <w:sz w:val="20"/>
          <w:vertAlign w:val="baseline"/>
        </w:rPr>
        <w:t> </w:t>
      </w:r>
      <w:r>
        <w:rPr>
          <w:rFonts w:ascii="Calibri"/>
          <w:sz w:val="20"/>
          <w:vertAlign w:val="baseline"/>
        </w:rPr>
        <w:t>decision</w:t>
      </w:r>
      <w:r>
        <w:rPr>
          <w:rFonts w:ascii="Calibri"/>
          <w:spacing w:val="-5"/>
          <w:sz w:val="20"/>
          <w:vertAlign w:val="baseline"/>
        </w:rPr>
        <w:t> </w:t>
      </w:r>
      <w:r>
        <w:rPr>
          <w:rFonts w:ascii="Calibri"/>
          <w:sz w:val="20"/>
          <w:vertAlign w:val="baseline"/>
        </w:rPr>
        <w:t>in</w:t>
      </w:r>
      <w:r>
        <w:rPr>
          <w:rFonts w:ascii="Calibri"/>
          <w:spacing w:val="-1"/>
          <w:sz w:val="20"/>
          <w:vertAlign w:val="baseline"/>
        </w:rPr>
        <w:t> </w:t>
      </w:r>
      <w:r>
        <w:rPr>
          <w:rFonts w:ascii="Calibri"/>
          <w:i/>
          <w:sz w:val="20"/>
          <w:vertAlign w:val="baseline"/>
        </w:rPr>
        <w:t>Yusufu</w:t>
      </w:r>
      <w:r>
        <w:rPr>
          <w:rFonts w:ascii="Calibri"/>
          <w:i/>
          <w:spacing w:val="-3"/>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Kupper</w:t>
      </w:r>
      <w:r>
        <w:rPr>
          <w:rFonts w:ascii="Calibri"/>
          <w:i/>
          <w:spacing w:val="-6"/>
          <w:sz w:val="20"/>
          <w:vertAlign w:val="baseline"/>
        </w:rPr>
        <w:t> </w:t>
      </w:r>
      <w:r>
        <w:rPr>
          <w:rFonts w:ascii="Calibri"/>
          <w:i/>
          <w:spacing w:val="-2"/>
          <w:sz w:val="20"/>
          <w:vertAlign w:val="baseline"/>
        </w:rPr>
        <w:t>International</w:t>
      </w:r>
    </w:p>
    <w:p>
      <w:pPr>
        <w:spacing w:before="1"/>
        <w:ind w:left="308" w:right="0" w:firstLine="0"/>
        <w:jc w:val="left"/>
        <w:rPr>
          <w:rFonts w:ascii="Calibri"/>
          <w:sz w:val="20"/>
        </w:rPr>
      </w:pPr>
      <w:r>
        <w:rPr>
          <w:rFonts w:ascii="Calibri"/>
          <w:sz w:val="20"/>
        </w:rPr>
        <w:t>(1996)</w:t>
      </w:r>
      <w:r>
        <w:rPr>
          <w:rFonts w:ascii="Calibri"/>
          <w:spacing w:val="-3"/>
          <w:sz w:val="20"/>
        </w:rPr>
        <w:t> </w:t>
      </w:r>
      <w:r>
        <w:rPr>
          <w:rFonts w:ascii="Calibri"/>
          <w:sz w:val="20"/>
        </w:rPr>
        <w:t>5</w:t>
      </w:r>
      <w:r>
        <w:rPr>
          <w:rFonts w:ascii="Calibri"/>
          <w:spacing w:val="-4"/>
          <w:sz w:val="20"/>
        </w:rPr>
        <w:t> </w:t>
      </w:r>
      <w:r>
        <w:rPr>
          <w:rFonts w:ascii="Calibri"/>
          <w:sz w:val="20"/>
        </w:rPr>
        <w:t>NWLR</w:t>
      </w:r>
      <w:r>
        <w:rPr>
          <w:rFonts w:ascii="Calibri"/>
          <w:spacing w:val="-6"/>
          <w:sz w:val="20"/>
        </w:rPr>
        <w:t> </w:t>
      </w:r>
      <w:r>
        <w:rPr>
          <w:rFonts w:ascii="Calibri"/>
          <w:sz w:val="20"/>
        </w:rPr>
        <w:t>(pt.</w:t>
      </w:r>
      <w:r>
        <w:rPr>
          <w:rFonts w:ascii="Calibri"/>
          <w:spacing w:val="-2"/>
          <w:sz w:val="20"/>
        </w:rPr>
        <w:t> </w:t>
      </w:r>
      <w:r>
        <w:rPr>
          <w:rFonts w:ascii="Calibri"/>
          <w:sz w:val="20"/>
        </w:rPr>
        <w:t>446)</w:t>
      </w:r>
      <w:r>
        <w:rPr>
          <w:rFonts w:ascii="Calibri"/>
          <w:spacing w:val="-5"/>
          <w:sz w:val="20"/>
        </w:rPr>
        <w:t> 17.</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25"/>
        <w:jc w:val="both"/>
      </w:pPr>
      <w:r>
        <w:rPr/>
        <w:t>an</w:t>
      </w:r>
      <w:r>
        <w:rPr>
          <w:spacing w:val="-5"/>
        </w:rPr>
        <w:t> </w:t>
      </w:r>
      <w:r>
        <w:rPr/>
        <w:t>artificial</w:t>
      </w:r>
      <w:r>
        <w:rPr>
          <w:spacing w:val="-5"/>
        </w:rPr>
        <w:t> </w:t>
      </w:r>
      <w:r>
        <w:rPr/>
        <w:t>person</w:t>
      </w:r>
      <w:r>
        <w:rPr>
          <w:spacing w:val="-5"/>
        </w:rPr>
        <w:t> </w:t>
      </w:r>
      <w:r>
        <w:rPr/>
        <w:t>which, by</w:t>
      </w:r>
      <w:r>
        <w:rPr>
          <w:spacing w:val="-1"/>
        </w:rPr>
        <w:t> </w:t>
      </w:r>
      <w:r>
        <w:rPr/>
        <w:t>its nature, cannot act</w:t>
      </w:r>
      <w:r>
        <w:rPr>
          <w:spacing w:val="-1"/>
        </w:rPr>
        <w:t> </w:t>
      </w:r>
      <w:r>
        <w:rPr/>
        <w:t>on</w:t>
      </w:r>
      <w:r>
        <w:rPr>
          <w:spacing w:val="-1"/>
        </w:rPr>
        <w:t> </w:t>
      </w:r>
      <w:r>
        <w:rPr/>
        <w:t>its</w:t>
      </w:r>
      <w:r>
        <w:rPr>
          <w:spacing w:val="-3"/>
        </w:rPr>
        <w:t> </w:t>
      </w:r>
      <w:r>
        <w:rPr/>
        <w:t>own. Based</w:t>
      </w:r>
      <w:r>
        <w:rPr>
          <w:spacing w:val="-1"/>
        </w:rPr>
        <w:t> </w:t>
      </w:r>
      <w:r>
        <w:rPr/>
        <w:t>on</w:t>
      </w:r>
      <w:r>
        <w:rPr>
          <w:spacing w:val="-5"/>
        </w:rPr>
        <w:t> </w:t>
      </w:r>
      <w:r>
        <w:rPr/>
        <w:t>this, a fiduciary duty is contemplated by the law on the part of the director, towards the company.</w:t>
      </w:r>
      <w:r>
        <w:rPr>
          <w:vertAlign w:val="superscript"/>
        </w:rPr>
        <w:t>87</w:t>
      </w:r>
      <w:r>
        <w:rPr>
          <w:vertAlign w:val="baseline"/>
        </w:rPr>
        <w:t> In fact, s. 279(1) states emphatically that a director stands in a fiduciary relationship towards the company. More to the point, in the course of deciding</w:t>
      </w:r>
      <w:r>
        <w:rPr>
          <w:b/>
          <w:vertAlign w:val="baseline"/>
        </w:rPr>
        <w:t>Ferguson vs. Wilson</w:t>
      </w:r>
      <w:r>
        <w:rPr>
          <w:vertAlign w:val="baseline"/>
        </w:rPr>
        <w:t>,</w:t>
      </w:r>
      <w:r>
        <w:rPr>
          <w:vertAlign w:val="superscript"/>
        </w:rPr>
        <w:t>88</w:t>
      </w:r>
      <w:r>
        <w:rPr>
          <w:vertAlign w:val="baseline"/>
        </w:rPr>
        <w:t> it was stated that</w:t>
      </w:r>
    </w:p>
    <w:p>
      <w:pPr>
        <w:spacing w:line="240" w:lineRule="auto" w:before="1"/>
        <w:ind w:left="2007" w:right="2220" w:firstLine="0"/>
        <w:jc w:val="both"/>
        <w:rPr>
          <w:i/>
          <w:sz w:val="24"/>
        </w:rPr>
      </w:pPr>
      <w:r>
        <w:rPr>
          <w:i/>
          <w:sz w:val="24"/>
        </w:rPr>
        <w:t>They (directors) are merely agents of the company. The company itself cannot act in its</w:t>
      </w:r>
      <w:r>
        <w:rPr>
          <w:i/>
          <w:spacing w:val="40"/>
          <w:sz w:val="24"/>
        </w:rPr>
        <w:t> </w:t>
      </w:r>
      <w:r>
        <w:rPr>
          <w:i/>
          <w:sz w:val="24"/>
        </w:rPr>
        <w:t>own person, it can only act through directors</w:t>
      </w:r>
      <w:r>
        <w:rPr>
          <w:i/>
          <w:spacing w:val="-1"/>
          <w:sz w:val="24"/>
        </w:rPr>
        <w:t> </w:t>
      </w:r>
      <w:r>
        <w:rPr>
          <w:i/>
          <w:sz w:val="24"/>
        </w:rPr>
        <w:t>and the case is, as regards those directors, merely the ordinary case of principal and agent. Whenever an</w:t>
      </w:r>
      <w:r>
        <w:rPr>
          <w:i/>
          <w:spacing w:val="-4"/>
          <w:sz w:val="24"/>
        </w:rPr>
        <w:t> </w:t>
      </w:r>
      <w:r>
        <w:rPr>
          <w:i/>
          <w:sz w:val="24"/>
        </w:rPr>
        <w:t>agent</w:t>
      </w:r>
      <w:r>
        <w:rPr>
          <w:i/>
          <w:spacing w:val="-4"/>
          <w:sz w:val="24"/>
        </w:rPr>
        <w:t> </w:t>
      </w:r>
      <w:r>
        <w:rPr>
          <w:i/>
          <w:sz w:val="24"/>
        </w:rPr>
        <w:t>is</w:t>
      </w:r>
      <w:r>
        <w:rPr>
          <w:i/>
          <w:spacing w:val="-6"/>
          <w:sz w:val="24"/>
        </w:rPr>
        <w:t> </w:t>
      </w:r>
      <w:r>
        <w:rPr>
          <w:i/>
          <w:sz w:val="24"/>
        </w:rPr>
        <w:t>liable,</w:t>
      </w:r>
      <w:r>
        <w:rPr>
          <w:i/>
          <w:spacing w:val="-2"/>
          <w:sz w:val="24"/>
        </w:rPr>
        <w:t> </w:t>
      </w:r>
      <w:r>
        <w:rPr>
          <w:i/>
          <w:sz w:val="24"/>
        </w:rPr>
        <w:t>those</w:t>
      </w:r>
      <w:r>
        <w:rPr>
          <w:i/>
          <w:spacing w:val="-5"/>
          <w:sz w:val="24"/>
        </w:rPr>
        <w:t> </w:t>
      </w:r>
      <w:r>
        <w:rPr>
          <w:i/>
          <w:sz w:val="24"/>
        </w:rPr>
        <w:t>directors</w:t>
      </w:r>
      <w:r>
        <w:rPr>
          <w:i/>
          <w:spacing w:val="-2"/>
          <w:sz w:val="24"/>
        </w:rPr>
        <w:t> </w:t>
      </w:r>
      <w:r>
        <w:rPr>
          <w:i/>
          <w:sz w:val="24"/>
        </w:rPr>
        <w:t>would</w:t>
      </w:r>
      <w:r>
        <w:rPr>
          <w:i/>
          <w:spacing w:val="-4"/>
          <w:sz w:val="24"/>
        </w:rPr>
        <w:t> </w:t>
      </w:r>
      <w:r>
        <w:rPr>
          <w:i/>
          <w:sz w:val="24"/>
        </w:rPr>
        <w:t>be</w:t>
      </w:r>
      <w:r>
        <w:rPr>
          <w:i/>
          <w:spacing w:val="-5"/>
          <w:sz w:val="24"/>
        </w:rPr>
        <w:t> </w:t>
      </w:r>
      <w:r>
        <w:rPr>
          <w:i/>
          <w:sz w:val="24"/>
        </w:rPr>
        <w:t>liable, where the liability would attach to the principal and the principal only, the liability is the liability of the company.</w:t>
      </w:r>
    </w:p>
    <w:p>
      <w:pPr>
        <w:pStyle w:val="BodyText"/>
        <w:spacing w:before="1"/>
        <w:ind w:left="0"/>
        <w:rPr>
          <w:i/>
        </w:rPr>
      </w:pPr>
    </w:p>
    <w:p>
      <w:pPr>
        <w:pStyle w:val="BodyText"/>
        <w:spacing w:line="480" w:lineRule="auto"/>
        <w:ind w:right="232"/>
        <w:jc w:val="both"/>
      </w:pPr>
      <w:r>
        <w:rPr/>
        <w:t>However, in the typical agency, the principal usually has a complete set of detailed instructions for his agent as to what he requires of him. Also, the agent can get feedbacks from the principal regarding any eventuality that may be encountered and how the principal wants the agent to go about handling it. Further, the agent cannot venture into uncertainties by taking risks. But this cannot be the case with the director</w:t>
      </w:r>
      <w:r>
        <w:rPr>
          <w:spacing w:val="80"/>
        </w:rPr>
        <w:t> </w:t>
      </w:r>
      <w:r>
        <w:rPr/>
        <w:t>of a corporation. He makes the policies, strategizes how to put them in action and goes ahead and puts them into practice. In doing so, he takes risks. In fact, it has been said that risk is the essence of a director‘s work.</w:t>
      </w:r>
      <w:r>
        <w:rPr>
          <w:vertAlign w:val="superscript"/>
        </w:rPr>
        <w:t>89</w:t>
      </w:r>
      <w:r>
        <w:rPr>
          <w:vertAlign w:val="baseline"/>
        </w:rPr>
        <w:t> To be sure, a director is a more powerful agent than most. The modern view is that his position within the corporation is essentially </w:t>
      </w:r>
      <w:r>
        <w:rPr>
          <w:i/>
          <w:vertAlign w:val="baseline"/>
        </w:rPr>
        <w:t>sui generis</w:t>
      </w:r>
      <w:r>
        <w:rPr>
          <w:vertAlign w:val="baseline"/>
        </w:rPr>
        <w:t>.</w:t>
      </w:r>
      <w:r>
        <w:rPr>
          <w:vertAlign w:val="superscript"/>
        </w:rPr>
        <w:t>90</w:t>
      </w:r>
    </w:p>
    <w:p>
      <w:pPr>
        <w:pStyle w:val="BodyText"/>
        <w:ind w:left="0"/>
        <w:rPr>
          <w:sz w:val="20"/>
        </w:rPr>
      </w:pPr>
    </w:p>
    <w:p>
      <w:pPr>
        <w:pStyle w:val="BodyText"/>
        <w:ind w:left="0"/>
        <w:rPr>
          <w:sz w:val="20"/>
        </w:rPr>
      </w:pPr>
    </w:p>
    <w:p>
      <w:pPr>
        <w:pStyle w:val="BodyText"/>
        <w:spacing w:before="189"/>
        <w:ind w:left="0"/>
        <w:rPr>
          <w:sz w:val="20"/>
        </w:rPr>
      </w:pPr>
      <w:r>
        <w:rPr/>
        <mc:AlternateContent>
          <mc:Choice Requires="wps">
            <w:drawing>
              <wp:anchor distT="0" distB="0" distL="0" distR="0" allowOverlap="1" layoutInCell="1" locked="0" behindDoc="1" simplePos="0" relativeHeight="487630848">
                <wp:simplePos x="0" y="0"/>
                <wp:positionH relativeFrom="page">
                  <wp:posOffset>1262481</wp:posOffset>
                </wp:positionH>
                <wp:positionV relativeFrom="paragraph">
                  <wp:posOffset>281417</wp:posOffset>
                </wp:positionV>
                <wp:extent cx="1829435" cy="9525"/>
                <wp:effectExtent l="0" t="0" r="0" b="0"/>
                <wp:wrapTopAndBottom/>
                <wp:docPr id="94" name="Graphic 94"/>
                <wp:cNvGraphicFramePr>
                  <a:graphicFrameLocks/>
                </wp:cNvGraphicFramePr>
                <a:graphic>
                  <a:graphicData uri="http://schemas.microsoft.com/office/word/2010/wordprocessingShape">
                    <wps:wsp>
                      <wps:cNvPr id="94" name="Graphic 9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58857pt;width:144.050pt;height:.71997pt;mso-position-horizontal-relative:page;mso-position-vertical-relative:paragraph;z-index:-15685632;mso-wrap-distance-left:0;mso-wrap-distance-right:0" id="docshape49"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87</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i/>
          <w:sz w:val="20"/>
          <w:vertAlign w:val="baseline"/>
        </w:rPr>
        <w:t>Okeowo</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Migliore</w:t>
      </w:r>
      <w:r>
        <w:rPr>
          <w:rFonts w:ascii="Calibri"/>
          <w:i/>
          <w:spacing w:val="-2"/>
          <w:sz w:val="20"/>
          <w:vertAlign w:val="baseline"/>
        </w:rPr>
        <w:t> </w:t>
      </w:r>
      <w:r>
        <w:rPr>
          <w:rFonts w:ascii="Calibri"/>
          <w:sz w:val="20"/>
          <w:vertAlign w:val="baseline"/>
        </w:rPr>
        <w:t>(1979)</w:t>
      </w:r>
      <w:r>
        <w:rPr>
          <w:rFonts w:ascii="Calibri"/>
          <w:spacing w:val="-5"/>
          <w:sz w:val="20"/>
          <w:vertAlign w:val="baseline"/>
        </w:rPr>
        <w:t> </w:t>
      </w:r>
      <w:r>
        <w:rPr>
          <w:rFonts w:ascii="Calibri"/>
          <w:sz w:val="20"/>
          <w:vertAlign w:val="baseline"/>
        </w:rPr>
        <w:t>11</w:t>
      </w:r>
      <w:r>
        <w:rPr>
          <w:rFonts w:ascii="Calibri"/>
          <w:spacing w:val="-4"/>
          <w:sz w:val="20"/>
          <w:vertAlign w:val="baseline"/>
        </w:rPr>
        <w:t> </w:t>
      </w:r>
      <w:r>
        <w:rPr>
          <w:rFonts w:ascii="Calibri"/>
          <w:sz w:val="20"/>
          <w:vertAlign w:val="baseline"/>
        </w:rPr>
        <w:t>SC,</w:t>
      </w:r>
      <w:r>
        <w:rPr>
          <w:rFonts w:ascii="Calibri"/>
          <w:spacing w:val="-4"/>
          <w:sz w:val="20"/>
          <w:vertAlign w:val="baseline"/>
        </w:rPr>
        <w:t> </w:t>
      </w:r>
      <w:r>
        <w:rPr>
          <w:rFonts w:ascii="Calibri"/>
          <w:sz w:val="20"/>
          <w:vertAlign w:val="baseline"/>
        </w:rPr>
        <w:t>p.</w:t>
      </w:r>
      <w:r>
        <w:rPr>
          <w:rFonts w:ascii="Calibri"/>
          <w:spacing w:val="-1"/>
          <w:sz w:val="20"/>
          <w:vertAlign w:val="baseline"/>
        </w:rPr>
        <w:t> </w:t>
      </w:r>
      <w:r>
        <w:rPr>
          <w:rFonts w:ascii="Calibri"/>
          <w:spacing w:val="-5"/>
          <w:sz w:val="20"/>
          <w:vertAlign w:val="baseline"/>
        </w:rPr>
        <w:t>113</w:t>
      </w:r>
    </w:p>
    <w:p>
      <w:pPr>
        <w:spacing w:line="242" w:lineRule="exact" w:before="0"/>
        <w:ind w:left="308" w:right="0" w:firstLine="0"/>
        <w:jc w:val="left"/>
        <w:rPr>
          <w:rFonts w:ascii="Calibri"/>
          <w:sz w:val="20"/>
        </w:rPr>
      </w:pPr>
      <w:r>
        <w:rPr>
          <w:rFonts w:ascii="Calibri"/>
          <w:sz w:val="20"/>
          <w:vertAlign w:val="superscript"/>
        </w:rPr>
        <w:t>88</w:t>
      </w:r>
      <w:r>
        <w:rPr>
          <w:rFonts w:ascii="Calibri"/>
          <w:sz w:val="20"/>
          <w:vertAlign w:val="baseline"/>
        </w:rPr>
        <w:t>(1866)</w:t>
      </w:r>
      <w:r>
        <w:rPr>
          <w:rFonts w:ascii="Calibri"/>
          <w:spacing w:val="-2"/>
          <w:sz w:val="20"/>
          <w:vertAlign w:val="baseline"/>
        </w:rPr>
        <w:t> </w:t>
      </w:r>
      <w:r>
        <w:rPr>
          <w:rFonts w:ascii="Calibri"/>
          <w:sz w:val="20"/>
          <w:vertAlign w:val="baseline"/>
        </w:rPr>
        <w:t>LR.2</w:t>
      </w:r>
      <w:r>
        <w:rPr>
          <w:rFonts w:ascii="Calibri"/>
          <w:spacing w:val="-8"/>
          <w:sz w:val="20"/>
          <w:vertAlign w:val="baseline"/>
        </w:rPr>
        <w:t> </w:t>
      </w:r>
      <w:r>
        <w:rPr>
          <w:rFonts w:ascii="Calibri"/>
          <w:sz w:val="20"/>
          <w:vertAlign w:val="baseline"/>
        </w:rPr>
        <w:t>CH.</w:t>
      </w:r>
      <w:r>
        <w:rPr>
          <w:rFonts w:ascii="Calibri"/>
          <w:spacing w:val="-5"/>
          <w:sz w:val="20"/>
          <w:vertAlign w:val="baseline"/>
        </w:rPr>
        <w:t> 77.</w:t>
      </w:r>
    </w:p>
    <w:p>
      <w:pPr>
        <w:spacing w:before="1"/>
        <w:ind w:left="308" w:right="0" w:firstLine="0"/>
        <w:jc w:val="left"/>
        <w:rPr>
          <w:rFonts w:ascii="Calibri"/>
          <w:i/>
          <w:sz w:val="20"/>
        </w:rPr>
      </w:pPr>
      <w:r>
        <w:rPr>
          <w:rFonts w:ascii="Calibri"/>
          <w:sz w:val="20"/>
          <w:vertAlign w:val="superscript"/>
        </w:rPr>
        <w:t>89</w:t>
      </w:r>
      <w:r>
        <w:rPr>
          <w:rFonts w:ascii="Calibri"/>
          <w:sz w:val="20"/>
          <w:vertAlign w:val="baseline"/>
        </w:rPr>
        <w:t>Olawoyin,</w:t>
      </w:r>
      <w:r>
        <w:rPr>
          <w:rFonts w:ascii="Calibri"/>
          <w:spacing w:val="-10"/>
          <w:sz w:val="20"/>
          <w:vertAlign w:val="baseline"/>
        </w:rPr>
        <w:t> </w:t>
      </w:r>
      <w:r>
        <w:rPr>
          <w:rFonts w:ascii="Calibri"/>
          <w:sz w:val="20"/>
          <w:vertAlign w:val="baseline"/>
        </w:rPr>
        <w:t>G.A.</w:t>
      </w:r>
      <w:r>
        <w:rPr>
          <w:rFonts w:ascii="Calibri"/>
          <w:spacing w:val="-5"/>
          <w:sz w:val="20"/>
          <w:vertAlign w:val="baseline"/>
        </w:rPr>
        <w:t> </w:t>
      </w:r>
      <w:r>
        <w:rPr>
          <w:rFonts w:ascii="Calibri"/>
          <w:sz w:val="20"/>
          <w:vertAlign w:val="baseline"/>
        </w:rPr>
        <w:t>(1977).</w:t>
      </w:r>
      <w:r>
        <w:rPr>
          <w:rFonts w:ascii="Calibri"/>
          <w:i/>
          <w:sz w:val="20"/>
          <w:vertAlign w:val="baseline"/>
        </w:rPr>
        <w:t>Status</w:t>
      </w:r>
      <w:r>
        <w:rPr>
          <w:rFonts w:ascii="Calibri"/>
          <w:i/>
          <w:spacing w:val="-9"/>
          <w:sz w:val="20"/>
          <w:vertAlign w:val="baseline"/>
        </w:rPr>
        <w:t> </w:t>
      </w:r>
      <w:r>
        <w:rPr>
          <w:rFonts w:ascii="Calibri"/>
          <w:i/>
          <w:sz w:val="20"/>
          <w:vertAlign w:val="baseline"/>
        </w:rPr>
        <w:t>and</w:t>
      </w:r>
      <w:r>
        <w:rPr>
          <w:rFonts w:ascii="Calibri"/>
          <w:i/>
          <w:spacing w:val="-7"/>
          <w:sz w:val="20"/>
          <w:vertAlign w:val="baseline"/>
        </w:rPr>
        <w:t> </w:t>
      </w:r>
      <w:r>
        <w:rPr>
          <w:rFonts w:ascii="Calibri"/>
          <w:i/>
          <w:sz w:val="20"/>
          <w:vertAlign w:val="baseline"/>
        </w:rPr>
        <w:t>Duties</w:t>
      </w:r>
      <w:r>
        <w:rPr>
          <w:rFonts w:ascii="Calibri"/>
          <w:i/>
          <w:spacing w:val="-9"/>
          <w:sz w:val="20"/>
          <w:vertAlign w:val="baseline"/>
        </w:rPr>
        <w:t> </w:t>
      </w:r>
      <w:r>
        <w:rPr>
          <w:rFonts w:ascii="Calibri"/>
          <w:i/>
          <w:sz w:val="20"/>
          <w:vertAlign w:val="baseline"/>
        </w:rPr>
        <w:t>of</w:t>
      </w:r>
      <w:r>
        <w:rPr>
          <w:rFonts w:ascii="Calibri"/>
          <w:i/>
          <w:spacing w:val="-7"/>
          <w:sz w:val="20"/>
          <w:vertAlign w:val="baseline"/>
        </w:rPr>
        <w:t> </w:t>
      </w:r>
      <w:r>
        <w:rPr>
          <w:rFonts w:ascii="Calibri"/>
          <w:i/>
          <w:sz w:val="20"/>
          <w:vertAlign w:val="baseline"/>
        </w:rPr>
        <w:t>Company</w:t>
      </w:r>
      <w:r>
        <w:rPr>
          <w:rFonts w:ascii="Calibri"/>
          <w:i/>
          <w:spacing w:val="-7"/>
          <w:sz w:val="20"/>
          <w:vertAlign w:val="baseline"/>
        </w:rPr>
        <w:t> </w:t>
      </w:r>
      <w:r>
        <w:rPr>
          <w:rFonts w:ascii="Calibri"/>
          <w:i/>
          <w:sz w:val="20"/>
          <w:vertAlign w:val="baseline"/>
        </w:rPr>
        <w:t>Directors,</w:t>
      </w:r>
      <w:r>
        <w:rPr>
          <w:rFonts w:ascii="Calibri"/>
          <w:i/>
          <w:spacing w:val="-2"/>
          <w:sz w:val="20"/>
          <w:vertAlign w:val="baseline"/>
        </w:rPr>
        <w:t> </w:t>
      </w:r>
      <w:r>
        <w:rPr>
          <w:rFonts w:ascii="Calibri"/>
          <w:sz w:val="20"/>
          <w:vertAlign w:val="baseline"/>
        </w:rPr>
        <w:t>University</w:t>
      </w:r>
      <w:r>
        <w:rPr>
          <w:rFonts w:ascii="Calibri"/>
          <w:spacing w:val="-4"/>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Ife</w:t>
      </w:r>
      <w:r>
        <w:rPr>
          <w:rFonts w:ascii="Calibri"/>
          <w:spacing w:val="-7"/>
          <w:sz w:val="20"/>
          <w:vertAlign w:val="baseline"/>
        </w:rPr>
        <w:t> </w:t>
      </w:r>
      <w:r>
        <w:rPr>
          <w:rFonts w:ascii="Calibri"/>
          <w:sz w:val="20"/>
          <w:vertAlign w:val="baseline"/>
        </w:rPr>
        <w:t>Press,</w:t>
      </w:r>
      <w:r>
        <w:rPr>
          <w:rFonts w:ascii="Calibri"/>
          <w:spacing w:val="-5"/>
          <w:sz w:val="20"/>
          <w:vertAlign w:val="baseline"/>
        </w:rPr>
        <w:t> </w:t>
      </w:r>
      <w:r>
        <w:rPr>
          <w:rFonts w:ascii="Calibri"/>
          <w:sz w:val="20"/>
          <w:vertAlign w:val="baseline"/>
        </w:rPr>
        <w:t>Ile-Ife,</w:t>
      </w:r>
      <w:r>
        <w:rPr>
          <w:rFonts w:ascii="Calibri"/>
          <w:spacing w:val="28"/>
          <w:sz w:val="20"/>
          <w:vertAlign w:val="baseline"/>
        </w:rPr>
        <w:t> </w:t>
      </w:r>
      <w:r>
        <w:rPr>
          <w:rFonts w:ascii="Calibri"/>
          <w:i/>
          <w:spacing w:val="-4"/>
          <w:sz w:val="20"/>
          <w:vertAlign w:val="baseline"/>
        </w:rPr>
        <w:t>p.7.</w:t>
      </w:r>
    </w:p>
    <w:p>
      <w:pPr>
        <w:spacing w:before="1"/>
        <w:ind w:left="308" w:right="229" w:firstLine="0"/>
        <w:jc w:val="both"/>
        <w:rPr>
          <w:rFonts w:ascii="Calibri"/>
          <w:sz w:val="20"/>
        </w:rPr>
      </w:pPr>
      <w:r>
        <w:rPr>
          <w:rFonts w:ascii="Calibri"/>
          <w:sz w:val="20"/>
          <w:vertAlign w:val="superscript"/>
        </w:rPr>
        <w:t>90</w:t>
      </w:r>
      <w:r>
        <w:rPr>
          <w:rFonts w:ascii="Calibri"/>
          <w:sz w:val="20"/>
          <w:vertAlign w:val="baseline"/>
        </w:rPr>
        <w:t> See Birds, J. </w:t>
      </w:r>
      <w:r>
        <w:rPr>
          <w:rFonts w:ascii="Calibri"/>
          <w:i/>
          <w:sz w:val="20"/>
          <w:vertAlign w:val="baseline"/>
        </w:rPr>
        <w:t>et al, </w:t>
      </w:r>
      <w:r>
        <w:rPr>
          <w:rFonts w:ascii="Calibri"/>
          <w:sz w:val="20"/>
          <w:vertAlign w:val="baseline"/>
        </w:rPr>
        <w:t>op.cit.,</w:t>
      </w:r>
      <w:r>
        <w:rPr>
          <w:rFonts w:ascii="Calibri"/>
          <w:spacing w:val="40"/>
          <w:sz w:val="20"/>
          <w:vertAlign w:val="baseline"/>
        </w:rPr>
        <w:t> </w:t>
      </w:r>
      <w:r>
        <w:rPr>
          <w:rFonts w:ascii="Calibri"/>
          <w:sz w:val="20"/>
          <w:vertAlign w:val="baseline"/>
        </w:rPr>
        <w:t>p. 627; Campbell, C. (2007).</w:t>
      </w:r>
      <w:r>
        <w:rPr>
          <w:rFonts w:ascii="Calibri"/>
          <w:i/>
          <w:sz w:val="20"/>
          <w:vertAlign w:val="baseline"/>
        </w:rPr>
        <w:t>International Liability of Corporate Directors</w:t>
      </w:r>
      <w:r>
        <w:rPr>
          <w:rFonts w:ascii="Calibri"/>
          <w:sz w:val="20"/>
          <w:vertAlign w:val="baseline"/>
        </w:rPr>
        <w:t>.Volume 2,Yorkhill Law Publishing, London, p. 97; Cornelius, G., Van der Merwe. (2004).</w:t>
      </w:r>
      <w:r>
        <w:rPr>
          <w:rFonts w:ascii="Calibri"/>
          <w:i/>
          <w:sz w:val="20"/>
          <w:vertAlign w:val="baseline"/>
        </w:rPr>
        <w:t>Introduction</w:t>
      </w:r>
      <w:r>
        <w:rPr>
          <w:rFonts w:ascii="Calibri"/>
          <w:i/>
          <w:spacing w:val="22"/>
          <w:sz w:val="20"/>
          <w:vertAlign w:val="baseline"/>
        </w:rPr>
        <w:t> </w:t>
      </w:r>
      <w:r>
        <w:rPr>
          <w:rFonts w:ascii="Calibri"/>
          <w:i/>
          <w:sz w:val="20"/>
          <w:vertAlign w:val="baseline"/>
        </w:rPr>
        <w:t>to</w:t>
      </w:r>
      <w:r>
        <w:rPr>
          <w:rFonts w:ascii="Calibri"/>
          <w:i/>
          <w:spacing w:val="22"/>
          <w:sz w:val="20"/>
          <w:vertAlign w:val="baseline"/>
        </w:rPr>
        <w:t> </w:t>
      </w:r>
      <w:r>
        <w:rPr>
          <w:rFonts w:ascii="Calibri"/>
          <w:i/>
          <w:sz w:val="20"/>
          <w:vertAlign w:val="baseline"/>
        </w:rPr>
        <w:t>the</w:t>
      </w:r>
      <w:r>
        <w:rPr>
          <w:rFonts w:ascii="Calibri"/>
          <w:i/>
          <w:spacing w:val="20"/>
          <w:sz w:val="20"/>
          <w:vertAlign w:val="baseline"/>
        </w:rPr>
        <w:t> </w:t>
      </w:r>
      <w:r>
        <w:rPr>
          <w:rFonts w:ascii="Calibri"/>
          <w:i/>
          <w:sz w:val="20"/>
          <w:vertAlign w:val="baseline"/>
        </w:rPr>
        <w:t>Law</w:t>
      </w:r>
      <w:r>
        <w:rPr>
          <w:rFonts w:ascii="Calibri"/>
          <w:i/>
          <w:spacing w:val="20"/>
          <w:sz w:val="20"/>
          <w:vertAlign w:val="baseline"/>
        </w:rPr>
        <w:t> </w:t>
      </w:r>
      <w:r>
        <w:rPr>
          <w:rFonts w:ascii="Calibri"/>
          <w:i/>
          <w:sz w:val="20"/>
          <w:vertAlign w:val="baseline"/>
        </w:rPr>
        <w:t>of</w:t>
      </w:r>
      <w:r>
        <w:rPr>
          <w:rFonts w:ascii="Calibri"/>
          <w:i/>
          <w:spacing w:val="21"/>
          <w:sz w:val="20"/>
          <w:vertAlign w:val="baseline"/>
        </w:rPr>
        <w:t> </w:t>
      </w:r>
      <w:r>
        <w:rPr>
          <w:rFonts w:ascii="Calibri"/>
          <w:i/>
          <w:sz w:val="20"/>
          <w:vertAlign w:val="baseline"/>
        </w:rPr>
        <w:t>South</w:t>
      </w:r>
      <w:r>
        <w:rPr>
          <w:rFonts w:ascii="Calibri"/>
          <w:i/>
          <w:spacing w:val="22"/>
          <w:sz w:val="20"/>
          <w:vertAlign w:val="baseline"/>
        </w:rPr>
        <w:t> </w:t>
      </w:r>
      <w:r>
        <w:rPr>
          <w:rFonts w:ascii="Calibri"/>
          <w:i/>
          <w:sz w:val="20"/>
          <w:vertAlign w:val="baseline"/>
        </w:rPr>
        <w:t>Africa</w:t>
      </w:r>
      <w:r>
        <w:rPr>
          <w:rFonts w:ascii="Calibri"/>
          <w:sz w:val="20"/>
          <w:vertAlign w:val="baseline"/>
        </w:rPr>
        <w:t>,</w:t>
      </w:r>
      <w:r>
        <w:rPr>
          <w:rFonts w:ascii="Calibri"/>
          <w:spacing w:val="18"/>
          <w:sz w:val="20"/>
          <w:vertAlign w:val="baseline"/>
        </w:rPr>
        <w:t> </w:t>
      </w:r>
      <w:r>
        <w:rPr>
          <w:rFonts w:ascii="Calibri"/>
          <w:sz w:val="20"/>
          <w:vertAlign w:val="baseline"/>
        </w:rPr>
        <w:t>Kluwer</w:t>
      </w:r>
      <w:r>
        <w:rPr>
          <w:rFonts w:ascii="Calibri"/>
          <w:spacing w:val="22"/>
          <w:sz w:val="20"/>
          <w:vertAlign w:val="baseline"/>
        </w:rPr>
        <w:t> </w:t>
      </w:r>
      <w:r>
        <w:rPr>
          <w:rFonts w:ascii="Calibri"/>
          <w:sz w:val="20"/>
          <w:vertAlign w:val="baseline"/>
        </w:rPr>
        <w:t>Law</w:t>
      </w:r>
      <w:r>
        <w:rPr>
          <w:rFonts w:ascii="Calibri"/>
          <w:spacing w:val="20"/>
          <w:sz w:val="20"/>
          <w:vertAlign w:val="baseline"/>
        </w:rPr>
        <w:t> </w:t>
      </w:r>
      <w:r>
        <w:rPr>
          <w:rFonts w:ascii="Calibri"/>
          <w:sz w:val="20"/>
          <w:vertAlign w:val="baseline"/>
        </w:rPr>
        <w:t>International,</w:t>
      </w:r>
      <w:r>
        <w:rPr>
          <w:rFonts w:ascii="Calibri"/>
          <w:spacing w:val="18"/>
          <w:sz w:val="20"/>
          <w:vertAlign w:val="baseline"/>
        </w:rPr>
        <w:t> </w:t>
      </w:r>
      <w:r>
        <w:rPr>
          <w:rFonts w:ascii="Calibri"/>
          <w:sz w:val="20"/>
          <w:vertAlign w:val="baseline"/>
        </w:rPr>
        <w:t>Netherlands,</w:t>
      </w:r>
      <w:r>
        <w:rPr>
          <w:rFonts w:ascii="Calibri"/>
          <w:spacing w:val="18"/>
          <w:sz w:val="20"/>
          <w:vertAlign w:val="baseline"/>
        </w:rPr>
        <w:t> </w:t>
      </w:r>
      <w:r>
        <w:rPr>
          <w:rFonts w:ascii="Calibri"/>
          <w:sz w:val="20"/>
          <w:vertAlign w:val="baseline"/>
        </w:rPr>
        <w:t>p.</w:t>
      </w:r>
      <w:r>
        <w:rPr>
          <w:rFonts w:ascii="Calibri"/>
          <w:spacing w:val="22"/>
          <w:sz w:val="20"/>
          <w:vertAlign w:val="baseline"/>
        </w:rPr>
        <w:t> </w:t>
      </w:r>
      <w:r>
        <w:rPr>
          <w:rFonts w:ascii="Calibri"/>
          <w:sz w:val="20"/>
          <w:vertAlign w:val="baseline"/>
        </w:rPr>
        <w:t>384;</w:t>
      </w:r>
      <w:r>
        <w:rPr>
          <w:rFonts w:ascii="Calibri"/>
          <w:spacing w:val="19"/>
          <w:sz w:val="20"/>
          <w:vertAlign w:val="baseline"/>
        </w:rPr>
        <w:t> </w:t>
      </w:r>
      <w:r>
        <w:rPr>
          <w:rFonts w:ascii="Calibri"/>
          <w:sz w:val="20"/>
          <w:vertAlign w:val="baseline"/>
        </w:rPr>
        <w:t>Dyson,</w:t>
      </w:r>
    </w:p>
    <w:p>
      <w:pPr>
        <w:spacing w:before="2"/>
        <w:ind w:left="308" w:right="224" w:firstLine="0"/>
        <w:jc w:val="both"/>
        <w:rPr>
          <w:rFonts w:ascii="Calibri" w:hAnsi="Calibri"/>
          <w:sz w:val="20"/>
        </w:rPr>
      </w:pPr>
      <w:r>
        <w:rPr>
          <w:rFonts w:ascii="Calibri" w:hAnsi="Calibri"/>
          <w:sz w:val="20"/>
        </w:rPr>
        <w:t>B.R. (1965). The Director’s Liability for Negligence. </w:t>
      </w:r>
      <w:r>
        <w:rPr>
          <w:rFonts w:ascii="Calibri" w:hAnsi="Calibri"/>
          <w:i/>
          <w:sz w:val="20"/>
        </w:rPr>
        <w:t>Indiana Law Journal, </w:t>
      </w:r>
      <w:r>
        <w:rPr>
          <w:rFonts w:ascii="Calibri" w:hAnsi="Calibri"/>
          <w:sz w:val="20"/>
        </w:rPr>
        <w:t>Indiana University, U.S.A.40(3): 341 at 346.</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70"/>
        <w:ind w:right="228" w:firstLine="720"/>
        <w:jc w:val="both"/>
      </w:pPr>
      <w:r>
        <w:rPr/>
        <w:t>Owing to the enormous powers wielded by a director, the law also attributes to him</w:t>
      </w:r>
      <w:r>
        <w:rPr>
          <w:spacing w:val="-15"/>
        </w:rPr>
        <w:t> </w:t>
      </w:r>
      <w:r>
        <w:rPr/>
        <w:t>the role of trustee with regard to the monies and properties of the company.</w:t>
      </w:r>
      <w:r>
        <w:rPr>
          <w:spacing w:val="-15"/>
        </w:rPr>
        <w:t> </w:t>
      </w:r>
      <w:r>
        <w:rPr>
          <w:vertAlign w:val="superscript"/>
        </w:rPr>
        <w:t>91</w:t>
      </w:r>
      <w:r>
        <w:rPr>
          <w:vertAlign w:val="baseline"/>
        </w:rPr>
        <w:t> Yet, directors are not trustees properly so called.</w:t>
      </w:r>
      <w:r>
        <w:rPr>
          <w:vertAlign w:val="superscript"/>
        </w:rPr>
        <w:t>92</w:t>
      </w:r>
      <w:r>
        <w:rPr>
          <w:vertAlign w:val="baseline"/>
        </w:rPr>
        <w:t> Unlike the regular trustee, the company‘s properties would not be in his name and, as mentioned above, the trustee is expected to observe a higher standard of prudence in protecting the interests of his or her</w:t>
      </w:r>
      <w:r>
        <w:rPr>
          <w:spacing w:val="40"/>
          <w:vertAlign w:val="baseline"/>
        </w:rPr>
        <w:t> </w:t>
      </w:r>
      <w:r>
        <w:rPr>
          <w:vertAlign w:val="baseline"/>
        </w:rPr>
        <w:t>beneficiary than would be reasonable to impose on a person in charge of a commercial company.</w:t>
      </w:r>
      <w:r>
        <w:rPr>
          <w:vertAlign w:val="superscript"/>
        </w:rPr>
        <w:t>93</w:t>
      </w:r>
      <w:r>
        <w:rPr>
          <w:vertAlign w:val="baseline"/>
        </w:rPr>
        <w:t> A director is entitled to take risks with the company‘s monies, if he considers it likely to be in the best interests of the company. However, under no circumstances is he allowed to use his position to enrich himself, make secret profits or achieve other unnecessary benefits owing to the office he occupies.</w:t>
      </w:r>
      <w:r>
        <w:rPr>
          <w:vertAlign w:val="superscript"/>
        </w:rPr>
        <w:t>94</w:t>
      </w:r>
    </w:p>
    <w:p>
      <w:pPr>
        <w:pStyle w:val="BodyText"/>
        <w:spacing w:line="480" w:lineRule="auto" w:before="2"/>
        <w:ind w:right="232" w:firstLine="720"/>
        <w:jc w:val="both"/>
      </w:pPr>
      <w:r>
        <w:rPr/>
        <w:t>Whatever act of the directors is called to question, they are judged either as agents or trustees; quite simply, fiduciaries. Birds </w:t>
      </w:r>
      <w:r>
        <w:rPr>
          <w:i/>
        </w:rPr>
        <w:t>et al</w:t>
      </w:r>
      <w:r>
        <w:rPr/>
        <w:t>succinctly summed it up in</w:t>
      </w:r>
      <w:r>
        <w:rPr>
          <w:spacing w:val="40"/>
        </w:rPr>
        <w:t> </w:t>
      </w:r>
      <w:r>
        <w:rPr/>
        <w:t>stating that</w:t>
      </w:r>
    </w:p>
    <w:p>
      <w:pPr>
        <w:spacing w:line="240" w:lineRule="auto" w:before="0"/>
        <w:ind w:left="2007" w:right="2218" w:firstLine="0"/>
        <w:jc w:val="both"/>
        <w:rPr>
          <w:i/>
          <w:sz w:val="24"/>
        </w:rPr>
      </w:pPr>
      <w:r>
        <w:rPr>
          <w:i/>
          <w:sz w:val="24"/>
        </w:rPr>
        <w:t>The absence of a definition of ‗director‘ perhaps renders it somewhat difficult to ascertain the exact nature of the director‘s office. He is certainly an agent of the company, but is rather more than that as in practice, he is not subject to much control by his principal, the company</w:t>
      </w:r>
      <w:r>
        <w:rPr>
          <w:i/>
          <w:spacing w:val="40"/>
          <w:sz w:val="24"/>
        </w:rPr>
        <w:t> </w:t>
      </w:r>
      <w:r>
        <w:rPr>
          <w:i/>
          <w:sz w:val="24"/>
        </w:rPr>
        <w:t>acting through the shareholders in general meeting. In certain respects, the director is a trustee and there is no doubt that many of his duties developed from the law of trusts, but he is certainly not a full trustee, not least because his very function is an entrepreneurial one and he may properly take risks with the company‘s funds which a trustee in the strict sense cannot. If a director performs more than the tasks of a director pure and simple, such as attending</w:t>
      </w:r>
      <w:r>
        <w:rPr>
          <w:i/>
          <w:spacing w:val="80"/>
          <w:sz w:val="24"/>
        </w:rPr>
        <w:t> </w:t>
      </w:r>
      <w:r>
        <w:rPr>
          <w:i/>
          <w:sz w:val="24"/>
        </w:rPr>
        <w:t>board meetings and the like, he may well also be an</w:t>
      </w:r>
      <w:r>
        <w:rPr>
          <w:i/>
          <w:spacing w:val="63"/>
          <w:sz w:val="24"/>
        </w:rPr>
        <w:t> </w:t>
      </w:r>
      <w:r>
        <w:rPr>
          <w:i/>
          <w:sz w:val="24"/>
        </w:rPr>
        <w:t>employee</w:t>
      </w:r>
      <w:r>
        <w:rPr>
          <w:i/>
          <w:spacing w:val="67"/>
          <w:sz w:val="24"/>
        </w:rPr>
        <w:t> </w:t>
      </w:r>
      <w:r>
        <w:rPr>
          <w:i/>
          <w:sz w:val="24"/>
        </w:rPr>
        <w:t>of</w:t>
      </w:r>
      <w:r>
        <w:rPr>
          <w:i/>
          <w:spacing w:val="67"/>
          <w:sz w:val="24"/>
        </w:rPr>
        <w:t> </w:t>
      </w:r>
      <w:r>
        <w:rPr>
          <w:i/>
          <w:sz w:val="24"/>
        </w:rPr>
        <w:t>the</w:t>
      </w:r>
      <w:r>
        <w:rPr>
          <w:i/>
          <w:spacing w:val="64"/>
          <w:sz w:val="24"/>
        </w:rPr>
        <w:t> </w:t>
      </w:r>
      <w:r>
        <w:rPr>
          <w:i/>
          <w:sz w:val="24"/>
        </w:rPr>
        <w:t>company</w:t>
      </w:r>
      <w:r>
        <w:rPr>
          <w:i/>
          <w:spacing w:val="62"/>
          <w:sz w:val="24"/>
        </w:rPr>
        <w:t> </w:t>
      </w:r>
      <w:r>
        <w:rPr>
          <w:i/>
          <w:sz w:val="24"/>
        </w:rPr>
        <w:t>and</w:t>
      </w:r>
      <w:r>
        <w:rPr>
          <w:i/>
          <w:spacing w:val="68"/>
          <w:sz w:val="24"/>
        </w:rPr>
        <w:t> </w:t>
      </w:r>
      <w:r>
        <w:rPr>
          <w:i/>
          <w:sz w:val="24"/>
        </w:rPr>
        <w:t>as</w:t>
      </w:r>
      <w:r>
        <w:rPr>
          <w:i/>
          <w:spacing w:val="69"/>
          <w:sz w:val="24"/>
        </w:rPr>
        <w:t> </w:t>
      </w:r>
      <w:r>
        <w:rPr>
          <w:i/>
          <w:sz w:val="24"/>
        </w:rPr>
        <w:t>such</w:t>
      </w:r>
      <w:r>
        <w:rPr>
          <w:i/>
          <w:spacing w:val="64"/>
          <w:sz w:val="24"/>
        </w:rPr>
        <w:t> </w:t>
      </w:r>
      <w:r>
        <w:rPr>
          <w:i/>
          <w:spacing w:val="-5"/>
          <w:sz w:val="24"/>
        </w:rPr>
        <w:t>the</w:t>
      </w:r>
    </w:p>
    <w:p>
      <w:pPr>
        <w:pStyle w:val="BodyText"/>
        <w:spacing w:before="30"/>
        <w:ind w:left="0"/>
        <w:rPr>
          <w:i/>
          <w:sz w:val="20"/>
        </w:rPr>
      </w:pPr>
      <w:r>
        <w:rPr/>
        <mc:AlternateContent>
          <mc:Choice Requires="wps">
            <w:drawing>
              <wp:anchor distT="0" distB="0" distL="0" distR="0" allowOverlap="1" layoutInCell="1" locked="0" behindDoc="1" simplePos="0" relativeHeight="487631360">
                <wp:simplePos x="0" y="0"/>
                <wp:positionH relativeFrom="page">
                  <wp:posOffset>1262481</wp:posOffset>
                </wp:positionH>
                <wp:positionV relativeFrom="paragraph">
                  <wp:posOffset>180360</wp:posOffset>
                </wp:positionV>
                <wp:extent cx="1829435" cy="9525"/>
                <wp:effectExtent l="0" t="0" r="0" b="0"/>
                <wp:wrapTopAndBottom/>
                <wp:docPr id="95" name="Graphic 95"/>
                <wp:cNvGraphicFramePr>
                  <a:graphicFrameLocks/>
                </wp:cNvGraphicFramePr>
                <a:graphic>
                  <a:graphicData uri="http://schemas.microsoft.com/office/word/2010/wordprocessingShape">
                    <wps:wsp>
                      <wps:cNvPr id="95" name="Graphic 9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201592pt;width:144.050pt;height:.71997pt;mso-position-horizontal-relative:page;mso-position-vertical-relative:paragraph;z-index:-15685120;mso-wrap-distance-left:0;mso-wrap-distance-right:0" id="docshape5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91</w:t>
      </w:r>
      <w:r>
        <w:rPr>
          <w:rFonts w:ascii="Calibri"/>
          <w:spacing w:val="-2"/>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283(1)</w:t>
      </w:r>
      <w:r>
        <w:rPr>
          <w:rFonts w:ascii="Calibri"/>
          <w:spacing w:val="-2"/>
          <w:sz w:val="20"/>
          <w:vertAlign w:val="baseline"/>
        </w:rPr>
        <w:t> </w:t>
      </w:r>
      <w:r>
        <w:rPr>
          <w:rFonts w:ascii="Calibri"/>
          <w:sz w:val="20"/>
          <w:vertAlign w:val="baseline"/>
        </w:rPr>
        <w:t>of</w:t>
      </w:r>
      <w:r>
        <w:rPr>
          <w:rFonts w:ascii="Calibri"/>
          <w:spacing w:val="-2"/>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CAMA</w:t>
      </w:r>
      <w:r>
        <w:rPr>
          <w:rFonts w:ascii="Calibri"/>
          <w:spacing w:val="-9"/>
          <w:sz w:val="20"/>
          <w:vertAlign w:val="baseline"/>
        </w:rPr>
        <w:t> </w:t>
      </w:r>
      <w:r>
        <w:rPr>
          <w:rFonts w:ascii="Calibri"/>
          <w:spacing w:val="-5"/>
          <w:sz w:val="20"/>
          <w:vertAlign w:val="baseline"/>
        </w:rPr>
        <w:t>and</w:t>
      </w:r>
    </w:p>
    <w:p>
      <w:pPr>
        <w:spacing w:before="1"/>
        <w:ind w:left="308" w:right="0" w:firstLine="0"/>
        <w:jc w:val="left"/>
        <w:rPr>
          <w:rFonts w:ascii="Calibri"/>
          <w:sz w:val="20"/>
        </w:rPr>
      </w:pPr>
      <w:r>
        <w:rPr>
          <w:rFonts w:ascii="Calibri"/>
          <w:sz w:val="20"/>
          <w:vertAlign w:val="superscript"/>
        </w:rPr>
        <w:t>92</w:t>
      </w:r>
      <w:r>
        <w:rPr>
          <w:rFonts w:ascii="Calibri"/>
          <w:i/>
          <w:sz w:val="20"/>
          <w:vertAlign w:val="baseline"/>
        </w:rPr>
        <w:t>Adebayo</w:t>
      </w:r>
      <w:r>
        <w:rPr>
          <w:rFonts w:ascii="Calibri"/>
          <w:i/>
          <w:spacing w:val="-6"/>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Johnson</w:t>
      </w:r>
      <w:r>
        <w:rPr>
          <w:rFonts w:ascii="Calibri"/>
          <w:i/>
          <w:spacing w:val="-5"/>
          <w:sz w:val="20"/>
          <w:vertAlign w:val="baseline"/>
        </w:rPr>
        <w:t> </w:t>
      </w:r>
      <w:r>
        <w:rPr>
          <w:rFonts w:ascii="Calibri"/>
          <w:sz w:val="20"/>
          <w:vertAlign w:val="baseline"/>
        </w:rPr>
        <w:t>(1969)</w:t>
      </w:r>
      <w:r>
        <w:rPr>
          <w:rFonts w:ascii="Calibri"/>
          <w:spacing w:val="-6"/>
          <w:sz w:val="20"/>
          <w:vertAlign w:val="baseline"/>
        </w:rPr>
        <w:t> </w:t>
      </w:r>
      <w:r>
        <w:rPr>
          <w:rFonts w:ascii="Calibri"/>
          <w:sz w:val="20"/>
          <w:vertAlign w:val="baseline"/>
        </w:rPr>
        <w:t>All</w:t>
      </w:r>
      <w:r>
        <w:rPr>
          <w:rFonts w:ascii="Calibri"/>
          <w:spacing w:val="-6"/>
          <w:sz w:val="20"/>
          <w:vertAlign w:val="baseline"/>
        </w:rPr>
        <w:t> </w:t>
      </w:r>
      <w:r>
        <w:rPr>
          <w:rFonts w:ascii="Calibri"/>
          <w:sz w:val="20"/>
          <w:vertAlign w:val="baseline"/>
        </w:rPr>
        <w:t>NLR,</w:t>
      </w:r>
      <w:r>
        <w:rPr>
          <w:rFonts w:ascii="Calibri"/>
          <w:spacing w:val="-5"/>
          <w:sz w:val="20"/>
          <w:vertAlign w:val="baseline"/>
        </w:rPr>
        <w:t> </w:t>
      </w:r>
      <w:r>
        <w:rPr>
          <w:rFonts w:ascii="Calibri"/>
          <w:spacing w:val="-4"/>
          <w:sz w:val="20"/>
          <w:vertAlign w:val="baseline"/>
        </w:rPr>
        <w:t>171.</w:t>
      </w:r>
    </w:p>
    <w:p>
      <w:pPr>
        <w:tabs>
          <w:tab w:pos="2065" w:val="left" w:leader="none"/>
          <w:tab w:pos="3759" w:val="left" w:leader="none"/>
          <w:tab w:pos="6280" w:val="left" w:leader="none"/>
          <w:tab w:pos="7269" w:val="left" w:leader="none"/>
          <w:tab w:pos="8412" w:val="left" w:leader="none"/>
        </w:tabs>
        <w:spacing w:before="1"/>
        <w:ind w:left="308" w:right="225" w:firstLine="0"/>
        <w:jc w:val="left"/>
        <w:rPr>
          <w:rFonts w:ascii="Calibri" w:hAnsi="Calibri"/>
          <w:sz w:val="20"/>
        </w:rPr>
      </w:pPr>
      <w:r>
        <w:rPr>
          <w:rFonts w:ascii="Calibri" w:hAnsi="Calibri"/>
          <w:sz w:val="20"/>
          <w:vertAlign w:val="superscript"/>
        </w:rPr>
        <w:t>93</w:t>
      </w:r>
      <w:r>
        <w:rPr>
          <w:rFonts w:ascii="Calibri" w:hAnsi="Calibri"/>
          <w:spacing w:val="40"/>
          <w:sz w:val="20"/>
          <w:vertAlign w:val="baseline"/>
        </w:rPr>
        <w:t> </w:t>
      </w:r>
      <w:r>
        <w:rPr>
          <w:rFonts w:ascii="Calibri" w:hAnsi="Calibri"/>
          <w:sz w:val="20"/>
          <w:vertAlign w:val="baseline"/>
        </w:rPr>
        <w:t>Davies,</w:t>
      </w:r>
      <w:r>
        <w:rPr>
          <w:rFonts w:ascii="Calibri" w:hAnsi="Calibri"/>
          <w:spacing w:val="40"/>
          <w:sz w:val="20"/>
          <w:vertAlign w:val="baseline"/>
        </w:rPr>
        <w:t> </w:t>
      </w:r>
      <w:r>
        <w:rPr>
          <w:rFonts w:ascii="Calibri" w:hAnsi="Calibri"/>
          <w:sz w:val="20"/>
          <w:vertAlign w:val="baseline"/>
        </w:rPr>
        <w:t>J.</w:t>
      </w:r>
      <w:r>
        <w:rPr>
          <w:rFonts w:ascii="Calibri" w:hAnsi="Calibri"/>
          <w:spacing w:val="40"/>
          <w:sz w:val="20"/>
          <w:vertAlign w:val="baseline"/>
        </w:rPr>
        <w:t> </w:t>
      </w:r>
      <w:r>
        <w:rPr>
          <w:rFonts w:ascii="Calibri" w:hAnsi="Calibri"/>
          <w:sz w:val="20"/>
          <w:vertAlign w:val="baseline"/>
        </w:rPr>
        <w:t>(2007).</w:t>
      </w:r>
      <w:r>
        <w:rPr>
          <w:rFonts w:ascii="Calibri" w:hAnsi="Calibri"/>
          <w:i/>
          <w:sz w:val="20"/>
          <w:vertAlign w:val="baseline"/>
        </w:rPr>
        <w:t>A</w:t>
      </w:r>
      <w:r>
        <w:rPr>
          <w:rFonts w:ascii="Calibri" w:hAnsi="Calibri"/>
          <w:i/>
          <w:spacing w:val="40"/>
          <w:sz w:val="20"/>
          <w:vertAlign w:val="baseline"/>
        </w:rPr>
        <w:t> </w:t>
      </w:r>
      <w:r>
        <w:rPr>
          <w:rFonts w:ascii="Calibri" w:hAnsi="Calibri"/>
          <w:i/>
          <w:sz w:val="20"/>
          <w:vertAlign w:val="baseline"/>
        </w:rPr>
        <w:t>Guide</w:t>
      </w:r>
      <w:r>
        <w:rPr>
          <w:rFonts w:ascii="Calibri" w:hAnsi="Calibri"/>
          <w:i/>
          <w:spacing w:val="40"/>
          <w:sz w:val="20"/>
          <w:vertAlign w:val="baseline"/>
        </w:rPr>
        <w:t> </w:t>
      </w:r>
      <w:r>
        <w:rPr>
          <w:rFonts w:ascii="Calibri" w:hAnsi="Calibri"/>
          <w:i/>
          <w:sz w:val="20"/>
          <w:vertAlign w:val="baseline"/>
        </w:rPr>
        <w:t>to</w:t>
      </w:r>
      <w:r>
        <w:rPr>
          <w:rFonts w:ascii="Calibri" w:hAnsi="Calibri"/>
          <w:i/>
          <w:spacing w:val="40"/>
          <w:sz w:val="20"/>
          <w:vertAlign w:val="baseline"/>
        </w:rPr>
        <w:t> </w:t>
      </w:r>
      <w:r>
        <w:rPr>
          <w:rFonts w:ascii="Calibri" w:hAnsi="Calibri"/>
          <w:i/>
          <w:sz w:val="20"/>
          <w:vertAlign w:val="baseline"/>
        </w:rPr>
        <w:t>Directors’</w:t>
      </w:r>
      <w:r>
        <w:rPr>
          <w:rFonts w:ascii="Calibri" w:hAnsi="Calibri"/>
          <w:i/>
          <w:spacing w:val="40"/>
          <w:sz w:val="20"/>
          <w:vertAlign w:val="baseline"/>
        </w:rPr>
        <w:t> </w:t>
      </w:r>
      <w:r>
        <w:rPr>
          <w:rFonts w:ascii="Calibri" w:hAnsi="Calibri"/>
          <w:i/>
          <w:sz w:val="20"/>
          <w:vertAlign w:val="baseline"/>
        </w:rPr>
        <w:t>Responsibilities</w:t>
      </w:r>
      <w:r>
        <w:rPr>
          <w:rFonts w:ascii="Calibri" w:hAnsi="Calibri"/>
          <w:i/>
          <w:spacing w:val="40"/>
          <w:sz w:val="20"/>
          <w:vertAlign w:val="baseline"/>
        </w:rPr>
        <w:t> </w:t>
      </w:r>
      <w:r>
        <w:rPr>
          <w:rFonts w:ascii="Calibri" w:hAnsi="Calibri"/>
          <w:i/>
          <w:sz w:val="20"/>
          <w:vertAlign w:val="baseline"/>
        </w:rPr>
        <w:t>Under</w:t>
      </w:r>
      <w:r>
        <w:rPr>
          <w:rFonts w:ascii="Calibri" w:hAnsi="Calibri"/>
          <w:i/>
          <w:spacing w:val="40"/>
          <w:sz w:val="20"/>
          <w:vertAlign w:val="baseline"/>
        </w:rPr>
        <w:t> </w:t>
      </w:r>
      <w:r>
        <w:rPr>
          <w:rFonts w:ascii="Calibri" w:hAnsi="Calibri"/>
          <w:i/>
          <w:sz w:val="20"/>
          <w:vertAlign w:val="baseline"/>
        </w:rPr>
        <w:t>the</w:t>
      </w:r>
      <w:r>
        <w:rPr>
          <w:rFonts w:ascii="Calibri" w:hAnsi="Calibri"/>
          <w:i/>
          <w:spacing w:val="40"/>
          <w:sz w:val="20"/>
          <w:vertAlign w:val="baseline"/>
        </w:rPr>
        <w:t> </w:t>
      </w:r>
      <w:r>
        <w:rPr>
          <w:rFonts w:ascii="Calibri" w:hAnsi="Calibri"/>
          <w:i/>
          <w:sz w:val="20"/>
          <w:vertAlign w:val="baseline"/>
        </w:rPr>
        <w:t>Companies</w:t>
      </w:r>
      <w:r>
        <w:rPr>
          <w:rFonts w:ascii="Calibri" w:hAnsi="Calibri"/>
          <w:i/>
          <w:spacing w:val="40"/>
          <w:sz w:val="20"/>
          <w:vertAlign w:val="baseline"/>
        </w:rPr>
        <w:t> </w:t>
      </w:r>
      <w:r>
        <w:rPr>
          <w:rFonts w:ascii="Calibri" w:hAnsi="Calibri"/>
          <w:i/>
          <w:sz w:val="20"/>
          <w:vertAlign w:val="baseline"/>
        </w:rPr>
        <w:t>Act</w:t>
      </w:r>
      <w:r>
        <w:rPr>
          <w:rFonts w:ascii="Calibri" w:hAnsi="Calibri"/>
          <w:i/>
          <w:spacing w:val="40"/>
          <w:sz w:val="20"/>
          <w:vertAlign w:val="baseline"/>
        </w:rPr>
        <w:t> </w:t>
      </w:r>
      <w:r>
        <w:rPr>
          <w:rFonts w:ascii="Calibri" w:hAnsi="Calibri"/>
          <w:i/>
          <w:sz w:val="20"/>
          <w:vertAlign w:val="baseline"/>
        </w:rPr>
        <w:t>2006.</w:t>
      </w:r>
      <w:r>
        <w:rPr>
          <w:rFonts w:ascii="Calibri" w:hAnsi="Calibri"/>
          <w:sz w:val="20"/>
          <w:vertAlign w:val="baseline"/>
        </w:rPr>
        <w:t>Certified </w:t>
      </w:r>
      <w:r>
        <w:rPr>
          <w:rFonts w:ascii="Calibri" w:hAnsi="Calibri"/>
          <w:spacing w:val="-2"/>
          <w:sz w:val="20"/>
          <w:vertAlign w:val="baseline"/>
        </w:rPr>
        <w:t>Accountants</w:t>
      </w:r>
      <w:r>
        <w:rPr>
          <w:rFonts w:ascii="Calibri" w:hAnsi="Calibri"/>
          <w:sz w:val="20"/>
          <w:vertAlign w:val="baseline"/>
        </w:rPr>
        <w:tab/>
      </w:r>
      <w:r>
        <w:rPr>
          <w:rFonts w:ascii="Calibri" w:hAnsi="Calibri"/>
          <w:spacing w:val="-2"/>
          <w:sz w:val="20"/>
          <w:vertAlign w:val="baseline"/>
        </w:rPr>
        <w:t>Educational</w:t>
      </w:r>
      <w:r>
        <w:rPr>
          <w:rFonts w:ascii="Calibri" w:hAnsi="Calibri"/>
          <w:sz w:val="20"/>
          <w:vertAlign w:val="baseline"/>
        </w:rPr>
        <w:tab/>
      </w:r>
      <w:r>
        <w:rPr>
          <w:rFonts w:ascii="Calibri" w:hAnsi="Calibri"/>
          <w:spacing w:val="-2"/>
          <w:sz w:val="20"/>
          <w:vertAlign w:val="baseline"/>
        </w:rPr>
        <w:t>Trust.RetrievedMarch</w:t>
      </w:r>
      <w:r>
        <w:rPr>
          <w:rFonts w:ascii="Calibri" w:hAnsi="Calibri"/>
          <w:sz w:val="20"/>
          <w:vertAlign w:val="baseline"/>
        </w:rPr>
        <w:tab/>
      </w:r>
      <w:r>
        <w:rPr>
          <w:rFonts w:ascii="Calibri" w:hAnsi="Calibri"/>
          <w:spacing w:val="-4"/>
          <w:sz w:val="20"/>
          <w:vertAlign w:val="baseline"/>
        </w:rPr>
        <w:t>27,</w:t>
      </w:r>
      <w:r>
        <w:rPr>
          <w:rFonts w:ascii="Calibri" w:hAnsi="Calibri"/>
          <w:sz w:val="20"/>
          <w:vertAlign w:val="baseline"/>
        </w:rPr>
        <w:tab/>
      </w:r>
      <w:r>
        <w:rPr>
          <w:rFonts w:ascii="Calibri" w:hAnsi="Calibri"/>
          <w:spacing w:val="-4"/>
          <w:sz w:val="20"/>
          <w:vertAlign w:val="baseline"/>
        </w:rPr>
        <w:t>2013</w:t>
      </w:r>
      <w:r>
        <w:rPr>
          <w:rFonts w:ascii="Calibri" w:hAnsi="Calibri"/>
          <w:sz w:val="20"/>
          <w:vertAlign w:val="baseline"/>
        </w:rPr>
        <w:tab/>
      </w:r>
      <w:r>
        <w:rPr>
          <w:rFonts w:ascii="Calibri" w:hAnsi="Calibri"/>
          <w:spacing w:val="-4"/>
          <w:sz w:val="20"/>
          <w:vertAlign w:val="baseline"/>
        </w:rPr>
        <w:t>from </w:t>
      </w:r>
      <w:hyperlink r:id="rId25">
        <w:r>
          <w:rPr>
            <w:rFonts w:ascii="Calibri" w:hAnsi="Calibri"/>
            <w:color w:val="0000FF"/>
            <w:spacing w:val="-2"/>
            <w:sz w:val="20"/>
            <w:u w:val="single" w:color="0000FF"/>
            <w:vertAlign w:val="baseline"/>
          </w:rPr>
          <w:t>http://www.accaglobal.com/content/dam/acca/global/PDF-technical/business-law/tech-tp-cdd.pdf</w:t>
        </w:r>
        <w:r>
          <w:rPr>
            <w:rFonts w:ascii="Calibri" w:hAnsi="Calibri"/>
            <w:spacing w:val="-2"/>
            <w:sz w:val="20"/>
            <w:vertAlign w:val="baseline"/>
          </w:rPr>
          <w:t>.</w:t>
        </w:r>
      </w:hyperlink>
      <w:r>
        <w:rPr>
          <w:rFonts w:ascii="Calibri" w:hAnsi="Calibri"/>
          <w:spacing w:val="80"/>
          <w:sz w:val="20"/>
          <w:vertAlign w:val="baseline"/>
        </w:rPr>
        <w:t>  </w:t>
      </w:r>
      <w:r>
        <w:rPr>
          <w:rFonts w:ascii="Calibri" w:hAnsi="Calibri"/>
          <w:sz w:val="20"/>
          <w:vertAlign w:val="superscript"/>
        </w:rPr>
        <w:t>94</w:t>
      </w:r>
      <w:r>
        <w:rPr>
          <w:rFonts w:ascii="Calibri" w:hAnsi="Calibri"/>
          <w:sz w:val="20"/>
          <w:vertAlign w:val="baseline"/>
        </w:rPr>
        <w:t>See generally ss. 280 and 287 of the CAMA and 175-177 of the CA.</w:t>
      </w:r>
    </w:p>
    <w:p>
      <w:pPr>
        <w:spacing w:after="0"/>
        <w:jc w:val="left"/>
        <w:rPr>
          <w:rFonts w:ascii="Calibri" w:hAnsi="Calibri"/>
          <w:sz w:val="20"/>
        </w:rPr>
        <w:sectPr>
          <w:pgSz w:w="11910" w:h="16840"/>
          <w:pgMar w:header="0" w:footer="1003" w:top="1320" w:bottom="1200" w:left="1680" w:right="1180"/>
        </w:sectPr>
      </w:pPr>
    </w:p>
    <w:p>
      <w:pPr>
        <w:spacing w:line="240" w:lineRule="auto" w:before="70"/>
        <w:ind w:left="2007" w:right="2221" w:firstLine="0"/>
        <w:jc w:val="both"/>
        <w:rPr>
          <w:sz w:val="24"/>
        </w:rPr>
      </w:pPr>
      <w:r>
        <w:rPr>
          <w:i/>
          <w:sz w:val="24"/>
        </w:rPr>
        <w:t>beneficiary of important statutory rights if he is declared redundant or unfairly dismissed. In short,</w:t>
      </w:r>
      <w:r>
        <w:rPr>
          <w:i/>
          <w:spacing w:val="-2"/>
          <w:sz w:val="24"/>
        </w:rPr>
        <w:t> </w:t>
      </w:r>
      <w:r>
        <w:rPr>
          <w:i/>
          <w:sz w:val="24"/>
        </w:rPr>
        <w:t>the</w:t>
      </w:r>
      <w:r>
        <w:rPr>
          <w:i/>
          <w:spacing w:val="-4"/>
          <w:sz w:val="24"/>
        </w:rPr>
        <w:t> </w:t>
      </w:r>
      <w:r>
        <w:rPr>
          <w:i/>
          <w:sz w:val="24"/>
        </w:rPr>
        <w:t>director‘s</w:t>
      </w:r>
      <w:r>
        <w:rPr>
          <w:i/>
          <w:spacing w:val="-6"/>
          <w:sz w:val="24"/>
        </w:rPr>
        <w:t> </w:t>
      </w:r>
      <w:r>
        <w:rPr>
          <w:i/>
          <w:sz w:val="24"/>
        </w:rPr>
        <w:t>office</w:t>
      </w:r>
      <w:r>
        <w:rPr>
          <w:i/>
          <w:spacing w:val="-5"/>
          <w:sz w:val="24"/>
        </w:rPr>
        <w:t> </w:t>
      </w:r>
      <w:r>
        <w:rPr>
          <w:i/>
          <w:sz w:val="24"/>
        </w:rPr>
        <w:t>is</w:t>
      </w:r>
      <w:r>
        <w:rPr>
          <w:i/>
          <w:spacing w:val="-5"/>
          <w:sz w:val="24"/>
        </w:rPr>
        <w:t> </w:t>
      </w:r>
      <w:r>
        <w:rPr>
          <w:i/>
          <w:sz w:val="24"/>
        </w:rPr>
        <w:t>sui</w:t>
      </w:r>
      <w:r>
        <w:rPr>
          <w:i/>
          <w:spacing w:val="-3"/>
          <w:sz w:val="24"/>
        </w:rPr>
        <w:t> </w:t>
      </w:r>
      <w:r>
        <w:rPr>
          <w:i/>
          <w:sz w:val="24"/>
        </w:rPr>
        <w:t>generis,</w:t>
      </w:r>
      <w:r>
        <w:rPr>
          <w:i/>
          <w:spacing w:val="-2"/>
          <w:sz w:val="24"/>
        </w:rPr>
        <w:t> </w:t>
      </w:r>
      <w:r>
        <w:rPr>
          <w:i/>
          <w:sz w:val="24"/>
        </w:rPr>
        <w:t>although for certain purposes the analogies of agency, trusteeship and employment may be useful.</w:t>
      </w:r>
      <w:r>
        <w:rPr>
          <w:sz w:val="24"/>
          <w:vertAlign w:val="superscript"/>
        </w:rPr>
        <w:t>95</w:t>
      </w:r>
    </w:p>
    <w:p>
      <w:pPr>
        <w:pStyle w:val="BodyText"/>
        <w:ind w:left="0"/>
      </w:pPr>
    </w:p>
    <w:p>
      <w:pPr>
        <w:pStyle w:val="BodyText"/>
        <w:spacing w:line="480" w:lineRule="auto"/>
        <w:ind w:right="238"/>
        <w:jc w:val="both"/>
      </w:pPr>
      <w:r>
        <w:rPr/>
        <w:t>Indeed, as we shall observe later in this work, all the duties owed by directors, or functions required of them by law, can somehow be subsumed under the roles of</w:t>
      </w:r>
      <w:r>
        <w:rPr>
          <w:spacing w:val="40"/>
        </w:rPr>
        <w:t> </w:t>
      </w:r>
      <w:r>
        <w:rPr/>
        <w:t>trustee, agent or employee. It is often in one or more</w:t>
      </w:r>
      <w:r>
        <w:rPr>
          <w:spacing w:val="-1"/>
        </w:rPr>
        <w:t> </w:t>
      </w:r>
      <w:r>
        <w:rPr/>
        <w:t>of</w:t>
      </w:r>
      <w:r>
        <w:rPr>
          <w:spacing w:val="-3"/>
        </w:rPr>
        <w:t> </w:t>
      </w:r>
      <w:r>
        <w:rPr/>
        <w:t>these roles that the law seeks to hold them to account.</w:t>
      </w:r>
    </w:p>
    <w:p>
      <w:pPr>
        <w:pStyle w:val="Heading2"/>
        <w:numPr>
          <w:ilvl w:val="1"/>
          <w:numId w:val="8"/>
        </w:numPr>
        <w:tabs>
          <w:tab w:pos="1027" w:val="left" w:leader="none"/>
        </w:tabs>
        <w:spacing w:line="240" w:lineRule="auto" w:before="207" w:after="0"/>
        <w:ind w:left="1027" w:right="0" w:hanging="719"/>
        <w:jc w:val="both"/>
      </w:pPr>
      <w:r>
        <w:rPr/>
        <w:t>Division</w:t>
      </w:r>
      <w:r>
        <w:rPr>
          <w:spacing w:val="-2"/>
        </w:rPr>
        <w:t> </w:t>
      </w:r>
      <w:r>
        <w:rPr/>
        <w:t>of</w:t>
      </w:r>
      <w:r>
        <w:rPr>
          <w:spacing w:val="-4"/>
        </w:rPr>
        <w:t> </w:t>
      </w:r>
      <w:r>
        <w:rPr/>
        <w:t>Powers</w:t>
      </w:r>
      <w:r>
        <w:rPr>
          <w:spacing w:val="-3"/>
        </w:rPr>
        <w:t> </w:t>
      </w:r>
      <w:r>
        <w:rPr/>
        <w:t>between the</w:t>
      </w:r>
      <w:r>
        <w:rPr>
          <w:spacing w:val="-2"/>
        </w:rPr>
        <w:t> </w:t>
      </w:r>
      <w:r>
        <w:rPr/>
        <w:t>Directors</w:t>
      </w:r>
      <w:r>
        <w:rPr>
          <w:spacing w:val="-3"/>
        </w:rPr>
        <w:t> </w:t>
      </w:r>
      <w:r>
        <w:rPr/>
        <w:t>and the</w:t>
      </w:r>
      <w:r>
        <w:rPr>
          <w:spacing w:val="-2"/>
        </w:rPr>
        <w:t> </w:t>
      </w:r>
      <w:r>
        <w:rPr/>
        <w:t>General</w:t>
      </w:r>
      <w:r>
        <w:rPr>
          <w:spacing w:val="-5"/>
        </w:rPr>
        <w:t> </w:t>
      </w:r>
      <w:r>
        <w:rPr>
          <w:spacing w:val="-2"/>
        </w:rPr>
        <w:t>Meeting</w:t>
      </w:r>
    </w:p>
    <w:p>
      <w:pPr>
        <w:pStyle w:val="BodyText"/>
        <w:spacing w:line="480" w:lineRule="auto" w:before="133"/>
        <w:ind w:right="239"/>
        <w:jc w:val="both"/>
      </w:pPr>
      <w:r>
        <w:rPr/>
        <w:t>It is clear that a company in and of itself cannot perform any acts: the law which recognizes the existence of the person of</w:t>
      </w:r>
      <w:r>
        <w:rPr>
          <w:spacing w:val="-2"/>
        </w:rPr>
        <w:t> </w:t>
      </w:r>
      <w:r>
        <w:rPr/>
        <w:t>the corporation also recognizes the imperative of requiring it to have </w:t>
      </w:r>
      <w:r>
        <w:rPr>
          <w:i/>
        </w:rPr>
        <w:t>organs </w:t>
      </w:r>
      <w:r>
        <w:rPr/>
        <w:t>through which it may manifest the purpose of its existence. The members on the one hand and the directors on the other, between them control the powers of the company as its organs. The two legislations under consideration approach this issue in slightly different ways.</w:t>
      </w:r>
    </w:p>
    <w:p>
      <w:pPr>
        <w:pStyle w:val="BodyText"/>
        <w:spacing w:line="480" w:lineRule="auto" w:before="1"/>
        <w:ind w:right="233" w:firstLine="720"/>
        <w:jc w:val="both"/>
      </w:pPr>
      <w:r>
        <w:rPr/>
        <w:t>S.63(1) of</w:t>
      </w:r>
      <w:r>
        <w:rPr>
          <w:spacing w:val="-3"/>
        </w:rPr>
        <w:t> </w:t>
      </w:r>
      <w:r>
        <w:rPr/>
        <w:t>the CAMA emphatically</w:t>
      </w:r>
      <w:r>
        <w:rPr>
          <w:spacing w:val="-1"/>
        </w:rPr>
        <w:t> </w:t>
      </w:r>
      <w:r>
        <w:rPr/>
        <w:t>states that ―a company shall act through its members in general meeting or its board of directors or through officers or agents, appointed by or under authority derived from the members in general meeting or the board of directors.‖ Ideally, the members here, meaning the shareholders, appoint a board of directors, which in turn sets the business objectives and directions for the company, while the day-to-day</w:t>
      </w:r>
      <w:r>
        <w:rPr>
          <w:spacing w:val="-6"/>
        </w:rPr>
        <w:t> </w:t>
      </w:r>
      <w:r>
        <w:rPr/>
        <w:t>operations are carried out by</w:t>
      </w:r>
      <w:r>
        <w:rPr>
          <w:spacing w:val="-6"/>
        </w:rPr>
        <w:t> </w:t>
      </w:r>
      <w:r>
        <w:rPr/>
        <w:t>the management led by</w:t>
      </w:r>
      <w:r>
        <w:rPr>
          <w:spacing w:val="-6"/>
        </w:rPr>
        <w:t> </w:t>
      </w:r>
      <w:r>
        <w:rPr/>
        <w:t>the chief executive officer. The board and management thereafter become accountable to</w:t>
      </w:r>
      <w:r>
        <w:rPr>
          <w:spacing w:val="40"/>
        </w:rPr>
        <w:t> </w:t>
      </w:r>
      <w:r>
        <w:rPr/>
        <w:t>the shareholders in the general meeting.</w:t>
      </w:r>
      <w:r>
        <w:rPr>
          <w:vertAlign w:val="superscript"/>
        </w:rPr>
        <w:t>96</w:t>
      </w:r>
    </w:p>
    <w:p>
      <w:pPr>
        <w:pStyle w:val="BodyText"/>
        <w:spacing w:line="480" w:lineRule="auto" w:before="1"/>
        <w:ind w:right="235" w:firstLine="720"/>
        <w:jc w:val="both"/>
      </w:pPr>
      <w:r>
        <w:rPr/>
        <w:t>S.63(2) follows to reveal that the aforesaid powers are to be determined by the articles,</w:t>
      </w:r>
      <w:r>
        <w:rPr>
          <w:spacing w:val="6"/>
        </w:rPr>
        <w:t> </w:t>
      </w:r>
      <w:r>
        <w:rPr/>
        <w:t>which</w:t>
      </w:r>
      <w:r>
        <w:rPr>
          <w:spacing w:val="9"/>
        </w:rPr>
        <w:t> </w:t>
      </w:r>
      <w:r>
        <w:rPr/>
        <w:t>is</w:t>
      </w:r>
      <w:r>
        <w:rPr>
          <w:spacing w:val="2"/>
        </w:rPr>
        <w:t> </w:t>
      </w:r>
      <w:r>
        <w:rPr/>
        <w:t>the</w:t>
      </w:r>
      <w:r>
        <w:rPr>
          <w:spacing w:val="11"/>
        </w:rPr>
        <w:t> </w:t>
      </w:r>
      <w:r>
        <w:rPr>
          <w:i/>
        </w:rPr>
        <w:t>constitution</w:t>
      </w:r>
      <w:r>
        <w:rPr>
          <w:i/>
          <w:spacing w:val="11"/>
        </w:rPr>
        <w:t> </w:t>
      </w:r>
      <w:r>
        <w:rPr/>
        <w:t>by</w:t>
      </w:r>
      <w:r>
        <w:rPr>
          <w:spacing w:val="-1"/>
        </w:rPr>
        <w:t> </w:t>
      </w:r>
      <w:r>
        <w:rPr/>
        <w:t>which</w:t>
      </w:r>
      <w:r>
        <w:rPr>
          <w:spacing w:val="4"/>
        </w:rPr>
        <w:t> </w:t>
      </w:r>
      <w:r>
        <w:rPr/>
        <w:t>the</w:t>
      </w:r>
      <w:r>
        <w:rPr>
          <w:spacing w:val="4"/>
        </w:rPr>
        <w:t> </w:t>
      </w:r>
      <w:r>
        <w:rPr/>
        <w:t>company</w:t>
      </w:r>
      <w:r>
        <w:rPr>
          <w:spacing w:val="4"/>
        </w:rPr>
        <w:t> </w:t>
      </w:r>
      <w:r>
        <w:rPr/>
        <w:t>is</w:t>
      </w:r>
      <w:r>
        <w:rPr>
          <w:spacing w:val="6"/>
        </w:rPr>
        <w:t> </w:t>
      </w:r>
      <w:r>
        <w:rPr/>
        <w:t>governed.</w:t>
      </w:r>
      <w:r>
        <w:rPr>
          <w:spacing w:val="7"/>
        </w:rPr>
        <w:t> </w:t>
      </w:r>
      <w:r>
        <w:rPr/>
        <w:t>The</w:t>
      </w:r>
      <w:r>
        <w:rPr>
          <w:spacing w:val="8"/>
        </w:rPr>
        <w:t> </w:t>
      </w:r>
      <w:r>
        <w:rPr/>
        <w:t>provisions</w:t>
      </w:r>
      <w:r>
        <w:rPr>
          <w:spacing w:val="2"/>
        </w:rPr>
        <w:t> </w:t>
      </w:r>
      <w:r>
        <w:rPr>
          <w:spacing w:val="-5"/>
        </w:rPr>
        <w:t>of</w:t>
      </w:r>
    </w:p>
    <w:p>
      <w:pPr>
        <w:pStyle w:val="BodyText"/>
        <w:spacing w:before="2"/>
        <w:ind w:left="0"/>
        <w:rPr>
          <w:sz w:val="6"/>
        </w:rPr>
      </w:pPr>
      <w:r>
        <w:rPr/>
        <mc:AlternateContent>
          <mc:Choice Requires="wps">
            <w:drawing>
              <wp:anchor distT="0" distB="0" distL="0" distR="0" allowOverlap="1" layoutInCell="1" locked="0" behindDoc="1" simplePos="0" relativeHeight="487631872">
                <wp:simplePos x="0" y="0"/>
                <wp:positionH relativeFrom="page">
                  <wp:posOffset>1262481</wp:posOffset>
                </wp:positionH>
                <wp:positionV relativeFrom="paragraph">
                  <wp:posOffset>60897</wp:posOffset>
                </wp:positionV>
                <wp:extent cx="1829435" cy="9525"/>
                <wp:effectExtent l="0" t="0" r="0" b="0"/>
                <wp:wrapTopAndBottom/>
                <wp:docPr id="96" name="Graphic 96"/>
                <wp:cNvGraphicFramePr>
                  <a:graphicFrameLocks/>
                </wp:cNvGraphicFramePr>
                <a:graphic>
                  <a:graphicData uri="http://schemas.microsoft.com/office/word/2010/wordprocessingShape">
                    <wps:wsp>
                      <wps:cNvPr id="96" name="Graphic 9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4.795108pt;width:144.050pt;height:.71997pt;mso-position-horizontal-relative:page;mso-position-vertical-relative:paragraph;z-index:-15684608;mso-wrap-distance-left:0;mso-wrap-distance-right:0" id="docshape51"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95</w:t>
      </w:r>
      <w:r>
        <w:rPr>
          <w:rFonts w:ascii="Calibri"/>
          <w:sz w:val="20"/>
          <w:vertAlign w:val="baseline"/>
        </w:rPr>
        <w:t>Birds,</w:t>
      </w:r>
      <w:r>
        <w:rPr>
          <w:rFonts w:ascii="Calibri"/>
          <w:spacing w:val="-3"/>
          <w:sz w:val="20"/>
          <w:vertAlign w:val="baseline"/>
        </w:rPr>
        <w:t> </w:t>
      </w:r>
      <w:r>
        <w:rPr>
          <w:rFonts w:ascii="Calibri"/>
          <w:sz w:val="20"/>
          <w:vertAlign w:val="baseline"/>
        </w:rPr>
        <w:t>J.</w:t>
      </w:r>
      <w:r>
        <w:rPr>
          <w:rFonts w:ascii="Calibri"/>
          <w:spacing w:val="-3"/>
          <w:sz w:val="20"/>
          <w:vertAlign w:val="baseline"/>
        </w:rPr>
        <w:t> </w:t>
      </w:r>
      <w:r>
        <w:rPr>
          <w:rFonts w:ascii="Calibri"/>
          <w:sz w:val="20"/>
          <w:vertAlign w:val="baseline"/>
        </w:rPr>
        <w:t>et</w:t>
      </w:r>
      <w:r>
        <w:rPr>
          <w:rFonts w:ascii="Calibri"/>
          <w:spacing w:val="-5"/>
          <w:sz w:val="20"/>
          <w:vertAlign w:val="baseline"/>
        </w:rPr>
        <w:t> </w:t>
      </w:r>
      <w:r>
        <w:rPr>
          <w:rFonts w:ascii="Calibri"/>
          <w:sz w:val="20"/>
          <w:vertAlign w:val="baseline"/>
        </w:rPr>
        <w:t>al.</w:t>
      </w:r>
      <w:r>
        <w:rPr>
          <w:rFonts w:ascii="Calibri"/>
          <w:spacing w:val="-3"/>
          <w:sz w:val="20"/>
          <w:vertAlign w:val="baseline"/>
        </w:rPr>
        <w:t> </w:t>
      </w:r>
      <w:r>
        <w:rPr>
          <w:rFonts w:ascii="Calibri"/>
          <w:sz w:val="20"/>
          <w:vertAlign w:val="baseline"/>
        </w:rPr>
        <w:t>op.cit.,</w:t>
      </w:r>
      <w:r>
        <w:rPr>
          <w:rFonts w:ascii="Calibri"/>
          <w:spacing w:val="-7"/>
          <w:sz w:val="20"/>
          <w:vertAlign w:val="baseline"/>
        </w:rPr>
        <w:t> </w:t>
      </w:r>
      <w:r>
        <w:rPr>
          <w:rFonts w:ascii="Calibri"/>
          <w:sz w:val="20"/>
          <w:vertAlign w:val="baseline"/>
        </w:rPr>
        <w:t>p. </w:t>
      </w:r>
      <w:r>
        <w:rPr>
          <w:rFonts w:ascii="Calibri"/>
          <w:spacing w:val="-4"/>
          <w:sz w:val="20"/>
          <w:vertAlign w:val="baseline"/>
        </w:rPr>
        <w:t>627.</w:t>
      </w:r>
    </w:p>
    <w:p>
      <w:pPr>
        <w:spacing w:before="1"/>
        <w:ind w:left="308" w:right="0" w:firstLine="0"/>
        <w:jc w:val="left"/>
        <w:rPr>
          <w:rFonts w:ascii="Calibri"/>
          <w:sz w:val="20"/>
        </w:rPr>
      </w:pPr>
      <w:r>
        <w:rPr>
          <w:rFonts w:ascii="Calibri"/>
          <w:sz w:val="20"/>
          <w:vertAlign w:val="superscript"/>
        </w:rPr>
        <w:t>96</w:t>
      </w:r>
      <w:r>
        <w:rPr>
          <w:rFonts w:ascii="Calibri"/>
          <w:sz w:val="20"/>
          <w:vertAlign w:val="baseline"/>
        </w:rPr>
        <w:t>Ogbuanya,</w:t>
      </w:r>
      <w:r>
        <w:rPr>
          <w:rFonts w:ascii="Calibri"/>
          <w:spacing w:val="-10"/>
          <w:sz w:val="20"/>
          <w:vertAlign w:val="baseline"/>
        </w:rPr>
        <w:t> </w:t>
      </w:r>
      <w:r>
        <w:rPr>
          <w:rFonts w:ascii="Calibri"/>
          <w:sz w:val="20"/>
          <w:vertAlign w:val="baseline"/>
        </w:rPr>
        <w:t>N.C.S.</w:t>
      </w:r>
      <w:r>
        <w:rPr>
          <w:rFonts w:ascii="Calibri"/>
          <w:spacing w:val="-1"/>
          <w:sz w:val="20"/>
          <w:vertAlign w:val="baseline"/>
        </w:rPr>
        <w:t> </w:t>
      </w:r>
      <w:r>
        <w:rPr>
          <w:rFonts w:ascii="Calibri"/>
          <w:sz w:val="20"/>
          <w:vertAlign w:val="baseline"/>
        </w:rPr>
        <w:t>op.cit.,</w:t>
      </w:r>
      <w:r>
        <w:rPr>
          <w:rFonts w:ascii="Calibri"/>
          <w:spacing w:val="-10"/>
          <w:sz w:val="20"/>
          <w:vertAlign w:val="baseline"/>
        </w:rPr>
        <w:t> </w:t>
      </w:r>
      <w:r>
        <w:rPr>
          <w:rFonts w:ascii="Calibri"/>
          <w:sz w:val="20"/>
          <w:vertAlign w:val="baseline"/>
        </w:rPr>
        <w:t>p.</w:t>
      </w:r>
      <w:r>
        <w:rPr>
          <w:rFonts w:ascii="Calibri"/>
          <w:spacing w:val="-3"/>
          <w:sz w:val="20"/>
          <w:vertAlign w:val="baseline"/>
        </w:rPr>
        <w:t> </w:t>
      </w:r>
      <w:r>
        <w:rPr>
          <w:rFonts w:ascii="Calibri"/>
          <w:spacing w:val="-4"/>
          <w:sz w:val="20"/>
          <w:vertAlign w:val="baseline"/>
        </w:rPr>
        <w:t>321.</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4"/>
        <w:jc w:val="both"/>
      </w:pPr>
      <w:r>
        <w:rPr/>
        <w:t>the CAMA on this point will only apply where the articles of a company are silent. Thus, the Act has carefully</w:t>
      </w:r>
      <w:r>
        <w:rPr>
          <w:spacing w:val="-1"/>
        </w:rPr>
        <w:t> </w:t>
      </w:r>
      <w:r>
        <w:rPr/>
        <w:t>refrained from</w:t>
      </w:r>
      <w:r>
        <w:rPr>
          <w:spacing w:val="-1"/>
        </w:rPr>
        <w:t> </w:t>
      </w:r>
      <w:r>
        <w:rPr/>
        <w:t>setting power boundaries for the two organs. In fact, any articles may grant a particular board overriding powers over members and vice versa. The idea is that, as articles are alterable by resolution,</w:t>
      </w:r>
      <w:r>
        <w:rPr>
          <w:vertAlign w:val="superscript"/>
        </w:rPr>
        <w:t>97</w:t>
      </w:r>
      <w:r>
        <w:rPr>
          <w:vertAlign w:val="baseline"/>
        </w:rPr>
        <w:t> members would always have the chance to change the power ratio,</w:t>
      </w:r>
      <w:r>
        <w:rPr>
          <w:vertAlign w:val="superscript"/>
        </w:rPr>
        <w:t>98</w:t>
      </w:r>
      <w:r>
        <w:rPr>
          <w:vertAlign w:val="baseline"/>
        </w:rPr>
        <w:t> should they be displeased with the directors‘ report or general performance. They may also refuse to re-elect erring directors or even remove them, outrightly. Perhaps, for this reason, the law has made it</w:t>
      </w:r>
    </w:p>
    <w:p>
      <w:pPr>
        <w:pStyle w:val="BodyText"/>
        <w:spacing w:line="480" w:lineRule="auto" w:before="1"/>
        <w:ind w:right="230"/>
        <w:jc w:val="both"/>
      </w:pPr>
      <w:r>
        <w:rPr/>
        <w:t>―easy business‖ to remove a director, by requiring simply an ordinary resolution.</w:t>
      </w:r>
      <w:r>
        <w:rPr>
          <w:vertAlign w:val="superscript"/>
        </w:rPr>
        <w:t>99</w:t>
      </w:r>
      <w:r>
        <w:rPr>
          <w:vertAlign w:val="baseline"/>
        </w:rPr>
        <w:t> Furthermore, the board may exercise any power which has not been specifically reservedby the articles or CAMA for the general meeting.</w:t>
      </w:r>
      <w:r>
        <w:rPr>
          <w:vertAlign w:val="superscript"/>
        </w:rPr>
        <w:t>100</w:t>
      </w:r>
    </w:p>
    <w:p>
      <w:pPr>
        <w:pStyle w:val="BodyText"/>
        <w:spacing w:line="480" w:lineRule="auto" w:before="1"/>
        <w:ind w:right="227" w:firstLine="720"/>
        <w:jc w:val="both"/>
      </w:pPr>
      <w:r>
        <w:rPr/>
        <w:t>Although the CAMA recognizes the ideal role of the board of directors in the management or administration of the company, to the extent of granting it residual powers of the company,</w:t>
      </w:r>
      <w:r>
        <w:rPr>
          <w:vertAlign w:val="superscript"/>
        </w:rPr>
        <w:t>101</w:t>
      </w:r>
      <w:r>
        <w:rPr>
          <w:vertAlign w:val="baseline"/>
        </w:rPr>
        <w:t> it does not thereby grant the board a free rein over every affair of</w:t>
      </w:r>
      <w:r>
        <w:rPr>
          <w:spacing w:val="-4"/>
          <w:vertAlign w:val="baseline"/>
        </w:rPr>
        <w:t> </w:t>
      </w:r>
      <w:r>
        <w:rPr>
          <w:vertAlign w:val="baseline"/>
        </w:rPr>
        <w:t>the company involving administration</w:t>
      </w:r>
      <w:r>
        <w:rPr>
          <w:spacing w:val="-1"/>
          <w:vertAlign w:val="baseline"/>
        </w:rPr>
        <w:t> </w:t>
      </w:r>
      <w:r>
        <w:rPr>
          <w:vertAlign w:val="baseline"/>
        </w:rPr>
        <w:t>and management. In</w:t>
      </w:r>
      <w:r>
        <w:rPr>
          <w:spacing w:val="-1"/>
          <w:vertAlign w:val="baseline"/>
        </w:rPr>
        <w:t> </w:t>
      </w:r>
      <w:r>
        <w:rPr>
          <w:vertAlign w:val="baseline"/>
        </w:rPr>
        <w:t>order to allow for a system of checks and balances in company management, s.63(5) allows the general meeting to:</w:t>
      </w:r>
    </w:p>
    <w:p>
      <w:pPr>
        <w:pStyle w:val="ListParagraph"/>
        <w:numPr>
          <w:ilvl w:val="0"/>
          <w:numId w:val="11"/>
        </w:numPr>
        <w:tabs>
          <w:tab w:pos="1028" w:val="left" w:leader="none"/>
        </w:tabs>
        <w:spacing w:line="276" w:lineRule="auto" w:before="1" w:after="0"/>
        <w:ind w:left="1028" w:right="231" w:hanging="360"/>
        <w:jc w:val="left"/>
        <w:rPr>
          <w:sz w:val="24"/>
        </w:rPr>
      </w:pPr>
      <w:r>
        <w:rPr>
          <w:sz w:val="24"/>
        </w:rPr>
        <w:t>Act in</w:t>
      </w:r>
      <w:r>
        <w:rPr>
          <w:spacing w:val="-1"/>
          <w:sz w:val="24"/>
        </w:rPr>
        <w:t> </w:t>
      </w:r>
      <w:r>
        <w:rPr>
          <w:sz w:val="24"/>
        </w:rPr>
        <w:t>any matter if</w:t>
      </w:r>
      <w:r>
        <w:rPr>
          <w:spacing w:val="-4"/>
          <w:sz w:val="24"/>
        </w:rPr>
        <w:t> </w:t>
      </w:r>
      <w:r>
        <w:rPr>
          <w:sz w:val="24"/>
        </w:rPr>
        <w:t>the members of</w:t>
      </w:r>
      <w:r>
        <w:rPr>
          <w:spacing w:val="-4"/>
          <w:sz w:val="24"/>
        </w:rPr>
        <w:t> </w:t>
      </w:r>
      <w:r>
        <w:rPr>
          <w:sz w:val="24"/>
        </w:rPr>
        <w:t>the board</w:t>
      </w:r>
      <w:r>
        <w:rPr>
          <w:spacing w:val="-1"/>
          <w:sz w:val="24"/>
        </w:rPr>
        <w:t> </w:t>
      </w:r>
      <w:r>
        <w:rPr>
          <w:sz w:val="24"/>
        </w:rPr>
        <w:t>of</w:t>
      </w:r>
      <w:r>
        <w:rPr>
          <w:spacing w:val="-4"/>
          <w:sz w:val="24"/>
        </w:rPr>
        <w:t> </w:t>
      </w:r>
      <w:r>
        <w:rPr>
          <w:sz w:val="24"/>
        </w:rPr>
        <w:t>directors are disqualified or are unable to act because of a deadlock on the board or otherwise;</w:t>
      </w:r>
    </w:p>
    <w:p>
      <w:pPr>
        <w:pStyle w:val="ListParagraph"/>
        <w:numPr>
          <w:ilvl w:val="0"/>
          <w:numId w:val="11"/>
        </w:numPr>
        <w:tabs>
          <w:tab w:pos="1026" w:val="left" w:leader="none"/>
          <w:tab w:pos="1028" w:val="left" w:leader="none"/>
        </w:tabs>
        <w:spacing w:line="280" w:lineRule="auto" w:before="0" w:after="0"/>
        <w:ind w:left="1028" w:right="246" w:hanging="360"/>
        <w:jc w:val="left"/>
        <w:rPr>
          <w:sz w:val="24"/>
        </w:rPr>
      </w:pPr>
      <w:r>
        <w:rPr>
          <w:sz w:val="24"/>
        </w:rPr>
        <w:t>Institute</w:t>
      </w:r>
      <w:r>
        <w:rPr>
          <w:spacing w:val="37"/>
          <w:sz w:val="24"/>
        </w:rPr>
        <w:t> </w:t>
      </w:r>
      <w:r>
        <w:rPr>
          <w:sz w:val="24"/>
        </w:rPr>
        <w:t>legal</w:t>
      </w:r>
      <w:r>
        <w:rPr>
          <w:spacing w:val="34"/>
          <w:sz w:val="24"/>
        </w:rPr>
        <w:t> </w:t>
      </w:r>
      <w:r>
        <w:rPr>
          <w:sz w:val="24"/>
        </w:rPr>
        <w:t>proceedings</w:t>
      </w:r>
      <w:r>
        <w:rPr>
          <w:spacing w:val="40"/>
          <w:sz w:val="24"/>
        </w:rPr>
        <w:t> </w:t>
      </w:r>
      <w:r>
        <w:rPr>
          <w:sz w:val="24"/>
        </w:rPr>
        <w:t>in</w:t>
      </w:r>
      <w:r>
        <w:rPr>
          <w:spacing w:val="37"/>
          <w:sz w:val="24"/>
        </w:rPr>
        <w:t> </w:t>
      </w:r>
      <w:r>
        <w:rPr>
          <w:sz w:val="24"/>
        </w:rPr>
        <w:t>the</w:t>
      </w:r>
      <w:r>
        <w:rPr>
          <w:spacing w:val="40"/>
          <w:sz w:val="24"/>
        </w:rPr>
        <w:t> </w:t>
      </w:r>
      <w:r>
        <w:rPr>
          <w:sz w:val="24"/>
        </w:rPr>
        <w:t>name</w:t>
      </w:r>
      <w:r>
        <w:rPr>
          <w:spacing w:val="37"/>
          <w:sz w:val="24"/>
        </w:rPr>
        <w:t> </w:t>
      </w:r>
      <w:r>
        <w:rPr>
          <w:sz w:val="24"/>
        </w:rPr>
        <w:t>and</w:t>
      </w:r>
      <w:r>
        <w:rPr>
          <w:spacing w:val="37"/>
          <w:sz w:val="24"/>
        </w:rPr>
        <w:t> </w:t>
      </w:r>
      <w:r>
        <w:rPr>
          <w:sz w:val="24"/>
        </w:rPr>
        <w:t>on</w:t>
      </w:r>
      <w:r>
        <w:rPr>
          <w:spacing w:val="37"/>
          <w:sz w:val="24"/>
        </w:rPr>
        <w:t> </w:t>
      </w:r>
      <w:r>
        <w:rPr>
          <w:sz w:val="24"/>
        </w:rPr>
        <w:t>behalf</w:t>
      </w:r>
      <w:r>
        <w:rPr>
          <w:spacing w:val="35"/>
          <w:sz w:val="24"/>
        </w:rPr>
        <w:t> </w:t>
      </w:r>
      <w:r>
        <w:rPr>
          <w:sz w:val="24"/>
        </w:rPr>
        <w:t>of</w:t>
      </w:r>
      <w:r>
        <w:rPr>
          <w:spacing w:val="30"/>
          <w:sz w:val="24"/>
        </w:rPr>
        <w:t> </w:t>
      </w:r>
      <w:r>
        <w:rPr>
          <w:sz w:val="24"/>
        </w:rPr>
        <w:t>the</w:t>
      </w:r>
      <w:r>
        <w:rPr>
          <w:spacing w:val="37"/>
          <w:sz w:val="24"/>
        </w:rPr>
        <w:t> </w:t>
      </w:r>
      <w:r>
        <w:rPr>
          <w:sz w:val="24"/>
        </w:rPr>
        <w:t>company,</w:t>
      </w:r>
      <w:r>
        <w:rPr>
          <w:spacing w:val="40"/>
          <w:sz w:val="24"/>
        </w:rPr>
        <w:t> </w:t>
      </w:r>
      <w:r>
        <w:rPr>
          <w:sz w:val="24"/>
        </w:rPr>
        <w:t>if</w:t>
      </w:r>
      <w:r>
        <w:rPr>
          <w:spacing w:val="35"/>
          <w:sz w:val="24"/>
        </w:rPr>
        <w:t> </w:t>
      </w:r>
      <w:r>
        <w:rPr>
          <w:sz w:val="24"/>
        </w:rPr>
        <w:t>the board of directors refuse or neglect to do so;</w:t>
      </w:r>
    </w:p>
    <w:p>
      <w:pPr>
        <w:pStyle w:val="ListParagraph"/>
        <w:numPr>
          <w:ilvl w:val="0"/>
          <w:numId w:val="11"/>
        </w:numPr>
        <w:tabs>
          <w:tab w:pos="1027" w:val="left" w:leader="none"/>
        </w:tabs>
        <w:spacing w:line="269" w:lineRule="exact" w:before="0" w:after="0"/>
        <w:ind w:left="1027" w:right="0" w:hanging="359"/>
        <w:jc w:val="left"/>
        <w:rPr>
          <w:sz w:val="24"/>
        </w:rPr>
      </w:pPr>
      <w:r>
        <w:rPr>
          <w:sz w:val="24"/>
        </w:rPr>
        <w:t>Ratify</w:t>
      </w:r>
      <w:r>
        <w:rPr>
          <w:spacing w:val="-10"/>
          <w:sz w:val="24"/>
        </w:rPr>
        <w:t> </w:t>
      </w:r>
      <w:r>
        <w:rPr>
          <w:sz w:val="24"/>
        </w:rPr>
        <w:t>or</w:t>
      </w:r>
      <w:r>
        <w:rPr>
          <w:spacing w:val="4"/>
          <w:sz w:val="24"/>
        </w:rPr>
        <w:t> </w:t>
      </w:r>
      <w:r>
        <w:rPr>
          <w:sz w:val="24"/>
        </w:rPr>
        <w:t>confirm</w:t>
      </w:r>
      <w:r>
        <w:rPr>
          <w:spacing w:val="-2"/>
          <w:sz w:val="24"/>
        </w:rPr>
        <w:t> </w:t>
      </w:r>
      <w:r>
        <w:rPr>
          <w:sz w:val="24"/>
        </w:rPr>
        <w:t>any</w:t>
      </w:r>
      <w:r>
        <w:rPr>
          <w:spacing w:val="-8"/>
          <w:sz w:val="24"/>
        </w:rPr>
        <w:t> </w:t>
      </w:r>
      <w:r>
        <w:rPr>
          <w:sz w:val="24"/>
        </w:rPr>
        <w:t>action</w:t>
      </w:r>
      <w:r>
        <w:rPr>
          <w:spacing w:val="-2"/>
          <w:sz w:val="24"/>
        </w:rPr>
        <w:t> </w:t>
      </w:r>
      <w:r>
        <w:rPr>
          <w:sz w:val="24"/>
        </w:rPr>
        <w:t>taken</w:t>
      </w:r>
      <w:r>
        <w:rPr>
          <w:spacing w:val="-2"/>
          <w:sz w:val="24"/>
        </w:rPr>
        <w:t> </w:t>
      </w:r>
      <w:r>
        <w:rPr>
          <w:sz w:val="24"/>
        </w:rPr>
        <w:t>by</w:t>
      </w:r>
      <w:r>
        <w:rPr>
          <w:spacing w:val="-2"/>
          <w:sz w:val="24"/>
        </w:rPr>
        <w:t> </w:t>
      </w:r>
      <w:r>
        <w:rPr>
          <w:sz w:val="24"/>
        </w:rPr>
        <w:t>the</w:t>
      </w:r>
      <w:r>
        <w:rPr>
          <w:spacing w:val="1"/>
          <w:sz w:val="24"/>
        </w:rPr>
        <w:t> </w:t>
      </w:r>
      <w:r>
        <w:rPr>
          <w:sz w:val="24"/>
        </w:rPr>
        <w:t>board</w:t>
      </w:r>
      <w:r>
        <w:rPr>
          <w:spacing w:val="3"/>
          <w:sz w:val="24"/>
        </w:rPr>
        <w:t> </w:t>
      </w:r>
      <w:r>
        <w:rPr>
          <w:sz w:val="24"/>
        </w:rPr>
        <w:t>of</w:t>
      </w:r>
      <w:r>
        <w:rPr>
          <w:spacing w:val="-5"/>
          <w:sz w:val="24"/>
        </w:rPr>
        <w:t> </w:t>
      </w:r>
      <w:r>
        <w:rPr>
          <w:sz w:val="24"/>
        </w:rPr>
        <w:t>directors;</w:t>
      </w:r>
      <w:r>
        <w:rPr>
          <w:spacing w:val="-2"/>
          <w:sz w:val="24"/>
        </w:rPr>
        <w:t> </w:t>
      </w:r>
      <w:r>
        <w:rPr>
          <w:spacing w:val="-5"/>
          <w:sz w:val="24"/>
        </w:rPr>
        <w:t>or</w:t>
      </w:r>
    </w:p>
    <w:p>
      <w:pPr>
        <w:pStyle w:val="ListParagraph"/>
        <w:numPr>
          <w:ilvl w:val="0"/>
          <w:numId w:val="11"/>
        </w:numPr>
        <w:tabs>
          <w:tab w:pos="1028" w:val="left" w:leader="none"/>
        </w:tabs>
        <w:spacing w:line="276" w:lineRule="auto" w:before="40" w:after="0"/>
        <w:ind w:left="1028" w:right="237" w:hanging="360"/>
        <w:jc w:val="left"/>
        <w:rPr>
          <w:sz w:val="24"/>
        </w:rPr>
      </w:pPr>
      <w:r>
        <w:rPr>
          <w:sz w:val="24"/>
        </w:rPr>
        <w:t>Make recommendations to the board</w:t>
      </w:r>
      <w:r>
        <w:rPr>
          <w:spacing w:val="-1"/>
          <w:sz w:val="24"/>
        </w:rPr>
        <w:t> </w:t>
      </w:r>
      <w:r>
        <w:rPr>
          <w:sz w:val="24"/>
        </w:rPr>
        <w:t>of</w:t>
      </w:r>
      <w:r>
        <w:rPr>
          <w:spacing w:val="-4"/>
          <w:sz w:val="24"/>
        </w:rPr>
        <w:t> </w:t>
      </w:r>
      <w:r>
        <w:rPr>
          <w:sz w:val="24"/>
        </w:rPr>
        <w:t>directors regarding action</w:t>
      </w:r>
      <w:r>
        <w:rPr>
          <w:spacing w:val="-1"/>
          <w:sz w:val="24"/>
        </w:rPr>
        <w:t> </w:t>
      </w:r>
      <w:r>
        <w:rPr>
          <w:sz w:val="24"/>
        </w:rPr>
        <w:t>to be taken</w:t>
      </w:r>
      <w:r>
        <w:rPr>
          <w:spacing w:val="-1"/>
          <w:sz w:val="24"/>
        </w:rPr>
        <w:t> </w:t>
      </w:r>
      <w:r>
        <w:rPr>
          <w:sz w:val="24"/>
        </w:rPr>
        <w:t>by the board.</w:t>
      </w:r>
    </w:p>
    <w:p>
      <w:pPr>
        <w:pStyle w:val="BodyText"/>
        <w:spacing w:line="550" w:lineRule="atLeast" w:before="42"/>
      </w:pPr>
      <w:r>
        <w:rPr/>
        <w:t>This provision is effective whether or not provided for in</w:t>
      </w:r>
      <w:r>
        <w:rPr>
          <w:spacing w:val="-1"/>
        </w:rPr>
        <w:t> </w:t>
      </w:r>
      <w:r>
        <w:rPr/>
        <w:t>the articles. That is to say, the articles</w:t>
      </w:r>
      <w:r>
        <w:rPr>
          <w:spacing w:val="61"/>
        </w:rPr>
        <w:t> </w:t>
      </w:r>
      <w:r>
        <w:rPr/>
        <w:t>cannot</w:t>
      </w:r>
      <w:r>
        <w:rPr>
          <w:spacing w:val="71"/>
        </w:rPr>
        <w:t> </w:t>
      </w:r>
      <w:r>
        <w:rPr/>
        <w:t>purport</w:t>
      </w:r>
      <w:r>
        <w:rPr>
          <w:spacing w:val="65"/>
        </w:rPr>
        <w:t> </w:t>
      </w:r>
      <w:r>
        <w:rPr/>
        <w:t>to</w:t>
      </w:r>
      <w:r>
        <w:rPr>
          <w:spacing w:val="66"/>
        </w:rPr>
        <w:t> </w:t>
      </w:r>
      <w:r>
        <w:rPr/>
        <w:t>deny</w:t>
      </w:r>
      <w:r>
        <w:rPr>
          <w:spacing w:val="61"/>
        </w:rPr>
        <w:t> </w:t>
      </w:r>
      <w:r>
        <w:rPr/>
        <w:t>the</w:t>
      </w:r>
      <w:r>
        <w:rPr>
          <w:spacing w:val="69"/>
        </w:rPr>
        <w:t> </w:t>
      </w:r>
      <w:r>
        <w:rPr/>
        <w:t>members</w:t>
      </w:r>
      <w:r>
        <w:rPr>
          <w:spacing w:val="69"/>
        </w:rPr>
        <w:t> </w:t>
      </w:r>
      <w:r>
        <w:rPr/>
        <w:t>in</w:t>
      </w:r>
      <w:r>
        <w:rPr>
          <w:spacing w:val="61"/>
        </w:rPr>
        <w:t> </w:t>
      </w:r>
      <w:r>
        <w:rPr/>
        <w:t>a</w:t>
      </w:r>
      <w:r>
        <w:rPr>
          <w:spacing w:val="64"/>
        </w:rPr>
        <w:t> </w:t>
      </w:r>
      <w:r>
        <w:rPr/>
        <w:t>general</w:t>
      </w:r>
      <w:r>
        <w:rPr>
          <w:spacing w:val="62"/>
        </w:rPr>
        <w:t> </w:t>
      </w:r>
      <w:r>
        <w:rPr/>
        <w:t>meeting</w:t>
      </w:r>
      <w:r>
        <w:rPr>
          <w:spacing w:val="66"/>
        </w:rPr>
        <w:t> </w:t>
      </w:r>
      <w:r>
        <w:rPr/>
        <w:t>these</w:t>
      </w:r>
      <w:r>
        <w:rPr>
          <w:spacing w:val="65"/>
        </w:rPr>
        <w:t> </w:t>
      </w:r>
      <w:r>
        <w:rPr>
          <w:spacing w:val="-2"/>
        </w:rPr>
        <w:t>statutory</w:t>
      </w:r>
    </w:p>
    <w:p>
      <w:pPr>
        <w:pStyle w:val="BodyText"/>
        <w:spacing w:before="9"/>
        <w:ind w:left="0"/>
        <w:rPr>
          <w:sz w:val="17"/>
        </w:rPr>
      </w:pPr>
      <w:r>
        <w:rPr/>
        <mc:AlternateContent>
          <mc:Choice Requires="wps">
            <w:drawing>
              <wp:anchor distT="0" distB="0" distL="0" distR="0" allowOverlap="1" layoutInCell="1" locked="0" behindDoc="1" simplePos="0" relativeHeight="487632384">
                <wp:simplePos x="0" y="0"/>
                <wp:positionH relativeFrom="page">
                  <wp:posOffset>1262481</wp:posOffset>
                </wp:positionH>
                <wp:positionV relativeFrom="paragraph">
                  <wp:posOffset>145340</wp:posOffset>
                </wp:positionV>
                <wp:extent cx="1829435" cy="9525"/>
                <wp:effectExtent l="0" t="0" r="0" b="0"/>
                <wp:wrapTopAndBottom/>
                <wp:docPr id="97" name="Graphic 97"/>
                <wp:cNvGraphicFramePr>
                  <a:graphicFrameLocks/>
                </wp:cNvGraphicFramePr>
                <a:graphic>
                  <a:graphicData uri="http://schemas.microsoft.com/office/word/2010/wordprocessingShape">
                    <wps:wsp>
                      <wps:cNvPr id="97" name="Graphic 9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444095pt;width:144.050pt;height:.71997pt;mso-position-horizontal-relative:page;mso-position-vertical-relative:paragraph;z-index:-15684096;mso-wrap-distance-left:0;mso-wrap-distance-right:0" id="docshape5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97</w:t>
      </w:r>
      <w:r>
        <w:rPr>
          <w:rFonts w:ascii="Calibri"/>
          <w:spacing w:val="2"/>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s.</w:t>
      </w:r>
      <w:r>
        <w:rPr>
          <w:rFonts w:ascii="Calibri"/>
          <w:spacing w:val="2"/>
          <w:sz w:val="20"/>
          <w:vertAlign w:val="baseline"/>
        </w:rPr>
        <w:t> </w:t>
      </w:r>
      <w:r>
        <w:rPr>
          <w:rFonts w:ascii="Calibri"/>
          <w:sz w:val="20"/>
          <w:vertAlign w:val="baseline"/>
        </w:rPr>
        <w:t>48</w:t>
      </w:r>
      <w:r>
        <w:rPr>
          <w:rFonts w:ascii="Calibri"/>
          <w:spacing w:val="-5"/>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5"/>
          <w:sz w:val="20"/>
          <w:vertAlign w:val="baseline"/>
        </w:rPr>
        <w:t> </w:t>
      </w:r>
      <w:r>
        <w:rPr>
          <w:rFonts w:ascii="Calibri"/>
          <w:spacing w:val="-4"/>
          <w:sz w:val="20"/>
          <w:vertAlign w:val="baseline"/>
        </w:rPr>
        <w:t>CAMA.</w:t>
      </w:r>
    </w:p>
    <w:p>
      <w:pPr>
        <w:spacing w:before="1"/>
        <w:ind w:left="308" w:right="0" w:firstLine="0"/>
        <w:jc w:val="left"/>
        <w:rPr>
          <w:rFonts w:ascii="Calibri"/>
          <w:sz w:val="20"/>
        </w:rPr>
      </w:pPr>
      <w:r>
        <w:rPr>
          <w:rFonts w:ascii="Calibri"/>
          <w:sz w:val="20"/>
          <w:vertAlign w:val="superscript"/>
        </w:rPr>
        <w:t>98</w:t>
      </w:r>
      <w:r>
        <w:rPr>
          <w:rFonts w:ascii="Calibri"/>
          <w:sz w:val="20"/>
          <w:vertAlign w:val="baseline"/>
        </w:rPr>
        <w:t>But</w:t>
      </w:r>
      <w:r>
        <w:rPr>
          <w:rFonts w:ascii="Calibri"/>
          <w:spacing w:val="-4"/>
          <w:sz w:val="20"/>
          <w:vertAlign w:val="baseline"/>
        </w:rPr>
        <w:t> </w:t>
      </w:r>
      <w:r>
        <w:rPr>
          <w:rFonts w:ascii="Calibri"/>
          <w:sz w:val="20"/>
          <w:vertAlign w:val="baseline"/>
        </w:rPr>
        <w:t>not</w:t>
      </w:r>
      <w:r>
        <w:rPr>
          <w:rFonts w:ascii="Calibri"/>
          <w:spacing w:val="-8"/>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thereby</w:t>
      </w:r>
      <w:r>
        <w:rPr>
          <w:rFonts w:ascii="Calibri"/>
          <w:spacing w:val="-8"/>
          <w:sz w:val="20"/>
          <w:vertAlign w:val="baseline"/>
        </w:rPr>
        <w:t> </w:t>
      </w:r>
      <w:r>
        <w:rPr>
          <w:rFonts w:ascii="Calibri"/>
          <w:sz w:val="20"/>
          <w:vertAlign w:val="baseline"/>
        </w:rPr>
        <w:t>invalidate</w:t>
      </w:r>
      <w:r>
        <w:rPr>
          <w:rFonts w:ascii="Calibri"/>
          <w:spacing w:val="-2"/>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previous</w:t>
      </w:r>
      <w:r>
        <w:rPr>
          <w:rFonts w:ascii="Calibri"/>
          <w:spacing w:val="-5"/>
          <w:sz w:val="20"/>
          <w:vertAlign w:val="baseline"/>
        </w:rPr>
        <w:t> </w:t>
      </w:r>
      <w:r>
        <w:rPr>
          <w:rFonts w:ascii="Calibri"/>
          <w:sz w:val="20"/>
          <w:vertAlign w:val="baseline"/>
        </w:rPr>
        <w:t>acts</w:t>
      </w:r>
      <w:r>
        <w:rPr>
          <w:rFonts w:ascii="Calibri"/>
          <w:spacing w:val="-4"/>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directors.</w:t>
      </w:r>
      <w:r>
        <w:rPr>
          <w:rFonts w:ascii="Calibri"/>
          <w:spacing w:val="-6"/>
          <w:sz w:val="20"/>
          <w:vertAlign w:val="baseline"/>
        </w:rPr>
        <w:t> </w:t>
      </w:r>
      <w:r>
        <w:rPr>
          <w:rFonts w:ascii="Calibri"/>
          <w:sz w:val="20"/>
          <w:vertAlign w:val="baseline"/>
        </w:rPr>
        <w:t>Refer</w:t>
      </w:r>
      <w:r>
        <w:rPr>
          <w:rFonts w:ascii="Calibri"/>
          <w:spacing w:val="-6"/>
          <w:sz w:val="20"/>
          <w:vertAlign w:val="baseline"/>
        </w:rPr>
        <w:t> </w:t>
      </w:r>
      <w:r>
        <w:rPr>
          <w:rFonts w:ascii="Calibri"/>
          <w:sz w:val="20"/>
          <w:vertAlign w:val="baseline"/>
        </w:rPr>
        <w:t>to</w:t>
      </w:r>
      <w:r>
        <w:rPr>
          <w:rFonts w:ascii="Calibri"/>
          <w:spacing w:val="2"/>
          <w:sz w:val="20"/>
          <w:vertAlign w:val="baseline"/>
        </w:rPr>
        <w:t> </w:t>
      </w:r>
      <w:r>
        <w:rPr>
          <w:rFonts w:ascii="Calibri"/>
          <w:sz w:val="20"/>
          <w:vertAlign w:val="baseline"/>
        </w:rPr>
        <w:t>s.</w:t>
      </w:r>
      <w:r>
        <w:rPr>
          <w:rFonts w:ascii="Calibri"/>
          <w:spacing w:val="-5"/>
          <w:sz w:val="20"/>
          <w:vertAlign w:val="baseline"/>
        </w:rPr>
        <w:t> </w:t>
      </w:r>
      <w:r>
        <w:rPr>
          <w:rFonts w:ascii="Calibri"/>
          <w:sz w:val="20"/>
          <w:vertAlign w:val="baseline"/>
        </w:rPr>
        <w:t>63(6)</w:t>
      </w:r>
      <w:r>
        <w:rPr>
          <w:rFonts w:ascii="Calibri"/>
          <w:spacing w:val="-6"/>
          <w:sz w:val="20"/>
          <w:vertAlign w:val="baseline"/>
        </w:rPr>
        <w:t> </w:t>
      </w:r>
      <w:r>
        <w:rPr>
          <w:rFonts w:ascii="Calibri"/>
          <w:spacing w:val="-2"/>
          <w:sz w:val="20"/>
          <w:vertAlign w:val="baseline"/>
        </w:rPr>
        <w:t>CAMA.</w:t>
      </w:r>
    </w:p>
    <w:p>
      <w:pPr>
        <w:spacing w:before="1"/>
        <w:ind w:left="308" w:right="0" w:firstLine="0"/>
        <w:jc w:val="left"/>
        <w:rPr>
          <w:rFonts w:ascii="Calibri"/>
          <w:sz w:val="20"/>
        </w:rPr>
      </w:pPr>
      <w:r>
        <w:rPr>
          <w:rFonts w:ascii="Calibri"/>
          <w:sz w:val="20"/>
          <w:vertAlign w:val="superscript"/>
        </w:rPr>
        <w:t>99</w:t>
      </w:r>
      <w:r>
        <w:rPr>
          <w:rFonts w:ascii="Calibri"/>
          <w:sz w:val="20"/>
          <w:vertAlign w:val="baseline"/>
        </w:rPr>
        <w:t> 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262</w:t>
      </w:r>
      <w:r>
        <w:rPr>
          <w:rFonts w:ascii="Calibri"/>
          <w:spacing w:val="-7"/>
          <w:sz w:val="20"/>
          <w:vertAlign w:val="baseline"/>
        </w:rPr>
        <w:t> </w:t>
      </w:r>
      <w:r>
        <w:rPr>
          <w:rFonts w:ascii="Calibri"/>
          <w:sz w:val="20"/>
          <w:vertAlign w:val="baseline"/>
        </w:rPr>
        <w:t>of the</w:t>
      </w:r>
      <w:r>
        <w:rPr>
          <w:rFonts w:ascii="Calibri"/>
          <w:spacing w:val="-1"/>
          <w:sz w:val="20"/>
          <w:vertAlign w:val="baseline"/>
        </w:rPr>
        <w:t> </w:t>
      </w:r>
      <w:r>
        <w:rPr>
          <w:rFonts w:ascii="Calibri"/>
          <w:spacing w:val="-4"/>
          <w:sz w:val="20"/>
          <w:vertAlign w:val="baseline"/>
        </w:rPr>
        <w:t>CAMA.</w:t>
      </w:r>
    </w:p>
    <w:p>
      <w:pPr>
        <w:spacing w:before="1"/>
        <w:ind w:left="308" w:right="0" w:firstLine="0"/>
        <w:jc w:val="left"/>
        <w:rPr>
          <w:rFonts w:ascii="Calibri"/>
          <w:sz w:val="20"/>
        </w:rPr>
      </w:pPr>
      <w:r>
        <w:rPr>
          <w:rFonts w:ascii="Calibri"/>
          <w:sz w:val="20"/>
          <w:vertAlign w:val="superscript"/>
        </w:rPr>
        <w:t>100</w:t>
      </w:r>
      <w:r>
        <w:rPr>
          <w:rFonts w:ascii="Calibri"/>
          <w:sz w:val="20"/>
          <w:vertAlign w:val="baseline"/>
        </w:rPr>
        <w:t>Refer</w:t>
      </w:r>
      <w:r>
        <w:rPr>
          <w:rFonts w:ascii="Calibri"/>
          <w:spacing w:val="1"/>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63(3)</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5"/>
          <w:sz w:val="20"/>
          <w:vertAlign w:val="baseline"/>
        </w:rPr>
        <w:t> </w:t>
      </w:r>
      <w:r>
        <w:rPr>
          <w:rFonts w:ascii="Calibri"/>
          <w:spacing w:val="-4"/>
          <w:sz w:val="20"/>
          <w:vertAlign w:val="baseline"/>
        </w:rPr>
        <w:t>CAMA.</w:t>
      </w:r>
    </w:p>
    <w:p>
      <w:pPr>
        <w:spacing w:before="0"/>
        <w:ind w:left="308" w:right="255" w:firstLine="0"/>
        <w:jc w:val="left"/>
        <w:rPr>
          <w:rFonts w:ascii="Calibri"/>
          <w:sz w:val="20"/>
        </w:rPr>
      </w:pPr>
      <w:r>
        <w:rPr>
          <w:rFonts w:ascii="Calibri"/>
          <w:sz w:val="20"/>
          <w:vertAlign w:val="superscript"/>
        </w:rPr>
        <w:t>101</w:t>
      </w:r>
      <w:r>
        <w:rPr>
          <w:rFonts w:ascii="Calibri"/>
          <w:sz w:val="20"/>
          <w:vertAlign w:val="baseline"/>
        </w:rPr>
        <w:t> Refer to s. 63(3) of the CAMA. It has been suggested that this flows from the doctrine of necessity.</w:t>
      </w:r>
      <w:r>
        <w:rPr>
          <w:rFonts w:ascii="Calibri"/>
          <w:spacing w:val="40"/>
          <w:sz w:val="20"/>
          <w:vertAlign w:val="baseline"/>
        </w:rPr>
        <w:t> </w:t>
      </w:r>
      <w:r>
        <w:rPr>
          <w:rFonts w:ascii="Calibri"/>
          <w:sz w:val="20"/>
          <w:vertAlign w:val="baseline"/>
        </w:rPr>
        <w:t>See Emiola, A. (2008).</w:t>
      </w:r>
      <w:r>
        <w:rPr>
          <w:rFonts w:ascii="Calibri"/>
          <w:i/>
          <w:sz w:val="20"/>
          <w:vertAlign w:val="baseline"/>
        </w:rPr>
        <w:t>Nigerian Company Law.</w:t>
      </w:r>
      <w:r>
        <w:rPr>
          <w:rFonts w:ascii="Calibri"/>
          <w:sz w:val="20"/>
          <w:vertAlign w:val="baseline"/>
        </w:rPr>
        <w:t>2nd edition, Emiola Publishers Ltd. Ogbomosho, p. 336.</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7"/>
        <w:jc w:val="both"/>
      </w:pPr>
      <w:r>
        <w:rPr/>
        <w:t>rights.However, barring the four instances stated above or an alteration of the power ratio in the articles, the general meeting cannot direct the board to do or refrain from doing a particular act. From</w:t>
      </w:r>
      <w:r>
        <w:rPr>
          <w:spacing w:val="-1"/>
        </w:rPr>
        <w:t> </w:t>
      </w:r>
      <w:r>
        <w:rPr/>
        <w:t>the above, therefore, the board‘s powers under the CAMA are derived from (a) the Act, (b) the articles and, (c) residual powers.</w:t>
      </w:r>
    </w:p>
    <w:p>
      <w:pPr>
        <w:pStyle w:val="BodyText"/>
        <w:spacing w:line="480" w:lineRule="auto"/>
        <w:ind w:right="227" w:firstLine="720"/>
        <w:jc w:val="both"/>
      </w:pPr>
      <w:r>
        <w:rPr/>
        <w:t>A third organ of the company is often recognized in the office of the managing director,</w:t>
      </w:r>
      <w:r>
        <w:rPr>
          <w:vertAlign w:val="superscript"/>
        </w:rPr>
        <w:t>102</w:t>
      </w:r>
      <w:r>
        <w:rPr>
          <w:vertAlign w:val="baseline"/>
        </w:rPr>
        <w:t> sometimes called the ―chief executive officer‖ or CEO. Although the latter is an appointee of the board of directors, it</w:t>
      </w:r>
      <w:r>
        <w:rPr>
          <w:spacing w:val="30"/>
          <w:vertAlign w:val="baseline"/>
        </w:rPr>
        <w:t> </w:t>
      </w:r>
      <w:r>
        <w:rPr>
          <w:vertAlign w:val="baseline"/>
        </w:rPr>
        <w:t>is</w:t>
      </w:r>
      <w:r>
        <w:rPr>
          <w:spacing w:val="23"/>
          <w:vertAlign w:val="baseline"/>
        </w:rPr>
        <w:t> </w:t>
      </w:r>
      <w:r>
        <w:rPr>
          <w:vertAlign w:val="baseline"/>
        </w:rPr>
        <w:t>in</w:t>
      </w:r>
      <w:r>
        <w:rPr>
          <w:spacing w:val="25"/>
          <w:vertAlign w:val="baseline"/>
        </w:rPr>
        <w:t> </w:t>
      </w:r>
      <w:r>
        <w:rPr>
          <w:vertAlign w:val="baseline"/>
        </w:rPr>
        <w:t>him that the real executive powers of the company are vested in modern times.</w:t>
      </w:r>
      <w:r>
        <w:rPr>
          <w:vertAlign w:val="superscript"/>
        </w:rPr>
        <w:t>103</w:t>
      </w:r>
      <w:r>
        <w:rPr>
          <w:vertAlign w:val="baseline"/>
        </w:rPr>
        <w:t> The role of the CEO was further explained by the court in </w:t>
      </w:r>
      <w:r>
        <w:rPr>
          <w:b/>
          <w:vertAlign w:val="baseline"/>
        </w:rPr>
        <w:t>Virgin Tech Ltd. vs. Mohammed &amp; Bank PHB</w:t>
      </w:r>
      <w:r>
        <w:rPr>
          <w:vertAlign w:val="baseline"/>
        </w:rPr>
        <w:t>.</w:t>
      </w:r>
      <w:r>
        <w:rPr>
          <w:vertAlign w:val="superscript"/>
        </w:rPr>
        <w:t>104</w:t>
      </w:r>
      <w:r>
        <w:rPr>
          <w:vertAlign w:val="baseline"/>
        </w:rPr>
        <w:t> In that case, the respondent, who was a director and co-signatory to the Appellant‘s bank account,</w:t>
      </w:r>
      <w:r>
        <w:rPr>
          <w:spacing w:val="40"/>
          <w:vertAlign w:val="baseline"/>
        </w:rPr>
        <w:t> </w:t>
      </w:r>
      <w:r>
        <w:rPr>
          <w:vertAlign w:val="baseline"/>
        </w:rPr>
        <w:t>caused the transfer of the sum of N199,660,000.00 (one hundred and ninety-nine million, six hundred and sixty</w:t>
      </w:r>
      <w:r>
        <w:rPr>
          <w:spacing w:val="-1"/>
          <w:vertAlign w:val="baseline"/>
        </w:rPr>
        <w:t> </w:t>
      </w:r>
      <w:r>
        <w:rPr>
          <w:vertAlign w:val="baseline"/>
        </w:rPr>
        <w:t>thousand naira), from</w:t>
      </w:r>
      <w:r>
        <w:rPr>
          <w:spacing w:val="-1"/>
          <w:vertAlign w:val="baseline"/>
        </w:rPr>
        <w:t> </w:t>
      </w:r>
      <w:r>
        <w:rPr>
          <w:vertAlign w:val="baseline"/>
        </w:rPr>
        <w:t>the latter‘s account to her personal account with the second respondent. When attempts at persuading her to return the money failed, the CEO then instituted an action in the name of</w:t>
      </w:r>
      <w:r>
        <w:rPr>
          <w:spacing w:val="-2"/>
          <w:vertAlign w:val="baseline"/>
        </w:rPr>
        <w:t> </w:t>
      </w:r>
      <w:r>
        <w:rPr>
          <w:vertAlign w:val="baseline"/>
        </w:rPr>
        <w:t>the company against the respondents. The first respondent raised the issue whether the CEO had locus to do so. Ruling on the authority of the CEO to act on behalf of the company, the court, per Dongban-Mensen J.C.A. observed that</w:t>
      </w:r>
    </w:p>
    <w:p>
      <w:pPr>
        <w:spacing w:line="240" w:lineRule="auto" w:before="3"/>
        <w:ind w:left="2007" w:right="2220" w:firstLine="0"/>
        <w:jc w:val="both"/>
        <w:rPr>
          <w:i/>
          <w:sz w:val="24"/>
        </w:rPr>
      </w:pPr>
      <w:r>
        <w:rPr>
          <w:i/>
          <w:sz w:val="24"/>
        </w:rPr>
        <w:t>the CEO of a company has a responsibility to keep an eye on the possessions of the company.</w:t>
      </w:r>
      <w:r>
        <w:rPr>
          <w:i/>
          <w:spacing w:val="40"/>
          <w:sz w:val="24"/>
        </w:rPr>
        <w:t> </w:t>
      </w:r>
      <w:r>
        <w:rPr>
          <w:i/>
          <w:sz w:val="24"/>
        </w:rPr>
        <w:t>As</w:t>
      </w:r>
      <w:r>
        <w:rPr>
          <w:i/>
          <w:spacing w:val="-3"/>
          <w:sz w:val="24"/>
        </w:rPr>
        <w:t> </w:t>
      </w:r>
      <w:r>
        <w:rPr>
          <w:i/>
          <w:sz w:val="24"/>
        </w:rPr>
        <w:t>the</w:t>
      </w:r>
      <w:r>
        <w:rPr>
          <w:i/>
          <w:spacing w:val="-2"/>
          <w:sz w:val="24"/>
        </w:rPr>
        <w:t> </w:t>
      </w:r>
      <w:r>
        <w:rPr>
          <w:i/>
          <w:sz w:val="24"/>
        </w:rPr>
        <w:t>CEO, he</w:t>
      </w:r>
      <w:r>
        <w:rPr>
          <w:i/>
          <w:spacing w:val="-2"/>
          <w:sz w:val="24"/>
        </w:rPr>
        <w:t> </w:t>
      </w:r>
      <w:r>
        <w:rPr>
          <w:i/>
          <w:sz w:val="24"/>
        </w:rPr>
        <w:t>maintains a supervisory role over the officers of the company. His authority to act on behalf of the company is accordingly </w:t>
      </w:r>
      <w:r>
        <w:rPr>
          <w:i/>
          <w:spacing w:val="-2"/>
          <w:sz w:val="24"/>
        </w:rPr>
        <w:t>implied.</w:t>
      </w:r>
      <w:r>
        <w:rPr>
          <w:i/>
          <w:spacing w:val="-2"/>
          <w:sz w:val="24"/>
          <w:vertAlign w:val="superscript"/>
        </w:rPr>
        <w:t>105</w:t>
      </w:r>
    </w:p>
    <w:p>
      <w:pPr>
        <w:pStyle w:val="BodyText"/>
        <w:ind w:left="0"/>
        <w:rPr>
          <w:i/>
          <w:sz w:val="20"/>
        </w:rPr>
      </w:pPr>
    </w:p>
    <w:p>
      <w:pPr>
        <w:pStyle w:val="BodyText"/>
        <w:ind w:left="0"/>
        <w:rPr>
          <w:i/>
          <w:sz w:val="20"/>
        </w:rPr>
      </w:pPr>
    </w:p>
    <w:p>
      <w:pPr>
        <w:pStyle w:val="BodyText"/>
        <w:spacing w:before="188"/>
        <w:ind w:left="0"/>
        <w:rPr>
          <w:i/>
          <w:sz w:val="20"/>
        </w:rPr>
      </w:pPr>
      <w:r>
        <w:rPr/>
        <mc:AlternateContent>
          <mc:Choice Requires="wps">
            <w:drawing>
              <wp:anchor distT="0" distB="0" distL="0" distR="0" allowOverlap="1" layoutInCell="1" locked="0" behindDoc="1" simplePos="0" relativeHeight="487632896">
                <wp:simplePos x="0" y="0"/>
                <wp:positionH relativeFrom="page">
                  <wp:posOffset>1262481</wp:posOffset>
                </wp:positionH>
                <wp:positionV relativeFrom="paragraph">
                  <wp:posOffset>280782</wp:posOffset>
                </wp:positionV>
                <wp:extent cx="1829435" cy="9525"/>
                <wp:effectExtent l="0" t="0" r="0" b="0"/>
                <wp:wrapTopAndBottom/>
                <wp:docPr id="98" name="Graphic 98"/>
                <wp:cNvGraphicFramePr>
                  <a:graphicFrameLocks/>
                </wp:cNvGraphicFramePr>
                <a:graphic>
                  <a:graphicData uri="http://schemas.microsoft.com/office/word/2010/wordprocessingShape">
                    <wps:wsp>
                      <wps:cNvPr id="98" name="Graphic 9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08858pt;width:144.050pt;height:.71997pt;mso-position-horizontal-relative:page;mso-position-vertical-relative:paragraph;z-index:-15683584;mso-wrap-distance-left:0;mso-wrap-distance-right:0" id="docshape53" filled="true" fillcolor="#000000" stroked="false">
                <v:fill type="solid"/>
                <w10:wrap type="topAndBottom"/>
              </v:rect>
            </w:pict>
          </mc:Fallback>
        </mc:AlternateContent>
      </w:r>
    </w:p>
    <w:p>
      <w:pPr>
        <w:spacing w:line="237" w:lineRule="auto" w:before="104"/>
        <w:ind w:left="308" w:right="231" w:firstLine="0"/>
        <w:jc w:val="both"/>
        <w:rPr>
          <w:rFonts w:ascii="Calibri"/>
          <w:sz w:val="20"/>
        </w:rPr>
      </w:pPr>
      <w:r>
        <w:rPr>
          <w:rFonts w:ascii="Calibri"/>
          <w:sz w:val="20"/>
          <w:vertAlign w:val="superscript"/>
        </w:rPr>
        <w:t>102</w:t>
      </w:r>
      <w:r>
        <w:rPr>
          <w:rFonts w:ascii="Calibri"/>
          <w:sz w:val="20"/>
          <w:vertAlign w:val="baseline"/>
        </w:rPr>
        <w:t> Refer to s.64(b) of the CAMA. See Ikhariale, M.A. (1980).Democracy, Capitalism and the Corporate System: Another Look at the Rule in Foss vs. Harbottle</w:t>
      </w:r>
      <w:r>
        <w:rPr>
          <w:rFonts w:ascii="Calibri"/>
          <w:i/>
          <w:sz w:val="20"/>
          <w:vertAlign w:val="baseline"/>
        </w:rPr>
        <w:t>.A.B.U. Law Journal</w:t>
      </w:r>
      <w:r>
        <w:rPr>
          <w:rFonts w:ascii="Calibri"/>
          <w:sz w:val="20"/>
          <w:vertAlign w:val="baseline"/>
        </w:rPr>
        <w:t>, 4-8: 51 at 55, quoting Loss, L. (1980). </w:t>
      </w:r>
      <w:r>
        <w:rPr>
          <w:rFonts w:ascii="Calibri"/>
          <w:i/>
          <w:sz w:val="20"/>
          <w:vertAlign w:val="baseline"/>
        </w:rPr>
        <w:t>Trends in Corporate Governance and Investors Protection, </w:t>
      </w:r>
      <w:r>
        <w:rPr>
          <w:rFonts w:ascii="Calibri"/>
          <w:sz w:val="20"/>
          <w:vertAlign w:val="baseline"/>
        </w:rPr>
        <w:t>p. 51.</w:t>
      </w:r>
    </w:p>
    <w:p>
      <w:pPr>
        <w:spacing w:before="3"/>
        <w:ind w:left="308" w:right="225" w:firstLine="0"/>
        <w:jc w:val="both"/>
        <w:rPr>
          <w:rFonts w:ascii="Calibri"/>
          <w:sz w:val="20"/>
        </w:rPr>
      </w:pPr>
      <w:r>
        <w:rPr>
          <w:rFonts w:ascii="Calibri"/>
          <w:sz w:val="20"/>
          <w:vertAlign w:val="superscript"/>
        </w:rPr>
        <w:t>103</w:t>
      </w:r>
      <w:r>
        <w:rPr>
          <w:rFonts w:ascii="Calibri"/>
          <w:sz w:val="20"/>
          <w:vertAlign w:val="baseline"/>
        </w:rPr>
        <w:t> Ali, H.L. (1996).</w:t>
      </w:r>
      <w:r>
        <w:rPr>
          <w:rFonts w:ascii="Calibri"/>
          <w:i/>
          <w:sz w:val="20"/>
          <w:vertAlign w:val="baseline"/>
        </w:rPr>
        <w:t>The Powers of Directors in Nigerian Company Law: An Analysis of the Dynamic of Directors Dominance in Modern Companies, </w:t>
      </w:r>
      <w:r>
        <w:rPr>
          <w:rFonts w:ascii="Calibri"/>
          <w:sz w:val="20"/>
          <w:vertAlign w:val="baseline"/>
        </w:rPr>
        <w:t>LL.M. thesis (unpublished) Faculty of Law, Ahmadu Bello University Zaria, p.77.</w:t>
      </w:r>
    </w:p>
    <w:p>
      <w:pPr>
        <w:spacing w:before="2"/>
        <w:ind w:left="308" w:right="0" w:firstLine="0"/>
        <w:jc w:val="both"/>
        <w:rPr>
          <w:rFonts w:ascii="Calibri"/>
          <w:sz w:val="20"/>
        </w:rPr>
      </w:pPr>
      <w:r>
        <w:rPr>
          <w:rFonts w:ascii="Calibri"/>
          <w:sz w:val="20"/>
          <w:vertAlign w:val="superscript"/>
        </w:rPr>
        <w:t>104</w:t>
      </w:r>
      <w:r>
        <w:rPr>
          <w:rFonts w:ascii="Calibri"/>
          <w:sz w:val="20"/>
          <w:vertAlign w:val="baseline"/>
        </w:rPr>
        <w:t>(2009)</w:t>
      </w:r>
      <w:r>
        <w:rPr>
          <w:rFonts w:ascii="Calibri"/>
          <w:spacing w:val="-4"/>
          <w:sz w:val="20"/>
          <w:vertAlign w:val="baseline"/>
        </w:rPr>
        <w:t> </w:t>
      </w:r>
      <w:r>
        <w:rPr>
          <w:rFonts w:ascii="Calibri"/>
          <w:sz w:val="20"/>
          <w:vertAlign w:val="baseline"/>
        </w:rPr>
        <w:t>11</w:t>
      </w:r>
      <w:r>
        <w:rPr>
          <w:rFonts w:ascii="Calibri"/>
          <w:spacing w:val="-5"/>
          <w:sz w:val="20"/>
          <w:vertAlign w:val="baseline"/>
        </w:rPr>
        <w:t> </w:t>
      </w:r>
      <w:r>
        <w:rPr>
          <w:rFonts w:ascii="Calibri"/>
          <w:sz w:val="20"/>
          <w:vertAlign w:val="baseline"/>
        </w:rPr>
        <w:t>NWLR</w:t>
      </w:r>
      <w:r>
        <w:rPr>
          <w:rFonts w:ascii="Calibri"/>
          <w:spacing w:val="-8"/>
          <w:sz w:val="20"/>
          <w:vertAlign w:val="baseline"/>
        </w:rPr>
        <w:t> </w:t>
      </w:r>
      <w:r>
        <w:rPr>
          <w:rFonts w:ascii="Calibri"/>
          <w:sz w:val="20"/>
          <w:vertAlign w:val="baseline"/>
        </w:rPr>
        <w:t>(Pt.1151)</w:t>
      </w:r>
      <w:r>
        <w:rPr>
          <w:rFonts w:ascii="Calibri"/>
          <w:spacing w:val="-6"/>
          <w:sz w:val="20"/>
          <w:vertAlign w:val="baseline"/>
        </w:rPr>
        <w:t> </w:t>
      </w:r>
      <w:r>
        <w:rPr>
          <w:rFonts w:ascii="Calibri"/>
          <w:sz w:val="20"/>
          <w:vertAlign w:val="baseline"/>
        </w:rPr>
        <w:t>136</w:t>
      </w:r>
      <w:r>
        <w:rPr>
          <w:rFonts w:ascii="Calibri"/>
          <w:spacing w:val="-5"/>
          <w:sz w:val="20"/>
          <w:vertAlign w:val="baseline"/>
        </w:rPr>
        <w:t> </w:t>
      </w:r>
      <w:r>
        <w:rPr>
          <w:rFonts w:ascii="Calibri"/>
          <w:spacing w:val="-4"/>
          <w:sz w:val="20"/>
          <w:vertAlign w:val="baseline"/>
        </w:rPr>
        <w:t>C.A.</w:t>
      </w:r>
    </w:p>
    <w:p>
      <w:pPr>
        <w:spacing w:before="1"/>
        <w:ind w:left="308" w:right="0" w:firstLine="0"/>
        <w:jc w:val="both"/>
        <w:rPr>
          <w:rFonts w:ascii="Calibri"/>
          <w:sz w:val="20"/>
        </w:rPr>
      </w:pPr>
      <w:r>
        <w:rPr>
          <w:rFonts w:ascii="Calibri"/>
          <w:sz w:val="20"/>
          <w:vertAlign w:val="superscript"/>
        </w:rPr>
        <w:t>105</w:t>
      </w:r>
      <w:r>
        <w:rPr>
          <w:rFonts w:ascii="Calibri"/>
          <w:sz w:val="20"/>
          <w:vertAlign w:val="baseline"/>
        </w:rPr>
        <w:t>Ibid.,</w:t>
      </w:r>
      <w:r>
        <w:rPr>
          <w:rFonts w:ascii="Calibri"/>
          <w:spacing w:val="-7"/>
          <w:sz w:val="20"/>
          <w:vertAlign w:val="baseline"/>
        </w:rPr>
        <w:t> </w:t>
      </w:r>
      <w:r>
        <w:rPr>
          <w:rFonts w:ascii="Calibri"/>
          <w:sz w:val="20"/>
          <w:vertAlign w:val="baseline"/>
        </w:rPr>
        <w:t>at</w:t>
      </w:r>
      <w:r>
        <w:rPr>
          <w:rFonts w:ascii="Calibri"/>
          <w:spacing w:val="-10"/>
          <w:sz w:val="20"/>
          <w:vertAlign w:val="baseline"/>
        </w:rPr>
        <w:t> </w:t>
      </w:r>
      <w:r>
        <w:rPr>
          <w:rFonts w:ascii="Calibri"/>
          <w:sz w:val="20"/>
          <w:vertAlign w:val="baseline"/>
        </w:rPr>
        <w:t>p.149,</w:t>
      </w:r>
      <w:r>
        <w:rPr>
          <w:rFonts w:ascii="Calibri"/>
          <w:spacing w:val="-6"/>
          <w:sz w:val="20"/>
          <w:vertAlign w:val="baseline"/>
        </w:rPr>
        <w:t> </w:t>
      </w:r>
      <w:r>
        <w:rPr>
          <w:rFonts w:ascii="Calibri"/>
          <w:sz w:val="20"/>
          <w:vertAlign w:val="baseline"/>
        </w:rPr>
        <w:t>citing</w:t>
      </w:r>
      <w:r>
        <w:rPr>
          <w:rFonts w:ascii="Calibri"/>
          <w:spacing w:val="-5"/>
          <w:sz w:val="20"/>
          <w:vertAlign w:val="baseline"/>
        </w:rPr>
        <w:t> </w:t>
      </w:r>
      <w:r>
        <w:rPr>
          <w:rFonts w:ascii="Calibri"/>
          <w:i/>
          <w:sz w:val="20"/>
          <w:vertAlign w:val="baseline"/>
        </w:rPr>
        <w:t>Sotuminu</w:t>
      </w:r>
      <w:r>
        <w:rPr>
          <w:rFonts w:ascii="Calibri"/>
          <w:i/>
          <w:spacing w:val="-7"/>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Ocean</w:t>
      </w:r>
      <w:r>
        <w:rPr>
          <w:rFonts w:ascii="Calibri"/>
          <w:i/>
          <w:spacing w:val="-7"/>
          <w:sz w:val="20"/>
          <w:vertAlign w:val="baseline"/>
        </w:rPr>
        <w:t> </w:t>
      </w:r>
      <w:r>
        <w:rPr>
          <w:rFonts w:ascii="Calibri"/>
          <w:i/>
          <w:sz w:val="20"/>
          <w:vertAlign w:val="baseline"/>
        </w:rPr>
        <w:t>Steamship</w:t>
      </w:r>
      <w:r>
        <w:rPr>
          <w:rFonts w:ascii="Calibri"/>
          <w:i/>
          <w:spacing w:val="-8"/>
          <w:sz w:val="20"/>
          <w:vertAlign w:val="baseline"/>
        </w:rPr>
        <w:t> </w:t>
      </w:r>
      <w:r>
        <w:rPr>
          <w:rFonts w:ascii="Calibri"/>
          <w:i/>
          <w:sz w:val="20"/>
          <w:vertAlign w:val="baseline"/>
        </w:rPr>
        <w:t>(Nig.</w:t>
      </w:r>
      <w:r>
        <w:rPr>
          <w:rFonts w:ascii="Calibri"/>
          <w:i/>
          <w:spacing w:val="-10"/>
          <w:sz w:val="20"/>
          <w:vertAlign w:val="baseline"/>
        </w:rPr>
        <w:t> </w:t>
      </w:r>
      <w:r>
        <w:rPr>
          <w:rFonts w:ascii="Calibri"/>
          <w:i/>
          <w:sz w:val="20"/>
          <w:vertAlign w:val="baseline"/>
        </w:rPr>
        <w:t>Ltd.)</w:t>
      </w:r>
      <w:r>
        <w:rPr>
          <w:rFonts w:ascii="Calibri"/>
          <w:sz w:val="20"/>
          <w:vertAlign w:val="baseline"/>
        </w:rPr>
        <w:t>(1987)</w:t>
      </w:r>
      <w:r>
        <w:rPr>
          <w:rFonts w:ascii="Calibri"/>
          <w:spacing w:val="-4"/>
          <w:sz w:val="20"/>
          <w:vertAlign w:val="baseline"/>
        </w:rPr>
        <w:t> </w:t>
      </w:r>
      <w:r>
        <w:rPr>
          <w:rFonts w:ascii="Calibri"/>
          <w:sz w:val="20"/>
          <w:vertAlign w:val="baseline"/>
        </w:rPr>
        <w:t>4</w:t>
      </w:r>
      <w:r>
        <w:rPr>
          <w:rFonts w:ascii="Calibri"/>
          <w:spacing w:val="-10"/>
          <w:sz w:val="20"/>
          <w:vertAlign w:val="baseline"/>
        </w:rPr>
        <w:t> </w:t>
      </w:r>
      <w:r>
        <w:rPr>
          <w:rFonts w:ascii="Calibri"/>
          <w:sz w:val="20"/>
          <w:vertAlign w:val="baseline"/>
        </w:rPr>
        <w:t>NWLR</w:t>
      </w:r>
      <w:r>
        <w:rPr>
          <w:rFonts w:ascii="Calibri"/>
          <w:spacing w:val="-8"/>
          <w:sz w:val="20"/>
          <w:vertAlign w:val="baseline"/>
        </w:rPr>
        <w:t> </w:t>
      </w:r>
      <w:r>
        <w:rPr>
          <w:rFonts w:ascii="Calibri"/>
          <w:sz w:val="20"/>
          <w:vertAlign w:val="baseline"/>
        </w:rPr>
        <w:t>(Pt.66)</w:t>
      </w:r>
      <w:r>
        <w:rPr>
          <w:rFonts w:ascii="Calibri"/>
          <w:spacing w:val="-3"/>
          <w:sz w:val="20"/>
          <w:vertAlign w:val="baseline"/>
        </w:rPr>
        <w:t> </w:t>
      </w:r>
      <w:r>
        <w:rPr>
          <w:rFonts w:ascii="Calibri"/>
          <w:spacing w:val="-4"/>
          <w:sz w:val="20"/>
          <w:vertAlign w:val="baseline"/>
        </w:rPr>
        <w:t>691.</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39"/>
        <w:jc w:val="both"/>
      </w:pPr>
      <w:r>
        <w:rPr/>
        <w:t>The court thus recognized this conduct of the CEO as coming within the contemplation of the combined effect of ss.63 and 65. Evidently, in spite of the fact that he is not directly mentioned in the CAMA, the law recognizes the CEO as a most senior officer</w:t>
      </w:r>
      <w:r>
        <w:rPr>
          <w:spacing w:val="40"/>
        </w:rPr>
        <w:t> </w:t>
      </w:r>
      <w:r>
        <w:rPr/>
        <w:t>in the company, capable of acting single-handedly on its behalf, when justified by the </w:t>
      </w:r>
      <w:r>
        <w:rPr>
          <w:spacing w:val="-2"/>
        </w:rPr>
        <w:t>circumstances.</w:t>
      </w:r>
    </w:p>
    <w:p>
      <w:pPr>
        <w:pStyle w:val="BodyText"/>
        <w:spacing w:line="480" w:lineRule="auto" w:before="1"/>
        <w:ind w:right="232" w:firstLine="720"/>
        <w:jc w:val="both"/>
      </w:pPr>
      <w:r>
        <w:rPr/>
        <w:t>In the UK jurisdiction, the division of power between the general meeting and the board is based on slightly different principles. Unlike the CAMA, the CA has made no express provision in the usual manner, leaving the company‘s articles to determine it.</w:t>
      </w:r>
      <w:r>
        <w:rPr>
          <w:vertAlign w:val="superscript"/>
        </w:rPr>
        <w:t>106</w:t>
      </w:r>
      <w:r>
        <w:rPr>
          <w:vertAlign w:val="baseline"/>
        </w:rPr>
        <w:t> The model</w:t>
      </w:r>
      <w:r>
        <w:rPr>
          <w:spacing w:val="-1"/>
          <w:vertAlign w:val="baseline"/>
        </w:rPr>
        <w:t> </w:t>
      </w:r>
      <w:r>
        <w:rPr>
          <w:vertAlign w:val="baseline"/>
        </w:rPr>
        <w:t>articles provided by</w:t>
      </w:r>
      <w:r>
        <w:rPr>
          <w:spacing w:val="-1"/>
          <w:vertAlign w:val="baseline"/>
        </w:rPr>
        <w:t> </w:t>
      </w:r>
      <w:r>
        <w:rPr>
          <w:vertAlign w:val="baseline"/>
        </w:rPr>
        <w:t>the CA</w:t>
      </w:r>
      <w:r>
        <w:rPr>
          <w:spacing w:val="-2"/>
          <w:vertAlign w:val="baseline"/>
        </w:rPr>
        <w:t> </w:t>
      </w:r>
      <w:r>
        <w:rPr>
          <w:vertAlign w:val="baseline"/>
        </w:rPr>
        <w:t>appear to allow the articles to substantially decide the power ratio as between the board and the general meeting.</w:t>
      </w:r>
    </w:p>
    <w:p>
      <w:pPr>
        <w:pStyle w:val="BodyText"/>
        <w:spacing w:line="480" w:lineRule="auto" w:before="1"/>
        <w:ind w:right="224" w:firstLine="720"/>
        <w:jc w:val="both"/>
      </w:pPr>
      <w:r>
        <w:rPr/>
        <mc:AlternateContent>
          <mc:Choice Requires="wps">
            <w:drawing>
              <wp:anchor distT="0" distB="0" distL="0" distR="0" allowOverlap="1" layoutInCell="1" locked="0" behindDoc="0" simplePos="0" relativeHeight="15774208">
                <wp:simplePos x="0" y="0"/>
                <wp:positionH relativeFrom="page">
                  <wp:posOffset>1262481</wp:posOffset>
                </wp:positionH>
                <wp:positionV relativeFrom="paragraph">
                  <wp:posOffset>4542325</wp:posOffset>
                </wp:positionV>
                <wp:extent cx="1829435" cy="9525"/>
                <wp:effectExtent l="0" t="0" r="0" b="0"/>
                <wp:wrapNone/>
                <wp:docPr id="99" name="Graphic 99"/>
                <wp:cNvGraphicFramePr>
                  <a:graphicFrameLocks/>
                </wp:cNvGraphicFramePr>
                <a:graphic>
                  <a:graphicData uri="http://schemas.microsoft.com/office/word/2010/wordprocessingShape">
                    <wps:wsp>
                      <wps:cNvPr id="99" name="Graphic 9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357.663422pt;width:144.050pt;height:.72003pt;mso-position-horizontal-relative:page;mso-position-vertical-relative:paragraph;z-index:15774208" id="docshape54" filled="true" fillcolor="#000000" stroked="false">
                <v:fill type="solid"/>
                <w10:wrap type="none"/>
              </v:rect>
            </w:pict>
          </mc:Fallback>
        </mc:AlternateContent>
      </w:r>
      <w:r>
        <w:rPr/>
        <w:t>Generally, the rule under common law used to be that where powers of management were vested in the directors, they alone could exercise these powers. The only way in which the general body of the shareholders could control the exercise of powers</w:t>
      </w:r>
      <w:r>
        <w:rPr>
          <w:spacing w:val="-1"/>
        </w:rPr>
        <w:t> </w:t>
      </w:r>
      <w:r>
        <w:rPr/>
        <w:t>vested in</w:t>
      </w:r>
      <w:r>
        <w:rPr>
          <w:spacing w:val="-4"/>
        </w:rPr>
        <w:t> </w:t>
      </w:r>
      <w:r>
        <w:rPr/>
        <w:t>the directors was by</w:t>
      </w:r>
      <w:r>
        <w:rPr>
          <w:spacing w:val="-4"/>
        </w:rPr>
        <w:t> </w:t>
      </w:r>
      <w:r>
        <w:rPr/>
        <w:t>altering the articles, or, if</w:t>
      </w:r>
      <w:r>
        <w:rPr>
          <w:spacing w:val="-2"/>
        </w:rPr>
        <w:t> </w:t>
      </w:r>
      <w:r>
        <w:rPr/>
        <w:t>opportunity arose under the articles, by refusing to re-elect the directors of whose actions they disapproved.</w:t>
      </w:r>
      <w:r>
        <w:rPr>
          <w:spacing w:val="40"/>
        </w:rPr>
        <w:t> </w:t>
      </w:r>
      <w:r>
        <w:rPr/>
        <w:t>They could not themselves usurp the powers which, by the articles, were vested in the directors</w:t>
      </w:r>
      <w:r>
        <w:rPr>
          <w:spacing w:val="-2"/>
        </w:rPr>
        <w:t> </w:t>
      </w:r>
      <w:r>
        <w:rPr/>
        <w:t>any</w:t>
      </w:r>
      <w:r>
        <w:rPr>
          <w:spacing w:val="-5"/>
        </w:rPr>
        <w:t> </w:t>
      </w:r>
      <w:r>
        <w:rPr/>
        <w:t>more</w:t>
      </w:r>
      <w:r>
        <w:rPr>
          <w:spacing w:val="-1"/>
        </w:rPr>
        <w:t> </w:t>
      </w:r>
      <w:r>
        <w:rPr/>
        <w:t>than</w:t>
      </w:r>
      <w:r>
        <w:rPr>
          <w:spacing w:val="-5"/>
        </w:rPr>
        <w:t> </w:t>
      </w:r>
      <w:r>
        <w:rPr/>
        <w:t>the</w:t>
      </w:r>
      <w:r>
        <w:rPr>
          <w:spacing w:val="-1"/>
        </w:rPr>
        <w:t> </w:t>
      </w:r>
      <w:r>
        <w:rPr/>
        <w:t>directors</w:t>
      </w:r>
      <w:r>
        <w:rPr>
          <w:spacing w:val="-1"/>
        </w:rPr>
        <w:t> </w:t>
      </w:r>
      <w:r>
        <w:rPr/>
        <w:t>could usurp the</w:t>
      </w:r>
      <w:r>
        <w:rPr>
          <w:spacing w:val="-1"/>
        </w:rPr>
        <w:t> </w:t>
      </w:r>
      <w:r>
        <w:rPr/>
        <w:t>powers</w:t>
      </w:r>
      <w:r>
        <w:rPr>
          <w:spacing w:val="-2"/>
        </w:rPr>
        <w:t> </w:t>
      </w:r>
      <w:r>
        <w:rPr/>
        <w:t>vested by</w:t>
      </w:r>
      <w:r>
        <w:rPr>
          <w:spacing w:val="-5"/>
        </w:rPr>
        <w:t> </w:t>
      </w:r>
      <w:r>
        <w:rPr/>
        <w:t>the</w:t>
      </w:r>
      <w:r>
        <w:rPr>
          <w:spacing w:val="-1"/>
        </w:rPr>
        <w:t> </w:t>
      </w:r>
      <w:r>
        <w:rPr/>
        <w:t>articles in</w:t>
      </w:r>
      <w:r>
        <w:rPr>
          <w:spacing w:val="-5"/>
        </w:rPr>
        <w:t> </w:t>
      </w:r>
      <w:r>
        <w:rPr/>
        <w:t>the general body of shareholders.</w:t>
      </w:r>
      <w:r>
        <w:rPr>
          <w:vertAlign w:val="superscript"/>
        </w:rPr>
        <w:t>107</w:t>
      </w:r>
      <w:r>
        <w:rPr>
          <w:vertAlign w:val="baseline"/>
        </w:rPr>
        <w:t>The decision in </w:t>
      </w:r>
      <w:r>
        <w:rPr>
          <w:b/>
          <w:vertAlign w:val="baseline"/>
        </w:rPr>
        <w:t>Automatic Self-Cleansing Filter Syndicate Co. Ltd vs. Cuninghame,</w:t>
      </w:r>
      <w:r>
        <w:rPr>
          <w:vertAlign w:val="superscript"/>
        </w:rPr>
        <w:t>108</w:t>
      </w:r>
      <w:r>
        <w:rPr>
          <w:vertAlign w:val="baseline"/>
        </w:rPr>
        <w:t>held that where the general management of the company is vested in the directors, the members have no power by ordinary resolution, to give directions to the board or to overrule its business decisions. However, under the CA now,</w:t>
      </w:r>
      <w:r>
        <w:rPr>
          <w:spacing w:val="-3"/>
          <w:vertAlign w:val="baseline"/>
        </w:rPr>
        <w:t> </w:t>
      </w:r>
      <w:r>
        <w:rPr>
          <w:vertAlign w:val="baseline"/>
        </w:rPr>
        <w:t>the</w:t>
      </w:r>
      <w:r>
        <w:rPr>
          <w:spacing w:val="-1"/>
          <w:vertAlign w:val="baseline"/>
        </w:rPr>
        <w:t> </w:t>
      </w:r>
      <w:r>
        <w:rPr>
          <w:vertAlign w:val="baseline"/>
        </w:rPr>
        <w:t>combined effect of</w:t>
      </w:r>
      <w:r>
        <w:rPr>
          <w:spacing w:val="-4"/>
          <w:vertAlign w:val="baseline"/>
        </w:rPr>
        <w:t> </w:t>
      </w:r>
      <w:r>
        <w:rPr>
          <w:vertAlign w:val="baseline"/>
        </w:rPr>
        <w:t>ss. 17, 29 and 257 is</w:t>
      </w:r>
      <w:r>
        <w:rPr>
          <w:spacing w:val="-2"/>
          <w:vertAlign w:val="baseline"/>
        </w:rPr>
        <w:t> </w:t>
      </w:r>
      <w:r>
        <w:rPr>
          <w:vertAlign w:val="baseline"/>
        </w:rPr>
        <w:t>to allow</w:t>
      </w:r>
      <w:r>
        <w:rPr>
          <w:spacing w:val="-1"/>
          <w:vertAlign w:val="baseline"/>
        </w:rPr>
        <w:t> </w:t>
      </w:r>
      <w:r>
        <w:rPr>
          <w:vertAlign w:val="baseline"/>
        </w:rPr>
        <w:t>the members to direct the board</w:t>
      </w:r>
      <w:r>
        <w:rPr>
          <w:spacing w:val="3"/>
          <w:vertAlign w:val="baseline"/>
        </w:rPr>
        <w:t> </w:t>
      </w:r>
      <w:r>
        <w:rPr>
          <w:vertAlign w:val="baseline"/>
        </w:rPr>
        <w:t>to</w:t>
      </w:r>
      <w:r>
        <w:rPr>
          <w:spacing w:val="11"/>
          <w:vertAlign w:val="baseline"/>
        </w:rPr>
        <w:t> </w:t>
      </w:r>
      <w:r>
        <w:rPr>
          <w:vertAlign w:val="baseline"/>
        </w:rPr>
        <w:t>take</w:t>
      </w:r>
      <w:r>
        <w:rPr>
          <w:spacing w:val="5"/>
          <w:vertAlign w:val="baseline"/>
        </w:rPr>
        <w:t> </w:t>
      </w:r>
      <w:r>
        <w:rPr>
          <w:vertAlign w:val="baseline"/>
        </w:rPr>
        <w:t>or</w:t>
      </w:r>
      <w:r>
        <w:rPr>
          <w:spacing w:val="7"/>
          <w:vertAlign w:val="baseline"/>
        </w:rPr>
        <w:t> </w:t>
      </w:r>
      <w:r>
        <w:rPr>
          <w:vertAlign w:val="baseline"/>
        </w:rPr>
        <w:t>refrain</w:t>
      </w:r>
      <w:r>
        <w:rPr>
          <w:spacing w:val="9"/>
          <w:vertAlign w:val="baseline"/>
        </w:rPr>
        <w:t> </w:t>
      </w:r>
      <w:r>
        <w:rPr>
          <w:vertAlign w:val="baseline"/>
        </w:rPr>
        <w:t>from</w:t>
      </w:r>
      <w:r>
        <w:rPr>
          <w:spacing w:val="1"/>
          <w:vertAlign w:val="baseline"/>
        </w:rPr>
        <w:t> </w:t>
      </w:r>
      <w:r>
        <w:rPr>
          <w:vertAlign w:val="baseline"/>
        </w:rPr>
        <w:t>taking</w:t>
      </w:r>
      <w:r>
        <w:rPr>
          <w:spacing w:val="10"/>
          <w:vertAlign w:val="baseline"/>
        </w:rPr>
        <w:t> </w:t>
      </w:r>
      <w:r>
        <w:rPr>
          <w:vertAlign w:val="baseline"/>
        </w:rPr>
        <w:t>a</w:t>
      </w:r>
      <w:r>
        <w:rPr>
          <w:spacing w:val="9"/>
          <w:vertAlign w:val="baseline"/>
        </w:rPr>
        <w:t> </w:t>
      </w:r>
      <w:r>
        <w:rPr>
          <w:vertAlign w:val="baseline"/>
        </w:rPr>
        <w:t>particular</w:t>
      </w:r>
      <w:r>
        <w:rPr>
          <w:spacing w:val="11"/>
          <w:vertAlign w:val="baseline"/>
        </w:rPr>
        <w:t> </w:t>
      </w:r>
      <w:r>
        <w:rPr>
          <w:vertAlign w:val="baseline"/>
        </w:rPr>
        <w:t>action,</w:t>
      </w:r>
      <w:r>
        <w:rPr>
          <w:spacing w:val="12"/>
          <w:vertAlign w:val="baseline"/>
        </w:rPr>
        <w:t> </w:t>
      </w:r>
      <w:r>
        <w:rPr>
          <w:vertAlign w:val="baseline"/>
        </w:rPr>
        <w:t>even</w:t>
      </w:r>
      <w:r>
        <w:rPr>
          <w:spacing w:val="10"/>
          <w:vertAlign w:val="baseline"/>
        </w:rPr>
        <w:t> </w:t>
      </w:r>
      <w:r>
        <w:rPr>
          <w:vertAlign w:val="baseline"/>
        </w:rPr>
        <w:t>in</w:t>
      </w:r>
      <w:r>
        <w:rPr>
          <w:spacing w:val="9"/>
          <w:vertAlign w:val="baseline"/>
        </w:rPr>
        <w:t> </w:t>
      </w:r>
      <w:r>
        <w:rPr>
          <w:vertAlign w:val="baseline"/>
        </w:rPr>
        <w:t>matters</w:t>
      </w:r>
      <w:r>
        <w:rPr>
          <w:spacing w:val="3"/>
          <w:vertAlign w:val="baseline"/>
        </w:rPr>
        <w:t> </w:t>
      </w:r>
      <w:r>
        <w:rPr>
          <w:vertAlign w:val="baseline"/>
        </w:rPr>
        <w:t>reserved</w:t>
      </w:r>
      <w:r>
        <w:rPr>
          <w:spacing w:val="15"/>
          <w:vertAlign w:val="baseline"/>
        </w:rPr>
        <w:t> </w:t>
      </w:r>
      <w:r>
        <w:rPr>
          <w:vertAlign w:val="baseline"/>
        </w:rPr>
        <w:t>for</w:t>
      </w:r>
      <w:r>
        <w:rPr>
          <w:spacing w:val="12"/>
          <w:vertAlign w:val="baseline"/>
        </w:rPr>
        <w:t> </w:t>
      </w:r>
      <w:r>
        <w:rPr>
          <w:spacing w:val="-5"/>
          <w:vertAlign w:val="baseline"/>
        </w:rPr>
        <w:t>the</w:t>
      </w:r>
    </w:p>
    <w:p>
      <w:pPr>
        <w:spacing w:before="94"/>
        <w:ind w:left="308" w:right="0" w:firstLine="0"/>
        <w:jc w:val="left"/>
        <w:rPr>
          <w:rFonts w:ascii="Calibri"/>
          <w:sz w:val="20"/>
        </w:rPr>
      </w:pPr>
      <w:r>
        <w:rPr>
          <w:rFonts w:ascii="Calibri"/>
          <w:sz w:val="20"/>
          <w:vertAlign w:val="superscript"/>
        </w:rPr>
        <w:t>106</w:t>
      </w:r>
      <w:r>
        <w:rPr>
          <w:rFonts w:ascii="Calibri"/>
          <w:spacing w:val="40"/>
          <w:sz w:val="20"/>
          <w:vertAlign w:val="baseline"/>
        </w:rPr>
        <w:t> </w:t>
      </w:r>
      <w:r>
        <w:rPr>
          <w:rFonts w:ascii="Calibri"/>
          <w:sz w:val="20"/>
          <w:vertAlign w:val="baseline"/>
        </w:rPr>
        <w:t>Sealy,</w:t>
      </w:r>
      <w:r>
        <w:rPr>
          <w:rFonts w:ascii="Calibri"/>
          <w:spacing w:val="40"/>
          <w:sz w:val="20"/>
          <w:vertAlign w:val="baseline"/>
        </w:rPr>
        <w:t> </w:t>
      </w:r>
      <w:r>
        <w:rPr>
          <w:rFonts w:ascii="Calibri"/>
          <w:sz w:val="20"/>
          <w:vertAlign w:val="baseline"/>
        </w:rPr>
        <w:t>L</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Worthington,</w:t>
      </w:r>
      <w:r>
        <w:rPr>
          <w:rFonts w:ascii="Calibri"/>
          <w:spacing w:val="40"/>
          <w:sz w:val="20"/>
          <w:vertAlign w:val="baseline"/>
        </w:rPr>
        <w:t> </w:t>
      </w:r>
      <w:r>
        <w:rPr>
          <w:rFonts w:ascii="Calibri"/>
          <w:sz w:val="20"/>
          <w:vertAlign w:val="baseline"/>
        </w:rPr>
        <w:t>S.</w:t>
      </w:r>
      <w:r>
        <w:rPr>
          <w:rFonts w:ascii="Calibri"/>
          <w:spacing w:val="40"/>
          <w:sz w:val="20"/>
          <w:vertAlign w:val="baseline"/>
        </w:rPr>
        <w:t> </w:t>
      </w:r>
      <w:r>
        <w:rPr>
          <w:rFonts w:ascii="Calibri"/>
          <w:sz w:val="20"/>
          <w:vertAlign w:val="baseline"/>
        </w:rPr>
        <w:t>(2008).</w:t>
      </w:r>
      <w:r>
        <w:rPr>
          <w:rFonts w:ascii="Calibri"/>
          <w:i/>
          <w:sz w:val="20"/>
          <w:vertAlign w:val="baseline"/>
        </w:rPr>
        <w:t>Cases</w:t>
      </w:r>
      <w:r>
        <w:rPr>
          <w:rFonts w:ascii="Calibri"/>
          <w:i/>
          <w:spacing w:val="40"/>
          <w:sz w:val="20"/>
          <w:vertAlign w:val="baseline"/>
        </w:rPr>
        <w:t> </w:t>
      </w:r>
      <w:r>
        <w:rPr>
          <w:rFonts w:ascii="Calibri"/>
          <w:i/>
          <w:sz w:val="20"/>
          <w:vertAlign w:val="baseline"/>
        </w:rPr>
        <w:t>and</w:t>
      </w:r>
      <w:r>
        <w:rPr>
          <w:rFonts w:ascii="Calibri"/>
          <w:i/>
          <w:spacing w:val="40"/>
          <w:sz w:val="20"/>
          <w:vertAlign w:val="baseline"/>
        </w:rPr>
        <w:t> </w:t>
      </w:r>
      <w:r>
        <w:rPr>
          <w:rFonts w:ascii="Calibri"/>
          <w:i/>
          <w:sz w:val="20"/>
          <w:vertAlign w:val="baseline"/>
        </w:rPr>
        <w:t>Materials</w:t>
      </w:r>
      <w:r>
        <w:rPr>
          <w:rFonts w:ascii="Calibri"/>
          <w:i/>
          <w:spacing w:val="40"/>
          <w:sz w:val="20"/>
          <w:vertAlign w:val="baseline"/>
        </w:rPr>
        <w:t> </w:t>
      </w:r>
      <w:r>
        <w:rPr>
          <w:rFonts w:ascii="Calibri"/>
          <w:i/>
          <w:sz w:val="20"/>
          <w:vertAlign w:val="baseline"/>
        </w:rPr>
        <w:t>in</w:t>
      </w:r>
      <w:r>
        <w:rPr>
          <w:rFonts w:ascii="Calibri"/>
          <w:i/>
          <w:spacing w:val="40"/>
          <w:sz w:val="20"/>
          <w:vertAlign w:val="baseline"/>
        </w:rPr>
        <w:t> </w:t>
      </w:r>
      <w:r>
        <w:rPr>
          <w:rFonts w:ascii="Calibri"/>
          <w:i/>
          <w:sz w:val="20"/>
          <w:vertAlign w:val="baseline"/>
        </w:rPr>
        <w:t>Company</w:t>
      </w:r>
      <w:r>
        <w:rPr>
          <w:rFonts w:ascii="Calibri"/>
          <w:i/>
          <w:spacing w:val="40"/>
          <w:sz w:val="20"/>
          <w:vertAlign w:val="baseline"/>
        </w:rPr>
        <w:t> </w:t>
      </w:r>
      <w:r>
        <w:rPr>
          <w:rFonts w:ascii="Calibri"/>
          <w:i/>
          <w:sz w:val="20"/>
          <w:vertAlign w:val="baseline"/>
        </w:rPr>
        <w:t>Law.</w:t>
      </w:r>
      <w:r>
        <w:rPr>
          <w:rFonts w:ascii="Calibri"/>
          <w:sz w:val="20"/>
          <w:vertAlign w:val="baseline"/>
        </w:rPr>
        <w:t>8</w:t>
      </w:r>
      <w:r>
        <w:rPr>
          <w:rFonts w:ascii="Calibri"/>
          <w:sz w:val="20"/>
          <w:vertAlign w:val="superscript"/>
        </w:rPr>
        <w:t>th</w:t>
      </w:r>
      <w:r>
        <w:rPr>
          <w:rFonts w:ascii="Calibri"/>
          <w:spacing w:val="40"/>
          <w:sz w:val="20"/>
          <w:vertAlign w:val="baseline"/>
        </w:rPr>
        <w:t> </w:t>
      </w:r>
      <w:r>
        <w:rPr>
          <w:rFonts w:ascii="Calibri"/>
          <w:sz w:val="20"/>
          <w:vertAlign w:val="baseline"/>
        </w:rPr>
        <w:t>edition,</w:t>
      </w:r>
      <w:r>
        <w:rPr>
          <w:rFonts w:ascii="Calibri"/>
          <w:spacing w:val="40"/>
          <w:sz w:val="20"/>
          <w:vertAlign w:val="baseline"/>
        </w:rPr>
        <w:t> </w:t>
      </w:r>
      <w:r>
        <w:rPr>
          <w:rFonts w:ascii="Calibri"/>
          <w:sz w:val="20"/>
          <w:vertAlign w:val="baseline"/>
        </w:rPr>
        <w:t>Oxford</w:t>
      </w:r>
      <w:r>
        <w:rPr>
          <w:rFonts w:ascii="Calibri"/>
          <w:spacing w:val="80"/>
          <w:sz w:val="20"/>
          <w:vertAlign w:val="baseline"/>
        </w:rPr>
        <w:t> </w:t>
      </w:r>
      <w:r>
        <w:rPr>
          <w:rFonts w:ascii="Calibri"/>
          <w:sz w:val="20"/>
          <w:vertAlign w:val="baseline"/>
        </w:rPr>
        <w:t>University Press Inc., New York, p.175.</w:t>
      </w:r>
    </w:p>
    <w:p>
      <w:pPr>
        <w:spacing w:before="1"/>
        <w:ind w:left="308" w:right="255" w:firstLine="0"/>
        <w:jc w:val="left"/>
        <w:rPr>
          <w:rFonts w:ascii="Calibri"/>
          <w:sz w:val="20"/>
        </w:rPr>
      </w:pPr>
      <w:r>
        <w:rPr>
          <w:rFonts w:ascii="Calibri"/>
          <w:sz w:val="20"/>
          <w:vertAlign w:val="superscript"/>
        </w:rPr>
        <w:t>107</w:t>
      </w:r>
      <w:r>
        <w:rPr>
          <w:rFonts w:ascii="Calibri"/>
          <w:sz w:val="20"/>
          <w:vertAlign w:val="baseline"/>
        </w:rPr>
        <w:t> Per Greer LJ, English Court of Appeal on </w:t>
      </w:r>
      <w:r>
        <w:rPr>
          <w:rFonts w:ascii="Calibri"/>
          <w:i/>
          <w:sz w:val="20"/>
          <w:vertAlign w:val="baseline"/>
        </w:rPr>
        <w:t>John Shaw and Sons (Salford) Ltd vs. Shaw </w:t>
      </w:r>
      <w:r>
        <w:rPr>
          <w:rFonts w:ascii="Calibri"/>
          <w:sz w:val="20"/>
          <w:vertAlign w:val="baseline"/>
        </w:rPr>
        <w:t>[1935] 2 KB113,</w:t>
      </w:r>
      <w:r>
        <w:rPr>
          <w:rFonts w:ascii="Calibri"/>
          <w:spacing w:val="40"/>
          <w:sz w:val="20"/>
          <w:vertAlign w:val="baseline"/>
        </w:rPr>
        <w:t> </w:t>
      </w:r>
      <w:r>
        <w:rPr>
          <w:rFonts w:ascii="Calibri"/>
          <w:sz w:val="20"/>
          <w:vertAlign w:val="baseline"/>
        </w:rPr>
        <w:t>cited in Sealy, L and Worthington, S. </w:t>
      </w:r>
      <w:r>
        <w:rPr>
          <w:rFonts w:ascii="Calibri"/>
          <w:i/>
          <w:sz w:val="20"/>
          <w:vertAlign w:val="baseline"/>
        </w:rPr>
        <w:t>op.cit.</w:t>
      </w:r>
      <w:r>
        <w:rPr>
          <w:rFonts w:ascii="Calibri"/>
          <w:sz w:val="20"/>
          <w:vertAlign w:val="baseline"/>
        </w:rPr>
        <w:t>, p.179.</w:t>
      </w:r>
    </w:p>
    <w:p>
      <w:pPr>
        <w:spacing w:before="2"/>
        <w:ind w:left="308" w:right="0" w:firstLine="0"/>
        <w:jc w:val="left"/>
        <w:rPr>
          <w:rFonts w:ascii="Calibri"/>
          <w:sz w:val="20"/>
        </w:rPr>
      </w:pPr>
      <w:r>
        <w:rPr>
          <w:rFonts w:ascii="Calibri"/>
          <w:sz w:val="20"/>
          <w:vertAlign w:val="superscript"/>
        </w:rPr>
        <w:t>108</w:t>
      </w:r>
      <w:r>
        <w:rPr>
          <w:rFonts w:ascii="Calibri"/>
          <w:sz w:val="20"/>
          <w:vertAlign w:val="baseline"/>
        </w:rPr>
        <w:t>(1906)</w:t>
      </w:r>
      <w:r>
        <w:rPr>
          <w:rFonts w:ascii="Calibri"/>
          <w:spacing w:val="-2"/>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Ch. </w:t>
      </w:r>
      <w:r>
        <w:rPr>
          <w:rFonts w:ascii="Calibri"/>
          <w:spacing w:val="-5"/>
          <w:sz w:val="20"/>
          <w:vertAlign w:val="baseline"/>
        </w:rPr>
        <w:t>34.</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36"/>
        <w:jc w:val="both"/>
      </w:pPr>
      <w:r>
        <w:rPr/>
        <w:t>directors‘ powers by the articles.</w:t>
      </w:r>
      <w:r>
        <w:rPr>
          <w:vertAlign w:val="superscript"/>
        </w:rPr>
        <w:t>109</w:t>
      </w:r>
      <w:r>
        <w:rPr>
          <w:vertAlign w:val="baseline"/>
        </w:rPr>
        <w:t> Therefore, the company‘s reserve powers may be exercised by the general meeting by special resolution, without altering the articles.</w:t>
      </w:r>
      <w:r>
        <w:rPr>
          <w:spacing w:val="80"/>
          <w:vertAlign w:val="baseline"/>
        </w:rPr>
        <w:t> </w:t>
      </w:r>
      <w:r>
        <w:rPr>
          <w:vertAlign w:val="baseline"/>
        </w:rPr>
        <w:t>This is particularly ideal for urgent matters which cannot wait for the cumbersome process of altering the articles.</w:t>
      </w:r>
    </w:p>
    <w:p>
      <w:pPr>
        <w:pStyle w:val="BodyText"/>
        <w:spacing w:line="480" w:lineRule="auto"/>
        <w:ind w:right="233" w:firstLine="720"/>
        <w:jc w:val="both"/>
      </w:pPr>
      <w:r>
        <w:rPr/>
        <w:t>The English court has established as a general rule that the company in general meeting may act if there is no board competent or able—for example, because of a deadlock—to exercise the powers conferred upon it. It is believed that ―there must be some power in the company to do itself that which, under the circumstances would be otherwise done.‖</w:t>
      </w:r>
      <w:r>
        <w:rPr>
          <w:vertAlign w:val="superscript"/>
        </w:rPr>
        <w:t>110</w:t>
      </w:r>
      <w:r>
        <w:rPr>
          <w:vertAlign w:val="baseline"/>
        </w:rPr>
        <w:t> This rule is not negated by the CA. Thus, if the articles do not provide for powers in the event of a deadlock, etc. the general meeting can generally</w:t>
      </w:r>
      <w:r>
        <w:rPr>
          <w:spacing w:val="80"/>
          <w:vertAlign w:val="baseline"/>
        </w:rPr>
        <w:t> </w:t>
      </w:r>
      <w:r>
        <w:rPr>
          <w:spacing w:val="-4"/>
          <w:vertAlign w:val="baseline"/>
        </w:rPr>
        <w:t>act.</w:t>
      </w:r>
    </w:p>
    <w:p>
      <w:pPr>
        <w:pStyle w:val="BodyText"/>
        <w:spacing w:line="480" w:lineRule="auto" w:before="2"/>
        <w:ind w:right="229" w:firstLine="720"/>
        <w:jc w:val="both"/>
      </w:pPr>
      <w:r>
        <w:rPr/>
        <w:t>Conclusively, the board‘s powers here are derived mainly from (a) the Act, (b) the articles and (c) resolutions and agreements of the general meeting. It is pertinent to note that</w:t>
      </w:r>
      <w:r>
        <w:rPr>
          <w:spacing w:val="34"/>
        </w:rPr>
        <w:t> </w:t>
      </w:r>
      <w:r>
        <w:rPr/>
        <w:t>in taking their decisions,</w:t>
      </w:r>
      <w:r>
        <w:rPr>
          <w:spacing w:val="33"/>
        </w:rPr>
        <w:t> </w:t>
      </w:r>
      <w:r>
        <w:rPr/>
        <w:t>the board of directors is a collegiate body. Yet, as will be observed later in this work, the directors owe their duties personally.</w:t>
      </w:r>
    </w:p>
    <w:p>
      <w:pPr>
        <w:pStyle w:val="BodyText"/>
        <w:spacing w:line="480" w:lineRule="auto" w:before="1"/>
        <w:ind w:right="235" w:firstLine="720"/>
        <w:jc w:val="both"/>
      </w:pPr>
      <w:r>
        <w:rPr/>
        <w:t>The arrangement discussed above would more often be the case for public companies. In some private companies, where the members happen to be the directors</w:t>
      </w:r>
      <w:r>
        <w:rPr>
          <w:spacing w:val="40"/>
        </w:rPr>
        <w:t> </w:t>
      </w:r>
      <w:r>
        <w:rPr/>
        <w:t>as well, the powers of the company in practice would appear fused. In such cases, the board of directors and the general meeting would most certainly be represented by the same persons.</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227"/>
        <w:ind w:left="0"/>
        <w:rPr>
          <w:sz w:val="20"/>
        </w:rPr>
      </w:pPr>
      <w:r>
        <w:rPr/>
        <mc:AlternateContent>
          <mc:Choice Requires="wps">
            <w:drawing>
              <wp:anchor distT="0" distB="0" distL="0" distR="0" allowOverlap="1" layoutInCell="1" locked="0" behindDoc="1" simplePos="0" relativeHeight="487633920">
                <wp:simplePos x="0" y="0"/>
                <wp:positionH relativeFrom="page">
                  <wp:posOffset>1262481</wp:posOffset>
                </wp:positionH>
                <wp:positionV relativeFrom="paragraph">
                  <wp:posOffset>305964</wp:posOffset>
                </wp:positionV>
                <wp:extent cx="1829435" cy="9525"/>
                <wp:effectExtent l="0" t="0" r="0" b="0"/>
                <wp:wrapTopAndBottom/>
                <wp:docPr id="100" name="Graphic 100"/>
                <wp:cNvGraphicFramePr>
                  <a:graphicFrameLocks/>
                </wp:cNvGraphicFramePr>
                <a:graphic>
                  <a:graphicData uri="http://schemas.microsoft.com/office/word/2010/wordprocessingShape">
                    <wps:wsp>
                      <wps:cNvPr id="100" name="Graphic 10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4.091728pt;width:144.050pt;height:.72003pt;mso-position-horizontal-relative:page;mso-position-vertical-relative:paragraph;z-index:-15682560;mso-wrap-distance-left:0;mso-wrap-distance-right:0" id="docshape55" filled="true" fillcolor="#000000" stroked="false">
                <v:fill type="solid"/>
                <w10:wrap type="topAndBottom"/>
              </v:rect>
            </w:pict>
          </mc:Fallback>
        </mc:AlternateContent>
      </w:r>
    </w:p>
    <w:p>
      <w:pPr>
        <w:spacing w:before="103"/>
        <w:ind w:left="308" w:right="226" w:firstLine="0"/>
        <w:jc w:val="both"/>
        <w:rPr>
          <w:rFonts w:ascii="Calibri"/>
          <w:sz w:val="20"/>
        </w:rPr>
      </w:pPr>
      <w:r>
        <w:rPr>
          <w:rFonts w:ascii="Calibri"/>
          <w:sz w:val="20"/>
          <w:vertAlign w:val="superscript"/>
        </w:rPr>
        <w:t>109</w:t>
      </w:r>
      <w:r>
        <w:rPr>
          <w:rFonts w:ascii="Calibri"/>
          <w:sz w:val="20"/>
          <w:vertAlign w:val="baseline"/>
        </w:rPr>
        <w:t> See also the proposed model articles supported by the CA, which are applicable to companies by default. See in particular Article 4(1), Schedule 1 Regulation 2, UKModel Articles for Private Companies Limited by Shares and Article 4(1) Schedule 3 Regulation 4, UK Model Articles for Public Companies, effective from April 28, 2013.</w:t>
      </w:r>
    </w:p>
    <w:p>
      <w:pPr>
        <w:spacing w:before="2"/>
        <w:ind w:left="308" w:right="0" w:firstLine="0"/>
        <w:jc w:val="both"/>
        <w:rPr>
          <w:rFonts w:ascii="Calibri"/>
          <w:sz w:val="20"/>
        </w:rPr>
      </w:pPr>
      <w:r>
        <w:rPr>
          <w:rFonts w:ascii="Calibri"/>
          <w:sz w:val="20"/>
          <w:vertAlign w:val="superscript"/>
        </w:rPr>
        <w:t>110</w:t>
      </w:r>
      <w:r>
        <w:rPr>
          <w:rFonts w:ascii="Calibri"/>
          <w:i/>
          <w:sz w:val="20"/>
          <w:vertAlign w:val="baseline"/>
        </w:rPr>
        <w:t>Barron</w:t>
      </w:r>
      <w:r>
        <w:rPr>
          <w:rFonts w:ascii="Calibri"/>
          <w:i/>
          <w:spacing w:val="-6"/>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Potter</w:t>
      </w:r>
      <w:r>
        <w:rPr>
          <w:rFonts w:ascii="Calibri"/>
          <w:i/>
          <w:spacing w:val="-3"/>
          <w:sz w:val="20"/>
          <w:vertAlign w:val="baseline"/>
        </w:rPr>
        <w:t> </w:t>
      </w:r>
      <w:r>
        <w:rPr>
          <w:rFonts w:ascii="Calibri"/>
          <w:sz w:val="20"/>
          <w:vertAlign w:val="baseline"/>
        </w:rPr>
        <w:t>(1914)</w:t>
      </w:r>
      <w:r>
        <w:rPr>
          <w:rFonts w:ascii="Calibri"/>
          <w:spacing w:val="-5"/>
          <w:sz w:val="20"/>
          <w:vertAlign w:val="baseline"/>
        </w:rPr>
        <w:t> </w:t>
      </w:r>
      <w:r>
        <w:rPr>
          <w:rFonts w:ascii="Calibri"/>
          <w:sz w:val="20"/>
          <w:vertAlign w:val="baseline"/>
        </w:rPr>
        <w:t>1</w:t>
      </w:r>
      <w:r>
        <w:rPr>
          <w:rFonts w:ascii="Calibri"/>
          <w:spacing w:val="-2"/>
          <w:sz w:val="20"/>
          <w:vertAlign w:val="baseline"/>
        </w:rPr>
        <w:t> </w:t>
      </w:r>
      <w:r>
        <w:rPr>
          <w:rFonts w:ascii="Calibri"/>
          <w:sz w:val="20"/>
          <w:vertAlign w:val="baseline"/>
        </w:rPr>
        <w:t>Ch. 895.</w:t>
      </w:r>
      <w:r>
        <w:rPr>
          <w:rFonts w:ascii="Calibri"/>
          <w:spacing w:val="-3"/>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also</w:t>
      </w:r>
      <w:r>
        <w:rPr>
          <w:rFonts w:ascii="Calibri"/>
          <w:spacing w:val="-5"/>
          <w:sz w:val="20"/>
          <w:vertAlign w:val="baseline"/>
        </w:rPr>
        <w:t> </w:t>
      </w:r>
      <w:r>
        <w:rPr>
          <w:rFonts w:ascii="Calibri"/>
          <w:i/>
          <w:sz w:val="20"/>
          <w:vertAlign w:val="baseline"/>
        </w:rPr>
        <w:t>Foster</w:t>
      </w:r>
      <w:r>
        <w:rPr>
          <w:rFonts w:ascii="Calibri"/>
          <w:i/>
          <w:spacing w:val="-8"/>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Foster</w:t>
      </w:r>
      <w:r>
        <w:rPr>
          <w:rFonts w:ascii="Calibri"/>
          <w:i/>
          <w:spacing w:val="-11"/>
          <w:sz w:val="20"/>
          <w:vertAlign w:val="baseline"/>
        </w:rPr>
        <w:t> </w:t>
      </w:r>
      <w:r>
        <w:rPr>
          <w:rFonts w:ascii="Calibri"/>
          <w:sz w:val="20"/>
          <w:vertAlign w:val="baseline"/>
        </w:rPr>
        <w:t>(1916)</w:t>
      </w:r>
      <w:r>
        <w:rPr>
          <w:rFonts w:ascii="Calibri"/>
          <w:spacing w:val="-1"/>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Ch</w:t>
      </w:r>
      <w:r>
        <w:rPr>
          <w:rFonts w:ascii="Calibri"/>
          <w:spacing w:val="-6"/>
          <w:sz w:val="20"/>
          <w:vertAlign w:val="baseline"/>
        </w:rPr>
        <w:t> </w:t>
      </w:r>
      <w:r>
        <w:rPr>
          <w:rFonts w:ascii="Calibri"/>
          <w:spacing w:val="-4"/>
          <w:sz w:val="20"/>
          <w:vertAlign w:val="baseline"/>
        </w:rPr>
        <w:t>532.</w:t>
      </w:r>
    </w:p>
    <w:p>
      <w:pPr>
        <w:spacing w:after="0"/>
        <w:jc w:val="both"/>
        <w:rPr>
          <w:rFonts w:ascii="Calibri"/>
          <w:sz w:val="20"/>
        </w:rPr>
        <w:sectPr>
          <w:pgSz w:w="11910" w:h="16840"/>
          <w:pgMar w:header="0" w:footer="1003" w:top="1280" w:bottom="1200" w:left="1680" w:right="1180"/>
        </w:sectPr>
      </w:pPr>
    </w:p>
    <w:p>
      <w:pPr>
        <w:pStyle w:val="Heading1"/>
        <w:ind w:left="80"/>
      </w:pPr>
      <w:bookmarkStart w:name="_TOC_250034" w:id="18"/>
      <w:r>
        <w:rPr/>
        <w:t>CHAPTER</w:t>
      </w:r>
      <w:r>
        <w:rPr>
          <w:spacing w:val="-12"/>
        </w:rPr>
        <w:t> </w:t>
      </w:r>
      <w:bookmarkEnd w:id="18"/>
      <w:r>
        <w:rPr>
          <w:spacing w:val="-2"/>
        </w:rPr>
        <w:t>THREE</w:t>
      </w:r>
    </w:p>
    <w:p>
      <w:pPr>
        <w:pStyle w:val="BodyText"/>
        <w:spacing w:before="275"/>
        <w:ind w:left="725" w:right="646" w:hanging="7"/>
        <w:jc w:val="center"/>
        <w:rPr>
          <w:rFonts w:ascii="Arial Black"/>
        </w:rPr>
      </w:pPr>
      <w:r>
        <w:rPr>
          <w:rFonts w:ascii="Arial Black"/>
        </w:rPr>
        <w:t>DUTIES OF CARE AND SKILL AND FIDUCIARY DUTIES OF LOYALTY</w:t>
      </w:r>
      <w:r>
        <w:rPr>
          <w:rFonts w:ascii="Arial Black"/>
          <w:spacing w:val="-2"/>
        </w:rPr>
        <w:t> </w:t>
      </w:r>
      <w:r>
        <w:rPr>
          <w:rFonts w:ascii="Arial Black"/>
        </w:rPr>
        <w:t>AND</w:t>
      </w:r>
      <w:r>
        <w:rPr>
          <w:rFonts w:ascii="Arial Black"/>
          <w:spacing w:val="-6"/>
        </w:rPr>
        <w:t> </w:t>
      </w:r>
      <w:r>
        <w:rPr>
          <w:rFonts w:ascii="Arial Black"/>
        </w:rPr>
        <w:t>GOOD</w:t>
      </w:r>
      <w:r>
        <w:rPr>
          <w:rFonts w:ascii="Arial Black"/>
          <w:spacing w:val="-6"/>
        </w:rPr>
        <w:t> </w:t>
      </w:r>
      <w:r>
        <w:rPr>
          <w:rFonts w:ascii="Arial Black"/>
        </w:rPr>
        <w:t>FAITH UNDER</w:t>
      </w:r>
      <w:r>
        <w:rPr>
          <w:rFonts w:ascii="Arial Black"/>
          <w:spacing w:val="-11"/>
        </w:rPr>
        <w:t> </w:t>
      </w:r>
      <w:r>
        <w:rPr>
          <w:rFonts w:ascii="Arial Black"/>
        </w:rPr>
        <w:t>THE</w:t>
      </w:r>
      <w:r>
        <w:rPr>
          <w:rFonts w:ascii="Arial Black"/>
          <w:spacing w:val="-3"/>
        </w:rPr>
        <w:t> </w:t>
      </w:r>
      <w:r>
        <w:rPr>
          <w:rFonts w:ascii="Arial Black"/>
        </w:rPr>
        <w:t>COMPANIES</w:t>
      </w:r>
      <w:r>
        <w:rPr>
          <w:rFonts w:ascii="Arial Black"/>
          <w:spacing w:val="-3"/>
        </w:rPr>
        <w:t> </w:t>
      </w:r>
      <w:r>
        <w:rPr>
          <w:rFonts w:ascii="Arial Black"/>
        </w:rPr>
        <w:t>AND ALLIED MATTERS ACT</w:t>
      </w:r>
    </w:p>
    <w:p>
      <w:pPr>
        <w:pStyle w:val="Heading2"/>
        <w:numPr>
          <w:ilvl w:val="1"/>
          <w:numId w:val="12"/>
        </w:numPr>
        <w:tabs>
          <w:tab w:pos="1028" w:val="left" w:leader="none"/>
        </w:tabs>
        <w:spacing w:line="240" w:lineRule="auto" w:before="197" w:after="0"/>
        <w:ind w:left="1028" w:right="0" w:hanging="720"/>
        <w:jc w:val="left"/>
      </w:pPr>
      <w:bookmarkStart w:name="_TOC_250033" w:id="19"/>
      <w:bookmarkEnd w:id="19"/>
      <w:r>
        <w:rPr>
          <w:spacing w:val="-2"/>
        </w:rPr>
        <w:t>Introduction</w:t>
      </w:r>
    </w:p>
    <w:p>
      <w:pPr>
        <w:pStyle w:val="BodyText"/>
        <w:spacing w:before="137"/>
        <w:jc w:val="both"/>
      </w:pPr>
      <w:r>
        <w:rPr/>
        <w:t>The</w:t>
      </w:r>
      <w:r>
        <w:rPr>
          <w:spacing w:val="13"/>
        </w:rPr>
        <w:t> </w:t>
      </w:r>
      <w:r>
        <w:rPr/>
        <w:t>duties</w:t>
      </w:r>
      <w:r>
        <w:rPr>
          <w:spacing w:val="18"/>
        </w:rPr>
        <w:t> </w:t>
      </w:r>
      <w:r>
        <w:rPr/>
        <w:t>company</w:t>
      </w:r>
      <w:r>
        <w:rPr>
          <w:spacing w:val="10"/>
        </w:rPr>
        <w:t> </w:t>
      </w:r>
      <w:r>
        <w:rPr/>
        <w:t>directors</w:t>
      </w:r>
      <w:r>
        <w:rPr>
          <w:spacing w:val="13"/>
        </w:rPr>
        <w:t> </w:t>
      </w:r>
      <w:r>
        <w:rPr/>
        <w:t>owe</w:t>
      </w:r>
      <w:r>
        <w:rPr>
          <w:spacing w:val="14"/>
        </w:rPr>
        <w:t> </w:t>
      </w:r>
      <w:r>
        <w:rPr/>
        <w:t>under</w:t>
      </w:r>
      <w:r>
        <w:rPr>
          <w:spacing w:val="17"/>
        </w:rPr>
        <w:t> </w:t>
      </w:r>
      <w:r>
        <w:rPr/>
        <w:t>the</w:t>
      </w:r>
      <w:r>
        <w:rPr>
          <w:spacing w:val="20"/>
        </w:rPr>
        <w:t> </w:t>
      </w:r>
      <w:r>
        <w:rPr/>
        <w:t>Companies</w:t>
      </w:r>
      <w:r>
        <w:rPr>
          <w:spacing w:val="13"/>
        </w:rPr>
        <w:t> </w:t>
      </w:r>
      <w:r>
        <w:rPr/>
        <w:t>and</w:t>
      </w:r>
      <w:r>
        <w:rPr>
          <w:spacing w:val="20"/>
        </w:rPr>
        <w:t> </w:t>
      </w:r>
      <w:r>
        <w:rPr/>
        <w:t>Allied</w:t>
      </w:r>
      <w:r>
        <w:rPr>
          <w:spacing w:val="20"/>
        </w:rPr>
        <w:t> </w:t>
      </w:r>
      <w:r>
        <w:rPr/>
        <w:t>Matters</w:t>
      </w:r>
      <w:r>
        <w:rPr>
          <w:spacing w:val="13"/>
        </w:rPr>
        <w:t> </w:t>
      </w:r>
      <w:r>
        <w:rPr/>
        <w:t>Act</w:t>
      </w:r>
      <w:r>
        <w:rPr>
          <w:spacing w:val="20"/>
        </w:rPr>
        <w:t> </w:t>
      </w:r>
      <w:r>
        <w:rPr>
          <w:spacing w:val="-2"/>
        </w:rPr>
        <w:t>1990</w:t>
      </w:r>
      <w:r>
        <w:rPr>
          <w:spacing w:val="-2"/>
          <w:vertAlign w:val="superscript"/>
        </w:rPr>
        <w:t>1</w:t>
      </w:r>
    </w:p>
    <w:p>
      <w:pPr>
        <w:pStyle w:val="BodyText"/>
        <w:ind w:left="0"/>
      </w:pPr>
    </w:p>
    <w:p>
      <w:pPr>
        <w:pStyle w:val="BodyText"/>
        <w:spacing w:line="480" w:lineRule="auto"/>
        <w:ind w:right="232"/>
        <w:jc w:val="both"/>
      </w:pPr>
      <w:r>
        <w:rPr/>
        <w:t>―CAMA‖ are anchored in English law, specifically principles of common law and equity.</w:t>
      </w:r>
      <w:r>
        <w:rPr>
          <w:vertAlign w:val="superscript"/>
        </w:rPr>
        <w:t>2</w:t>
      </w:r>
      <w:r>
        <w:rPr>
          <w:vertAlign w:val="baseline"/>
        </w:rPr>
        <w:t> As the Nigerian corporate legal system is fairly young,</w:t>
      </w:r>
      <w:r>
        <w:rPr>
          <w:vertAlign w:val="superscript"/>
        </w:rPr>
        <w:t>3</w:t>
      </w:r>
      <w:r>
        <w:rPr>
          <w:vertAlign w:val="baseline"/>
        </w:rPr>
        <w:t> there are relatively few local decisions supporting the provisions in the CAMA. Indeed, Nigerian courts more often rely on English decisions to arrive at their own conclusions. In order to have a thorough discussion in this chapter therefore, considerable dependence on English authorities cannot be avoided.</w:t>
      </w:r>
    </w:p>
    <w:p>
      <w:pPr>
        <w:pStyle w:val="BodyText"/>
        <w:spacing w:line="480" w:lineRule="auto" w:before="1"/>
        <w:ind w:right="226" w:firstLine="720"/>
        <w:jc w:val="both"/>
      </w:pPr>
      <w:r>
        <w:rPr/>
        <w:t>Directors being essentially trustees and agents, the duties they owe are mainly categorised into two: those relating to </w:t>
      </w:r>
      <w:r>
        <w:rPr>
          <w:i/>
        </w:rPr>
        <w:t>care and skill </w:t>
      </w:r>
      <w:r>
        <w:rPr/>
        <w:t>and then</w:t>
      </w:r>
      <w:r>
        <w:rPr>
          <w:i/>
        </w:rPr>
        <w:t>loyalty and good faith. </w:t>
      </w:r>
      <w:r>
        <w:rPr/>
        <w:t>Accordingly, the following discussions are generally grouped under corresponding headings.</w:t>
      </w:r>
      <w:r>
        <w:rPr>
          <w:spacing w:val="-1"/>
        </w:rPr>
        <w:t> </w:t>
      </w:r>
      <w:r>
        <w:rPr/>
        <w:t>Any</w:t>
      </w:r>
      <w:r>
        <w:rPr>
          <w:spacing w:val="-8"/>
        </w:rPr>
        <w:t> </w:t>
      </w:r>
      <w:r>
        <w:rPr/>
        <w:t>reference</w:t>
      </w:r>
      <w:r>
        <w:rPr>
          <w:spacing w:val="-3"/>
        </w:rPr>
        <w:t> </w:t>
      </w:r>
      <w:r>
        <w:rPr/>
        <w:t>to ―director‖</w:t>
      </w:r>
      <w:r>
        <w:rPr>
          <w:spacing w:val="-3"/>
        </w:rPr>
        <w:t> </w:t>
      </w:r>
      <w:r>
        <w:rPr/>
        <w:t>shall</w:t>
      </w:r>
      <w:r>
        <w:rPr>
          <w:spacing w:val="-6"/>
        </w:rPr>
        <w:t> </w:t>
      </w:r>
      <w:r>
        <w:rPr/>
        <w:t>allude</w:t>
      </w:r>
      <w:r>
        <w:rPr>
          <w:spacing w:val="-3"/>
        </w:rPr>
        <w:t> </w:t>
      </w:r>
      <w:r>
        <w:rPr/>
        <w:t>to both</w:t>
      </w:r>
      <w:r>
        <w:rPr>
          <w:spacing w:val="-11"/>
        </w:rPr>
        <w:t> </w:t>
      </w:r>
      <w:r>
        <w:rPr/>
        <w:t>the </w:t>
      </w:r>
      <w:r>
        <w:rPr>
          <w:i/>
        </w:rPr>
        <w:t>de</w:t>
      </w:r>
      <w:r>
        <w:rPr>
          <w:i/>
          <w:spacing w:val="-3"/>
        </w:rPr>
        <w:t> </w:t>
      </w:r>
      <w:r>
        <w:rPr>
          <w:i/>
        </w:rPr>
        <w:t>facto</w:t>
      </w:r>
      <w:r>
        <w:rPr>
          <w:i/>
          <w:spacing w:val="-5"/>
        </w:rPr>
        <w:t> </w:t>
      </w:r>
      <w:r>
        <w:rPr/>
        <w:t>and</w:t>
      </w:r>
      <w:r>
        <w:rPr>
          <w:spacing w:val="-3"/>
        </w:rPr>
        <w:t> </w:t>
      </w:r>
      <w:r>
        <w:rPr>
          <w:i/>
        </w:rPr>
        <w:t>de</w:t>
      </w:r>
      <w:r>
        <w:rPr>
          <w:i/>
          <w:spacing w:val="-3"/>
        </w:rPr>
        <w:t> </w:t>
      </w:r>
      <w:r>
        <w:rPr>
          <w:i/>
        </w:rPr>
        <w:t>jure. </w:t>
      </w:r>
      <w:r>
        <w:rPr/>
        <w:t>With respect to shadow directors particularly owing duties to the company, the CAMA is silent. Under common law, a shadow director does not normally owe fiduciary duties.</w:t>
      </w:r>
      <w:r>
        <w:rPr>
          <w:vertAlign w:val="superscript"/>
        </w:rPr>
        <w:t>4</w:t>
      </w:r>
      <w:r>
        <w:rPr>
          <w:vertAlign w:val="baseline"/>
        </w:rPr>
        <w:t>However, more</w:t>
      </w:r>
      <w:r>
        <w:rPr>
          <w:spacing w:val="-2"/>
          <w:vertAlign w:val="baseline"/>
        </w:rPr>
        <w:t> </w:t>
      </w:r>
      <w:r>
        <w:rPr>
          <w:vertAlign w:val="baseline"/>
        </w:rPr>
        <w:t>recent judicial</w:t>
      </w:r>
      <w:r>
        <w:rPr>
          <w:spacing w:val="-6"/>
          <w:vertAlign w:val="baseline"/>
        </w:rPr>
        <w:t> </w:t>
      </w:r>
      <w:r>
        <w:rPr>
          <w:vertAlign w:val="baseline"/>
        </w:rPr>
        <w:t>authority</w:t>
      </w:r>
      <w:r>
        <w:rPr>
          <w:spacing w:val="-11"/>
          <w:vertAlign w:val="baseline"/>
        </w:rPr>
        <w:t> </w:t>
      </w:r>
      <w:r>
        <w:rPr>
          <w:vertAlign w:val="baseline"/>
        </w:rPr>
        <w:t>suggests</w:t>
      </w:r>
      <w:r>
        <w:rPr>
          <w:spacing w:val="-8"/>
          <w:vertAlign w:val="baseline"/>
        </w:rPr>
        <w:t> </w:t>
      </w:r>
      <w:r>
        <w:rPr>
          <w:vertAlign w:val="baseline"/>
        </w:rPr>
        <w:t>that he may</w:t>
      </w:r>
      <w:r>
        <w:rPr>
          <w:spacing w:val="-6"/>
          <w:vertAlign w:val="baseline"/>
        </w:rPr>
        <w:t> </w:t>
      </w:r>
      <w:r>
        <w:rPr>
          <w:vertAlign w:val="baseline"/>
        </w:rPr>
        <w:t>owe the</w:t>
      </w:r>
      <w:r>
        <w:rPr>
          <w:spacing w:val="-2"/>
          <w:vertAlign w:val="baseline"/>
        </w:rPr>
        <w:t> </w:t>
      </w:r>
      <w:r>
        <w:rPr>
          <w:vertAlign w:val="baseline"/>
        </w:rPr>
        <w:t>duty</w:t>
      </w:r>
      <w:r>
        <w:rPr>
          <w:spacing w:val="-11"/>
          <w:vertAlign w:val="baseline"/>
        </w:rPr>
        <w:t> </w:t>
      </w:r>
      <w:r>
        <w:rPr>
          <w:vertAlign w:val="baseline"/>
        </w:rPr>
        <w:t>to act in good faith towards the company, at</w:t>
      </w:r>
      <w:r>
        <w:rPr>
          <w:spacing w:val="29"/>
          <w:vertAlign w:val="baseline"/>
        </w:rPr>
        <w:t> </w:t>
      </w:r>
      <w:r>
        <w:rPr>
          <w:vertAlign w:val="baseline"/>
        </w:rPr>
        <w:t>least</w:t>
      </w:r>
      <w:r>
        <w:rPr>
          <w:spacing w:val="24"/>
          <w:vertAlign w:val="baseline"/>
        </w:rPr>
        <w:t> </w:t>
      </w:r>
      <w:r>
        <w:rPr>
          <w:vertAlign w:val="baseline"/>
        </w:rPr>
        <w:t>in relation to the directions or instructions he</w:t>
      </w:r>
      <w:r>
        <w:rPr>
          <w:spacing w:val="40"/>
          <w:vertAlign w:val="baseline"/>
        </w:rPr>
        <w:t> </w:t>
      </w:r>
      <w:r>
        <w:rPr>
          <w:vertAlign w:val="baseline"/>
        </w:rPr>
        <w:t>gives</w:t>
      </w:r>
      <w:r>
        <w:rPr>
          <w:spacing w:val="40"/>
          <w:vertAlign w:val="baseline"/>
        </w:rPr>
        <w:t> </w:t>
      </w:r>
      <w:r>
        <w:rPr>
          <w:vertAlign w:val="baseline"/>
        </w:rPr>
        <w:t>the</w:t>
      </w:r>
      <w:r>
        <w:rPr>
          <w:spacing w:val="40"/>
          <w:vertAlign w:val="baseline"/>
        </w:rPr>
        <w:t> </w:t>
      </w:r>
      <w:r>
        <w:rPr>
          <w:vertAlign w:val="baseline"/>
        </w:rPr>
        <w:t>others.</w:t>
      </w:r>
      <w:r>
        <w:rPr>
          <w:vertAlign w:val="superscript"/>
        </w:rPr>
        <w:t>5</w:t>
      </w:r>
      <w:r>
        <w:rPr>
          <w:vertAlign w:val="baseline"/>
        </w:rPr>
        <w:t>Any</w:t>
      </w:r>
      <w:r>
        <w:rPr>
          <w:spacing w:val="40"/>
          <w:vertAlign w:val="baseline"/>
        </w:rPr>
        <w:t> </w:t>
      </w:r>
      <w:r>
        <w:rPr>
          <w:vertAlign w:val="baseline"/>
        </w:rPr>
        <w:t>reference</w:t>
      </w:r>
      <w:r>
        <w:rPr>
          <w:spacing w:val="40"/>
          <w:vertAlign w:val="baseline"/>
        </w:rPr>
        <w:t> </w:t>
      </w:r>
      <w:r>
        <w:rPr>
          <w:vertAlign w:val="baseline"/>
        </w:rPr>
        <w:t>to</w:t>
      </w:r>
      <w:r>
        <w:rPr>
          <w:spacing w:val="55"/>
          <w:vertAlign w:val="baseline"/>
        </w:rPr>
        <w:t> </w:t>
      </w:r>
      <w:r>
        <w:rPr>
          <w:vertAlign w:val="baseline"/>
        </w:rPr>
        <w:t>sections</w:t>
      </w:r>
      <w:r>
        <w:rPr>
          <w:spacing w:val="40"/>
          <w:vertAlign w:val="baseline"/>
        </w:rPr>
        <w:t> </w:t>
      </w:r>
      <w:r>
        <w:rPr>
          <w:vertAlign w:val="baseline"/>
        </w:rPr>
        <w:t>or</w:t>
      </w:r>
      <w:r>
        <w:rPr>
          <w:spacing w:val="40"/>
          <w:vertAlign w:val="baseline"/>
        </w:rPr>
        <w:t> </w:t>
      </w:r>
      <w:r>
        <w:rPr>
          <w:vertAlign w:val="baseline"/>
        </w:rPr>
        <w:t>―the</w:t>
      </w:r>
      <w:r>
        <w:rPr>
          <w:spacing w:val="40"/>
          <w:vertAlign w:val="baseline"/>
        </w:rPr>
        <w:t> </w:t>
      </w:r>
      <w:r>
        <w:rPr>
          <w:vertAlign w:val="baseline"/>
        </w:rPr>
        <w:t>Act‖</w:t>
      </w:r>
      <w:r>
        <w:rPr>
          <w:spacing w:val="40"/>
          <w:vertAlign w:val="baseline"/>
        </w:rPr>
        <w:t> </w:t>
      </w:r>
      <w:r>
        <w:rPr>
          <w:vertAlign w:val="baseline"/>
        </w:rPr>
        <w:t>herein</w:t>
      </w:r>
      <w:r>
        <w:rPr>
          <w:spacing w:val="40"/>
          <w:vertAlign w:val="baseline"/>
        </w:rPr>
        <w:t> </w:t>
      </w:r>
      <w:r>
        <w:rPr>
          <w:vertAlign w:val="baseline"/>
        </w:rPr>
        <w:t>shall</w:t>
      </w:r>
      <w:r>
        <w:rPr>
          <w:spacing w:val="40"/>
          <w:vertAlign w:val="baseline"/>
        </w:rPr>
        <w:t> </w:t>
      </w:r>
      <w:r>
        <w:rPr>
          <w:vertAlign w:val="baseline"/>
        </w:rPr>
        <w:t>be</w:t>
      </w:r>
      <w:r>
        <w:rPr>
          <w:spacing w:val="40"/>
          <w:vertAlign w:val="baseline"/>
        </w:rPr>
        <w:t> </w:t>
      </w:r>
      <w:r>
        <w:rPr>
          <w:vertAlign w:val="baseline"/>
        </w:rPr>
        <w:t>to</w:t>
      </w:r>
      <w:r>
        <w:rPr>
          <w:spacing w:val="40"/>
          <w:vertAlign w:val="baseline"/>
        </w:rPr>
        <w:t> </w:t>
      </w:r>
      <w:r>
        <w:rPr>
          <w:vertAlign w:val="baseline"/>
        </w:rPr>
        <w:t>the</w:t>
      </w:r>
    </w:p>
    <w:p>
      <w:pPr>
        <w:pStyle w:val="BodyText"/>
        <w:ind w:left="0"/>
        <w:rPr>
          <w:sz w:val="20"/>
        </w:rPr>
      </w:pPr>
    </w:p>
    <w:p>
      <w:pPr>
        <w:pStyle w:val="BodyText"/>
        <w:spacing w:before="30"/>
        <w:ind w:left="0"/>
        <w:rPr>
          <w:sz w:val="20"/>
        </w:rPr>
      </w:pPr>
      <w:r>
        <w:rPr/>
        <mc:AlternateContent>
          <mc:Choice Requires="wps">
            <w:drawing>
              <wp:anchor distT="0" distB="0" distL="0" distR="0" allowOverlap="1" layoutInCell="1" locked="0" behindDoc="1" simplePos="0" relativeHeight="487634432">
                <wp:simplePos x="0" y="0"/>
                <wp:positionH relativeFrom="page">
                  <wp:posOffset>1262481</wp:posOffset>
                </wp:positionH>
                <wp:positionV relativeFrom="paragraph">
                  <wp:posOffset>180740</wp:posOffset>
                </wp:positionV>
                <wp:extent cx="1829435" cy="9525"/>
                <wp:effectExtent l="0" t="0" r="0" b="0"/>
                <wp:wrapTopAndBottom/>
                <wp:docPr id="101" name="Graphic 101"/>
                <wp:cNvGraphicFramePr>
                  <a:graphicFrameLocks/>
                </wp:cNvGraphicFramePr>
                <a:graphic>
                  <a:graphicData uri="http://schemas.microsoft.com/office/word/2010/wordprocessingShape">
                    <wps:wsp>
                      <wps:cNvPr id="101" name="Graphic 10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231553pt;width:144.050pt;height:.71997pt;mso-position-horizontal-relative:page;mso-position-vertical-relative:paragraph;z-index:-15682048;mso-wrap-distance-left:0;mso-wrap-distance-right:0" id="docshape56"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1</w:t>
      </w:r>
      <w:r>
        <w:rPr>
          <w:rFonts w:ascii="Calibri"/>
          <w:spacing w:val="-1"/>
          <w:sz w:val="20"/>
          <w:vertAlign w:val="baseline"/>
        </w:rPr>
        <w:t> </w:t>
      </w:r>
      <w:r>
        <w:rPr>
          <w:rFonts w:ascii="Calibri"/>
          <w:sz w:val="20"/>
          <w:vertAlign w:val="baseline"/>
        </w:rPr>
        <w:t>Cap</w:t>
      </w:r>
      <w:r>
        <w:rPr>
          <w:rFonts w:ascii="Calibri"/>
          <w:spacing w:val="-2"/>
          <w:sz w:val="20"/>
          <w:vertAlign w:val="baseline"/>
        </w:rPr>
        <w:t> </w:t>
      </w:r>
      <w:r>
        <w:rPr>
          <w:rFonts w:ascii="Calibri"/>
          <w:sz w:val="20"/>
          <w:vertAlign w:val="baseline"/>
        </w:rPr>
        <w:t>C20,</w:t>
      </w:r>
      <w:r>
        <w:rPr>
          <w:rFonts w:ascii="Calibri"/>
          <w:spacing w:val="-4"/>
          <w:sz w:val="20"/>
          <w:vertAlign w:val="baseline"/>
        </w:rPr>
        <w:t> </w:t>
      </w:r>
      <w:r>
        <w:rPr>
          <w:rFonts w:ascii="Calibri"/>
          <w:sz w:val="20"/>
          <w:vertAlign w:val="baseline"/>
        </w:rPr>
        <w:t>Laws</w:t>
      </w:r>
      <w:r>
        <w:rPr>
          <w:rFonts w:ascii="Calibri"/>
          <w:spacing w:val="-4"/>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Federation</w:t>
      </w:r>
      <w:r>
        <w:rPr>
          <w:rFonts w:ascii="Calibri"/>
          <w:spacing w:val="-6"/>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Nigeria</w:t>
      </w:r>
      <w:r>
        <w:rPr>
          <w:rFonts w:ascii="Calibri"/>
          <w:spacing w:val="-6"/>
          <w:sz w:val="20"/>
          <w:vertAlign w:val="baseline"/>
        </w:rPr>
        <w:t> </w:t>
      </w:r>
      <w:r>
        <w:rPr>
          <w:rFonts w:ascii="Calibri"/>
          <w:spacing w:val="-2"/>
          <w:sz w:val="20"/>
          <w:vertAlign w:val="baseline"/>
        </w:rPr>
        <w:t>2004.</w:t>
      </w:r>
    </w:p>
    <w:p>
      <w:pPr>
        <w:spacing w:line="237" w:lineRule="auto" w:before="3"/>
        <w:ind w:left="308" w:right="224" w:firstLine="0"/>
        <w:jc w:val="both"/>
        <w:rPr>
          <w:rFonts w:ascii="Calibri" w:hAnsi="Calibri"/>
          <w:sz w:val="20"/>
        </w:rPr>
      </w:pPr>
      <w:r>
        <w:rPr>
          <w:rFonts w:ascii="Calibri" w:hAnsi="Calibri"/>
          <w:sz w:val="20"/>
          <w:vertAlign w:val="superscript"/>
        </w:rPr>
        <w:t>2</w:t>
      </w:r>
      <w:r>
        <w:rPr>
          <w:rFonts w:ascii="Calibri" w:hAnsi="Calibri"/>
          <w:sz w:val="20"/>
          <w:vertAlign w:val="baseline"/>
        </w:rPr>
        <w:t>In particular, the duties of care and skill are an aspect of the tort of negligence while the fiduciary</w:t>
      </w:r>
      <w:r>
        <w:rPr>
          <w:rFonts w:ascii="Calibri" w:hAnsi="Calibri"/>
          <w:spacing w:val="80"/>
          <w:sz w:val="20"/>
          <w:vertAlign w:val="baseline"/>
        </w:rPr>
        <w:t> </w:t>
      </w:r>
      <w:r>
        <w:rPr>
          <w:rFonts w:ascii="Calibri" w:hAnsi="Calibri"/>
          <w:sz w:val="20"/>
          <w:vertAlign w:val="baseline"/>
        </w:rPr>
        <w:t>duties sprung from equity. See Wild, C. and Weinstein, S. (2009).</w:t>
      </w:r>
      <w:r>
        <w:rPr>
          <w:rFonts w:ascii="Calibri" w:hAnsi="Calibri"/>
          <w:i/>
          <w:sz w:val="20"/>
          <w:vertAlign w:val="baseline"/>
        </w:rPr>
        <w:t>Smith &amp; Keenan’s Company Law.</w:t>
      </w:r>
      <w:r>
        <w:rPr>
          <w:rFonts w:ascii="Calibri" w:hAnsi="Calibri"/>
          <w:sz w:val="20"/>
          <w:vertAlign w:val="baseline"/>
        </w:rPr>
        <w:t>14</w:t>
      </w:r>
      <w:r>
        <w:rPr>
          <w:rFonts w:ascii="Calibri" w:hAnsi="Calibri"/>
          <w:sz w:val="20"/>
          <w:vertAlign w:val="superscript"/>
        </w:rPr>
        <w:t>th</w:t>
      </w:r>
      <w:r>
        <w:rPr>
          <w:rFonts w:ascii="Calibri" w:hAnsi="Calibri"/>
          <w:sz w:val="20"/>
          <w:vertAlign w:val="baseline"/>
        </w:rPr>
        <w:t> edition, Pearson Education Limited, England, p. 334.</w:t>
      </w:r>
    </w:p>
    <w:p>
      <w:pPr>
        <w:spacing w:before="3"/>
        <w:ind w:left="308" w:right="234" w:firstLine="0"/>
        <w:jc w:val="both"/>
        <w:rPr>
          <w:rFonts w:ascii="Calibri"/>
          <w:sz w:val="20"/>
        </w:rPr>
      </w:pPr>
      <w:r>
        <w:rPr>
          <w:rFonts w:ascii="Calibri"/>
          <w:sz w:val="20"/>
          <w:vertAlign w:val="superscript"/>
        </w:rPr>
        <w:t>3</w:t>
      </w:r>
      <w:r>
        <w:rPr>
          <w:rFonts w:ascii="Calibri"/>
          <w:sz w:val="20"/>
          <w:vertAlign w:val="baseline"/>
        </w:rPr>
        <w:t> With the first indigenous companies law promulgated by decree in 1968, i.e. the Companies Decree</w:t>
      </w:r>
      <w:r>
        <w:rPr>
          <w:rFonts w:ascii="Calibri"/>
          <w:spacing w:val="40"/>
          <w:sz w:val="20"/>
          <w:vertAlign w:val="baseline"/>
        </w:rPr>
        <w:t> </w:t>
      </w:r>
      <w:r>
        <w:rPr>
          <w:rFonts w:ascii="Calibri"/>
          <w:sz w:val="20"/>
          <w:vertAlign w:val="baseline"/>
        </w:rPr>
        <w:t>No. 51 of 1968. Prior to this, there were various ordinances periodically made by colonial</w:t>
      </w:r>
      <w:r>
        <w:rPr>
          <w:rFonts w:ascii="Calibri"/>
          <w:spacing w:val="80"/>
          <w:sz w:val="20"/>
          <w:vertAlign w:val="baseline"/>
        </w:rPr>
        <w:t> </w:t>
      </w:r>
      <w:r>
        <w:rPr>
          <w:rFonts w:ascii="Calibri"/>
          <w:spacing w:val="-2"/>
          <w:sz w:val="20"/>
          <w:vertAlign w:val="baseline"/>
        </w:rPr>
        <w:t>administrators.</w:t>
      </w:r>
    </w:p>
    <w:p>
      <w:pPr>
        <w:spacing w:before="2"/>
        <w:ind w:left="308" w:right="0" w:firstLine="0"/>
        <w:jc w:val="both"/>
        <w:rPr>
          <w:rFonts w:ascii="Calibri"/>
          <w:sz w:val="20"/>
        </w:rPr>
      </w:pPr>
      <w:r>
        <w:rPr>
          <w:rFonts w:ascii="Calibri"/>
          <w:sz w:val="20"/>
          <w:vertAlign w:val="superscript"/>
        </w:rPr>
        <w:t>4</w:t>
      </w:r>
      <w:r>
        <w:rPr>
          <w:rFonts w:ascii="Calibri"/>
          <w:i/>
          <w:sz w:val="20"/>
          <w:vertAlign w:val="baseline"/>
        </w:rPr>
        <w:t>Ultraframe</w:t>
      </w:r>
      <w:r>
        <w:rPr>
          <w:rFonts w:ascii="Calibri"/>
          <w:i/>
          <w:spacing w:val="-8"/>
          <w:sz w:val="20"/>
          <w:vertAlign w:val="baseline"/>
        </w:rPr>
        <w:t> </w:t>
      </w:r>
      <w:r>
        <w:rPr>
          <w:rFonts w:ascii="Calibri"/>
          <w:i/>
          <w:sz w:val="20"/>
          <w:vertAlign w:val="baseline"/>
        </w:rPr>
        <w:t>(UK)</w:t>
      </w:r>
      <w:r>
        <w:rPr>
          <w:rFonts w:ascii="Calibri"/>
          <w:i/>
          <w:spacing w:val="-6"/>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Fielding</w:t>
      </w:r>
      <w:r>
        <w:rPr>
          <w:rFonts w:ascii="Calibri"/>
          <w:i/>
          <w:spacing w:val="-4"/>
          <w:sz w:val="20"/>
          <w:vertAlign w:val="baseline"/>
        </w:rPr>
        <w:t> </w:t>
      </w:r>
      <w:r>
        <w:rPr>
          <w:rFonts w:ascii="Calibri"/>
          <w:sz w:val="20"/>
          <w:vertAlign w:val="baseline"/>
        </w:rPr>
        <w:t>(2005)</w:t>
      </w:r>
      <w:r>
        <w:rPr>
          <w:rFonts w:ascii="Calibri"/>
          <w:spacing w:val="-6"/>
          <w:sz w:val="20"/>
          <w:vertAlign w:val="baseline"/>
        </w:rPr>
        <w:t> </w:t>
      </w:r>
      <w:r>
        <w:rPr>
          <w:rFonts w:ascii="Calibri"/>
          <w:sz w:val="20"/>
          <w:vertAlign w:val="baseline"/>
        </w:rPr>
        <w:t>EWHC</w:t>
      </w:r>
      <w:r>
        <w:rPr>
          <w:rFonts w:ascii="Calibri"/>
          <w:spacing w:val="-5"/>
          <w:sz w:val="20"/>
          <w:vertAlign w:val="baseline"/>
        </w:rPr>
        <w:t> </w:t>
      </w:r>
      <w:r>
        <w:rPr>
          <w:rFonts w:ascii="Calibri"/>
          <w:sz w:val="20"/>
          <w:vertAlign w:val="baseline"/>
        </w:rPr>
        <w:t>1638</w:t>
      </w:r>
      <w:r>
        <w:rPr>
          <w:rFonts w:ascii="Calibri"/>
          <w:spacing w:val="-8"/>
          <w:sz w:val="20"/>
          <w:vertAlign w:val="baseline"/>
        </w:rPr>
        <w:t> </w:t>
      </w:r>
      <w:r>
        <w:rPr>
          <w:rFonts w:ascii="Calibri"/>
          <w:spacing w:val="-4"/>
          <w:sz w:val="20"/>
          <w:vertAlign w:val="baseline"/>
        </w:rPr>
        <w:t>(Ch).</w:t>
      </w:r>
    </w:p>
    <w:p>
      <w:pPr>
        <w:spacing w:before="0"/>
        <w:ind w:left="308" w:right="0" w:firstLine="0"/>
        <w:jc w:val="both"/>
        <w:rPr>
          <w:rFonts w:ascii="Calibri"/>
          <w:b/>
          <w:sz w:val="20"/>
        </w:rPr>
      </w:pPr>
      <w:r>
        <w:rPr>
          <w:rFonts w:ascii="Calibri"/>
          <w:sz w:val="20"/>
          <w:vertAlign w:val="superscript"/>
        </w:rPr>
        <w:t>5</w:t>
      </w:r>
      <w:r>
        <w:rPr>
          <w:rFonts w:ascii="Calibri"/>
          <w:spacing w:val="-5"/>
          <w:sz w:val="20"/>
          <w:vertAlign w:val="baseline"/>
        </w:rPr>
        <w:t> </w:t>
      </w:r>
      <w:r>
        <w:rPr>
          <w:rFonts w:ascii="Calibri"/>
          <w:sz w:val="20"/>
          <w:vertAlign w:val="baseline"/>
        </w:rPr>
        <w:t>See</w:t>
      </w:r>
      <w:r>
        <w:rPr>
          <w:rFonts w:ascii="Calibri"/>
          <w:spacing w:val="-5"/>
          <w:sz w:val="20"/>
          <w:vertAlign w:val="baseline"/>
        </w:rPr>
        <w:t> </w:t>
      </w:r>
      <w:r>
        <w:rPr>
          <w:rFonts w:ascii="Calibri"/>
          <w:b/>
          <w:i/>
          <w:sz w:val="20"/>
          <w:vertAlign w:val="baseline"/>
        </w:rPr>
        <w:t>Vivendi</w:t>
      </w:r>
      <w:r>
        <w:rPr>
          <w:rFonts w:ascii="Calibri"/>
          <w:b/>
          <w:i/>
          <w:spacing w:val="-7"/>
          <w:sz w:val="20"/>
          <w:vertAlign w:val="baseline"/>
        </w:rPr>
        <w:t> </w:t>
      </w:r>
      <w:r>
        <w:rPr>
          <w:rFonts w:ascii="Calibri"/>
          <w:b/>
          <w:i/>
          <w:sz w:val="20"/>
          <w:vertAlign w:val="baseline"/>
        </w:rPr>
        <w:t>SA</w:t>
      </w:r>
      <w:r>
        <w:rPr>
          <w:rFonts w:ascii="Calibri"/>
          <w:b/>
          <w:i/>
          <w:spacing w:val="-7"/>
          <w:sz w:val="20"/>
          <w:vertAlign w:val="baseline"/>
        </w:rPr>
        <w:t> </w:t>
      </w:r>
      <w:r>
        <w:rPr>
          <w:rFonts w:ascii="Calibri"/>
          <w:b/>
          <w:i/>
          <w:sz w:val="20"/>
          <w:vertAlign w:val="baseline"/>
        </w:rPr>
        <w:t>vs.</w:t>
      </w:r>
      <w:r>
        <w:rPr>
          <w:rFonts w:ascii="Calibri"/>
          <w:b/>
          <w:i/>
          <w:spacing w:val="-7"/>
          <w:sz w:val="20"/>
          <w:vertAlign w:val="baseline"/>
        </w:rPr>
        <w:t> </w:t>
      </w:r>
      <w:r>
        <w:rPr>
          <w:rFonts w:ascii="Calibri"/>
          <w:b/>
          <w:i/>
          <w:sz w:val="20"/>
          <w:vertAlign w:val="baseline"/>
        </w:rPr>
        <w:t>Richards</w:t>
      </w:r>
      <w:r>
        <w:rPr>
          <w:rFonts w:ascii="Calibri"/>
          <w:b/>
          <w:i/>
          <w:spacing w:val="-3"/>
          <w:sz w:val="20"/>
          <w:vertAlign w:val="baseline"/>
        </w:rPr>
        <w:t> </w:t>
      </w:r>
      <w:r>
        <w:rPr>
          <w:rFonts w:ascii="Calibri"/>
          <w:b/>
          <w:sz w:val="20"/>
          <w:vertAlign w:val="baseline"/>
        </w:rPr>
        <w:t>(2013)</w:t>
      </w:r>
      <w:r>
        <w:rPr>
          <w:rFonts w:ascii="Calibri"/>
          <w:b/>
          <w:spacing w:val="-1"/>
          <w:sz w:val="20"/>
          <w:vertAlign w:val="baseline"/>
        </w:rPr>
        <w:t> </w:t>
      </w:r>
      <w:r>
        <w:rPr>
          <w:rFonts w:ascii="Calibri"/>
          <w:b/>
          <w:sz w:val="20"/>
          <w:vertAlign w:val="baseline"/>
        </w:rPr>
        <w:t>EWHC</w:t>
      </w:r>
      <w:r>
        <w:rPr>
          <w:rFonts w:ascii="Calibri"/>
          <w:b/>
          <w:spacing w:val="-2"/>
          <w:sz w:val="20"/>
          <w:vertAlign w:val="baseline"/>
        </w:rPr>
        <w:t> 3006.</w:t>
      </w:r>
    </w:p>
    <w:p>
      <w:pPr>
        <w:spacing w:after="0"/>
        <w:jc w:val="both"/>
        <w:rPr>
          <w:rFonts w:ascii="Calibri"/>
          <w:sz w:val="20"/>
        </w:rPr>
        <w:sectPr>
          <w:pgSz w:w="11910" w:h="16840"/>
          <w:pgMar w:header="0" w:footer="1003" w:top="1300" w:bottom="1200" w:left="1680" w:right="1180"/>
        </w:sectPr>
      </w:pPr>
    </w:p>
    <w:p>
      <w:pPr>
        <w:pStyle w:val="BodyText"/>
        <w:spacing w:line="480" w:lineRule="auto" w:before="70"/>
        <w:ind w:right="241"/>
        <w:jc w:val="both"/>
      </w:pPr>
      <w:r>
        <w:rPr/>
        <w:t>CAMA,</w:t>
      </w:r>
      <w:r>
        <w:rPr>
          <w:spacing w:val="-15"/>
        </w:rPr>
        <w:t> </w:t>
      </w:r>
      <w:r>
        <w:rPr/>
        <w:t>unless</w:t>
      </w:r>
      <w:r>
        <w:rPr>
          <w:spacing w:val="-15"/>
        </w:rPr>
        <w:t> </w:t>
      </w:r>
      <w:r>
        <w:rPr/>
        <w:t>otherwise</w:t>
      </w:r>
      <w:r>
        <w:rPr>
          <w:spacing w:val="-15"/>
        </w:rPr>
        <w:t> </w:t>
      </w:r>
      <w:r>
        <w:rPr/>
        <w:t>stated.</w:t>
      </w:r>
      <w:r>
        <w:rPr>
          <w:spacing w:val="-15"/>
        </w:rPr>
        <w:t> </w:t>
      </w:r>
      <w:r>
        <w:rPr/>
        <w:t>For</w:t>
      </w:r>
      <w:r>
        <w:rPr>
          <w:spacing w:val="-15"/>
        </w:rPr>
        <w:t> </w:t>
      </w:r>
      <w:r>
        <w:rPr/>
        <w:t>clarity,</w:t>
      </w:r>
      <w:r>
        <w:rPr>
          <w:spacing w:val="-15"/>
        </w:rPr>
        <w:t> </w:t>
      </w:r>
      <w:r>
        <w:rPr/>
        <w:t>―company‖,</w:t>
      </w:r>
      <w:r>
        <w:rPr>
          <w:spacing w:val="-15"/>
        </w:rPr>
        <w:t> </w:t>
      </w:r>
      <w:r>
        <w:rPr/>
        <w:t>―firm‖</w:t>
      </w:r>
      <w:r>
        <w:rPr>
          <w:spacing w:val="-15"/>
        </w:rPr>
        <w:t> </w:t>
      </w:r>
      <w:r>
        <w:rPr/>
        <w:t>and</w:t>
      </w:r>
      <w:r>
        <w:rPr>
          <w:spacing w:val="-15"/>
        </w:rPr>
        <w:t> </w:t>
      </w:r>
      <w:r>
        <w:rPr/>
        <w:t>―corporation‖</w:t>
      </w:r>
      <w:r>
        <w:rPr>
          <w:spacing w:val="-15"/>
        </w:rPr>
        <w:t> </w:t>
      </w:r>
      <w:r>
        <w:rPr/>
        <w:t>will be used interchangeably as having the same contextual meaning.</w:t>
      </w:r>
    </w:p>
    <w:p>
      <w:pPr>
        <w:pStyle w:val="Heading2"/>
        <w:numPr>
          <w:ilvl w:val="1"/>
          <w:numId w:val="12"/>
        </w:numPr>
        <w:tabs>
          <w:tab w:pos="1027" w:val="left" w:leader="none"/>
        </w:tabs>
        <w:spacing w:line="240" w:lineRule="auto" w:before="5" w:after="0"/>
        <w:ind w:left="1027" w:right="0" w:hanging="719"/>
        <w:jc w:val="both"/>
      </w:pPr>
      <w:bookmarkStart w:name="_TOC_250032" w:id="20"/>
      <w:r>
        <w:rPr/>
        <w:t>General</w:t>
      </w:r>
      <w:r>
        <w:rPr>
          <w:spacing w:val="-4"/>
        </w:rPr>
        <w:t> </w:t>
      </w:r>
      <w:r>
        <w:rPr/>
        <w:t>Duties</w:t>
      </w:r>
      <w:r>
        <w:rPr>
          <w:spacing w:val="-2"/>
        </w:rPr>
        <w:t> </w:t>
      </w:r>
      <w:r>
        <w:rPr/>
        <w:t>of</w:t>
      </w:r>
      <w:bookmarkEnd w:id="20"/>
      <w:r>
        <w:rPr>
          <w:spacing w:val="-2"/>
        </w:rPr>
        <w:t> Directors</w:t>
      </w:r>
    </w:p>
    <w:p>
      <w:pPr>
        <w:pStyle w:val="BodyText"/>
        <w:spacing w:line="480" w:lineRule="auto" w:before="137"/>
        <w:ind w:right="229"/>
        <w:jc w:val="both"/>
      </w:pPr>
      <w:r>
        <w:rPr/>
        <w:t>Directors</w:t>
      </w:r>
      <w:r>
        <w:rPr>
          <w:spacing w:val="-2"/>
        </w:rPr>
        <w:t> </w:t>
      </w:r>
      <w:r>
        <w:rPr/>
        <w:t>being persons in charge</w:t>
      </w:r>
      <w:r>
        <w:rPr>
          <w:spacing w:val="-1"/>
        </w:rPr>
        <w:t> </w:t>
      </w:r>
      <w:r>
        <w:rPr/>
        <w:t>of</w:t>
      </w:r>
      <w:r>
        <w:rPr>
          <w:spacing w:val="-8"/>
        </w:rPr>
        <w:t> </w:t>
      </w:r>
      <w:r>
        <w:rPr/>
        <w:t>the management of</w:t>
      </w:r>
      <w:r>
        <w:rPr>
          <w:spacing w:val="-8"/>
        </w:rPr>
        <w:t> </w:t>
      </w:r>
      <w:r>
        <w:rPr/>
        <w:t>the</w:t>
      </w:r>
      <w:r>
        <w:rPr>
          <w:spacing w:val="-1"/>
        </w:rPr>
        <w:t> </w:t>
      </w:r>
      <w:r>
        <w:rPr/>
        <w:t>company, their duties</w:t>
      </w:r>
      <w:r>
        <w:rPr>
          <w:spacing w:val="-2"/>
        </w:rPr>
        <w:t> </w:t>
      </w:r>
      <w:r>
        <w:rPr/>
        <w:t>to the company are inarguably non-exhaustive. This fact springs from the idea of their being the ―minds and limbs of</w:t>
      </w:r>
      <w:r>
        <w:rPr>
          <w:spacing w:val="-5"/>
        </w:rPr>
        <w:t> </w:t>
      </w:r>
      <w:r>
        <w:rPr/>
        <w:t>the corporation‖. This therefore means that they</w:t>
      </w:r>
      <w:r>
        <w:rPr>
          <w:spacing w:val="-6"/>
        </w:rPr>
        <w:t> </w:t>
      </w:r>
      <w:r>
        <w:rPr/>
        <w:t>are constantly called upon to perform</w:t>
      </w:r>
      <w:r>
        <w:rPr>
          <w:spacing w:val="-4"/>
        </w:rPr>
        <w:t> </w:t>
      </w:r>
      <w:r>
        <w:rPr/>
        <w:t>one action or the other in the name of</w:t>
      </w:r>
      <w:r>
        <w:rPr>
          <w:spacing w:val="-2"/>
        </w:rPr>
        <w:t> </w:t>
      </w:r>
      <w:r>
        <w:rPr/>
        <w:t>the company. Thus, while they are required to go about their job displaying reasonable care and skill and also uphold their loyalty and good faith to the business, they are also obligated, given the relevant circumstances, to appoint the secretary,</w:t>
      </w:r>
      <w:r>
        <w:rPr>
          <w:vertAlign w:val="superscript"/>
        </w:rPr>
        <w:t>6</w:t>
      </w:r>
      <w:r>
        <w:rPr>
          <w:vertAlign w:val="baseline"/>
        </w:rPr>
        <w:t> prepare and present the financial statement,</w:t>
      </w:r>
      <w:r>
        <w:rPr>
          <w:vertAlign w:val="superscript"/>
        </w:rPr>
        <w:t>7</w:t>
      </w:r>
      <w:r>
        <w:rPr>
          <w:vertAlign w:val="baseline"/>
        </w:rPr>
        <w:t> make the declaration of solvency,</w:t>
      </w:r>
      <w:r>
        <w:rPr>
          <w:vertAlign w:val="superscript"/>
        </w:rPr>
        <w:t>8</w:t>
      </w:r>
      <w:r>
        <w:rPr>
          <w:vertAlign w:val="baseline"/>
        </w:rPr>
        <w:t> initiate suits in the name, and on behalf, of the company,</w:t>
      </w:r>
      <w:r>
        <w:rPr>
          <w:vertAlign w:val="superscript"/>
        </w:rPr>
        <w:t>9</w:t>
      </w:r>
      <w:r>
        <w:rPr>
          <w:vertAlign w:val="baseline"/>
        </w:rPr>
        <w:t>and give certain notices to the company.</w:t>
      </w:r>
      <w:r>
        <w:rPr>
          <w:vertAlign w:val="superscript"/>
        </w:rPr>
        <w:t>10</w:t>
      </w:r>
      <w:r>
        <w:rPr>
          <w:spacing w:val="40"/>
          <w:vertAlign w:val="baseline"/>
        </w:rPr>
        <w:t> </w:t>
      </w:r>
      <w:r>
        <w:rPr>
          <w:vertAlign w:val="baseline"/>
        </w:rPr>
        <w:t>While every duty of the director is important, this research is limited to the all-pervading general duties of care and skill and fiduciary duties of loyalty and good faith, discussed in broad terms, and expected of each director, personally.</w:t>
      </w:r>
    </w:p>
    <w:p>
      <w:pPr>
        <w:pStyle w:val="Heading2"/>
        <w:numPr>
          <w:ilvl w:val="1"/>
          <w:numId w:val="12"/>
        </w:numPr>
        <w:tabs>
          <w:tab w:pos="1027" w:val="left" w:leader="none"/>
        </w:tabs>
        <w:spacing w:line="240" w:lineRule="auto" w:before="204" w:after="0"/>
        <w:ind w:left="1027" w:right="0" w:hanging="719"/>
        <w:jc w:val="both"/>
      </w:pPr>
      <w:bookmarkStart w:name="_TOC_250031" w:id="21"/>
      <w:r>
        <w:rPr/>
        <w:t>Duties</w:t>
      </w:r>
      <w:r>
        <w:rPr>
          <w:spacing w:val="-3"/>
        </w:rPr>
        <w:t> </w:t>
      </w:r>
      <w:r>
        <w:rPr/>
        <w:t>of</w:t>
      </w:r>
      <w:r>
        <w:rPr>
          <w:spacing w:val="-2"/>
        </w:rPr>
        <w:t> </w:t>
      </w:r>
      <w:r>
        <w:rPr/>
        <w:t>Care</w:t>
      </w:r>
      <w:r>
        <w:rPr>
          <w:spacing w:val="-1"/>
        </w:rPr>
        <w:t> </w:t>
      </w:r>
      <w:r>
        <w:rPr/>
        <w:t>and</w:t>
      </w:r>
      <w:r>
        <w:rPr>
          <w:spacing w:val="1"/>
        </w:rPr>
        <w:t> </w:t>
      </w:r>
      <w:bookmarkEnd w:id="21"/>
      <w:r>
        <w:rPr>
          <w:spacing w:val="-4"/>
        </w:rPr>
        <w:t>Skill</w:t>
      </w:r>
    </w:p>
    <w:p>
      <w:pPr>
        <w:pStyle w:val="BodyText"/>
        <w:spacing w:line="480" w:lineRule="auto" w:before="271"/>
        <w:ind w:right="236"/>
        <w:jc w:val="both"/>
      </w:pPr>
      <w:r>
        <w:rPr/>
        <w:t>These duties have a common law base. A prominent feature of the limited company which had a bearing on the development of the duties of care and skill was that the concept</w:t>
      </w:r>
      <w:r>
        <w:rPr>
          <w:spacing w:val="-1"/>
        </w:rPr>
        <w:t> </w:t>
      </w:r>
      <w:r>
        <w:rPr/>
        <w:t>of</w:t>
      </w:r>
      <w:r>
        <w:rPr>
          <w:spacing w:val="-4"/>
        </w:rPr>
        <w:t> </w:t>
      </w:r>
      <w:r>
        <w:rPr/>
        <w:t>limited liability</w:t>
      </w:r>
      <w:r>
        <w:rPr>
          <w:spacing w:val="-10"/>
        </w:rPr>
        <w:t> </w:t>
      </w:r>
      <w:r>
        <w:rPr/>
        <w:t>ensures</w:t>
      </w:r>
      <w:r>
        <w:rPr>
          <w:spacing w:val="-3"/>
        </w:rPr>
        <w:t> </w:t>
      </w:r>
      <w:r>
        <w:rPr/>
        <w:t>that the</w:t>
      </w:r>
      <w:r>
        <w:rPr>
          <w:spacing w:val="-2"/>
        </w:rPr>
        <w:t> </w:t>
      </w:r>
      <w:r>
        <w:rPr/>
        <w:t>members</w:t>
      </w:r>
      <w:r>
        <w:rPr>
          <w:spacing w:val="-3"/>
        </w:rPr>
        <w:t> </w:t>
      </w:r>
      <w:r>
        <w:rPr/>
        <w:t>of</w:t>
      </w:r>
      <w:r>
        <w:rPr>
          <w:spacing w:val="-8"/>
        </w:rPr>
        <w:t> </w:t>
      </w:r>
      <w:r>
        <w:rPr/>
        <w:t>a</w:t>
      </w:r>
      <w:r>
        <w:rPr>
          <w:spacing w:val="-2"/>
        </w:rPr>
        <w:t> </w:t>
      </w:r>
      <w:r>
        <w:rPr/>
        <w:t>company</w:t>
      </w:r>
      <w:r>
        <w:rPr>
          <w:spacing w:val="-5"/>
        </w:rPr>
        <w:t> </w:t>
      </w:r>
      <w:r>
        <w:rPr/>
        <w:t>are</w:t>
      </w:r>
      <w:r>
        <w:rPr>
          <w:spacing w:val="-2"/>
        </w:rPr>
        <w:t> </w:t>
      </w:r>
      <w:r>
        <w:rPr/>
        <w:t>able</w:t>
      </w:r>
      <w:r>
        <w:rPr>
          <w:spacing w:val="-2"/>
        </w:rPr>
        <w:t> </w:t>
      </w:r>
      <w:r>
        <w:rPr/>
        <w:t>to limit their personal liability to the company‘s creditors for the company‘s debts. Thus, both shareholders and creditors have always had to accept significant financial risks in their</w:t>
      </w:r>
    </w:p>
    <w:p>
      <w:pPr>
        <w:pStyle w:val="BodyText"/>
        <w:ind w:left="0"/>
        <w:rPr>
          <w:sz w:val="20"/>
        </w:rPr>
      </w:pPr>
    </w:p>
    <w:p>
      <w:pPr>
        <w:pStyle w:val="BodyText"/>
        <w:ind w:left="0"/>
        <w:rPr>
          <w:sz w:val="20"/>
        </w:rPr>
      </w:pPr>
    </w:p>
    <w:p>
      <w:pPr>
        <w:pStyle w:val="BodyText"/>
        <w:ind w:left="0"/>
        <w:rPr>
          <w:sz w:val="20"/>
        </w:rPr>
      </w:pPr>
    </w:p>
    <w:p>
      <w:pPr>
        <w:pStyle w:val="BodyText"/>
        <w:spacing w:before="73"/>
        <w:ind w:left="0"/>
        <w:rPr>
          <w:sz w:val="20"/>
        </w:rPr>
      </w:pPr>
      <w:r>
        <w:rPr/>
        <mc:AlternateContent>
          <mc:Choice Requires="wps">
            <w:drawing>
              <wp:anchor distT="0" distB="0" distL="0" distR="0" allowOverlap="1" layoutInCell="1" locked="0" behindDoc="1" simplePos="0" relativeHeight="487634944">
                <wp:simplePos x="0" y="0"/>
                <wp:positionH relativeFrom="page">
                  <wp:posOffset>1262481</wp:posOffset>
                </wp:positionH>
                <wp:positionV relativeFrom="paragraph">
                  <wp:posOffset>208150</wp:posOffset>
                </wp:positionV>
                <wp:extent cx="1829435" cy="9525"/>
                <wp:effectExtent l="0" t="0" r="0" b="0"/>
                <wp:wrapTopAndBottom/>
                <wp:docPr id="102" name="Graphic 102"/>
                <wp:cNvGraphicFramePr>
                  <a:graphicFrameLocks/>
                </wp:cNvGraphicFramePr>
                <a:graphic>
                  <a:graphicData uri="http://schemas.microsoft.com/office/word/2010/wordprocessingShape">
                    <wps:wsp>
                      <wps:cNvPr id="102" name="Graphic 102"/>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389774pt;width:144.050pt;height:.72003pt;mso-position-horizontal-relative:page;mso-position-vertical-relative:paragraph;z-index:-15681536;mso-wrap-distance-left:0;mso-wrap-distance-right:0" id="docshape57"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6</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295</w:t>
      </w:r>
      <w:r>
        <w:rPr>
          <w:rFonts w:ascii="Calibri"/>
          <w:spacing w:val="-2"/>
          <w:sz w:val="20"/>
          <w:vertAlign w:val="baseline"/>
        </w:rPr>
        <w:t> </w:t>
      </w:r>
      <w:r>
        <w:rPr>
          <w:rFonts w:ascii="Calibri"/>
          <w:sz w:val="20"/>
          <w:vertAlign w:val="baseline"/>
        </w:rPr>
        <w:t>and</w:t>
      </w:r>
      <w:r>
        <w:rPr>
          <w:rFonts w:ascii="Calibri"/>
          <w:spacing w:val="-6"/>
          <w:sz w:val="20"/>
          <w:vertAlign w:val="baseline"/>
        </w:rPr>
        <w:t> </w:t>
      </w:r>
      <w:r>
        <w:rPr>
          <w:rFonts w:ascii="Calibri"/>
          <w:spacing w:val="-4"/>
          <w:sz w:val="20"/>
          <w:vertAlign w:val="baseline"/>
        </w:rPr>
        <w:t>296.</w:t>
      </w:r>
    </w:p>
    <w:p>
      <w:pPr>
        <w:spacing w:before="0"/>
        <w:ind w:left="308" w:right="0" w:firstLine="0"/>
        <w:jc w:val="left"/>
        <w:rPr>
          <w:rFonts w:ascii="Calibri"/>
          <w:sz w:val="20"/>
        </w:rPr>
      </w:pPr>
      <w:r>
        <w:rPr>
          <w:rFonts w:ascii="Calibri"/>
          <w:sz w:val="20"/>
          <w:vertAlign w:val="superscript"/>
        </w:rPr>
        <w:t>7</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334</w:t>
      </w:r>
      <w:r>
        <w:rPr>
          <w:rFonts w:ascii="Calibri"/>
          <w:spacing w:val="-2"/>
          <w:sz w:val="20"/>
          <w:vertAlign w:val="baseline"/>
        </w:rPr>
        <w:t> </w:t>
      </w:r>
      <w:r>
        <w:rPr>
          <w:rFonts w:ascii="Calibri"/>
          <w:sz w:val="20"/>
          <w:vertAlign w:val="baseline"/>
        </w:rPr>
        <w:t>and</w:t>
      </w:r>
      <w:r>
        <w:rPr>
          <w:rFonts w:ascii="Calibri"/>
          <w:spacing w:val="-6"/>
          <w:sz w:val="20"/>
          <w:vertAlign w:val="baseline"/>
        </w:rPr>
        <w:t> </w:t>
      </w:r>
      <w:r>
        <w:rPr>
          <w:rFonts w:ascii="Calibri"/>
          <w:spacing w:val="-4"/>
          <w:sz w:val="20"/>
          <w:vertAlign w:val="baseline"/>
        </w:rPr>
        <w:t>345.</w:t>
      </w:r>
    </w:p>
    <w:p>
      <w:pPr>
        <w:spacing w:before="1"/>
        <w:ind w:left="308" w:right="0" w:firstLine="0"/>
        <w:jc w:val="left"/>
        <w:rPr>
          <w:rFonts w:ascii="Calibri"/>
          <w:sz w:val="20"/>
        </w:rPr>
      </w:pPr>
      <w:r>
        <w:rPr>
          <w:rFonts w:ascii="Calibri"/>
          <w:sz w:val="20"/>
          <w:vertAlign w:val="superscript"/>
        </w:rPr>
        <w:t>8</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462.</w:t>
      </w:r>
    </w:p>
    <w:p>
      <w:pPr>
        <w:spacing w:before="1"/>
        <w:ind w:left="308" w:right="0" w:firstLine="0"/>
        <w:jc w:val="left"/>
        <w:rPr>
          <w:rFonts w:ascii="Calibri"/>
          <w:sz w:val="20"/>
        </w:rPr>
      </w:pPr>
      <w:r>
        <w:rPr>
          <w:rFonts w:ascii="Calibri"/>
          <w:sz w:val="20"/>
          <w:vertAlign w:val="superscript"/>
        </w:rPr>
        <w:t>9</w:t>
      </w:r>
      <w:r>
        <w:rPr>
          <w:rFonts w:ascii="Calibri"/>
          <w:sz w:val="20"/>
          <w:vertAlign w:val="baseline"/>
        </w:rPr>
        <w:t> By</w:t>
      </w:r>
      <w:r>
        <w:rPr>
          <w:rFonts w:ascii="Calibri"/>
          <w:spacing w:val="-7"/>
          <w:sz w:val="20"/>
          <w:vertAlign w:val="baseline"/>
        </w:rPr>
        <w:t> </w:t>
      </w:r>
      <w:r>
        <w:rPr>
          <w:rFonts w:ascii="Calibri"/>
          <w:sz w:val="20"/>
          <w:vertAlign w:val="baseline"/>
        </w:rPr>
        <w:t>implication,</w:t>
      </w:r>
      <w:r>
        <w:rPr>
          <w:rFonts w:ascii="Calibri"/>
          <w:spacing w:val="-3"/>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63(3)</w:t>
      </w:r>
      <w:r>
        <w:rPr>
          <w:rFonts w:ascii="Calibri"/>
          <w:spacing w:val="-5"/>
          <w:sz w:val="20"/>
          <w:vertAlign w:val="baseline"/>
        </w:rPr>
        <w:t> </w:t>
      </w:r>
      <w:r>
        <w:rPr>
          <w:rFonts w:ascii="Calibri"/>
          <w:sz w:val="20"/>
          <w:vertAlign w:val="baseline"/>
        </w:rPr>
        <w:t>and</w:t>
      </w:r>
      <w:r>
        <w:rPr>
          <w:rFonts w:ascii="Calibri"/>
          <w:spacing w:val="-6"/>
          <w:sz w:val="20"/>
          <w:vertAlign w:val="baseline"/>
        </w:rPr>
        <w:t> </w:t>
      </w:r>
      <w:r>
        <w:rPr>
          <w:rFonts w:ascii="Calibri"/>
          <w:spacing w:val="-2"/>
          <w:sz w:val="20"/>
          <w:vertAlign w:val="baseline"/>
        </w:rPr>
        <w:t>(5)(b).</w:t>
      </w:r>
    </w:p>
    <w:p>
      <w:pPr>
        <w:spacing w:before="0"/>
        <w:ind w:left="308" w:right="0" w:firstLine="0"/>
        <w:jc w:val="left"/>
        <w:rPr>
          <w:rFonts w:ascii="Calibri"/>
          <w:sz w:val="20"/>
        </w:rPr>
      </w:pPr>
      <w:r>
        <w:rPr>
          <w:rFonts w:ascii="Calibri"/>
          <w:sz w:val="20"/>
          <w:vertAlign w:val="superscript"/>
        </w:rPr>
        <w:t>10</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276</w:t>
      </w:r>
      <w:r>
        <w:rPr>
          <w:rFonts w:ascii="Calibri"/>
          <w:spacing w:val="-4"/>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277,</w:t>
      </w:r>
      <w:r>
        <w:rPr>
          <w:rFonts w:ascii="Calibri"/>
          <w:spacing w:val="-5"/>
          <w:sz w:val="20"/>
          <w:vertAlign w:val="baseline"/>
        </w:rPr>
        <w:t> </w:t>
      </w:r>
      <w:r>
        <w:rPr>
          <w:rFonts w:ascii="Calibri"/>
          <w:sz w:val="20"/>
          <w:vertAlign w:val="baseline"/>
        </w:rPr>
        <w:t>for</w:t>
      </w:r>
      <w:r>
        <w:rPr>
          <w:rFonts w:ascii="Calibri"/>
          <w:spacing w:val="-5"/>
          <w:sz w:val="20"/>
          <w:vertAlign w:val="baseline"/>
        </w:rPr>
        <w:t> </w:t>
      </w:r>
      <w:r>
        <w:rPr>
          <w:rFonts w:ascii="Calibri"/>
          <w:spacing w:val="-2"/>
          <w:sz w:val="20"/>
          <w:vertAlign w:val="baseline"/>
        </w:rPr>
        <w:t>example.</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4"/>
        <w:jc w:val="both"/>
      </w:pPr>
      <w:r>
        <w:rPr/>
        <w:t>dealings with company directors. The duties of care and skill evolved as a means of restricting those risks to an acceptable level.</w:t>
      </w:r>
      <w:r>
        <w:rPr>
          <w:vertAlign w:val="superscript"/>
        </w:rPr>
        <w:t>11</w:t>
      </w:r>
    </w:p>
    <w:p>
      <w:pPr>
        <w:pStyle w:val="BodyText"/>
        <w:spacing w:line="480" w:lineRule="auto"/>
        <w:ind w:right="226" w:firstLine="720"/>
        <w:jc w:val="both"/>
      </w:pPr>
      <w:r>
        <w:rPr/>
        <w:t>The duties border on the manner in which a director is required to act in discharging his obligations. As noted earlier in this work,</w:t>
      </w:r>
      <w:r>
        <w:rPr>
          <w:vertAlign w:val="superscript"/>
        </w:rPr>
        <w:t>12</w:t>
      </w:r>
      <w:r>
        <w:rPr>
          <w:vertAlign w:val="baseline"/>
        </w:rPr>
        <w:t> the law does not demand of directors to hold any special skills or qualifications in order to be appointed to office. However, it has been held that since the directors control what the company does, the conferment of such powers on them entitles shareholders and stakeholders of the company to the best of services.</w:t>
      </w:r>
      <w:r>
        <w:rPr>
          <w:vertAlign w:val="superscript"/>
        </w:rPr>
        <w:t>13</w:t>
      </w:r>
    </w:p>
    <w:p>
      <w:pPr>
        <w:pStyle w:val="BodyText"/>
        <w:spacing w:line="480" w:lineRule="auto" w:before="2"/>
        <w:ind w:right="235" w:firstLine="720"/>
        <w:jc w:val="both"/>
      </w:pPr>
      <w:r>
        <w:rPr/>
        <w:t>In simple terms, ―care‖ means attention shown in order to avoid damage or error.</w:t>
      </w:r>
      <w:r>
        <w:rPr>
          <w:vertAlign w:val="superscript"/>
        </w:rPr>
        <w:t>14</w:t>
      </w:r>
      <w:r>
        <w:rPr>
          <w:vertAlign w:val="baseline"/>
        </w:rPr>
        <w:t> ―Skill‖ refers</w:t>
      </w:r>
      <w:r>
        <w:rPr>
          <w:spacing w:val="-1"/>
          <w:vertAlign w:val="baseline"/>
        </w:rPr>
        <w:t> </w:t>
      </w:r>
      <w:r>
        <w:rPr>
          <w:vertAlign w:val="baseline"/>
        </w:rPr>
        <w:t>to know-how;</w:t>
      </w:r>
      <w:r>
        <w:rPr>
          <w:spacing w:val="-4"/>
          <w:vertAlign w:val="baseline"/>
        </w:rPr>
        <w:t> </w:t>
      </w:r>
      <w:r>
        <w:rPr>
          <w:vertAlign w:val="baseline"/>
        </w:rPr>
        <w:t>an</w:t>
      </w:r>
      <w:r>
        <w:rPr>
          <w:spacing w:val="-4"/>
          <w:vertAlign w:val="baseline"/>
        </w:rPr>
        <w:t> </w:t>
      </w:r>
      <w:r>
        <w:rPr>
          <w:vertAlign w:val="baseline"/>
        </w:rPr>
        <w:t>ability</w:t>
      </w:r>
      <w:r>
        <w:rPr>
          <w:spacing w:val="-4"/>
          <w:vertAlign w:val="baseline"/>
        </w:rPr>
        <w:t> </w:t>
      </w:r>
      <w:r>
        <w:rPr>
          <w:vertAlign w:val="baseline"/>
        </w:rPr>
        <w:t>to do something well, especially because one</w:t>
      </w:r>
      <w:r>
        <w:rPr>
          <w:spacing w:val="22"/>
          <w:vertAlign w:val="baseline"/>
        </w:rPr>
        <w:t> </w:t>
      </w:r>
      <w:r>
        <w:rPr>
          <w:vertAlign w:val="baseline"/>
        </w:rPr>
        <w:t>has</w:t>
      </w:r>
      <w:r>
        <w:rPr>
          <w:spacing w:val="24"/>
          <w:vertAlign w:val="baseline"/>
        </w:rPr>
        <w:t> </w:t>
      </w:r>
      <w:r>
        <w:rPr>
          <w:vertAlign w:val="baseline"/>
        </w:rPr>
        <w:t>learned</w:t>
      </w:r>
      <w:r>
        <w:rPr>
          <w:spacing w:val="23"/>
          <w:vertAlign w:val="baseline"/>
        </w:rPr>
        <w:t> </w:t>
      </w:r>
      <w:r>
        <w:rPr>
          <w:vertAlign w:val="baseline"/>
        </w:rPr>
        <w:t>and</w:t>
      </w:r>
      <w:r>
        <w:rPr>
          <w:spacing w:val="23"/>
          <w:vertAlign w:val="baseline"/>
        </w:rPr>
        <w:t> </w:t>
      </w:r>
      <w:r>
        <w:rPr>
          <w:vertAlign w:val="baseline"/>
        </w:rPr>
        <w:t>practised</w:t>
      </w:r>
      <w:r>
        <w:rPr>
          <w:spacing w:val="27"/>
          <w:vertAlign w:val="baseline"/>
        </w:rPr>
        <w:t> </w:t>
      </w:r>
      <w:r>
        <w:rPr>
          <w:vertAlign w:val="baseline"/>
        </w:rPr>
        <w:t>it.</w:t>
      </w:r>
      <w:r>
        <w:rPr>
          <w:vertAlign w:val="superscript"/>
        </w:rPr>
        <w:t>15</w:t>
      </w:r>
      <w:r>
        <w:rPr>
          <w:vertAlign w:val="baseline"/>
        </w:rPr>
        <w:t>A</w:t>
      </w:r>
      <w:r>
        <w:rPr>
          <w:spacing w:val="17"/>
          <w:vertAlign w:val="baseline"/>
        </w:rPr>
        <w:t> </w:t>
      </w:r>
      <w:r>
        <w:rPr>
          <w:vertAlign w:val="baseline"/>
        </w:rPr>
        <w:t>third</w:t>
      </w:r>
      <w:r>
        <w:rPr>
          <w:spacing w:val="23"/>
          <w:vertAlign w:val="baseline"/>
        </w:rPr>
        <w:t> </w:t>
      </w:r>
      <w:r>
        <w:rPr>
          <w:vertAlign w:val="baseline"/>
        </w:rPr>
        <w:t>though</w:t>
      </w:r>
      <w:r>
        <w:rPr>
          <w:spacing w:val="23"/>
          <w:vertAlign w:val="baseline"/>
        </w:rPr>
        <w:t> </w:t>
      </w:r>
      <w:r>
        <w:rPr>
          <w:vertAlign w:val="baseline"/>
        </w:rPr>
        <w:t>less</w:t>
      </w:r>
      <w:r>
        <w:rPr>
          <w:spacing w:val="21"/>
          <w:vertAlign w:val="baseline"/>
        </w:rPr>
        <w:t> </w:t>
      </w:r>
      <w:r>
        <w:rPr>
          <w:vertAlign w:val="baseline"/>
        </w:rPr>
        <w:t>prominent</w:t>
      </w:r>
      <w:r>
        <w:rPr>
          <w:spacing w:val="28"/>
          <w:vertAlign w:val="baseline"/>
        </w:rPr>
        <w:t> </w:t>
      </w:r>
      <w:r>
        <w:rPr>
          <w:vertAlign w:val="baseline"/>
        </w:rPr>
        <w:t>aspect</w:t>
      </w:r>
      <w:r>
        <w:rPr>
          <w:spacing w:val="23"/>
          <w:vertAlign w:val="baseline"/>
        </w:rPr>
        <w:t> </w:t>
      </w:r>
      <w:r>
        <w:rPr>
          <w:vertAlign w:val="baseline"/>
        </w:rPr>
        <w:t>of</w:t>
      </w:r>
      <w:r>
        <w:rPr>
          <w:spacing w:val="16"/>
          <w:vertAlign w:val="baseline"/>
        </w:rPr>
        <w:t> </w:t>
      </w:r>
      <w:r>
        <w:rPr>
          <w:vertAlign w:val="baseline"/>
        </w:rPr>
        <w:t>the</w:t>
      </w:r>
      <w:r>
        <w:rPr>
          <w:spacing w:val="22"/>
          <w:vertAlign w:val="baseline"/>
        </w:rPr>
        <w:t> </w:t>
      </w:r>
      <w:r>
        <w:rPr>
          <w:vertAlign w:val="baseline"/>
        </w:rPr>
        <w:t>duty,</w:t>
      </w:r>
      <w:r>
        <w:rPr>
          <w:spacing w:val="29"/>
          <w:vertAlign w:val="baseline"/>
        </w:rPr>
        <w:t> </w:t>
      </w:r>
      <w:r>
        <w:rPr>
          <w:spacing w:val="-5"/>
          <w:vertAlign w:val="baseline"/>
        </w:rPr>
        <w:t>is</w:t>
      </w:r>
    </w:p>
    <w:p>
      <w:pPr>
        <w:pStyle w:val="BodyText"/>
        <w:spacing w:line="480" w:lineRule="auto"/>
        <w:ind w:right="230"/>
      </w:pPr>
      <w:r>
        <w:rPr/>
        <w:t>―diligence‖</w:t>
      </w:r>
      <w:r>
        <w:rPr>
          <w:spacing w:val="-12"/>
        </w:rPr>
        <w:t> </w:t>
      </w:r>
      <w:r>
        <w:rPr/>
        <w:t>which</w:t>
      </w:r>
      <w:r>
        <w:rPr>
          <w:spacing w:val="-14"/>
        </w:rPr>
        <w:t> </w:t>
      </w:r>
      <w:r>
        <w:rPr/>
        <w:t>connotes</w:t>
      </w:r>
      <w:r>
        <w:rPr>
          <w:spacing w:val="-11"/>
        </w:rPr>
        <w:t> </w:t>
      </w:r>
      <w:r>
        <w:rPr/>
        <w:t>―working</w:t>
      </w:r>
      <w:r>
        <w:rPr>
          <w:spacing w:val="-8"/>
        </w:rPr>
        <w:t> </w:t>
      </w:r>
      <w:r>
        <w:rPr/>
        <w:t>hard‖</w:t>
      </w:r>
      <w:r>
        <w:rPr>
          <w:spacing w:val="-11"/>
        </w:rPr>
        <w:t> </w:t>
      </w:r>
      <w:r>
        <w:rPr/>
        <w:t>while</w:t>
      </w:r>
      <w:r>
        <w:rPr>
          <w:spacing w:val="-8"/>
        </w:rPr>
        <w:t> </w:t>
      </w:r>
      <w:r>
        <w:rPr/>
        <w:t>being</w:t>
      </w:r>
      <w:r>
        <w:rPr>
          <w:spacing w:val="-7"/>
        </w:rPr>
        <w:t> </w:t>
      </w:r>
      <w:r>
        <w:rPr/>
        <w:t>―careful</w:t>
      </w:r>
      <w:r>
        <w:rPr>
          <w:spacing w:val="-14"/>
        </w:rPr>
        <w:t> </w:t>
      </w:r>
      <w:r>
        <w:rPr/>
        <w:t>and</w:t>
      </w:r>
      <w:r>
        <w:rPr>
          <w:spacing w:val="-10"/>
        </w:rPr>
        <w:t> </w:t>
      </w:r>
      <w:r>
        <w:rPr/>
        <w:t>thorough.‖</w:t>
      </w:r>
      <w:r>
        <w:rPr>
          <w:vertAlign w:val="superscript"/>
        </w:rPr>
        <w:t>16</w:t>
      </w:r>
      <w:r>
        <w:rPr>
          <w:spacing w:val="-9"/>
          <w:vertAlign w:val="baseline"/>
        </w:rPr>
        <w:t> </w:t>
      </w:r>
      <w:r>
        <w:rPr>
          <w:vertAlign w:val="baseline"/>
        </w:rPr>
        <w:t>It</w:t>
      </w:r>
      <w:r>
        <w:rPr>
          <w:spacing w:val="-7"/>
          <w:vertAlign w:val="baseline"/>
        </w:rPr>
        <w:t> </w:t>
      </w:r>
      <w:r>
        <w:rPr>
          <w:vertAlign w:val="baseline"/>
        </w:rPr>
        <w:t>is also</w:t>
      </w:r>
      <w:r>
        <w:rPr>
          <w:spacing w:val="40"/>
          <w:vertAlign w:val="baseline"/>
        </w:rPr>
        <w:t> </w:t>
      </w:r>
      <w:r>
        <w:rPr>
          <w:vertAlign w:val="baseline"/>
        </w:rPr>
        <w:t>considered</w:t>
      </w:r>
      <w:r>
        <w:rPr>
          <w:spacing w:val="37"/>
          <w:vertAlign w:val="baseline"/>
        </w:rPr>
        <w:t> </w:t>
      </w:r>
      <w:r>
        <w:rPr>
          <w:vertAlign w:val="baseline"/>
        </w:rPr>
        <w:t>to</w:t>
      </w:r>
      <w:r>
        <w:rPr>
          <w:spacing w:val="37"/>
          <w:vertAlign w:val="baseline"/>
        </w:rPr>
        <w:t> </w:t>
      </w:r>
      <w:r>
        <w:rPr>
          <w:vertAlign w:val="baseline"/>
        </w:rPr>
        <w:t>be</w:t>
      </w:r>
      <w:r>
        <w:rPr>
          <w:spacing w:val="36"/>
          <w:vertAlign w:val="baseline"/>
        </w:rPr>
        <w:t> </w:t>
      </w:r>
      <w:r>
        <w:rPr>
          <w:vertAlign w:val="baseline"/>
        </w:rPr>
        <w:t>a</w:t>
      </w:r>
      <w:r>
        <w:rPr>
          <w:spacing w:val="36"/>
          <w:vertAlign w:val="baseline"/>
        </w:rPr>
        <w:t> </w:t>
      </w:r>
      <w:r>
        <w:rPr>
          <w:vertAlign w:val="baseline"/>
        </w:rPr>
        <w:t>term</w:t>
      </w:r>
      <w:r>
        <w:rPr>
          <w:spacing w:val="33"/>
          <w:vertAlign w:val="baseline"/>
        </w:rPr>
        <w:t> </w:t>
      </w:r>
      <w:r>
        <w:rPr>
          <w:vertAlign w:val="baseline"/>
        </w:rPr>
        <w:t>which</w:t>
      </w:r>
      <w:r>
        <w:rPr>
          <w:spacing w:val="32"/>
          <w:vertAlign w:val="baseline"/>
        </w:rPr>
        <w:t> </w:t>
      </w:r>
      <w:r>
        <w:rPr>
          <w:vertAlign w:val="baseline"/>
        </w:rPr>
        <w:t>equates</w:t>
      </w:r>
      <w:r>
        <w:rPr>
          <w:spacing w:val="35"/>
          <w:vertAlign w:val="baseline"/>
        </w:rPr>
        <w:t> </w:t>
      </w:r>
      <w:r>
        <w:rPr>
          <w:vertAlign w:val="baseline"/>
        </w:rPr>
        <w:t>to</w:t>
      </w:r>
      <w:r>
        <w:rPr>
          <w:spacing w:val="40"/>
          <w:vertAlign w:val="baseline"/>
        </w:rPr>
        <w:t> </w:t>
      </w:r>
      <w:r>
        <w:rPr>
          <w:vertAlign w:val="baseline"/>
        </w:rPr>
        <w:t>conscientiousness</w:t>
      </w:r>
      <w:r>
        <w:rPr>
          <w:spacing w:val="35"/>
          <w:vertAlign w:val="baseline"/>
        </w:rPr>
        <w:t> </w:t>
      </w:r>
      <w:r>
        <w:rPr>
          <w:vertAlign w:val="baseline"/>
        </w:rPr>
        <w:t>and</w:t>
      </w:r>
      <w:r>
        <w:rPr>
          <w:spacing w:val="37"/>
          <w:vertAlign w:val="baseline"/>
        </w:rPr>
        <w:t> </w:t>
      </w:r>
      <w:r>
        <w:rPr>
          <w:vertAlign w:val="baseline"/>
        </w:rPr>
        <w:t>attentiveness.</w:t>
      </w:r>
      <w:r>
        <w:rPr>
          <w:vertAlign w:val="superscript"/>
        </w:rPr>
        <w:t>17</w:t>
      </w:r>
      <w:r>
        <w:rPr>
          <w:vertAlign w:val="baseline"/>
        </w:rPr>
        <w:t> </w:t>
      </w:r>
      <w:r>
        <w:rPr>
          <w:spacing w:val="-2"/>
          <w:vertAlign w:val="baseline"/>
        </w:rPr>
        <w:t>Apparently,</w:t>
      </w:r>
      <w:r>
        <w:rPr>
          <w:spacing w:val="-11"/>
          <w:vertAlign w:val="baseline"/>
        </w:rPr>
        <w:t> </w:t>
      </w:r>
      <w:r>
        <w:rPr>
          <w:spacing w:val="-2"/>
          <w:vertAlign w:val="baseline"/>
        </w:rPr>
        <w:t>―diligence‖</w:t>
      </w:r>
      <w:r>
        <w:rPr>
          <w:spacing w:val="-12"/>
          <w:vertAlign w:val="baseline"/>
        </w:rPr>
        <w:t> </w:t>
      </w:r>
      <w:r>
        <w:rPr>
          <w:spacing w:val="-2"/>
          <w:vertAlign w:val="baseline"/>
        </w:rPr>
        <w:t>carries</w:t>
      </w:r>
      <w:r>
        <w:rPr>
          <w:spacing w:val="-11"/>
          <w:vertAlign w:val="baseline"/>
        </w:rPr>
        <w:t> </w:t>
      </w:r>
      <w:r>
        <w:rPr>
          <w:spacing w:val="-2"/>
          <w:vertAlign w:val="baseline"/>
        </w:rPr>
        <w:t>a</w:t>
      </w:r>
      <w:r>
        <w:rPr>
          <w:spacing w:val="-9"/>
          <w:vertAlign w:val="baseline"/>
        </w:rPr>
        <w:t> </w:t>
      </w:r>
      <w:r>
        <w:rPr>
          <w:spacing w:val="-2"/>
          <w:vertAlign w:val="baseline"/>
        </w:rPr>
        <w:t>meaning</w:t>
      </w:r>
      <w:r>
        <w:rPr>
          <w:spacing w:val="-12"/>
          <w:vertAlign w:val="baseline"/>
        </w:rPr>
        <w:t> </w:t>
      </w:r>
      <w:r>
        <w:rPr>
          <w:spacing w:val="-2"/>
          <w:vertAlign w:val="baseline"/>
        </w:rPr>
        <w:t>similar</w:t>
      </w:r>
      <w:r>
        <w:rPr>
          <w:spacing w:val="-8"/>
          <w:vertAlign w:val="baseline"/>
        </w:rPr>
        <w:t> </w:t>
      </w:r>
      <w:r>
        <w:rPr>
          <w:spacing w:val="-2"/>
          <w:vertAlign w:val="baseline"/>
        </w:rPr>
        <w:t>to</w:t>
      </w:r>
      <w:r>
        <w:rPr>
          <w:spacing w:val="-8"/>
          <w:vertAlign w:val="baseline"/>
        </w:rPr>
        <w:t> </w:t>
      </w:r>
      <w:r>
        <w:rPr>
          <w:spacing w:val="-2"/>
          <w:vertAlign w:val="baseline"/>
        </w:rPr>
        <w:t>a</w:t>
      </w:r>
      <w:r>
        <w:rPr>
          <w:spacing w:val="-13"/>
          <w:vertAlign w:val="baseline"/>
        </w:rPr>
        <w:t> </w:t>
      </w:r>
      <w:r>
        <w:rPr>
          <w:spacing w:val="-2"/>
          <w:vertAlign w:val="baseline"/>
        </w:rPr>
        <w:t>combination</w:t>
      </w:r>
      <w:r>
        <w:rPr>
          <w:spacing w:val="-13"/>
          <w:vertAlign w:val="baseline"/>
        </w:rPr>
        <w:t> </w:t>
      </w:r>
      <w:r>
        <w:rPr>
          <w:spacing w:val="-2"/>
          <w:vertAlign w:val="baseline"/>
        </w:rPr>
        <w:t>of</w:t>
      </w:r>
      <w:r>
        <w:rPr>
          <w:spacing w:val="-13"/>
          <w:vertAlign w:val="baseline"/>
        </w:rPr>
        <w:t> </w:t>
      </w:r>
      <w:r>
        <w:rPr>
          <w:spacing w:val="-2"/>
          <w:vertAlign w:val="baseline"/>
        </w:rPr>
        <w:t>―care‖</w:t>
      </w:r>
      <w:r>
        <w:rPr>
          <w:spacing w:val="-13"/>
          <w:vertAlign w:val="baseline"/>
        </w:rPr>
        <w:t> </w:t>
      </w:r>
      <w:r>
        <w:rPr>
          <w:spacing w:val="-2"/>
          <w:vertAlign w:val="baseline"/>
        </w:rPr>
        <w:t>and</w:t>
      </w:r>
      <w:r>
        <w:rPr>
          <w:spacing w:val="-9"/>
          <w:vertAlign w:val="baseline"/>
        </w:rPr>
        <w:t> </w:t>
      </w:r>
      <w:r>
        <w:rPr>
          <w:spacing w:val="-2"/>
          <w:vertAlign w:val="baseline"/>
        </w:rPr>
        <w:t>―skill‖ </w:t>
      </w:r>
      <w:r>
        <w:rPr>
          <w:vertAlign w:val="baseline"/>
        </w:rPr>
        <w:t>and</w:t>
      </w:r>
      <w:r>
        <w:rPr>
          <w:spacing w:val="37"/>
          <w:vertAlign w:val="baseline"/>
        </w:rPr>
        <w:t> </w:t>
      </w:r>
      <w:r>
        <w:rPr>
          <w:vertAlign w:val="baseline"/>
        </w:rPr>
        <w:t>is</w:t>
      </w:r>
      <w:r>
        <w:rPr>
          <w:spacing w:val="30"/>
          <w:vertAlign w:val="baseline"/>
        </w:rPr>
        <w:t> </w:t>
      </w:r>
      <w:r>
        <w:rPr>
          <w:vertAlign w:val="baseline"/>
        </w:rPr>
        <w:t>used</w:t>
      </w:r>
      <w:r>
        <w:rPr>
          <w:spacing w:val="37"/>
          <w:vertAlign w:val="baseline"/>
        </w:rPr>
        <w:t> </w:t>
      </w:r>
      <w:r>
        <w:rPr>
          <w:vertAlign w:val="baseline"/>
        </w:rPr>
        <w:t>for</w:t>
      </w:r>
      <w:r>
        <w:rPr>
          <w:spacing w:val="34"/>
          <w:vertAlign w:val="baseline"/>
        </w:rPr>
        <w:t> </w:t>
      </w:r>
      <w:r>
        <w:rPr>
          <w:vertAlign w:val="baseline"/>
        </w:rPr>
        <w:t>emphasis.</w:t>
      </w:r>
      <w:r>
        <w:rPr>
          <w:spacing w:val="34"/>
          <w:vertAlign w:val="baseline"/>
        </w:rPr>
        <w:t> </w:t>
      </w:r>
      <w:r>
        <w:rPr>
          <w:vertAlign w:val="baseline"/>
        </w:rPr>
        <w:t>This</w:t>
      </w:r>
      <w:r>
        <w:rPr>
          <w:spacing w:val="35"/>
          <w:vertAlign w:val="baseline"/>
        </w:rPr>
        <w:t> </w:t>
      </w:r>
      <w:r>
        <w:rPr>
          <w:vertAlign w:val="baseline"/>
        </w:rPr>
        <w:t>may</w:t>
      </w:r>
      <w:r>
        <w:rPr>
          <w:spacing w:val="27"/>
          <w:vertAlign w:val="baseline"/>
        </w:rPr>
        <w:t> </w:t>
      </w:r>
      <w:r>
        <w:rPr>
          <w:vertAlign w:val="baseline"/>
        </w:rPr>
        <w:t>explain</w:t>
      </w:r>
      <w:r>
        <w:rPr>
          <w:spacing w:val="32"/>
          <w:vertAlign w:val="baseline"/>
        </w:rPr>
        <w:t> </w:t>
      </w:r>
      <w:r>
        <w:rPr>
          <w:vertAlign w:val="baseline"/>
        </w:rPr>
        <w:t>the</w:t>
      </w:r>
      <w:r>
        <w:rPr>
          <w:spacing w:val="36"/>
          <w:vertAlign w:val="baseline"/>
        </w:rPr>
        <w:t> </w:t>
      </w:r>
      <w:r>
        <w:rPr>
          <w:vertAlign w:val="baseline"/>
        </w:rPr>
        <w:t>reason</w:t>
      </w:r>
      <w:r>
        <w:rPr>
          <w:spacing w:val="27"/>
          <w:vertAlign w:val="baseline"/>
        </w:rPr>
        <w:t> </w:t>
      </w:r>
      <w:r>
        <w:rPr>
          <w:vertAlign w:val="baseline"/>
        </w:rPr>
        <w:t>why</w:t>
      </w:r>
      <w:r>
        <w:rPr>
          <w:spacing w:val="27"/>
          <w:vertAlign w:val="baseline"/>
        </w:rPr>
        <w:t> </w:t>
      </w:r>
      <w:r>
        <w:rPr>
          <w:vertAlign w:val="baseline"/>
        </w:rPr>
        <w:t>some</w:t>
      </w:r>
      <w:r>
        <w:rPr>
          <w:spacing w:val="31"/>
          <w:vertAlign w:val="baseline"/>
        </w:rPr>
        <w:t> </w:t>
      </w:r>
      <w:r>
        <w:rPr>
          <w:vertAlign w:val="baseline"/>
        </w:rPr>
        <w:t>commentators</w:t>
      </w:r>
      <w:r>
        <w:rPr>
          <w:spacing w:val="30"/>
          <w:vertAlign w:val="baseline"/>
        </w:rPr>
        <w:t> </w:t>
      </w:r>
      <w:r>
        <w:rPr>
          <w:vertAlign w:val="baseline"/>
        </w:rPr>
        <w:t>and even</w:t>
      </w:r>
      <w:r>
        <w:rPr>
          <w:spacing w:val="35"/>
          <w:vertAlign w:val="baseline"/>
        </w:rPr>
        <w:t> </w:t>
      </w:r>
      <w:r>
        <w:rPr>
          <w:vertAlign w:val="baseline"/>
        </w:rPr>
        <w:t>judges</w:t>
      </w:r>
      <w:r>
        <w:rPr>
          <w:spacing w:val="37"/>
          <w:vertAlign w:val="baseline"/>
        </w:rPr>
        <w:t> </w:t>
      </w:r>
      <w:r>
        <w:rPr>
          <w:vertAlign w:val="baseline"/>
        </w:rPr>
        <w:t>neglect</w:t>
      </w:r>
      <w:r>
        <w:rPr>
          <w:spacing w:val="39"/>
          <w:vertAlign w:val="baseline"/>
        </w:rPr>
        <w:t> </w:t>
      </w:r>
      <w:r>
        <w:rPr>
          <w:vertAlign w:val="baseline"/>
        </w:rPr>
        <w:t>it</w:t>
      </w:r>
      <w:r>
        <w:rPr>
          <w:spacing w:val="39"/>
          <w:vertAlign w:val="baseline"/>
        </w:rPr>
        <w:t> </w:t>
      </w:r>
      <w:r>
        <w:rPr>
          <w:vertAlign w:val="baseline"/>
        </w:rPr>
        <w:t>altogether</w:t>
      </w:r>
      <w:r>
        <w:rPr>
          <w:spacing w:val="40"/>
          <w:vertAlign w:val="baseline"/>
        </w:rPr>
        <w:t> </w:t>
      </w:r>
      <w:r>
        <w:rPr>
          <w:vertAlign w:val="baseline"/>
        </w:rPr>
        <w:t>in</w:t>
      </w:r>
      <w:r>
        <w:rPr>
          <w:spacing w:val="35"/>
          <w:vertAlign w:val="baseline"/>
        </w:rPr>
        <w:t> </w:t>
      </w:r>
      <w:r>
        <w:rPr>
          <w:vertAlign w:val="baseline"/>
        </w:rPr>
        <w:t>interpretation.</w:t>
      </w:r>
      <w:r>
        <w:rPr>
          <w:spacing w:val="36"/>
          <w:vertAlign w:val="baseline"/>
        </w:rPr>
        <w:t> </w:t>
      </w:r>
      <w:r>
        <w:rPr>
          <w:vertAlign w:val="baseline"/>
        </w:rPr>
        <w:t>In</w:t>
      </w:r>
      <w:r>
        <w:rPr>
          <w:spacing w:val="30"/>
          <w:vertAlign w:val="baseline"/>
        </w:rPr>
        <w:t> </w:t>
      </w:r>
      <w:r>
        <w:rPr>
          <w:vertAlign w:val="baseline"/>
        </w:rPr>
        <w:t>relation</w:t>
      </w:r>
      <w:r>
        <w:rPr>
          <w:spacing w:val="30"/>
          <w:vertAlign w:val="baseline"/>
        </w:rPr>
        <w:t> </w:t>
      </w:r>
      <w:r>
        <w:rPr>
          <w:vertAlign w:val="baseline"/>
        </w:rPr>
        <w:t>to</w:t>
      </w:r>
      <w:r>
        <w:rPr>
          <w:spacing w:val="39"/>
          <w:vertAlign w:val="baseline"/>
        </w:rPr>
        <w:t> </w:t>
      </w:r>
      <w:r>
        <w:rPr>
          <w:vertAlign w:val="baseline"/>
        </w:rPr>
        <w:t>directors‘</w:t>
      </w:r>
      <w:r>
        <w:rPr>
          <w:spacing w:val="32"/>
          <w:vertAlign w:val="baseline"/>
        </w:rPr>
        <w:t> </w:t>
      </w:r>
      <w:r>
        <w:rPr>
          <w:vertAlign w:val="baseline"/>
        </w:rPr>
        <w:t>duties,</w:t>
      </w:r>
      <w:r>
        <w:rPr>
          <w:spacing w:val="36"/>
          <w:vertAlign w:val="baseline"/>
        </w:rPr>
        <w:t> </w:t>
      </w:r>
      <w:r>
        <w:rPr>
          <w:vertAlign w:val="baseline"/>
        </w:rPr>
        <w:t>all three</w:t>
      </w:r>
      <w:r>
        <w:rPr>
          <w:spacing w:val="-4"/>
          <w:vertAlign w:val="baseline"/>
        </w:rPr>
        <w:t> </w:t>
      </w:r>
      <w:r>
        <w:rPr>
          <w:vertAlign w:val="baseline"/>
        </w:rPr>
        <w:t>are more</w:t>
      </w:r>
      <w:r>
        <w:rPr>
          <w:spacing w:val="-4"/>
          <w:vertAlign w:val="baseline"/>
        </w:rPr>
        <w:t> </w:t>
      </w:r>
      <w:r>
        <w:rPr>
          <w:vertAlign w:val="baseline"/>
        </w:rPr>
        <w:t>often</w:t>
      </w:r>
      <w:r>
        <w:rPr>
          <w:spacing w:val="-7"/>
          <w:vertAlign w:val="baseline"/>
        </w:rPr>
        <w:t> </w:t>
      </w:r>
      <w:r>
        <w:rPr>
          <w:vertAlign w:val="baseline"/>
        </w:rPr>
        <w:t>called ―the</w:t>
      </w:r>
      <w:r>
        <w:rPr>
          <w:spacing w:val="-4"/>
          <w:vertAlign w:val="baseline"/>
        </w:rPr>
        <w:t> </w:t>
      </w:r>
      <w:r>
        <w:rPr>
          <w:vertAlign w:val="baseline"/>
        </w:rPr>
        <w:t>duty</w:t>
      </w:r>
      <w:r>
        <w:rPr>
          <w:spacing w:val="-10"/>
          <w:vertAlign w:val="baseline"/>
        </w:rPr>
        <w:t> </w:t>
      </w:r>
      <w:r>
        <w:rPr>
          <w:vertAlign w:val="baseline"/>
        </w:rPr>
        <w:t>of</w:t>
      </w:r>
      <w:r>
        <w:rPr>
          <w:spacing w:val="-10"/>
          <w:vertAlign w:val="baseline"/>
        </w:rPr>
        <w:t> </w:t>
      </w:r>
      <w:r>
        <w:rPr>
          <w:vertAlign w:val="baseline"/>
        </w:rPr>
        <w:t>care</w:t>
      </w:r>
      <w:r>
        <w:rPr>
          <w:spacing w:val="-4"/>
          <w:vertAlign w:val="baseline"/>
        </w:rPr>
        <w:t> </w:t>
      </w:r>
      <w:r>
        <w:rPr>
          <w:vertAlign w:val="baseline"/>
        </w:rPr>
        <w:t>and skill‖ as</w:t>
      </w:r>
      <w:r>
        <w:rPr>
          <w:spacing w:val="-1"/>
          <w:vertAlign w:val="baseline"/>
        </w:rPr>
        <w:t> </w:t>
      </w:r>
      <w:r>
        <w:rPr>
          <w:vertAlign w:val="baseline"/>
        </w:rPr>
        <w:t>in</w:t>
      </w:r>
      <w:r>
        <w:rPr>
          <w:spacing w:val="-3"/>
          <w:vertAlign w:val="baseline"/>
        </w:rPr>
        <w:t> </w:t>
      </w:r>
      <w:r>
        <w:rPr>
          <w:vertAlign w:val="baseline"/>
        </w:rPr>
        <w:t>the</w:t>
      </w:r>
      <w:r>
        <w:rPr>
          <w:spacing w:val="-4"/>
          <w:vertAlign w:val="baseline"/>
        </w:rPr>
        <w:t> </w:t>
      </w:r>
      <w:r>
        <w:rPr>
          <w:vertAlign w:val="baseline"/>
        </w:rPr>
        <w:t>CAMA</w:t>
      </w:r>
      <w:r>
        <w:rPr>
          <w:spacing w:val="-7"/>
          <w:vertAlign w:val="baseline"/>
        </w:rPr>
        <w:t> </w:t>
      </w:r>
      <w:r>
        <w:rPr>
          <w:vertAlign w:val="baseline"/>
        </w:rPr>
        <w:t>or</w:t>
      </w:r>
      <w:r>
        <w:rPr>
          <w:spacing w:val="-2"/>
          <w:vertAlign w:val="baseline"/>
        </w:rPr>
        <w:t> </w:t>
      </w:r>
      <w:r>
        <w:rPr>
          <w:vertAlign w:val="baseline"/>
        </w:rPr>
        <w:t>simply</w:t>
      </w:r>
      <w:r>
        <w:rPr>
          <w:spacing w:val="-2"/>
          <w:vertAlign w:val="baseline"/>
        </w:rPr>
        <w:t> </w:t>
      </w:r>
      <w:r>
        <w:rPr>
          <w:vertAlign w:val="baseline"/>
        </w:rPr>
        <w:t>―the duty of care,‖ although </w:t>
      </w:r>
      <w:r>
        <w:rPr>
          <w:i/>
          <w:vertAlign w:val="baseline"/>
        </w:rPr>
        <w:t>care</w:t>
      </w:r>
      <w:r>
        <w:rPr>
          <w:vertAlign w:val="baseline"/>
        </w:rPr>
        <w:t>, </w:t>
      </w:r>
      <w:r>
        <w:rPr>
          <w:i/>
          <w:vertAlign w:val="baseline"/>
        </w:rPr>
        <w:t>skill </w:t>
      </w:r>
      <w:r>
        <w:rPr>
          <w:vertAlign w:val="baseline"/>
        </w:rPr>
        <w:t>and </w:t>
      </w:r>
      <w:r>
        <w:rPr>
          <w:i/>
          <w:vertAlign w:val="baseline"/>
        </w:rPr>
        <w:t>diligence</w:t>
      </w:r>
      <w:r>
        <w:rPr>
          <w:i/>
          <w:spacing w:val="20"/>
          <w:vertAlign w:val="baseline"/>
        </w:rPr>
        <w:t> </w:t>
      </w:r>
      <w:r>
        <w:rPr>
          <w:vertAlign w:val="baseline"/>
        </w:rPr>
        <w:t>may each have</w:t>
      </w:r>
      <w:r>
        <w:rPr>
          <w:spacing w:val="20"/>
          <w:vertAlign w:val="baseline"/>
        </w:rPr>
        <w:t> </w:t>
      </w:r>
      <w:r>
        <w:rPr>
          <w:vertAlign w:val="baseline"/>
        </w:rPr>
        <w:t>its notional meaning.</w:t>
      </w:r>
      <w:r>
        <w:rPr>
          <w:vertAlign w:val="superscript"/>
        </w:rPr>
        <w:t>18</w:t>
      </w:r>
      <w:r>
        <w:rPr>
          <w:spacing w:val="40"/>
          <w:vertAlign w:val="baseline"/>
        </w:rPr>
        <w:t> </w:t>
      </w:r>
      <w:r>
        <w:rPr>
          <w:vertAlign w:val="baseline"/>
        </w:rPr>
        <w:t>In imposing the duties of care and skill upon the director, the law raises the question of the</w:t>
      </w:r>
      <w:r>
        <w:rPr>
          <w:spacing w:val="4"/>
          <w:vertAlign w:val="baseline"/>
        </w:rPr>
        <w:t> </w:t>
      </w:r>
      <w:r>
        <w:rPr>
          <w:vertAlign w:val="baseline"/>
        </w:rPr>
        <w:t>standard</w:t>
      </w:r>
      <w:r>
        <w:rPr>
          <w:spacing w:val="6"/>
          <w:vertAlign w:val="baseline"/>
        </w:rPr>
        <w:t> </w:t>
      </w:r>
      <w:r>
        <w:rPr>
          <w:vertAlign w:val="baseline"/>
        </w:rPr>
        <w:t>of</w:t>
      </w:r>
      <w:r>
        <w:rPr>
          <w:spacing w:val="-1"/>
          <w:vertAlign w:val="baseline"/>
        </w:rPr>
        <w:t> </w:t>
      </w:r>
      <w:r>
        <w:rPr>
          <w:vertAlign w:val="baseline"/>
        </w:rPr>
        <w:t>care</w:t>
      </w:r>
      <w:r>
        <w:rPr>
          <w:spacing w:val="7"/>
          <w:vertAlign w:val="baseline"/>
        </w:rPr>
        <w:t> </w:t>
      </w:r>
      <w:r>
        <w:rPr>
          <w:vertAlign w:val="baseline"/>
        </w:rPr>
        <w:t>to</w:t>
      </w:r>
      <w:r>
        <w:rPr>
          <w:spacing w:val="11"/>
          <w:vertAlign w:val="baseline"/>
        </w:rPr>
        <w:t> </w:t>
      </w:r>
      <w:r>
        <w:rPr>
          <w:vertAlign w:val="baseline"/>
        </w:rPr>
        <w:t>be</w:t>
      </w:r>
      <w:r>
        <w:rPr>
          <w:spacing w:val="6"/>
          <w:vertAlign w:val="baseline"/>
        </w:rPr>
        <w:t> </w:t>
      </w:r>
      <w:r>
        <w:rPr>
          <w:vertAlign w:val="baseline"/>
        </w:rPr>
        <w:t>expected</w:t>
      </w:r>
      <w:r>
        <w:rPr>
          <w:spacing w:val="7"/>
          <w:vertAlign w:val="baseline"/>
        </w:rPr>
        <w:t> </w:t>
      </w:r>
      <w:r>
        <w:rPr>
          <w:vertAlign w:val="baseline"/>
        </w:rPr>
        <w:t>as</w:t>
      </w:r>
      <w:r>
        <w:rPr>
          <w:spacing w:val="9"/>
          <w:vertAlign w:val="baseline"/>
        </w:rPr>
        <w:t> </w:t>
      </w:r>
      <w:r>
        <w:rPr>
          <w:vertAlign w:val="baseline"/>
        </w:rPr>
        <w:t>well</w:t>
      </w:r>
      <w:r>
        <w:rPr>
          <w:spacing w:val="7"/>
          <w:vertAlign w:val="baseline"/>
        </w:rPr>
        <w:t> </w:t>
      </w:r>
      <w:r>
        <w:rPr>
          <w:vertAlign w:val="baseline"/>
        </w:rPr>
        <w:t>as</w:t>
      </w:r>
      <w:r>
        <w:rPr>
          <w:spacing w:val="5"/>
          <w:vertAlign w:val="baseline"/>
        </w:rPr>
        <w:t> </w:t>
      </w:r>
      <w:r>
        <w:rPr>
          <w:vertAlign w:val="baseline"/>
        </w:rPr>
        <w:t>the</w:t>
      </w:r>
      <w:r>
        <w:rPr>
          <w:spacing w:val="15"/>
          <w:vertAlign w:val="baseline"/>
        </w:rPr>
        <w:t> </w:t>
      </w:r>
      <w:r>
        <w:rPr>
          <w:vertAlign w:val="baseline"/>
        </w:rPr>
        <w:t>level</w:t>
      </w:r>
      <w:r>
        <w:rPr>
          <w:spacing w:val="2"/>
          <w:vertAlign w:val="baseline"/>
        </w:rPr>
        <w:t> </w:t>
      </w:r>
      <w:r>
        <w:rPr>
          <w:vertAlign w:val="baseline"/>
        </w:rPr>
        <w:t>of</w:t>
      </w:r>
      <w:r>
        <w:rPr>
          <w:spacing w:val="4"/>
          <w:vertAlign w:val="baseline"/>
        </w:rPr>
        <w:t> </w:t>
      </w:r>
      <w:r>
        <w:rPr>
          <w:vertAlign w:val="baseline"/>
        </w:rPr>
        <w:t>personal</w:t>
      </w:r>
      <w:r>
        <w:rPr>
          <w:spacing w:val="7"/>
          <w:vertAlign w:val="baseline"/>
        </w:rPr>
        <w:t> </w:t>
      </w:r>
      <w:r>
        <w:rPr>
          <w:vertAlign w:val="baseline"/>
        </w:rPr>
        <w:t>attention</w:t>
      </w:r>
      <w:r>
        <w:rPr>
          <w:spacing w:val="6"/>
          <w:vertAlign w:val="baseline"/>
        </w:rPr>
        <w:t> </w:t>
      </w:r>
      <w:r>
        <w:rPr>
          <w:vertAlign w:val="baseline"/>
        </w:rPr>
        <w:t>required</w:t>
      </w:r>
      <w:r>
        <w:rPr>
          <w:spacing w:val="12"/>
          <w:vertAlign w:val="baseline"/>
        </w:rPr>
        <w:t> </w:t>
      </w:r>
      <w:r>
        <w:rPr>
          <w:spacing w:val="-5"/>
          <w:vertAlign w:val="baseline"/>
        </w:rPr>
        <w:t>of</w:t>
      </w:r>
    </w:p>
    <w:p>
      <w:pPr>
        <w:pStyle w:val="BodyText"/>
        <w:spacing w:before="6"/>
        <w:ind w:left="0"/>
        <w:rPr>
          <w:sz w:val="12"/>
        </w:rPr>
      </w:pPr>
      <w:r>
        <w:rPr/>
        <mc:AlternateContent>
          <mc:Choice Requires="wps">
            <w:drawing>
              <wp:anchor distT="0" distB="0" distL="0" distR="0" allowOverlap="1" layoutInCell="1" locked="0" behindDoc="1" simplePos="0" relativeHeight="487635456">
                <wp:simplePos x="0" y="0"/>
                <wp:positionH relativeFrom="page">
                  <wp:posOffset>1262481</wp:posOffset>
                </wp:positionH>
                <wp:positionV relativeFrom="paragraph">
                  <wp:posOffset>107147</wp:posOffset>
                </wp:positionV>
                <wp:extent cx="1829435" cy="9525"/>
                <wp:effectExtent l="0" t="0" r="0" b="0"/>
                <wp:wrapTopAndBottom/>
                <wp:docPr id="103" name="Graphic 103"/>
                <wp:cNvGraphicFramePr>
                  <a:graphicFrameLocks/>
                </wp:cNvGraphicFramePr>
                <a:graphic>
                  <a:graphicData uri="http://schemas.microsoft.com/office/word/2010/wordprocessingShape">
                    <wps:wsp>
                      <wps:cNvPr id="103" name="Graphic 103"/>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436845pt;width:144.050pt;height:.72003pt;mso-position-horizontal-relative:page;mso-position-vertical-relative:paragraph;z-index:-15681024;mso-wrap-distance-left:0;mso-wrap-distance-right:0" id="docshape58" filled="true" fillcolor="#000000" stroked="false">
                <v:fill type="solid"/>
                <w10:wrap type="topAndBottom"/>
              </v:rect>
            </w:pict>
          </mc:Fallback>
        </mc:AlternateContent>
      </w:r>
    </w:p>
    <w:p>
      <w:pPr>
        <w:spacing w:before="102"/>
        <w:ind w:left="308" w:right="225" w:firstLine="0"/>
        <w:jc w:val="both"/>
        <w:rPr>
          <w:rFonts w:ascii="Calibri" w:hAnsi="Calibri"/>
          <w:sz w:val="20"/>
        </w:rPr>
      </w:pPr>
      <w:r>
        <w:rPr>
          <w:rFonts w:ascii="Calibri" w:hAnsi="Calibri"/>
          <w:sz w:val="20"/>
          <w:vertAlign w:val="superscript"/>
        </w:rPr>
        <w:t>11</w:t>
      </w:r>
      <w:r>
        <w:rPr>
          <w:rFonts w:ascii="Calibri" w:hAnsi="Calibri"/>
          <w:sz w:val="20"/>
          <w:vertAlign w:val="baseline"/>
        </w:rPr>
        <w:t> Davies, J. (2007).</w:t>
      </w:r>
      <w:r>
        <w:rPr>
          <w:rFonts w:ascii="Calibri" w:hAnsi="Calibri"/>
          <w:i/>
          <w:sz w:val="20"/>
          <w:vertAlign w:val="baseline"/>
        </w:rPr>
        <w:t>A Guide to Directors’ Responsibilities Under the Companies Act 2006.</w:t>
      </w:r>
      <w:r>
        <w:rPr>
          <w:rFonts w:ascii="Calibri" w:hAnsi="Calibri"/>
          <w:sz w:val="20"/>
          <w:vertAlign w:val="baseline"/>
        </w:rPr>
        <w:t>Certified Accountants Educational Trust, England, p. 31.Retrieved March 27, 2013, from </w:t>
      </w:r>
      <w:hyperlink r:id="rId25">
        <w:r>
          <w:rPr>
            <w:rFonts w:ascii="Calibri" w:hAnsi="Calibri"/>
            <w:color w:val="0000FF"/>
            <w:spacing w:val="-2"/>
            <w:sz w:val="20"/>
            <w:u w:val="single" w:color="0000FF"/>
            <w:vertAlign w:val="baseline"/>
          </w:rPr>
          <w:t>http://www.accaglobal.com/content/dam/acca/global/PDF-technical/business-law/tech-tp-cdd.pdf</w:t>
        </w:r>
        <w:r>
          <w:rPr>
            <w:rFonts w:ascii="Calibri" w:hAnsi="Calibri"/>
            <w:spacing w:val="-2"/>
            <w:sz w:val="20"/>
            <w:vertAlign w:val="baseline"/>
          </w:rPr>
          <w:t>.</w:t>
        </w:r>
      </w:hyperlink>
    </w:p>
    <w:p>
      <w:pPr>
        <w:spacing w:line="242" w:lineRule="exact" w:before="2"/>
        <w:ind w:left="308" w:right="0" w:firstLine="0"/>
        <w:jc w:val="left"/>
        <w:rPr>
          <w:rFonts w:ascii="Calibri"/>
          <w:sz w:val="20"/>
        </w:rPr>
      </w:pPr>
      <w:r>
        <w:rPr>
          <w:rFonts w:ascii="Calibri"/>
          <w:sz w:val="20"/>
          <w:vertAlign w:val="superscript"/>
        </w:rPr>
        <w:t>12</w:t>
      </w:r>
      <w:r>
        <w:rPr>
          <w:rFonts w:ascii="Calibri"/>
          <w:spacing w:val="-1"/>
          <w:sz w:val="20"/>
          <w:vertAlign w:val="baseline"/>
        </w:rPr>
        <w:t> </w:t>
      </w:r>
      <w:r>
        <w:rPr>
          <w:rFonts w:ascii="Calibri"/>
          <w:sz w:val="20"/>
          <w:vertAlign w:val="baseline"/>
        </w:rPr>
        <w:t>Please,</w:t>
      </w:r>
      <w:r>
        <w:rPr>
          <w:rFonts w:ascii="Calibri"/>
          <w:spacing w:val="-5"/>
          <w:sz w:val="20"/>
          <w:vertAlign w:val="baseline"/>
        </w:rPr>
        <w:t> </w:t>
      </w:r>
      <w:r>
        <w:rPr>
          <w:rFonts w:ascii="Calibri"/>
          <w:sz w:val="20"/>
          <w:vertAlign w:val="baseline"/>
        </w:rPr>
        <w:t>refer to</w:t>
      </w:r>
      <w:r>
        <w:rPr>
          <w:rFonts w:ascii="Calibri"/>
          <w:spacing w:val="-6"/>
          <w:sz w:val="20"/>
          <w:vertAlign w:val="baseline"/>
        </w:rPr>
        <w:t> </w:t>
      </w:r>
      <w:r>
        <w:rPr>
          <w:rFonts w:ascii="Calibri"/>
          <w:b/>
          <w:sz w:val="20"/>
          <w:vertAlign w:val="baseline"/>
        </w:rPr>
        <w:t>2.3</w:t>
      </w:r>
      <w:r>
        <w:rPr>
          <w:rFonts w:ascii="Calibri"/>
          <w:b/>
          <w:spacing w:val="-4"/>
          <w:sz w:val="20"/>
          <w:vertAlign w:val="baseline"/>
        </w:rPr>
        <w:t> </w:t>
      </w:r>
      <w:r>
        <w:rPr>
          <w:rFonts w:ascii="Calibri"/>
          <w:spacing w:val="-2"/>
          <w:sz w:val="20"/>
          <w:vertAlign w:val="baseline"/>
        </w:rPr>
        <w:t>above.</w:t>
      </w:r>
    </w:p>
    <w:p>
      <w:pPr>
        <w:spacing w:line="242" w:lineRule="exact" w:before="0"/>
        <w:ind w:left="308" w:right="0" w:firstLine="0"/>
        <w:jc w:val="left"/>
        <w:rPr>
          <w:rFonts w:ascii="Calibri"/>
          <w:sz w:val="20"/>
        </w:rPr>
      </w:pPr>
      <w:r>
        <w:rPr>
          <w:rFonts w:ascii="Calibri"/>
          <w:sz w:val="20"/>
          <w:vertAlign w:val="superscript"/>
        </w:rPr>
        <w:t>13</w:t>
      </w:r>
      <w:r>
        <w:rPr>
          <w:rFonts w:ascii="Calibri"/>
          <w:spacing w:val="-3"/>
          <w:sz w:val="20"/>
          <w:vertAlign w:val="baseline"/>
        </w:rPr>
        <w:t> </w:t>
      </w:r>
      <w:r>
        <w:rPr>
          <w:rFonts w:ascii="Calibri"/>
          <w:sz w:val="20"/>
          <w:vertAlign w:val="baseline"/>
        </w:rPr>
        <w:t>See</w:t>
      </w:r>
      <w:r>
        <w:rPr>
          <w:rFonts w:ascii="Calibri"/>
          <w:spacing w:val="-8"/>
          <w:sz w:val="20"/>
          <w:vertAlign w:val="baseline"/>
        </w:rPr>
        <w:t> </w:t>
      </w:r>
      <w:r>
        <w:rPr>
          <w:rFonts w:ascii="Calibri"/>
          <w:i/>
          <w:sz w:val="20"/>
          <w:vertAlign w:val="baseline"/>
        </w:rPr>
        <w:t>Delta</w:t>
      </w:r>
      <w:r>
        <w:rPr>
          <w:rFonts w:ascii="Calibri"/>
          <w:i/>
          <w:spacing w:val="-6"/>
          <w:sz w:val="20"/>
          <w:vertAlign w:val="baseline"/>
        </w:rPr>
        <w:t> </w:t>
      </w:r>
      <w:r>
        <w:rPr>
          <w:rFonts w:ascii="Calibri"/>
          <w:i/>
          <w:sz w:val="20"/>
          <w:vertAlign w:val="baseline"/>
        </w:rPr>
        <w:t>Steel</w:t>
      </w:r>
      <w:r>
        <w:rPr>
          <w:rFonts w:ascii="Calibri"/>
          <w:i/>
          <w:spacing w:val="-3"/>
          <w:sz w:val="20"/>
          <w:vertAlign w:val="baseline"/>
        </w:rPr>
        <w:t> </w:t>
      </w:r>
      <w:r>
        <w:rPr>
          <w:rFonts w:ascii="Calibri"/>
          <w:i/>
          <w:sz w:val="20"/>
          <w:vertAlign w:val="baseline"/>
        </w:rPr>
        <w:t>Nigeria</w:t>
      </w:r>
      <w:r>
        <w:rPr>
          <w:rFonts w:ascii="Calibri"/>
          <w:i/>
          <w:spacing w:val="-7"/>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American</w:t>
      </w:r>
      <w:r>
        <w:rPr>
          <w:rFonts w:ascii="Calibri"/>
          <w:i/>
          <w:spacing w:val="-6"/>
          <w:sz w:val="20"/>
          <w:vertAlign w:val="baseline"/>
        </w:rPr>
        <w:t> </w:t>
      </w:r>
      <w:r>
        <w:rPr>
          <w:rFonts w:ascii="Calibri"/>
          <w:i/>
          <w:sz w:val="20"/>
          <w:vertAlign w:val="baseline"/>
        </w:rPr>
        <w:t>Computer</w:t>
      </w:r>
      <w:r>
        <w:rPr>
          <w:rFonts w:ascii="Calibri"/>
          <w:i/>
          <w:spacing w:val="-6"/>
          <w:sz w:val="20"/>
          <w:vertAlign w:val="baseline"/>
        </w:rPr>
        <w:t> </w:t>
      </w:r>
      <w:r>
        <w:rPr>
          <w:rFonts w:ascii="Calibri"/>
          <w:i/>
          <w:sz w:val="20"/>
          <w:vertAlign w:val="baseline"/>
        </w:rPr>
        <w:t>Tech</w:t>
      </w:r>
      <w:r>
        <w:rPr>
          <w:rFonts w:ascii="Calibri"/>
          <w:i/>
          <w:spacing w:val="-7"/>
          <w:sz w:val="20"/>
          <w:vertAlign w:val="baseline"/>
        </w:rPr>
        <w:t> </w:t>
      </w:r>
      <w:r>
        <w:rPr>
          <w:rFonts w:ascii="Calibri"/>
          <w:i/>
          <w:sz w:val="20"/>
          <w:vertAlign w:val="baseline"/>
        </w:rPr>
        <w:t>Inc. </w:t>
      </w:r>
      <w:r>
        <w:rPr>
          <w:rFonts w:ascii="Calibri"/>
          <w:sz w:val="20"/>
          <w:vertAlign w:val="baseline"/>
        </w:rPr>
        <w:t>(1999)</w:t>
      </w:r>
      <w:r>
        <w:rPr>
          <w:rFonts w:ascii="Calibri"/>
          <w:spacing w:val="-7"/>
          <w:sz w:val="20"/>
          <w:vertAlign w:val="baseline"/>
        </w:rPr>
        <w:t> </w:t>
      </w:r>
      <w:r>
        <w:rPr>
          <w:rFonts w:ascii="Calibri"/>
          <w:sz w:val="20"/>
          <w:vertAlign w:val="baseline"/>
        </w:rPr>
        <w:t>4</w:t>
      </w:r>
      <w:r>
        <w:rPr>
          <w:rFonts w:ascii="Calibri"/>
          <w:spacing w:val="-5"/>
          <w:sz w:val="20"/>
          <w:vertAlign w:val="baseline"/>
        </w:rPr>
        <w:t> </w:t>
      </w:r>
      <w:r>
        <w:rPr>
          <w:rFonts w:ascii="Calibri"/>
          <w:sz w:val="20"/>
          <w:vertAlign w:val="baseline"/>
        </w:rPr>
        <w:t>NWLR</w:t>
      </w:r>
      <w:r>
        <w:rPr>
          <w:rFonts w:ascii="Calibri"/>
          <w:spacing w:val="-7"/>
          <w:sz w:val="20"/>
          <w:vertAlign w:val="baseline"/>
        </w:rPr>
        <w:t> </w:t>
      </w:r>
      <w:r>
        <w:rPr>
          <w:rFonts w:ascii="Calibri"/>
          <w:sz w:val="20"/>
          <w:vertAlign w:val="baseline"/>
        </w:rPr>
        <w:t>pt.</w:t>
      </w:r>
      <w:r>
        <w:rPr>
          <w:rFonts w:ascii="Calibri"/>
          <w:spacing w:val="-3"/>
          <w:sz w:val="20"/>
          <w:vertAlign w:val="baseline"/>
        </w:rPr>
        <w:t> </w:t>
      </w:r>
      <w:r>
        <w:rPr>
          <w:rFonts w:ascii="Calibri"/>
          <w:spacing w:val="-5"/>
          <w:sz w:val="20"/>
          <w:vertAlign w:val="baseline"/>
        </w:rPr>
        <w:t>597</w:t>
      </w:r>
    </w:p>
    <w:p>
      <w:pPr>
        <w:spacing w:before="1"/>
        <w:ind w:left="308" w:right="0" w:firstLine="0"/>
        <w:jc w:val="left"/>
        <w:rPr>
          <w:rFonts w:ascii="Calibri"/>
          <w:sz w:val="20"/>
        </w:rPr>
      </w:pPr>
      <w:r>
        <w:rPr>
          <w:rFonts w:ascii="Calibri"/>
          <w:sz w:val="20"/>
          <w:vertAlign w:val="superscript"/>
        </w:rPr>
        <w:t>14</w:t>
      </w:r>
      <w:r>
        <w:rPr>
          <w:rFonts w:ascii="Calibri"/>
          <w:sz w:val="20"/>
          <w:vertAlign w:val="baseline"/>
        </w:rPr>
        <w:t>Encarta</w:t>
      </w:r>
      <w:r>
        <w:rPr>
          <w:rFonts w:ascii="Calibri"/>
          <w:spacing w:val="-10"/>
          <w:sz w:val="20"/>
          <w:vertAlign w:val="baseline"/>
        </w:rPr>
        <w:t> </w:t>
      </w:r>
      <w:r>
        <w:rPr>
          <w:rFonts w:ascii="Calibri"/>
          <w:sz w:val="20"/>
          <w:vertAlign w:val="baseline"/>
        </w:rPr>
        <w:t>Dictionaries</w:t>
      </w:r>
      <w:r>
        <w:rPr>
          <w:rFonts w:ascii="Calibri"/>
          <w:spacing w:val="-11"/>
          <w:sz w:val="20"/>
          <w:vertAlign w:val="baseline"/>
        </w:rPr>
        <w:t> </w:t>
      </w:r>
      <w:r>
        <w:rPr>
          <w:rFonts w:ascii="Calibri"/>
          <w:sz w:val="20"/>
          <w:vertAlign w:val="baseline"/>
        </w:rPr>
        <w:t>(2009).Microsoft</w:t>
      </w:r>
      <w:r>
        <w:rPr>
          <w:rFonts w:ascii="Calibri"/>
          <w:spacing w:val="-10"/>
          <w:sz w:val="20"/>
          <w:vertAlign w:val="baseline"/>
        </w:rPr>
        <w:t> </w:t>
      </w:r>
      <w:r>
        <w:rPr>
          <w:rFonts w:ascii="Calibri"/>
          <w:sz w:val="20"/>
          <w:vertAlign w:val="baseline"/>
        </w:rPr>
        <w:t>Encarta</w:t>
      </w:r>
      <w:r>
        <w:rPr>
          <w:rFonts w:ascii="Calibri"/>
          <w:spacing w:val="-9"/>
          <w:sz w:val="20"/>
          <w:vertAlign w:val="baseline"/>
        </w:rPr>
        <w:t> </w:t>
      </w:r>
      <w:r>
        <w:rPr>
          <w:rFonts w:ascii="Calibri"/>
          <w:sz w:val="20"/>
          <w:vertAlign w:val="baseline"/>
        </w:rPr>
        <w:t>Premium</w:t>
      </w:r>
      <w:r>
        <w:rPr>
          <w:rFonts w:ascii="Calibri"/>
          <w:spacing w:val="-9"/>
          <w:sz w:val="20"/>
          <w:vertAlign w:val="baseline"/>
        </w:rPr>
        <w:t> </w:t>
      </w:r>
      <w:r>
        <w:rPr>
          <w:rFonts w:ascii="Calibri"/>
          <w:spacing w:val="-4"/>
          <w:sz w:val="20"/>
          <w:vertAlign w:val="baseline"/>
        </w:rPr>
        <w:t>DVD.</w:t>
      </w:r>
    </w:p>
    <w:p>
      <w:pPr>
        <w:spacing w:before="1"/>
        <w:ind w:left="308" w:right="0" w:firstLine="0"/>
        <w:jc w:val="left"/>
        <w:rPr>
          <w:rFonts w:ascii="Calibri"/>
          <w:sz w:val="20"/>
        </w:rPr>
      </w:pPr>
      <w:r>
        <w:rPr>
          <w:rFonts w:ascii="Calibri"/>
          <w:sz w:val="20"/>
          <w:vertAlign w:val="superscript"/>
        </w:rPr>
        <w:t>15</w:t>
      </w:r>
      <w:r>
        <w:rPr>
          <w:rFonts w:ascii="Calibri"/>
          <w:sz w:val="20"/>
          <w:vertAlign w:val="baseline"/>
        </w:rPr>
        <w:t>Longman</w:t>
      </w:r>
      <w:r>
        <w:rPr>
          <w:rFonts w:ascii="Calibri"/>
          <w:spacing w:val="10"/>
          <w:sz w:val="20"/>
          <w:vertAlign w:val="baseline"/>
        </w:rPr>
        <w:t> </w:t>
      </w:r>
      <w:r>
        <w:rPr>
          <w:rFonts w:ascii="Calibri"/>
          <w:sz w:val="20"/>
          <w:vertAlign w:val="baseline"/>
        </w:rPr>
        <w:t>Dictionary</w:t>
      </w:r>
      <w:r>
        <w:rPr>
          <w:rFonts w:ascii="Calibri"/>
          <w:spacing w:val="10"/>
          <w:sz w:val="20"/>
          <w:vertAlign w:val="baseline"/>
        </w:rPr>
        <w:t> </w:t>
      </w:r>
      <w:r>
        <w:rPr>
          <w:rFonts w:ascii="Calibri"/>
          <w:sz w:val="20"/>
          <w:vertAlign w:val="baseline"/>
        </w:rPr>
        <w:t>of</w:t>
      </w:r>
      <w:r>
        <w:rPr>
          <w:rFonts w:ascii="Calibri"/>
          <w:spacing w:val="11"/>
          <w:sz w:val="20"/>
          <w:vertAlign w:val="baseline"/>
        </w:rPr>
        <w:t> </w:t>
      </w:r>
      <w:r>
        <w:rPr>
          <w:rFonts w:ascii="Calibri"/>
          <w:sz w:val="20"/>
          <w:vertAlign w:val="baseline"/>
        </w:rPr>
        <w:t>Contemporary</w:t>
      </w:r>
      <w:r>
        <w:rPr>
          <w:rFonts w:ascii="Calibri"/>
          <w:spacing w:val="10"/>
          <w:sz w:val="20"/>
          <w:vertAlign w:val="baseline"/>
        </w:rPr>
        <w:t> </w:t>
      </w:r>
      <w:r>
        <w:rPr>
          <w:rFonts w:ascii="Calibri"/>
          <w:sz w:val="20"/>
          <w:vertAlign w:val="baseline"/>
        </w:rPr>
        <w:t>English.(2005).4</w:t>
      </w:r>
      <w:r>
        <w:rPr>
          <w:rFonts w:ascii="Calibri"/>
          <w:sz w:val="20"/>
          <w:vertAlign w:val="superscript"/>
        </w:rPr>
        <w:t>th</w:t>
      </w:r>
      <w:r>
        <w:rPr>
          <w:rFonts w:ascii="Calibri"/>
          <w:spacing w:val="10"/>
          <w:sz w:val="20"/>
          <w:vertAlign w:val="baseline"/>
        </w:rPr>
        <w:t> </w:t>
      </w:r>
      <w:r>
        <w:rPr>
          <w:rFonts w:ascii="Calibri"/>
          <w:sz w:val="20"/>
          <w:vertAlign w:val="baseline"/>
        </w:rPr>
        <w:t>edition,</w:t>
      </w:r>
      <w:r>
        <w:rPr>
          <w:rFonts w:ascii="Calibri"/>
          <w:spacing w:val="10"/>
          <w:sz w:val="20"/>
          <w:vertAlign w:val="baseline"/>
        </w:rPr>
        <w:t> </w:t>
      </w:r>
      <w:r>
        <w:rPr>
          <w:rFonts w:ascii="Calibri"/>
          <w:sz w:val="20"/>
          <w:vertAlign w:val="baseline"/>
        </w:rPr>
        <w:t>Pearson</w:t>
      </w:r>
      <w:r>
        <w:rPr>
          <w:rFonts w:ascii="Calibri"/>
          <w:spacing w:val="5"/>
          <w:sz w:val="20"/>
          <w:vertAlign w:val="baseline"/>
        </w:rPr>
        <w:t> </w:t>
      </w:r>
      <w:r>
        <w:rPr>
          <w:rFonts w:ascii="Calibri"/>
          <w:sz w:val="20"/>
          <w:vertAlign w:val="baseline"/>
        </w:rPr>
        <w:t>Education</w:t>
      </w:r>
      <w:r>
        <w:rPr>
          <w:rFonts w:ascii="Calibri"/>
          <w:spacing w:val="11"/>
          <w:sz w:val="20"/>
          <w:vertAlign w:val="baseline"/>
        </w:rPr>
        <w:t> </w:t>
      </w:r>
      <w:r>
        <w:rPr>
          <w:rFonts w:ascii="Calibri"/>
          <w:sz w:val="20"/>
          <w:vertAlign w:val="baseline"/>
        </w:rPr>
        <w:t>Limited,</w:t>
      </w:r>
      <w:r>
        <w:rPr>
          <w:rFonts w:ascii="Calibri"/>
          <w:spacing w:val="8"/>
          <w:sz w:val="20"/>
          <w:vertAlign w:val="baseline"/>
        </w:rPr>
        <w:t> </w:t>
      </w:r>
      <w:r>
        <w:rPr>
          <w:rFonts w:ascii="Calibri"/>
          <w:spacing w:val="-2"/>
          <w:sz w:val="20"/>
          <w:vertAlign w:val="baseline"/>
        </w:rPr>
        <w:t>England,</w:t>
      </w:r>
    </w:p>
    <w:p>
      <w:pPr>
        <w:spacing w:before="1"/>
        <w:ind w:left="308" w:right="0" w:firstLine="0"/>
        <w:jc w:val="both"/>
        <w:rPr>
          <w:rFonts w:ascii="Calibri"/>
          <w:sz w:val="20"/>
        </w:rPr>
      </w:pPr>
      <w:r>
        <w:rPr>
          <w:rFonts w:ascii="Calibri"/>
          <w:sz w:val="20"/>
        </w:rPr>
        <w:t>p.</w:t>
      </w:r>
      <w:r>
        <w:rPr>
          <w:rFonts w:ascii="Calibri"/>
          <w:spacing w:val="3"/>
          <w:sz w:val="20"/>
        </w:rPr>
        <w:t> </w:t>
      </w:r>
      <w:r>
        <w:rPr>
          <w:rFonts w:ascii="Calibri"/>
          <w:spacing w:val="-2"/>
          <w:sz w:val="20"/>
        </w:rPr>
        <w:t>1547.</w:t>
      </w:r>
    </w:p>
    <w:p>
      <w:pPr>
        <w:spacing w:before="0"/>
        <w:ind w:left="308" w:right="0" w:firstLine="0"/>
        <w:jc w:val="left"/>
        <w:rPr>
          <w:rFonts w:ascii="Calibri"/>
          <w:sz w:val="20"/>
        </w:rPr>
      </w:pPr>
      <w:r>
        <w:rPr>
          <w:rFonts w:ascii="Calibri"/>
          <w:sz w:val="20"/>
          <w:vertAlign w:val="superscript"/>
        </w:rPr>
        <w:t>16</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4"/>
          <w:sz w:val="20"/>
          <w:vertAlign w:val="baseline"/>
        </w:rPr>
        <w:t>436.</w:t>
      </w:r>
    </w:p>
    <w:p>
      <w:pPr>
        <w:spacing w:before="1"/>
        <w:ind w:left="308" w:right="0" w:firstLine="0"/>
        <w:jc w:val="left"/>
        <w:rPr>
          <w:rFonts w:ascii="Calibri"/>
          <w:sz w:val="20"/>
        </w:rPr>
      </w:pPr>
      <w:r>
        <w:rPr>
          <w:rFonts w:ascii="Calibri"/>
          <w:sz w:val="20"/>
          <w:vertAlign w:val="superscript"/>
        </w:rPr>
        <w:t>17</w:t>
      </w:r>
      <w:r>
        <w:rPr>
          <w:rFonts w:ascii="Calibri"/>
          <w:sz w:val="20"/>
          <w:vertAlign w:val="baseline"/>
        </w:rPr>
        <w:t>Davies,</w:t>
      </w:r>
      <w:r>
        <w:rPr>
          <w:rFonts w:ascii="Calibri"/>
          <w:spacing w:val="-4"/>
          <w:sz w:val="20"/>
          <w:vertAlign w:val="baseline"/>
        </w:rPr>
        <w:t> </w:t>
      </w:r>
      <w:r>
        <w:rPr>
          <w:rFonts w:ascii="Calibri"/>
          <w:sz w:val="20"/>
          <w:vertAlign w:val="baseline"/>
        </w:rPr>
        <w:t>J.op.cit.,</w:t>
      </w:r>
      <w:r>
        <w:rPr>
          <w:rFonts w:ascii="Calibri"/>
          <w:spacing w:val="-9"/>
          <w:sz w:val="20"/>
          <w:vertAlign w:val="baseline"/>
        </w:rPr>
        <w:t> </w:t>
      </w:r>
      <w:r>
        <w:rPr>
          <w:rFonts w:ascii="Calibri"/>
          <w:sz w:val="20"/>
          <w:vertAlign w:val="baseline"/>
        </w:rPr>
        <w:t>p.</w:t>
      </w:r>
      <w:r>
        <w:rPr>
          <w:rFonts w:ascii="Calibri"/>
          <w:spacing w:val="-5"/>
          <w:sz w:val="20"/>
          <w:vertAlign w:val="baseline"/>
        </w:rPr>
        <w:t> 38.</w:t>
      </w:r>
    </w:p>
    <w:p>
      <w:pPr>
        <w:spacing w:before="1"/>
        <w:ind w:left="308" w:right="0" w:firstLine="0"/>
        <w:jc w:val="left"/>
        <w:rPr>
          <w:rFonts w:ascii="Calibri" w:hAnsi="Calibri"/>
          <w:sz w:val="20"/>
        </w:rPr>
      </w:pPr>
      <w:r>
        <w:rPr>
          <w:rFonts w:ascii="Calibri" w:hAnsi="Calibri"/>
          <w:sz w:val="20"/>
          <w:vertAlign w:val="superscript"/>
        </w:rPr>
        <w:t>18</w:t>
      </w:r>
      <w:r>
        <w:rPr>
          <w:rFonts w:ascii="Calibri" w:hAnsi="Calibri"/>
          <w:sz w:val="20"/>
          <w:vertAlign w:val="baseline"/>
        </w:rPr>
        <w:t>Corkery,</w:t>
      </w:r>
      <w:r>
        <w:rPr>
          <w:rFonts w:ascii="Calibri" w:hAnsi="Calibri"/>
          <w:spacing w:val="-9"/>
          <w:sz w:val="20"/>
          <w:vertAlign w:val="baseline"/>
        </w:rPr>
        <w:t> </w:t>
      </w:r>
      <w:r>
        <w:rPr>
          <w:rFonts w:ascii="Calibri" w:hAnsi="Calibri"/>
          <w:sz w:val="20"/>
          <w:vertAlign w:val="baseline"/>
        </w:rPr>
        <w:t>F.J.</w:t>
      </w:r>
      <w:r>
        <w:rPr>
          <w:rFonts w:ascii="Calibri" w:hAnsi="Calibri"/>
          <w:spacing w:val="-7"/>
          <w:sz w:val="20"/>
          <w:vertAlign w:val="baseline"/>
        </w:rPr>
        <w:t> </w:t>
      </w:r>
      <w:r>
        <w:rPr>
          <w:rFonts w:ascii="Calibri" w:hAnsi="Calibri"/>
          <w:sz w:val="20"/>
          <w:vertAlign w:val="baseline"/>
        </w:rPr>
        <w:t>(1987).</w:t>
      </w:r>
      <w:r>
        <w:rPr>
          <w:rFonts w:ascii="Calibri" w:hAnsi="Calibri"/>
          <w:i/>
          <w:sz w:val="20"/>
          <w:vertAlign w:val="baseline"/>
        </w:rPr>
        <w:t>Directors’</w:t>
      </w:r>
      <w:r>
        <w:rPr>
          <w:rFonts w:ascii="Calibri" w:hAnsi="Calibri"/>
          <w:i/>
          <w:spacing w:val="-6"/>
          <w:sz w:val="20"/>
          <w:vertAlign w:val="baseline"/>
        </w:rPr>
        <w:t> </w:t>
      </w:r>
      <w:r>
        <w:rPr>
          <w:rFonts w:ascii="Calibri" w:hAnsi="Calibri"/>
          <w:i/>
          <w:sz w:val="20"/>
          <w:vertAlign w:val="baseline"/>
        </w:rPr>
        <w:t>Powers</w:t>
      </w:r>
      <w:r>
        <w:rPr>
          <w:rFonts w:ascii="Calibri" w:hAnsi="Calibri"/>
          <w:i/>
          <w:spacing w:val="-10"/>
          <w:sz w:val="20"/>
          <w:vertAlign w:val="baseline"/>
        </w:rPr>
        <w:t> </w:t>
      </w:r>
      <w:r>
        <w:rPr>
          <w:rFonts w:ascii="Calibri" w:hAnsi="Calibri"/>
          <w:i/>
          <w:sz w:val="20"/>
          <w:vertAlign w:val="baseline"/>
        </w:rPr>
        <w:t>and</w:t>
      </w:r>
      <w:r>
        <w:rPr>
          <w:rFonts w:ascii="Calibri" w:hAnsi="Calibri"/>
          <w:i/>
          <w:spacing w:val="-8"/>
          <w:sz w:val="20"/>
          <w:vertAlign w:val="baseline"/>
        </w:rPr>
        <w:t> </w:t>
      </w:r>
      <w:r>
        <w:rPr>
          <w:rFonts w:ascii="Calibri" w:hAnsi="Calibri"/>
          <w:i/>
          <w:sz w:val="20"/>
          <w:vertAlign w:val="baseline"/>
        </w:rPr>
        <w:t>Duties</w:t>
      </w:r>
      <w:r>
        <w:rPr>
          <w:rFonts w:ascii="Calibri" w:hAnsi="Calibri"/>
          <w:sz w:val="20"/>
          <w:vertAlign w:val="baseline"/>
        </w:rPr>
        <w:t>.</w:t>
      </w:r>
      <w:r>
        <w:rPr>
          <w:rFonts w:ascii="Calibri" w:hAnsi="Calibri"/>
          <w:spacing w:val="-7"/>
          <w:sz w:val="20"/>
          <w:vertAlign w:val="baseline"/>
        </w:rPr>
        <w:t> </w:t>
      </w:r>
      <w:r>
        <w:rPr>
          <w:rFonts w:ascii="Calibri" w:hAnsi="Calibri"/>
          <w:sz w:val="20"/>
          <w:vertAlign w:val="baseline"/>
        </w:rPr>
        <w:t>Longman</w:t>
      </w:r>
      <w:r>
        <w:rPr>
          <w:rFonts w:ascii="Calibri" w:hAnsi="Calibri"/>
          <w:spacing w:val="-11"/>
          <w:sz w:val="20"/>
          <w:vertAlign w:val="baseline"/>
        </w:rPr>
        <w:t> </w:t>
      </w:r>
      <w:r>
        <w:rPr>
          <w:rFonts w:ascii="Calibri" w:hAnsi="Calibri"/>
          <w:sz w:val="20"/>
          <w:vertAlign w:val="baseline"/>
        </w:rPr>
        <w:t>Cheshire,</w:t>
      </w:r>
      <w:r>
        <w:rPr>
          <w:rFonts w:ascii="Calibri" w:hAnsi="Calibri"/>
          <w:spacing w:val="-10"/>
          <w:sz w:val="20"/>
          <w:vertAlign w:val="baseline"/>
        </w:rPr>
        <w:t> </w:t>
      </w:r>
      <w:r>
        <w:rPr>
          <w:rFonts w:ascii="Calibri" w:hAnsi="Calibri"/>
          <w:sz w:val="20"/>
          <w:vertAlign w:val="baseline"/>
        </w:rPr>
        <w:t>Melbourne</w:t>
      </w:r>
      <w:r>
        <w:rPr>
          <w:rFonts w:ascii="Calibri" w:hAnsi="Calibri"/>
          <w:spacing w:val="-4"/>
          <w:sz w:val="20"/>
          <w:vertAlign w:val="baseline"/>
        </w:rPr>
        <w:t> </w:t>
      </w:r>
      <w:r>
        <w:rPr>
          <w:rFonts w:ascii="Calibri" w:hAnsi="Calibri"/>
          <w:sz w:val="20"/>
          <w:vertAlign w:val="baseline"/>
        </w:rPr>
        <w:t>Australia,</w:t>
      </w:r>
      <w:r>
        <w:rPr>
          <w:rFonts w:ascii="Calibri" w:hAnsi="Calibri"/>
          <w:spacing w:val="-11"/>
          <w:sz w:val="20"/>
          <w:vertAlign w:val="baseline"/>
        </w:rPr>
        <w:t> </w:t>
      </w:r>
      <w:r>
        <w:rPr>
          <w:rFonts w:ascii="Calibri" w:hAnsi="Calibri"/>
          <w:sz w:val="20"/>
          <w:vertAlign w:val="baseline"/>
        </w:rPr>
        <w:t>p.</w:t>
      </w:r>
      <w:r>
        <w:rPr>
          <w:rFonts w:ascii="Calibri" w:hAnsi="Calibri"/>
          <w:spacing w:val="-8"/>
          <w:sz w:val="20"/>
          <w:vertAlign w:val="baseline"/>
        </w:rPr>
        <w:t> </w:t>
      </w:r>
      <w:r>
        <w:rPr>
          <w:rFonts w:ascii="Calibri" w:hAnsi="Calibri"/>
          <w:spacing w:val="-4"/>
          <w:sz w:val="20"/>
          <w:vertAlign w:val="baseline"/>
        </w:rPr>
        <w:t>131.</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235"/>
        <w:jc w:val="both"/>
      </w:pPr>
      <w:r>
        <w:rPr/>
        <w:t>him. Romer J. deliberated on these points while deciding the English case of </w:t>
      </w:r>
      <w:r>
        <w:rPr>
          <w:b/>
        </w:rPr>
        <w:t>Re City Equitable Fire Insurance Co.</w:t>
      </w:r>
      <w:r>
        <w:rPr/>
        <w:t>,</w:t>
      </w:r>
      <w:r>
        <w:rPr>
          <w:vertAlign w:val="superscript"/>
        </w:rPr>
        <w:t>19</w:t>
      </w:r>
      <w:r>
        <w:rPr>
          <w:vertAlign w:val="baseline"/>
        </w:rPr>
        <w:t>which decision was considered the authority on the point for a long time, at common law. In that case, the chairman of an insurance company committed frauds by purporting to buy treasury bonds just before the end of the</w:t>
      </w:r>
      <w:r>
        <w:rPr>
          <w:spacing w:val="-2"/>
          <w:vertAlign w:val="baseline"/>
        </w:rPr>
        <w:t> </w:t>
      </w:r>
      <w:r>
        <w:rPr>
          <w:vertAlign w:val="baseline"/>
        </w:rPr>
        <w:t>accounting</w:t>
      </w:r>
      <w:r>
        <w:rPr>
          <w:spacing w:val="-1"/>
          <w:vertAlign w:val="baseline"/>
        </w:rPr>
        <w:t> </w:t>
      </w:r>
      <w:r>
        <w:rPr>
          <w:vertAlign w:val="baseline"/>
        </w:rPr>
        <w:t>period</w:t>
      </w:r>
      <w:r>
        <w:rPr>
          <w:spacing w:val="-1"/>
          <w:vertAlign w:val="baseline"/>
        </w:rPr>
        <w:t> </w:t>
      </w:r>
      <w:r>
        <w:rPr>
          <w:vertAlign w:val="baseline"/>
        </w:rPr>
        <w:t>and selling</w:t>
      </w:r>
      <w:r>
        <w:rPr>
          <w:spacing w:val="-1"/>
          <w:vertAlign w:val="baseline"/>
        </w:rPr>
        <w:t> </w:t>
      </w:r>
      <w:r>
        <w:rPr>
          <w:vertAlign w:val="baseline"/>
        </w:rPr>
        <w:t>them</w:t>
      </w:r>
      <w:r>
        <w:rPr>
          <w:spacing w:val="-1"/>
          <w:vertAlign w:val="baseline"/>
        </w:rPr>
        <w:t> </w:t>
      </w:r>
      <w:r>
        <w:rPr>
          <w:vertAlign w:val="baseline"/>
        </w:rPr>
        <w:t>just after</w:t>
      </w:r>
      <w:r>
        <w:rPr>
          <w:spacing w:val="-3"/>
          <w:vertAlign w:val="baseline"/>
        </w:rPr>
        <w:t> </w:t>
      </w:r>
      <w:r>
        <w:rPr>
          <w:vertAlign w:val="baseline"/>
        </w:rPr>
        <w:t>the</w:t>
      </w:r>
      <w:r>
        <w:rPr>
          <w:spacing w:val="-2"/>
          <w:vertAlign w:val="baseline"/>
        </w:rPr>
        <w:t> </w:t>
      </w:r>
      <w:r>
        <w:rPr>
          <w:vertAlign w:val="baseline"/>
        </w:rPr>
        <w:t>audit. By</w:t>
      </w:r>
      <w:r>
        <w:rPr>
          <w:spacing w:val="-10"/>
          <w:vertAlign w:val="baseline"/>
        </w:rPr>
        <w:t> </w:t>
      </w:r>
      <w:r>
        <w:rPr>
          <w:vertAlign w:val="baseline"/>
        </w:rPr>
        <w:t>this method, a</w:t>
      </w:r>
      <w:r>
        <w:rPr>
          <w:spacing w:val="-2"/>
          <w:vertAlign w:val="baseline"/>
        </w:rPr>
        <w:t> </w:t>
      </w:r>
      <w:r>
        <w:rPr>
          <w:vertAlign w:val="baseline"/>
        </w:rPr>
        <w:t>debt due</w:t>
      </w:r>
      <w:r>
        <w:rPr>
          <w:spacing w:val="-2"/>
          <w:vertAlign w:val="baseline"/>
        </w:rPr>
        <w:t> </w:t>
      </w:r>
      <w:r>
        <w:rPr>
          <w:vertAlign w:val="baseline"/>
        </w:rPr>
        <w:t>to the company from a firm in which the chairman had an interest was considerably reduced on</w:t>
      </w:r>
      <w:r>
        <w:rPr>
          <w:spacing w:val="-6"/>
          <w:vertAlign w:val="baseline"/>
        </w:rPr>
        <w:t> </w:t>
      </w:r>
      <w:r>
        <w:rPr>
          <w:vertAlign w:val="baseline"/>
        </w:rPr>
        <w:t>the balance sheet by increasing the gilt-edged securities shown</w:t>
      </w:r>
      <w:r>
        <w:rPr>
          <w:spacing w:val="-2"/>
          <w:vertAlign w:val="baseline"/>
        </w:rPr>
        <w:t> </w:t>
      </w:r>
      <w:r>
        <w:rPr>
          <w:vertAlign w:val="baseline"/>
        </w:rPr>
        <w:t>as assets and the auditors could not detect this. It appeared that the directors of the company had left the management of its affairs almost entirely to the chairman and it was perhaps</w:t>
      </w:r>
      <w:r>
        <w:rPr>
          <w:spacing w:val="80"/>
          <w:vertAlign w:val="baseline"/>
        </w:rPr>
        <w:t> </w:t>
      </w:r>
      <w:r>
        <w:rPr>
          <w:vertAlign w:val="baseline"/>
        </w:rPr>
        <w:t>because of this that he had more easily been able to perpetuate his frauds.</w:t>
      </w:r>
    </w:p>
    <w:p>
      <w:pPr>
        <w:pStyle w:val="BodyText"/>
        <w:spacing w:line="480" w:lineRule="auto" w:before="2"/>
        <w:ind w:right="243" w:firstLine="720"/>
        <w:jc w:val="both"/>
      </w:pPr>
      <w:r>
        <w:rPr/>
        <w:t>After some very careful deliberations, Romer J. reached the following </w:t>
      </w:r>
      <w:r>
        <w:rPr>
          <w:spacing w:val="-2"/>
        </w:rPr>
        <w:t>conclusion:</w:t>
      </w:r>
      <w:r>
        <w:rPr>
          <w:spacing w:val="-2"/>
          <w:vertAlign w:val="superscript"/>
        </w:rPr>
        <w:t>20</w:t>
      </w:r>
    </w:p>
    <w:p>
      <w:pPr>
        <w:pStyle w:val="ListParagraph"/>
        <w:numPr>
          <w:ilvl w:val="0"/>
          <w:numId w:val="13"/>
        </w:numPr>
        <w:tabs>
          <w:tab w:pos="2827" w:val="left" w:leader="none"/>
          <w:tab w:pos="2829" w:val="left" w:leader="none"/>
        </w:tabs>
        <w:spacing w:line="240" w:lineRule="auto" w:before="0" w:after="0"/>
        <w:ind w:left="2829" w:right="999" w:hanging="539"/>
        <w:jc w:val="both"/>
        <w:rPr>
          <w:i/>
          <w:sz w:val="24"/>
        </w:rPr>
      </w:pPr>
      <w:r>
        <w:rPr>
          <w:i/>
          <w:sz w:val="24"/>
        </w:rPr>
        <w:t>A director need not exhibit in the performance of his duties, a greater degree of skill than may reasonably be </w:t>
      </w:r>
      <w:r>
        <w:rPr>
          <w:b/>
          <w:i/>
          <w:sz w:val="24"/>
        </w:rPr>
        <w:t>expected from a person of his knowledge and experience</w:t>
      </w:r>
      <w:r>
        <w:rPr>
          <w:i/>
          <w:sz w:val="24"/>
        </w:rPr>
        <w:t>. A director of a life insurance company, for instance, does not guarantee that he has the skill of an actuary or of a physician. In the words of Lindley M.R., if directors act within their powers, if they act with such care as is reasonably to be expected</w:t>
      </w:r>
      <w:r>
        <w:rPr>
          <w:i/>
          <w:spacing w:val="-5"/>
          <w:sz w:val="24"/>
        </w:rPr>
        <w:t> </w:t>
      </w:r>
      <w:r>
        <w:rPr>
          <w:i/>
          <w:sz w:val="24"/>
        </w:rPr>
        <w:t>from</w:t>
      </w:r>
      <w:r>
        <w:rPr>
          <w:i/>
          <w:spacing w:val="-5"/>
          <w:sz w:val="24"/>
        </w:rPr>
        <w:t> </w:t>
      </w:r>
      <w:r>
        <w:rPr>
          <w:i/>
          <w:sz w:val="24"/>
        </w:rPr>
        <w:t>them,</w:t>
      </w:r>
      <w:r>
        <w:rPr>
          <w:i/>
          <w:spacing w:val="-1"/>
          <w:sz w:val="24"/>
        </w:rPr>
        <w:t> </w:t>
      </w:r>
      <w:r>
        <w:rPr>
          <w:i/>
          <w:sz w:val="24"/>
        </w:rPr>
        <w:t>having</w:t>
      </w:r>
      <w:r>
        <w:rPr>
          <w:i/>
          <w:spacing w:val="-9"/>
          <w:sz w:val="24"/>
        </w:rPr>
        <w:t> </w:t>
      </w:r>
      <w:r>
        <w:rPr>
          <w:i/>
          <w:sz w:val="24"/>
        </w:rPr>
        <w:t>regard</w:t>
      </w:r>
      <w:r>
        <w:rPr>
          <w:i/>
          <w:spacing w:val="-4"/>
          <w:sz w:val="24"/>
        </w:rPr>
        <w:t> </w:t>
      </w:r>
      <w:r>
        <w:rPr>
          <w:i/>
          <w:sz w:val="24"/>
        </w:rPr>
        <w:t>to</w:t>
      </w:r>
      <w:r>
        <w:rPr>
          <w:i/>
          <w:spacing w:val="-4"/>
          <w:sz w:val="24"/>
        </w:rPr>
        <w:t> </w:t>
      </w:r>
      <w:r>
        <w:rPr>
          <w:i/>
          <w:sz w:val="24"/>
        </w:rPr>
        <w:t>their</w:t>
      </w:r>
      <w:r>
        <w:rPr>
          <w:i/>
          <w:spacing w:val="-6"/>
          <w:sz w:val="24"/>
        </w:rPr>
        <w:t> </w:t>
      </w:r>
      <w:r>
        <w:rPr>
          <w:i/>
          <w:sz w:val="24"/>
        </w:rPr>
        <w:t>knowledge and</w:t>
      </w:r>
      <w:r>
        <w:rPr>
          <w:i/>
          <w:spacing w:val="-3"/>
          <w:sz w:val="24"/>
        </w:rPr>
        <w:t> </w:t>
      </w:r>
      <w:r>
        <w:rPr>
          <w:i/>
          <w:sz w:val="24"/>
        </w:rPr>
        <w:t>experience,</w:t>
      </w:r>
      <w:r>
        <w:rPr>
          <w:i/>
          <w:spacing w:val="-1"/>
          <w:sz w:val="24"/>
        </w:rPr>
        <w:t> </w:t>
      </w:r>
      <w:r>
        <w:rPr>
          <w:i/>
          <w:sz w:val="24"/>
        </w:rPr>
        <w:t>and</w:t>
      </w:r>
      <w:r>
        <w:rPr>
          <w:i/>
          <w:spacing w:val="-3"/>
          <w:sz w:val="24"/>
        </w:rPr>
        <w:t> </w:t>
      </w:r>
      <w:r>
        <w:rPr>
          <w:i/>
          <w:sz w:val="24"/>
        </w:rPr>
        <w:t>if they</w:t>
      </w:r>
      <w:r>
        <w:rPr>
          <w:i/>
          <w:spacing w:val="-5"/>
          <w:sz w:val="24"/>
        </w:rPr>
        <w:t> </w:t>
      </w:r>
      <w:r>
        <w:rPr>
          <w:i/>
          <w:sz w:val="24"/>
        </w:rPr>
        <w:t>act</w:t>
      </w:r>
      <w:r>
        <w:rPr>
          <w:i/>
          <w:spacing w:val="-3"/>
          <w:sz w:val="24"/>
        </w:rPr>
        <w:t> </w:t>
      </w:r>
      <w:r>
        <w:rPr>
          <w:i/>
          <w:sz w:val="24"/>
        </w:rPr>
        <w:t>honestly</w:t>
      </w:r>
      <w:r>
        <w:rPr>
          <w:i/>
          <w:spacing w:val="-8"/>
          <w:sz w:val="24"/>
        </w:rPr>
        <w:t> </w:t>
      </w:r>
      <w:r>
        <w:rPr>
          <w:i/>
          <w:sz w:val="24"/>
        </w:rPr>
        <w:t>for</w:t>
      </w:r>
      <w:r>
        <w:rPr>
          <w:i/>
          <w:spacing w:val="-9"/>
          <w:sz w:val="24"/>
        </w:rPr>
        <w:t> </w:t>
      </w:r>
      <w:r>
        <w:rPr>
          <w:i/>
          <w:sz w:val="24"/>
        </w:rPr>
        <w:t>the</w:t>
      </w:r>
      <w:r>
        <w:rPr>
          <w:i/>
          <w:spacing w:val="-4"/>
          <w:sz w:val="24"/>
        </w:rPr>
        <w:t> </w:t>
      </w:r>
      <w:r>
        <w:rPr>
          <w:i/>
          <w:sz w:val="24"/>
        </w:rPr>
        <w:t>benefit of the company they represent, they discharge both their equitable as well as their legal duty to the company. It is perhaps only another way of stating</w:t>
      </w:r>
      <w:r>
        <w:rPr>
          <w:i/>
          <w:spacing w:val="40"/>
          <w:sz w:val="24"/>
        </w:rPr>
        <w:t> </w:t>
      </w:r>
      <w:r>
        <w:rPr>
          <w:i/>
          <w:sz w:val="24"/>
        </w:rPr>
        <w:t>the same proposition to say that directors are not liable for mere errors of judgment.</w:t>
      </w:r>
    </w:p>
    <w:p>
      <w:pPr>
        <w:pStyle w:val="ListParagraph"/>
        <w:numPr>
          <w:ilvl w:val="0"/>
          <w:numId w:val="13"/>
        </w:numPr>
        <w:tabs>
          <w:tab w:pos="2826" w:val="left" w:leader="none"/>
          <w:tab w:pos="2829" w:val="left" w:leader="none"/>
        </w:tabs>
        <w:spacing w:line="240" w:lineRule="auto" w:before="4" w:after="0"/>
        <w:ind w:left="2829" w:right="997" w:hanging="539"/>
        <w:jc w:val="both"/>
        <w:rPr>
          <w:i/>
          <w:sz w:val="24"/>
        </w:rPr>
      </w:pPr>
      <w:r>
        <w:rPr>
          <w:i/>
          <w:sz w:val="24"/>
        </w:rPr>
        <w:t>A director</w:t>
      </w:r>
      <w:r>
        <w:rPr>
          <w:i/>
          <w:spacing w:val="-4"/>
          <w:sz w:val="24"/>
        </w:rPr>
        <w:t> </w:t>
      </w:r>
      <w:r>
        <w:rPr>
          <w:i/>
          <w:sz w:val="24"/>
        </w:rPr>
        <w:t>is</w:t>
      </w:r>
      <w:r>
        <w:rPr>
          <w:i/>
          <w:spacing w:val="-4"/>
          <w:sz w:val="24"/>
        </w:rPr>
        <w:t> </w:t>
      </w:r>
      <w:r>
        <w:rPr>
          <w:i/>
          <w:sz w:val="24"/>
        </w:rPr>
        <w:t>not</w:t>
      </w:r>
      <w:r>
        <w:rPr>
          <w:i/>
          <w:spacing w:val="-2"/>
          <w:sz w:val="24"/>
        </w:rPr>
        <w:t> </w:t>
      </w:r>
      <w:r>
        <w:rPr>
          <w:i/>
          <w:sz w:val="24"/>
        </w:rPr>
        <w:t>bound</w:t>
      </w:r>
      <w:r>
        <w:rPr>
          <w:i/>
          <w:spacing w:val="-2"/>
          <w:sz w:val="24"/>
        </w:rPr>
        <w:t> </w:t>
      </w:r>
      <w:r>
        <w:rPr>
          <w:i/>
          <w:sz w:val="24"/>
        </w:rPr>
        <w:t>to</w:t>
      </w:r>
      <w:r>
        <w:rPr>
          <w:i/>
          <w:spacing w:val="-2"/>
          <w:sz w:val="24"/>
        </w:rPr>
        <w:t> </w:t>
      </w:r>
      <w:r>
        <w:rPr>
          <w:i/>
          <w:sz w:val="24"/>
        </w:rPr>
        <w:t>give</w:t>
      </w:r>
      <w:r>
        <w:rPr>
          <w:i/>
          <w:spacing w:val="-4"/>
          <w:sz w:val="24"/>
        </w:rPr>
        <w:t> </w:t>
      </w:r>
      <w:r>
        <w:rPr>
          <w:i/>
          <w:sz w:val="24"/>
        </w:rPr>
        <w:t>continuous</w:t>
      </w:r>
      <w:r>
        <w:rPr>
          <w:i/>
          <w:spacing w:val="-4"/>
          <w:sz w:val="24"/>
        </w:rPr>
        <w:t> </w:t>
      </w:r>
      <w:r>
        <w:rPr>
          <w:i/>
          <w:sz w:val="24"/>
        </w:rPr>
        <w:t>attention</w:t>
      </w:r>
      <w:r>
        <w:rPr>
          <w:i/>
          <w:spacing w:val="-2"/>
          <w:sz w:val="24"/>
        </w:rPr>
        <w:t> </w:t>
      </w:r>
      <w:r>
        <w:rPr>
          <w:i/>
          <w:sz w:val="24"/>
        </w:rPr>
        <w:t>to the affairs of his company. His duties are of an intermittent nature to be performed at periodical board meetings</w:t>
      </w:r>
      <w:r>
        <w:rPr>
          <w:i/>
          <w:spacing w:val="-1"/>
          <w:sz w:val="24"/>
        </w:rPr>
        <w:t> </w:t>
      </w:r>
      <w:r>
        <w:rPr>
          <w:i/>
          <w:sz w:val="24"/>
        </w:rPr>
        <w:t>and at any meetings</w:t>
      </w:r>
      <w:r>
        <w:rPr>
          <w:i/>
          <w:spacing w:val="-1"/>
          <w:sz w:val="24"/>
        </w:rPr>
        <w:t> </w:t>
      </w:r>
      <w:r>
        <w:rPr>
          <w:i/>
          <w:sz w:val="24"/>
        </w:rPr>
        <w:t>of any committee of the board upon which he happens to be placed. He ishowever, </w:t>
      </w:r>
      <w:r>
        <w:rPr>
          <w:b/>
          <w:i/>
          <w:sz w:val="24"/>
        </w:rPr>
        <w:t>not bound to attend all such meetings </w:t>
      </w:r>
      <w:r>
        <w:rPr>
          <w:i/>
          <w:sz w:val="24"/>
        </w:rPr>
        <w:t>though he ought to attend whenever, in </w:t>
      </w:r>
      <w:r>
        <w:rPr>
          <w:i/>
          <w:sz w:val="24"/>
        </w:rPr>
        <w:t>the circumstances, he is reasonably able to do so.</w:t>
      </w:r>
    </w:p>
    <w:p>
      <w:pPr>
        <w:pStyle w:val="BodyText"/>
        <w:spacing w:before="177"/>
        <w:ind w:left="0"/>
        <w:rPr>
          <w:i/>
          <w:sz w:val="20"/>
        </w:rPr>
      </w:pPr>
      <w:r>
        <w:rPr/>
        <mc:AlternateContent>
          <mc:Choice Requires="wps">
            <w:drawing>
              <wp:anchor distT="0" distB="0" distL="0" distR="0" allowOverlap="1" layoutInCell="1" locked="0" behindDoc="1" simplePos="0" relativeHeight="487635968">
                <wp:simplePos x="0" y="0"/>
                <wp:positionH relativeFrom="page">
                  <wp:posOffset>1262481</wp:posOffset>
                </wp:positionH>
                <wp:positionV relativeFrom="paragraph">
                  <wp:posOffset>274257</wp:posOffset>
                </wp:positionV>
                <wp:extent cx="1829435" cy="9525"/>
                <wp:effectExtent l="0" t="0" r="0" b="0"/>
                <wp:wrapTopAndBottom/>
                <wp:docPr id="104" name="Graphic 104"/>
                <wp:cNvGraphicFramePr>
                  <a:graphicFrameLocks/>
                </wp:cNvGraphicFramePr>
                <a:graphic>
                  <a:graphicData uri="http://schemas.microsoft.com/office/word/2010/wordprocessingShape">
                    <wps:wsp>
                      <wps:cNvPr id="104" name="Graphic 10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595108pt;width:144.050pt;height:.71997pt;mso-position-horizontal-relative:page;mso-position-vertical-relative:paragraph;z-index:-15680512;mso-wrap-distance-left:0;mso-wrap-distance-right:0" id="docshape5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19</w:t>
      </w:r>
      <w:r>
        <w:rPr>
          <w:rFonts w:ascii="Calibri"/>
          <w:sz w:val="20"/>
          <w:vertAlign w:val="baseline"/>
        </w:rPr>
        <w:t>(1925)</w:t>
      </w:r>
      <w:r>
        <w:rPr>
          <w:rFonts w:ascii="Calibri"/>
          <w:spacing w:val="-2"/>
          <w:sz w:val="20"/>
          <w:vertAlign w:val="baseline"/>
        </w:rPr>
        <w:t> </w:t>
      </w:r>
      <w:r>
        <w:rPr>
          <w:rFonts w:ascii="Calibri"/>
          <w:sz w:val="20"/>
          <w:vertAlign w:val="baseline"/>
        </w:rPr>
        <w:t>Ch.</w:t>
      </w:r>
      <w:r>
        <w:rPr>
          <w:rFonts w:ascii="Calibri"/>
          <w:spacing w:val="-6"/>
          <w:sz w:val="20"/>
          <w:vertAlign w:val="baseline"/>
        </w:rPr>
        <w:t> </w:t>
      </w:r>
      <w:r>
        <w:rPr>
          <w:rFonts w:ascii="Calibri"/>
          <w:spacing w:val="-4"/>
          <w:sz w:val="20"/>
          <w:vertAlign w:val="baseline"/>
        </w:rPr>
        <w:t>407.</w:t>
      </w:r>
    </w:p>
    <w:p>
      <w:pPr>
        <w:spacing w:before="1"/>
        <w:ind w:left="308" w:right="0" w:firstLine="0"/>
        <w:jc w:val="left"/>
        <w:rPr>
          <w:rFonts w:ascii="Calibri"/>
          <w:sz w:val="20"/>
        </w:rPr>
      </w:pPr>
      <w:r>
        <w:rPr>
          <w:rFonts w:ascii="Calibri"/>
          <w:sz w:val="20"/>
          <w:vertAlign w:val="superscript"/>
        </w:rPr>
        <w:t>20</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428.</w:t>
      </w:r>
    </w:p>
    <w:p>
      <w:pPr>
        <w:spacing w:after="0"/>
        <w:jc w:val="left"/>
        <w:rPr>
          <w:rFonts w:ascii="Calibri"/>
          <w:sz w:val="20"/>
        </w:rPr>
        <w:sectPr>
          <w:pgSz w:w="11910" w:h="16840"/>
          <w:pgMar w:header="0" w:footer="1003" w:top="1320" w:bottom="1200" w:left="1680" w:right="1180"/>
        </w:sectPr>
      </w:pPr>
    </w:p>
    <w:p>
      <w:pPr>
        <w:pStyle w:val="ListParagraph"/>
        <w:numPr>
          <w:ilvl w:val="0"/>
          <w:numId w:val="13"/>
        </w:numPr>
        <w:tabs>
          <w:tab w:pos="2825" w:val="left" w:leader="none"/>
          <w:tab w:pos="2829" w:val="left" w:leader="none"/>
        </w:tabs>
        <w:spacing w:line="240" w:lineRule="auto" w:before="70" w:after="0"/>
        <w:ind w:left="2829" w:right="998" w:hanging="539"/>
        <w:jc w:val="both"/>
        <w:rPr>
          <w:sz w:val="24"/>
        </w:rPr>
      </w:pPr>
      <w:r>
        <w:rPr>
          <w:i/>
          <w:sz w:val="24"/>
        </w:rPr>
        <w:t>In respect of duties that, having regard to the exigencies</w:t>
      </w:r>
      <w:r>
        <w:rPr>
          <w:i/>
          <w:spacing w:val="-5"/>
          <w:sz w:val="24"/>
        </w:rPr>
        <w:t> </w:t>
      </w:r>
      <w:r>
        <w:rPr>
          <w:i/>
          <w:sz w:val="24"/>
        </w:rPr>
        <w:t>of business,</w:t>
      </w:r>
      <w:r>
        <w:rPr>
          <w:i/>
          <w:spacing w:val="-1"/>
          <w:sz w:val="24"/>
        </w:rPr>
        <w:t> </w:t>
      </w:r>
      <w:r>
        <w:rPr>
          <w:i/>
          <w:sz w:val="24"/>
        </w:rPr>
        <w:t>and</w:t>
      </w:r>
      <w:r>
        <w:rPr>
          <w:i/>
          <w:spacing w:val="-3"/>
          <w:sz w:val="24"/>
        </w:rPr>
        <w:t> </w:t>
      </w:r>
      <w:r>
        <w:rPr>
          <w:i/>
          <w:sz w:val="24"/>
        </w:rPr>
        <w:t>the</w:t>
      </w:r>
      <w:r>
        <w:rPr>
          <w:i/>
          <w:spacing w:val="-4"/>
          <w:sz w:val="24"/>
        </w:rPr>
        <w:t> </w:t>
      </w:r>
      <w:r>
        <w:rPr>
          <w:i/>
          <w:sz w:val="24"/>
        </w:rPr>
        <w:t>articles</w:t>
      </w:r>
      <w:r>
        <w:rPr>
          <w:i/>
          <w:spacing w:val="-5"/>
          <w:sz w:val="24"/>
        </w:rPr>
        <w:t> </w:t>
      </w:r>
      <w:r>
        <w:rPr>
          <w:i/>
          <w:sz w:val="24"/>
        </w:rPr>
        <w:t>of association, may probably be left to some other official, a director is, in</w:t>
      </w:r>
      <w:r>
        <w:rPr>
          <w:i/>
          <w:spacing w:val="-2"/>
          <w:sz w:val="24"/>
        </w:rPr>
        <w:t> </w:t>
      </w:r>
      <w:r>
        <w:rPr>
          <w:i/>
          <w:sz w:val="24"/>
        </w:rPr>
        <w:t>the</w:t>
      </w:r>
      <w:r>
        <w:rPr>
          <w:i/>
          <w:spacing w:val="-3"/>
          <w:sz w:val="24"/>
        </w:rPr>
        <w:t> </w:t>
      </w:r>
      <w:r>
        <w:rPr>
          <w:i/>
          <w:sz w:val="24"/>
        </w:rPr>
        <w:t>absence</w:t>
      </w:r>
      <w:r>
        <w:rPr>
          <w:i/>
          <w:spacing w:val="-3"/>
          <w:sz w:val="24"/>
        </w:rPr>
        <w:t> </w:t>
      </w:r>
      <w:r>
        <w:rPr>
          <w:i/>
          <w:sz w:val="24"/>
        </w:rPr>
        <w:t>of grounds</w:t>
      </w:r>
      <w:r>
        <w:rPr>
          <w:i/>
          <w:spacing w:val="-4"/>
          <w:sz w:val="24"/>
        </w:rPr>
        <w:t> </w:t>
      </w:r>
      <w:r>
        <w:rPr>
          <w:i/>
          <w:sz w:val="24"/>
        </w:rPr>
        <w:t>for</w:t>
      </w:r>
      <w:r>
        <w:rPr>
          <w:i/>
          <w:spacing w:val="-4"/>
          <w:sz w:val="24"/>
        </w:rPr>
        <w:t> </w:t>
      </w:r>
      <w:r>
        <w:rPr>
          <w:i/>
          <w:sz w:val="24"/>
        </w:rPr>
        <w:t>suspicion, justified</w:t>
      </w:r>
      <w:r>
        <w:rPr>
          <w:i/>
          <w:spacing w:val="-2"/>
          <w:sz w:val="24"/>
        </w:rPr>
        <w:t> </w:t>
      </w:r>
      <w:r>
        <w:rPr>
          <w:i/>
          <w:sz w:val="24"/>
        </w:rPr>
        <w:t>in trusting that official to perform such duties honestly. (emphasis added)</w:t>
      </w:r>
    </w:p>
    <w:p>
      <w:pPr>
        <w:pStyle w:val="BodyText"/>
        <w:spacing w:before="3"/>
        <w:ind w:left="0"/>
        <w:rPr>
          <w:i/>
        </w:rPr>
      </w:pPr>
    </w:p>
    <w:p>
      <w:pPr>
        <w:spacing w:line="480" w:lineRule="auto" w:before="0"/>
        <w:ind w:left="308" w:right="241" w:firstLine="0"/>
        <w:jc w:val="both"/>
        <w:rPr>
          <w:sz w:val="22"/>
        </w:rPr>
      </w:pPr>
      <w:r>
        <w:rPr>
          <w:sz w:val="24"/>
        </w:rPr>
        <w:t>Romer‘s</w:t>
      </w:r>
      <w:r>
        <w:rPr>
          <w:spacing w:val="-3"/>
          <w:sz w:val="24"/>
        </w:rPr>
        <w:t> </w:t>
      </w:r>
      <w:r>
        <w:rPr>
          <w:sz w:val="24"/>
        </w:rPr>
        <w:t>decision</w:t>
      </w:r>
      <w:r>
        <w:rPr>
          <w:spacing w:val="-5"/>
          <w:sz w:val="24"/>
        </w:rPr>
        <w:t> </w:t>
      </w:r>
      <w:r>
        <w:rPr>
          <w:sz w:val="24"/>
        </w:rPr>
        <w:t>above substantially agrees</w:t>
      </w:r>
      <w:r>
        <w:rPr>
          <w:spacing w:val="-3"/>
          <w:sz w:val="24"/>
        </w:rPr>
        <w:t> </w:t>
      </w:r>
      <w:r>
        <w:rPr>
          <w:sz w:val="24"/>
        </w:rPr>
        <w:t>with a much earlier position held by</w:t>
      </w:r>
      <w:r>
        <w:rPr>
          <w:spacing w:val="-5"/>
          <w:sz w:val="24"/>
        </w:rPr>
        <w:t> </w:t>
      </w:r>
      <w:r>
        <w:rPr>
          <w:sz w:val="24"/>
        </w:rPr>
        <w:t>Bacon VC in</w:t>
      </w:r>
      <w:r>
        <w:rPr>
          <w:b/>
          <w:sz w:val="24"/>
        </w:rPr>
        <w:t>ReMontrotierAsphalte Co (Perry’s case)</w:t>
      </w:r>
      <w:r>
        <w:rPr>
          <w:sz w:val="22"/>
        </w:rPr>
        <w:t>:</w:t>
      </w:r>
      <w:r>
        <w:rPr>
          <w:sz w:val="22"/>
          <w:vertAlign w:val="superscript"/>
        </w:rPr>
        <w:t>21</w:t>
      </w:r>
    </w:p>
    <w:p>
      <w:pPr>
        <w:spacing w:line="240" w:lineRule="auto" w:before="0"/>
        <w:ind w:left="2007" w:right="1891" w:firstLine="0"/>
        <w:jc w:val="both"/>
        <w:rPr>
          <w:sz w:val="24"/>
        </w:rPr>
      </w:pPr>
      <w:r>
        <w:rPr>
          <w:i/>
          <w:sz w:val="24"/>
        </w:rPr>
        <w:t>It is not part of the duty of a director to take part in every transaction which is conducted at a board meeting. His business or his pleasure may take him elsewhere</w:t>
      </w:r>
      <w:r>
        <w:rPr>
          <w:i/>
          <w:spacing w:val="-2"/>
          <w:sz w:val="24"/>
        </w:rPr>
        <w:t> </w:t>
      </w:r>
      <w:r>
        <w:rPr>
          <w:i/>
          <w:sz w:val="24"/>
        </w:rPr>
        <w:t>and it would</w:t>
      </w:r>
      <w:r>
        <w:rPr>
          <w:i/>
          <w:spacing w:val="-1"/>
          <w:sz w:val="24"/>
        </w:rPr>
        <w:t> </w:t>
      </w:r>
      <w:r>
        <w:rPr>
          <w:i/>
          <w:sz w:val="24"/>
        </w:rPr>
        <w:t>be a</w:t>
      </w:r>
      <w:r>
        <w:rPr>
          <w:i/>
          <w:spacing w:val="-1"/>
          <w:sz w:val="24"/>
        </w:rPr>
        <w:t> </w:t>
      </w:r>
      <w:r>
        <w:rPr>
          <w:i/>
          <w:sz w:val="24"/>
        </w:rPr>
        <w:t>most</w:t>
      </w:r>
      <w:r>
        <w:rPr>
          <w:i/>
          <w:spacing w:val="-1"/>
          <w:sz w:val="24"/>
        </w:rPr>
        <w:t> </w:t>
      </w:r>
      <w:r>
        <w:rPr>
          <w:i/>
          <w:sz w:val="24"/>
        </w:rPr>
        <w:t>unheard</w:t>
      </w:r>
      <w:r>
        <w:rPr>
          <w:i/>
          <w:spacing w:val="-1"/>
          <w:sz w:val="24"/>
        </w:rPr>
        <w:t> </w:t>
      </w:r>
      <w:r>
        <w:rPr>
          <w:i/>
          <w:sz w:val="24"/>
        </w:rPr>
        <w:t>of thing</w:t>
      </w:r>
      <w:r>
        <w:rPr>
          <w:i/>
          <w:spacing w:val="-1"/>
          <w:sz w:val="24"/>
        </w:rPr>
        <w:t> </w:t>
      </w:r>
      <w:r>
        <w:rPr>
          <w:i/>
          <w:sz w:val="24"/>
        </w:rPr>
        <w:t>to say that if anything wrong was done at a board meeting,</w:t>
      </w:r>
      <w:r>
        <w:rPr>
          <w:i/>
          <w:spacing w:val="-1"/>
          <w:sz w:val="24"/>
        </w:rPr>
        <w:t> </w:t>
      </w:r>
      <w:r>
        <w:rPr>
          <w:i/>
          <w:sz w:val="24"/>
        </w:rPr>
        <w:t>he</w:t>
      </w:r>
      <w:r>
        <w:rPr>
          <w:i/>
          <w:spacing w:val="-3"/>
          <w:sz w:val="24"/>
        </w:rPr>
        <w:t> </w:t>
      </w:r>
      <w:r>
        <w:rPr>
          <w:i/>
          <w:sz w:val="24"/>
        </w:rPr>
        <w:t>being</w:t>
      </w:r>
      <w:r>
        <w:rPr>
          <w:i/>
          <w:spacing w:val="-2"/>
          <w:sz w:val="24"/>
        </w:rPr>
        <w:t> </w:t>
      </w:r>
      <w:r>
        <w:rPr>
          <w:i/>
          <w:sz w:val="24"/>
        </w:rPr>
        <w:t>named</w:t>
      </w:r>
      <w:r>
        <w:rPr>
          <w:i/>
          <w:spacing w:val="-2"/>
          <w:sz w:val="24"/>
        </w:rPr>
        <w:t> </w:t>
      </w:r>
      <w:r>
        <w:rPr>
          <w:i/>
          <w:sz w:val="24"/>
        </w:rPr>
        <w:t>among</w:t>
      </w:r>
      <w:r>
        <w:rPr>
          <w:i/>
          <w:spacing w:val="-3"/>
          <w:sz w:val="24"/>
        </w:rPr>
        <w:t> </w:t>
      </w:r>
      <w:r>
        <w:rPr>
          <w:i/>
          <w:sz w:val="24"/>
        </w:rPr>
        <w:t>the</w:t>
      </w:r>
      <w:r>
        <w:rPr>
          <w:i/>
          <w:spacing w:val="-3"/>
          <w:sz w:val="24"/>
        </w:rPr>
        <w:t> </w:t>
      </w:r>
      <w:r>
        <w:rPr>
          <w:i/>
          <w:sz w:val="24"/>
        </w:rPr>
        <w:t>directors</w:t>
      </w:r>
      <w:r>
        <w:rPr>
          <w:i/>
          <w:spacing w:val="-4"/>
          <w:sz w:val="24"/>
        </w:rPr>
        <w:t> </w:t>
      </w:r>
      <w:r>
        <w:rPr>
          <w:i/>
          <w:sz w:val="24"/>
        </w:rPr>
        <w:t>but not present,</w:t>
      </w:r>
      <w:r>
        <w:rPr>
          <w:i/>
          <w:spacing w:val="2"/>
          <w:sz w:val="24"/>
        </w:rPr>
        <w:t> </w:t>
      </w:r>
      <w:r>
        <w:rPr>
          <w:i/>
          <w:sz w:val="24"/>
        </w:rPr>
        <w:t>he</w:t>
      </w:r>
      <w:r>
        <w:rPr>
          <w:i/>
          <w:spacing w:val="-1"/>
          <w:sz w:val="24"/>
        </w:rPr>
        <w:t> </w:t>
      </w:r>
      <w:r>
        <w:rPr>
          <w:i/>
          <w:sz w:val="24"/>
        </w:rPr>
        <w:t>is</w:t>
      </w:r>
      <w:r>
        <w:rPr>
          <w:i/>
          <w:spacing w:val="-1"/>
          <w:sz w:val="24"/>
        </w:rPr>
        <w:t> </w:t>
      </w:r>
      <w:r>
        <w:rPr>
          <w:i/>
          <w:sz w:val="24"/>
        </w:rPr>
        <w:t>liable</w:t>
      </w:r>
      <w:r>
        <w:rPr>
          <w:i/>
          <w:spacing w:val="-4"/>
          <w:sz w:val="24"/>
        </w:rPr>
        <w:t> </w:t>
      </w:r>
      <w:r>
        <w:rPr>
          <w:i/>
          <w:sz w:val="24"/>
        </w:rPr>
        <w:t>for</w:t>
      </w:r>
      <w:r>
        <w:rPr>
          <w:i/>
          <w:spacing w:val="-2"/>
          <w:sz w:val="24"/>
        </w:rPr>
        <w:t> </w:t>
      </w:r>
      <w:r>
        <w:rPr>
          <w:i/>
          <w:sz w:val="24"/>
        </w:rPr>
        <w:t>what</w:t>
      </w:r>
      <w:r>
        <w:rPr>
          <w:i/>
          <w:spacing w:val="1"/>
          <w:sz w:val="24"/>
        </w:rPr>
        <w:t> </w:t>
      </w:r>
      <w:r>
        <w:rPr>
          <w:i/>
          <w:sz w:val="24"/>
        </w:rPr>
        <w:t>is</w:t>
      </w:r>
      <w:r>
        <w:rPr>
          <w:i/>
          <w:spacing w:val="1"/>
          <w:sz w:val="24"/>
        </w:rPr>
        <w:t> </w:t>
      </w:r>
      <w:r>
        <w:rPr>
          <w:i/>
          <w:sz w:val="24"/>
        </w:rPr>
        <w:t>done in his</w:t>
      </w:r>
      <w:r>
        <w:rPr>
          <w:i/>
          <w:spacing w:val="-1"/>
          <w:sz w:val="24"/>
        </w:rPr>
        <w:t> </w:t>
      </w:r>
      <w:r>
        <w:rPr>
          <w:i/>
          <w:spacing w:val="-2"/>
          <w:sz w:val="24"/>
        </w:rPr>
        <w:t>absence</w:t>
      </w:r>
      <w:r>
        <w:rPr>
          <w:spacing w:val="-2"/>
          <w:sz w:val="24"/>
        </w:rPr>
        <w:t>.</w:t>
      </w:r>
      <w:r>
        <w:rPr>
          <w:spacing w:val="-2"/>
          <w:sz w:val="24"/>
          <w:vertAlign w:val="superscript"/>
        </w:rPr>
        <w:t>22</w:t>
      </w:r>
    </w:p>
    <w:p>
      <w:pPr>
        <w:pStyle w:val="BodyText"/>
        <w:spacing w:before="1"/>
        <w:ind w:left="0"/>
      </w:pPr>
    </w:p>
    <w:p>
      <w:pPr>
        <w:pStyle w:val="BodyText"/>
        <w:spacing w:line="480" w:lineRule="auto"/>
        <w:ind w:right="230"/>
        <w:jc w:val="both"/>
        <w:rPr>
          <w:b/>
        </w:rPr>
      </w:pPr>
      <w:r>
        <w:rPr/>
        <w:t>Many other decisions on the same point reached in cases reported in the late nineteenth and early twentieth centuries also took similar positions. In </w:t>
      </w:r>
      <w:r>
        <w:rPr>
          <w:b/>
        </w:rPr>
        <w:t>Re Cardiff Savings Bank (Marquis of Bute’s Case)</w:t>
      </w:r>
      <w:r>
        <w:rPr/>
        <w:t>,</w:t>
      </w:r>
      <w:r>
        <w:rPr>
          <w:vertAlign w:val="superscript"/>
        </w:rPr>
        <w:t>23</w:t>
      </w:r>
      <w:r>
        <w:rPr>
          <w:vertAlign w:val="baseline"/>
        </w:rPr>
        <w:t>for example, the English court had held a director not</w:t>
      </w:r>
      <w:r>
        <w:rPr>
          <w:spacing w:val="80"/>
          <w:vertAlign w:val="baseline"/>
        </w:rPr>
        <w:t> </w:t>
      </w:r>
      <w:r>
        <w:rPr>
          <w:vertAlign w:val="baseline"/>
        </w:rPr>
        <w:t>liable for certain irregularities in the lending operations of a bank, despite having attended a company meeting only</w:t>
      </w:r>
      <w:r>
        <w:rPr>
          <w:spacing w:val="-1"/>
          <w:vertAlign w:val="baseline"/>
        </w:rPr>
        <w:t> </w:t>
      </w:r>
      <w:r>
        <w:rPr>
          <w:vertAlign w:val="baseline"/>
        </w:rPr>
        <w:t>once in</w:t>
      </w:r>
      <w:r>
        <w:rPr>
          <w:spacing w:val="-1"/>
          <w:vertAlign w:val="baseline"/>
        </w:rPr>
        <w:t> </w:t>
      </w:r>
      <w:r>
        <w:rPr>
          <w:vertAlign w:val="baseline"/>
        </w:rPr>
        <w:t>38 years.</w:t>
      </w:r>
      <w:r>
        <w:rPr>
          <w:vertAlign w:val="superscript"/>
        </w:rPr>
        <w:t>24</w:t>
      </w:r>
      <w:r>
        <w:rPr>
          <w:vertAlign w:val="baseline"/>
        </w:rPr>
        <w:t>Apparently, he was only</w:t>
      </w:r>
      <w:r>
        <w:rPr>
          <w:spacing w:val="-6"/>
          <w:vertAlign w:val="baseline"/>
        </w:rPr>
        <w:t> </w:t>
      </w:r>
      <w:r>
        <w:rPr>
          <w:vertAlign w:val="baseline"/>
        </w:rPr>
        <w:t>appointed to lend the company the prestige that came with his family‘s title and no more. In the words of Jessel MR, ―neglect or omission to attend meetings is not the same thing as neglect or</w:t>
      </w:r>
      <w:r>
        <w:rPr>
          <w:spacing w:val="-1"/>
          <w:vertAlign w:val="baseline"/>
        </w:rPr>
        <w:t> </w:t>
      </w:r>
      <w:r>
        <w:rPr>
          <w:vertAlign w:val="baseline"/>
        </w:rPr>
        <w:t>omission of</w:t>
      </w:r>
      <w:r>
        <w:rPr>
          <w:spacing w:val="-1"/>
          <w:vertAlign w:val="baseline"/>
        </w:rPr>
        <w:t> </w:t>
      </w:r>
      <w:r>
        <w:rPr>
          <w:vertAlign w:val="baseline"/>
        </w:rPr>
        <w:t>a duty</w:t>
      </w:r>
      <w:r>
        <w:rPr>
          <w:spacing w:val="-3"/>
          <w:vertAlign w:val="baseline"/>
        </w:rPr>
        <w:t> </w:t>
      </w:r>
      <w:r>
        <w:rPr>
          <w:vertAlign w:val="baseline"/>
        </w:rPr>
        <w:t>which ought to be performed at those meetings.‖</w:t>
      </w:r>
      <w:r>
        <w:rPr>
          <w:vertAlign w:val="superscript"/>
        </w:rPr>
        <w:t>25</w:t>
      </w:r>
      <w:r>
        <w:rPr>
          <w:vertAlign w:val="baseline"/>
        </w:rPr>
        <w:t>Thus, it is better to stay away from meetings than to attend and be inattentive.</w:t>
      </w:r>
      <w:r>
        <w:rPr>
          <w:vertAlign w:val="superscript"/>
        </w:rPr>
        <w:t>26</w:t>
      </w:r>
      <w:r>
        <w:rPr>
          <w:vertAlign w:val="baseline"/>
        </w:rPr>
        <w:t>Following this, the</w:t>
      </w:r>
      <w:r>
        <w:rPr>
          <w:spacing w:val="68"/>
          <w:w w:val="150"/>
          <w:vertAlign w:val="baseline"/>
        </w:rPr>
        <w:t> </w:t>
      </w:r>
      <w:r>
        <w:rPr>
          <w:vertAlign w:val="baseline"/>
        </w:rPr>
        <w:t>court</w:t>
      </w:r>
      <w:r>
        <w:rPr>
          <w:spacing w:val="75"/>
          <w:w w:val="150"/>
          <w:vertAlign w:val="baseline"/>
        </w:rPr>
        <w:t> </w:t>
      </w:r>
      <w:r>
        <w:rPr>
          <w:vertAlign w:val="baseline"/>
        </w:rPr>
        <w:t>also</w:t>
      </w:r>
      <w:r>
        <w:rPr>
          <w:spacing w:val="75"/>
          <w:w w:val="150"/>
          <w:vertAlign w:val="baseline"/>
        </w:rPr>
        <w:t> </w:t>
      </w:r>
      <w:r>
        <w:rPr>
          <w:vertAlign w:val="baseline"/>
        </w:rPr>
        <w:t>decided,</w:t>
      </w:r>
      <w:r>
        <w:rPr>
          <w:spacing w:val="77"/>
          <w:w w:val="150"/>
          <w:vertAlign w:val="baseline"/>
        </w:rPr>
        <w:t> </w:t>
      </w:r>
      <w:r>
        <w:rPr>
          <w:vertAlign w:val="baseline"/>
        </w:rPr>
        <w:t>in</w:t>
      </w:r>
      <w:r>
        <w:rPr>
          <w:spacing w:val="70"/>
          <w:w w:val="150"/>
          <w:vertAlign w:val="baseline"/>
        </w:rPr>
        <w:t> </w:t>
      </w:r>
      <w:r>
        <w:rPr>
          <w:vertAlign w:val="baseline"/>
        </w:rPr>
        <w:t>the</w:t>
      </w:r>
      <w:r>
        <w:rPr>
          <w:spacing w:val="70"/>
          <w:w w:val="150"/>
          <w:vertAlign w:val="baseline"/>
        </w:rPr>
        <w:t> </w:t>
      </w:r>
      <w:r>
        <w:rPr>
          <w:vertAlign w:val="baseline"/>
        </w:rPr>
        <w:t>case</w:t>
      </w:r>
      <w:r>
        <w:rPr>
          <w:spacing w:val="70"/>
          <w:w w:val="150"/>
          <w:vertAlign w:val="baseline"/>
        </w:rPr>
        <w:t> </w:t>
      </w:r>
      <w:r>
        <w:rPr>
          <w:vertAlign w:val="baseline"/>
        </w:rPr>
        <w:t>of</w:t>
      </w:r>
      <w:r>
        <w:rPr>
          <w:spacing w:val="70"/>
          <w:w w:val="150"/>
          <w:vertAlign w:val="baseline"/>
        </w:rPr>
        <w:t> </w:t>
      </w:r>
      <w:r>
        <w:rPr>
          <w:b/>
          <w:vertAlign w:val="baseline"/>
        </w:rPr>
        <w:t>Re</w:t>
      </w:r>
      <w:r>
        <w:rPr>
          <w:b/>
          <w:spacing w:val="73"/>
          <w:w w:val="150"/>
          <w:vertAlign w:val="baseline"/>
        </w:rPr>
        <w:t> </w:t>
      </w:r>
      <w:r>
        <w:rPr>
          <w:b/>
          <w:vertAlign w:val="baseline"/>
        </w:rPr>
        <w:t>Brazilian</w:t>
      </w:r>
      <w:r>
        <w:rPr>
          <w:b/>
          <w:spacing w:val="72"/>
          <w:w w:val="150"/>
          <w:vertAlign w:val="baseline"/>
        </w:rPr>
        <w:t> </w:t>
      </w:r>
      <w:r>
        <w:rPr>
          <w:b/>
          <w:vertAlign w:val="baseline"/>
        </w:rPr>
        <w:t>Rubber</w:t>
      </w:r>
      <w:r>
        <w:rPr>
          <w:b/>
          <w:spacing w:val="71"/>
          <w:w w:val="150"/>
          <w:vertAlign w:val="baseline"/>
        </w:rPr>
        <w:t> </w:t>
      </w:r>
      <w:r>
        <w:rPr>
          <w:b/>
          <w:vertAlign w:val="baseline"/>
        </w:rPr>
        <w:t>Plantation</w:t>
      </w:r>
      <w:r>
        <w:rPr>
          <w:b/>
          <w:spacing w:val="72"/>
          <w:w w:val="150"/>
          <w:vertAlign w:val="baseline"/>
        </w:rPr>
        <w:t> </w:t>
      </w:r>
      <w:r>
        <w:rPr>
          <w:b/>
          <w:spacing w:val="-5"/>
          <w:vertAlign w:val="baseline"/>
        </w:rPr>
        <w:t>and</w:t>
      </w:r>
    </w:p>
    <w:p>
      <w:pPr>
        <w:pStyle w:val="BodyText"/>
        <w:spacing w:before="188"/>
        <w:ind w:left="0"/>
        <w:rPr>
          <w:b/>
          <w:sz w:val="20"/>
        </w:rPr>
      </w:pPr>
      <w:r>
        <w:rPr/>
        <mc:AlternateContent>
          <mc:Choice Requires="wps">
            <w:drawing>
              <wp:anchor distT="0" distB="0" distL="0" distR="0" allowOverlap="1" layoutInCell="1" locked="0" behindDoc="1" simplePos="0" relativeHeight="487636480">
                <wp:simplePos x="0" y="0"/>
                <wp:positionH relativeFrom="page">
                  <wp:posOffset>1262481</wp:posOffset>
                </wp:positionH>
                <wp:positionV relativeFrom="paragraph">
                  <wp:posOffset>281123</wp:posOffset>
                </wp:positionV>
                <wp:extent cx="1829435" cy="9525"/>
                <wp:effectExtent l="0" t="0" r="0" b="0"/>
                <wp:wrapTopAndBottom/>
                <wp:docPr id="105" name="Graphic 105"/>
                <wp:cNvGraphicFramePr>
                  <a:graphicFrameLocks/>
                </wp:cNvGraphicFramePr>
                <a:graphic>
                  <a:graphicData uri="http://schemas.microsoft.com/office/word/2010/wordprocessingShape">
                    <wps:wsp>
                      <wps:cNvPr id="105" name="Graphic 10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35674pt;width:144.050pt;height:.72003pt;mso-position-horizontal-relative:page;mso-position-vertical-relative:paragraph;z-index:-15680000;mso-wrap-distance-left:0;mso-wrap-distance-right:0" id="docshape6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21</w:t>
      </w:r>
      <w:r>
        <w:rPr>
          <w:rFonts w:ascii="Calibri"/>
          <w:sz w:val="20"/>
          <w:vertAlign w:val="baseline"/>
        </w:rPr>
        <w:t>(1876) 34</w:t>
      </w:r>
      <w:r>
        <w:rPr>
          <w:rFonts w:ascii="Calibri"/>
          <w:spacing w:val="-6"/>
          <w:sz w:val="20"/>
          <w:vertAlign w:val="baseline"/>
        </w:rPr>
        <w:t> </w:t>
      </w:r>
      <w:r>
        <w:rPr>
          <w:rFonts w:ascii="Calibri"/>
          <w:sz w:val="20"/>
          <w:vertAlign w:val="baseline"/>
        </w:rPr>
        <w:t>LT</w:t>
      </w:r>
      <w:r>
        <w:rPr>
          <w:rFonts w:ascii="Calibri"/>
          <w:spacing w:val="-3"/>
          <w:sz w:val="20"/>
          <w:vertAlign w:val="baseline"/>
        </w:rPr>
        <w:t> </w:t>
      </w:r>
      <w:r>
        <w:rPr>
          <w:rFonts w:ascii="Calibri"/>
          <w:spacing w:val="-4"/>
          <w:sz w:val="20"/>
          <w:vertAlign w:val="baseline"/>
        </w:rPr>
        <w:t>716.</w:t>
      </w:r>
    </w:p>
    <w:p>
      <w:pPr>
        <w:spacing w:before="1"/>
        <w:ind w:left="308" w:right="0" w:firstLine="0"/>
        <w:jc w:val="left"/>
        <w:rPr>
          <w:rFonts w:ascii="Calibri"/>
          <w:sz w:val="20"/>
        </w:rPr>
      </w:pPr>
      <w:r>
        <w:rPr>
          <w:rFonts w:ascii="Calibri"/>
          <w:sz w:val="20"/>
          <w:vertAlign w:val="superscript"/>
        </w:rPr>
        <w:t>22</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pacing w:val="-4"/>
          <w:sz w:val="20"/>
          <w:vertAlign w:val="baseline"/>
        </w:rPr>
        <w:t>717.</w:t>
      </w:r>
    </w:p>
    <w:p>
      <w:pPr>
        <w:spacing w:before="0"/>
        <w:ind w:left="308" w:right="0" w:firstLine="0"/>
        <w:jc w:val="left"/>
        <w:rPr>
          <w:rFonts w:ascii="Calibri"/>
          <w:sz w:val="20"/>
        </w:rPr>
      </w:pPr>
      <w:r>
        <w:rPr>
          <w:rFonts w:ascii="Calibri"/>
          <w:sz w:val="20"/>
          <w:vertAlign w:val="superscript"/>
        </w:rPr>
        <w:t>23</w:t>
      </w:r>
      <w:r>
        <w:rPr>
          <w:rFonts w:ascii="Calibri"/>
          <w:sz w:val="20"/>
          <w:vertAlign w:val="baseline"/>
        </w:rPr>
        <w:t>(1892)</w:t>
      </w:r>
      <w:r>
        <w:rPr>
          <w:rFonts w:ascii="Calibri"/>
          <w:spacing w:val="-2"/>
          <w:sz w:val="20"/>
          <w:vertAlign w:val="baseline"/>
        </w:rPr>
        <w:t> </w:t>
      </w:r>
      <w:r>
        <w:rPr>
          <w:rFonts w:ascii="Calibri"/>
          <w:sz w:val="20"/>
          <w:vertAlign w:val="baseline"/>
        </w:rPr>
        <w:t>Ch.</w:t>
      </w:r>
      <w:r>
        <w:rPr>
          <w:rFonts w:ascii="Calibri"/>
          <w:spacing w:val="-6"/>
          <w:sz w:val="20"/>
          <w:vertAlign w:val="baseline"/>
        </w:rPr>
        <w:t> </w:t>
      </w:r>
      <w:r>
        <w:rPr>
          <w:rFonts w:ascii="Calibri"/>
          <w:spacing w:val="-4"/>
          <w:sz w:val="20"/>
          <w:vertAlign w:val="baseline"/>
        </w:rPr>
        <w:t>100.</w:t>
      </w:r>
    </w:p>
    <w:p>
      <w:pPr>
        <w:spacing w:line="237" w:lineRule="auto" w:before="3"/>
        <w:ind w:left="308" w:right="339" w:firstLine="0"/>
        <w:jc w:val="left"/>
        <w:rPr>
          <w:rFonts w:ascii="Calibri"/>
          <w:sz w:val="20"/>
        </w:rPr>
      </w:pPr>
      <w:r>
        <w:rPr>
          <w:rFonts w:ascii="Calibri"/>
          <w:sz w:val="20"/>
          <w:vertAlign w:val="superscript"/>
        </w:rPr>
        <w:t>24</w:t>
      </w:r>
      <w:r>
        <w:rPr>
          <w:rFonts w:ascii="Calibri"/>
          <w:sz w:val="20"/>
          <w:vertAlign w:val="baseline"/>
        </w:rPr>
        <w:t> A similar decision was reached in the case of </w:t>
      </w:r>
      <w:r>
        <w:rPr>
          <w:rFonts w:ascii="Calibri"/>
          <w:i/>
          <w:sz w:val="20"/>
          <w:vertAlign w:val="baseline"/>
        </w:rPr>
        <w:t>Re Denham </w:t>
      </w:r>
      <w:r>
        <w:rPr>
          <w:rFonts w:ascii="Calibri"/>
          <w:sz w:val="20"/>
          <w:vertAlign w:val="baseline"/>
        </w:rPr>
        <w:t>(1883) 25 Ch. D. 752, where a director attended</w:t>
      </w:r>
      <w:r>
        <w:rPr>
          <w:rFonts w:ascii="Calibri"/>
          <w:spacing w:val="-4"/>
          <w:sz w:val="20"/>
          <w:vertAlign w:val="baseline"/>
        </w:rPr>
        <w:t> </w:t>
      </w:r>
      <w:r>
        <w:rPr>
          <w:rFonts w:ascii="Calibri"/>
          <w:sz w:val="20"/>
          <w:vertAlign w:val="baseline"/>
        </w:rPr>
        <w:t>no</w:t>
      </w:r>
      <w:r>
        <w:rPr>
          <w:rFonts w:ascii="Calibri"/>
          <w:spacing w:val="-4"/>
          <w:sz w:val="20"/>
          <w:vertAlign w:val="baseline"/>
        </w:rPr>
        <w:t> </w:t>
      </w:r>
      <w:r>
        <w:rPr>
          <w:rFonts w:ascii="Calibri"/>
          <w:sz w:val="20"/>
          <w:vertAlign w:val="baseline"/>
        </w:rPr>
        <w:t>meetings</w:t>
      </w:r>
      <w:r>
        <w:rPr>
          <w:rFonts w:ascii="Calibri"/>
          <w:spacing w:val="-1"/>
          <w:sz w:val="20"/>
          <w:vertAlign w:val="baseline"/>
        </w:rPr>
        <w:t> </w:t>
      </w:r>
      <w:r>
        <w:rPr>
          <w:rFonts w:ascii="Calibri"/>
          <w:sz w:val="20"/>
          <w:vertAlign w:val="baseline"/>
        </w:rPr>
        <w:t>in</w:t>
      </w:r>
      <w:r>
        <w:rPr>
          <w:rFonts w:ascii="Calibri"/>
          <w:spacing w:val="-4"/>
          <w:sz w:val="20"/>
          <w:vertAlign w:val="baseline"/>
        </w:rPr>
        <w:t> </w:t>
      </w:r>
      <w:r>
        <w:rPr>
          <w:rFonts w:ascii="Calibri"/>
          <w:sz w:val="20"/>
          <w:vertAlign w:val="baseline"/>
        </w:rPr>
        <w:t>a</w:t>
      </w:r>
      <w:r>
        <w:rPr>
          <w:rFonts w:ascii="Calibri"/>
          <w:spacing w:val="-4"/>
          <w:sz w:val="20"/>
          <w:vertAlign w:val="baseline"/>
        </w:rPr>
        <w:t> </w:t>
      </w:r>
      <w:r>
        <w:rPr>
          <w:rFonts w:ascii="Calibri"/>
          <w:sz w:val="20"/>
          <w:vertAlign w:val="baseline"/>
        </w:rPr>
        <w:t>four-year period and</w:t>
      </w:r>
      <w:r>
        <w:rPr>
          <w:rFonts w:ascii="Calibri"/>
          <w:spacing w:val="40"/>
          <w:sz w:val="20"/>
          <w:vertAlign w:val="baseline"/>
        </w:rPr>
        <w:t> </w:t>
      </w:r>
      <w:r>
        <w:rPr>
          <w:rFonts w:ascii="Calibri"/>
          <w:sz w:val="20"/>
          <w:vertAlign w:val="baseline"/>
        </w:rPr>
        <w:t>therefore,</w:t>
      </w:r>
      <w:r>
        <w:rPr>
          <w:rFonts w:ascii="Calibri"/>
          <w:spacing w:val="-5"/>
          <w:sz w:val="20"/>
          <w:vertAlign w:val="baseline"/>
        </w:rPr>
        <w:t> </w:t>
      </w:r>
      <w:r>
        <w:rPr>
          <w:rFonts w:ascii="Calibri"/>
          <w:sz w:val="20"/>
          <w:vertAlign w:val="baseline"/>
        </w:rPr>
        <w:t>was</w:t>
      </w:r>
      <w:r>
        <w:rPr>
          <w:rFonts w:ascii="Calibri"/>
          <w:spacing w:val="-1"/>
          <w:sz w:val="20"/>
          <w:vertAlign w:val="baseline"/>
        </w:rPr>
        <w:t> </w:t>
      </w:r>
      <w:r>
        <w:rPr>
          <w:rFonts w:ascii="Calibri"/>
          <w:sz w:val="20"/>
          <w:vertAlign w:val="baseline"/>
        </w:rPr>
        <w:t>held</w:t>
      </w:r>
      <w:r>
        <w:rPr>
          <w:rFonts w:ascii="Calibri"/>
          <w:spacing w:val="-4"/>
          <w:sz w:val="20"/>
          <w:vertAlign w:val="baseline"/>
        </w:rPr>
        <w:t> </w:t>
      </w:r>
      <w:r>
        <w:rPr>
          <w:rFonts w:ascii="Calibri"/>
          <w:sz w:val="20"/>
          <w:vertAlign w:val="baseline"/>
        </w:rPr>
        <w:t>not</w:t>
      </w:r>
      <w:r>
        <w:rPr>
          <w:rFonts w:ascii="Calibri"/>
          <w:spacing w:val="-4"/>
          <w:sz w:val="20"/>
          <w:vertAlign w:val="baseline"/>
        </w:rPr>
        <w:t> </w:t>
      </w:r>
      <w:r>
        <w:rPr>
          <w:rFonts w:ascii="Calibri"/>
          <w:sz w:val="20"/>
          <w:vertAlign w:val="baseline"/>
        </w:rPr>
        <w:t>liable regarding</w:t>
      </w:r>
      <w:r>
        <w:rPr>
          <w:rFonts w:ascii="Calibri"/>
          <w:spacing w:val="-3"/>
          <w:sz w:val="20"/>
          <w:vertAlign w:val="baseline"/>
        </w:rPr>
        <w:t> </w:t>
      </w:r>
      <w:r>
        <w:rPr>
          <w:rFonts w:ascii="Calibri"/>
          <w:sz w:val="20"/>
          <w:vertAlign w:val="baseline"/>
        </w:rPr>
        <w:t>a fraud</w:t>
      </w:r>
      <w:r>
        <w:rPr>
          <w:rFonts w:ascii="Calibri"/>
          <w:spacing w:val="-4"/>
          <w:sz w:val="20"/>
          <w:vertAlign w:val="baseline"/>
        </w:rPr>
        <w:t> </w:t>
      </w:r>
      <w:r>
        <w:rPr>
          <w:rFonts w:ascii="Calibri"/>
          <w:sz w:val="20"/>
          <w:vertAlign w:val="baseline"/>
        </w:rPr>
        <w:t>that had occurred.</w:t>
      </w:r>
    </w:p>
    <w:p>
      <w:pPr>
        <w:spacing w:before="3"/>
        <w:ind w:left="308" w:right="0" w:firstLine="0"/>
        <w:jc w:val="both"/>
        <w:rPr>
          <w:rFonts w:ascii="Calibri"/>
          <w:sz w:val="20"/>
        </w:rPr>
      </w:pPr>
      <w:r>
        <w:rPr>
          <w:rFonts w:ascii="Calibri"/>
          <w:sz w:val="20"/>
          <w:vertAlign w:val="superscript"/>
        </w:rPr>
        <w:t>25</w:t>
      </w:r>
      <w:r>
        <w:rPr>
          <w:rFonts w:ascii="Calibri"/>
          <w:spacing w:val="2"/>
          <w:sz w:val="20"/>
          <w:vertAlign w:val="baseline"/>
        </w:rPr>
        <w:t> </w:t>
      </w:r>
      <w:r>
        <w:rPr>
          <w:rFonts w:ascii="Calibri"/>
          <w:sz w:val="20"/>
          <w:vertAlign w:val="baseline"/>
        </w:rPr>
        <w:t>Supra,</w:t>
      </w:r>
      <w:r>
        <w:rPr>
          <w:rFonts w:ascii="Calibri"/>
          <w:spacing w:val="-3"/>
          <w:sz w:val="20"/>
          <w:vertAlign w:val="baseline"/>
        </w:rPr>
        <w:t> </w:t>
      </w:r>
      <w:r>
        <w:rPr>
          <w:rFonts w:ascii="Calibri"/>
          <w:sz w:val="20"/>
          <w:vertAlign w:val="baseline"/>
        </w:rPr>
        <w:t>at</w:t>
      </w:r>
      <w:r>
        <w:rPr>
          <w:rFonts w:ascii="Calibri"/>
          <w:spacing w:val="-6"/>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109.</w:t>
      </w:r>
    </w:p>
    <w:p>
      <w:pPr>
        <w:spacing w:before="1"/>
        <w:ind w:left="308" w:right="226" w:firstLine="0"/>
        <w:jc w:val="both"/>
        <w:rPr>
          <w:rFonts w:ascii="Calibri" w:hAnsi="Calibri"/>
          <w:sz w:val="20"/>
        </w:rPr>
      </w:pPr>
      <w:r>
        <w:rPr>
          <w:rFonts w:ascii="Calibri" w:hAnsi="Calibri"/>
          <w:sz w:val="20"/>
          <w:vertAlign w:val="superscript"/>
        </w:rPr>
        <w:t>26</w:t>
      </w:r>
      <w:r>
        <w:rPr>
          <w:rFonts w:ascii="Calibri" w:hAnsi="Calibri"/>
          <w:sz w:val="20"/>
          <w:vertAlign w:val="baseline"/>
        </w:rPr>
        <w:t>Corkery, F.J. op.cit., p. 136. Consider also the dictum of Lord Hatherley in </w:t>
      </w:r>
      <w:r>
        <w:rPr>
          <w:rFonts w:ascii="Calibri" w:hAnsi="Calibri"/>
          <w:i/>
          <w:sz w:val="20"/>
          <w:vertAlign w:val="baseline"/>
        </w:rPr>
        <w:t>Land Credit Co. of Ireland vs. Fermony </w:t>
      </w:r>
      <w:r>
        <w:rPr>
          <w:rFonts w:ascii="Calibri" w:hAnsi="Calibri"/>
          <w:sz w:val="20"/>
          <w:vertAlign w:val="baseline"/>
        </w:rPr>
        <w:t>(1870) LR 5 Ch. App. 763 at 770-771, that “it is their (directors’) duty to be awake (during meetings) and their being asleep would not exempt them from the consequences of not attending to</w:t>
      </w:r>
      <w:r>
        <w:rPr>
          <w:rFonts w:ascii="Calibri" w:hAnsi="Calibri"/>
          <w:spacing w:val="40"/>
          <w:sz w:val="20"/>
          <w:vertAlign w:val="baseline"/>
        </w:rPr>
        <w:t> </w:t>
      </w:r>
      <w:r>
        <w:rPr>
          <w:rFonts w:ascii="Calibri" w:hAnsi="Calibri"/>
          <w:sz w:val="20"/>
          <w:vertAlign w:val="baseline"/>
        </w:rPr>
        <w:t>the business of the company.”</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110"/>
        <w:ind w:right="232"/>
        <w:jc w:val="both"/>
      </w:pPr>
      <w:r>
        <w:rPr>
          <w:b/>
        </w:rPr>
        <w:t>Estates</w:t>
      </w:r>
      <w:r>
        <w:rPr/>
        <w:t>,</w:t>
      </w:r>
      <w:r>
        <w:rPr>
          <w:vertAlign w:val="superscript"/>
        </w:rPr>
        <w:t>27</w:t>
      </w:r>
      <w:r>
        <w:rPr>
          <w:vertAlign w:val="baseline"/>
        </w:rPr>
        <w:t>that a director may undertake the management of a rubber company in complete ignorance of everything connected with rubber, without accruing</w:t>
      </w:r>
      <w:r>
        <w:rPr>
          <w:spacing w:val="40"/>
          <w:vertAlign w:val="baseline"/>
        </w:rPr>
        <w:t> </w:t>
      </w:r>
      <w:r>
        <w:rPr>
          <w:vertAlign w:val="baseline"/>
        </w:rPr>
        <w:t>responsibility for the mistakes which may result from such ignorance, for ―he is not bound to bring any special qualifications to his office.‖</w:t>
      </w:r>
      <w:r>
        <w:rPr>
          <w:vertAlign w:val="superscript"/>
        </w:rPr>
        <w:t>28</w:t>
      </w:r>
    </w:p>
    <w:p>
      <w:pPr>
        <w:pStyle w:val="BodyText"/>
        <w:spacing w:line="480" w:lineRule="auto"/>
        <w:ind w:right="228" w:firstLine="720"/>
        <w:jc w:val="both"/>
      </w:pPr>
      <w:r>
        <w:rPr/>
        <w:t>The common law propositions above clearly set more of a subjective, than objective, standard for the director in discharging his duties. In effect, the courts were saying that ―the director is obliged only to do as much as could be expected from someone as incompetent and foolish as he happens to be.‖</w:t>
      </w:r>
      <w:r>
        <w:rPr>
          <w:vertAlign w:val="superscript"/>
        </w:rPr>
        <w:t>29</w:t>
      </w:r>
      <w:r>
        <w:rPr>
          <w:vertAlign w:val="baseline"/>
        </w:rPr>
        <w:t>It has been opined that the courts‘ summations may have had non-executive, rather than executive, directors in mind, possibly because of</w:t>
      </w:r>
      <w:r>
        <w:rPr>
          <w:spacing w:val="-3"/>
          <w:vertAlign w:val="baseline"/>
        </w:rPr>
        <w:t> </w:t>
      </w:r>
      <w:r>
        <w:rPr>
          <w:vertAlign w:val="baseline"/>
        </w:rPr>
        <w:t>the then popular belief that the non-executive director had no serious role to play within the company but was simply ―a piece of window-dressing aimed at promoting the company‘s image.‖</w:t>
      </w:r>
      <w:r>
        <w:rPr>
          <w:vertAlign w:val="superscript"/>
        </w:rPr>
        <w:t>30</w:t>
      </w:r>
      <w:r>
        <w:rPr>
          <w:vertAlign w:val="baseline"/>
        </w:rPr>
        <w:t> It has also been suggested that Parliament and</w:t>
      </w:r>
      <w:r>
        <w:rPr>
          <w:spacing w:val="-1"/>
          <w:vertAlign w:val="baseline"/>
        </w:rPr>
        <w:t> </w:t>
      </w:r>
      <w:r>
        <w:rPr>
          <w:vertAlign w:val="baseline"/>
        </w:rPr>
        <w:t>the</w:t>
      </w:r>
      <w:r>
        <w:rPr>
          <w:spacing w:val="-2"/>
          <w:vertAlign w:val="baseline"/>
        </w:rPr>
        <w:t> </w:t>
      </w:r>
      <w:r>
        <w:rPr>
          <w:vertAlign w:val="baseline"/>
        </w:rPr>
        <w:t>courts</w:t>
      </w:r>
      <w:r>
        <w:rPr>
          <w:spacing w:val="-3"/>
          <w:vertAlign w:val="baseline"/>
        </w:rPr>
        <w:t> </w:t>
      </w:r>
      <w:r>
        <w:rPr>
          <w:vertAlign w:val="baseline"/>
        </w:rPr>
        <w:t>did not</w:t>
      </w:r>
      <w:r>
        <w:rPr>
          <w:spacing w:val="-1"/>
          <w:vertAlign w:val="baseline"/>
        </w:rPr>
        <w:t> </w:t>
      </w:r>
      <w:r>
        <w:rPr>
          <w:vertAlign w:val="baseline"/>
        </w:rPr>
        <w:t>want</w:t>
      </w:r>
      <w:r>
        <w:rPr>
          <w:spacing w:val="-1"/>
          <w:vertAlign w:val="baseline"/>
        </w:rPr>
        <w:t> </w:t>
      </w:r>
      <w:r>
        <w:rPr>
          <w:vertAlign w:val="baseline"/>
        </w:rPr>
        <w:t>to</w:t>
      </w:r>
      <w:r>
        <w:rPr>
          <w:spacing w:val="-1"/>
          <w:vertAlign w:val="baseline"/>
        </w:rPr>
        <w:t> </w:t>
      </w:r>
      <w:r>
        <w:rPr>
          <w:vertAlign w:val="baseline"/>
        </w:rPr>
        <w:t>discourage</w:t>
      </w:r>
      <w:r>
        <w:rPr>
          <w:spacing w:val="-2"/>
          <w:vertAlign w:val="baseline"/>
        </w:rPr>
        <w:t> </w:t>
      </w:r>
      <w:r>
        <w:rPr>
          <w:vertAlign w:val="baseline"/>
        </w:rPr>
        <w:t>entrepreneurial</w:t>
      </w:r>
      <w:r>
        <w:rPr>
          <w:spacing w:val="-5"/>
          <w:vertAlign w:val="baseline"/>
        </w:rPr>
        <w:t> </w:t>
      </w:r>
      <w:r>
        <w:rPr>
          <w:vertAlign w:val="baseline"/>
        </w:rPr>
        <w:t>activity</w:t>
      </w:r>
      <w:r>
        <w:rPr>
          <w:spacing w:val="-5"/>
          <w:vertAlign w:val="baseline"/>
        </w:rPr>
        <w:t> </w:t>
      </w:r>
      <w:r>
        <w:rPr>
          <w:vertAlign w:val="baseline"/>
        </w:rPr>
        <w:t>by</w:t>
      </w:r>
      <w:r>
        <w:rPr>
          <w:spacing w:val="-10"/>
          <w:vertAlign w:val="baseline"/>
        </w:rPr>
        <w:t> </w:t>
      </w:r>
      <w:r>
        <w:rPr>
          <w:vertAlign w:val="baseline"/>
        </w:rPr>
        <w:t>restricting</w:t>
      </w:r>
      <w:r>
        <w:rPr>
          <w:spacing w:val="-1"/>
          <w:vertAlign w:val="baseline"/>
        </w:rPr>
        <w:t> </w:t>
      </w:r>
      <w:r>
        <w:rPr>
          <w:vertAlign w:val="baseline"/>
        </w:rPr>
        <w:t>access</w:t>
      </w:r>
      <w:r>
        <w:rPr>
          <w:spacing w:val="-3"/>
          <w:vertAlign w:val="baseline"/>
        </w:rPr>
        <w:t> </w:t>
      </w:r>
      <w:r>
        <w:rPr>
          <w:vertAlign w:val="baseline"/>
        </w:rPr>
        <w:t>to the company format. Further, given the wide range of backgrounds from which</w:t>
      </w:r>
      <w:r>
        <w:rPr>
          <w:spacing w:val="80"/>
          <w:vertAlign w:val="baseline"/>
        </w:rPr>
        <w:t> </w:t>
      </w:r>
      <w:r>
        <w:rPr>
          <w:vertAlign w:val="baseline"/>
        </w:rPr>
        <w:t>directors could legitimately come, it would have been unrealistic to expect the conduct of</w:t>
      </w:r>
      <w:r>
        <w:rPr>
          <w:spacing w:val="-2"/>
          <w:vertAlign w:val="baseline"/>
        </w:rPr>
        <w:t> </w:t>
      </w:r>
      <w:r>
        <w:rPr>
          <w:vertAlign w:val="baseline"/>
        </w:rPr>
        <w:t>all directors to be judged by a single benchmark.</w:t>
      </w:r>
      <w:r>
        <w:rPr>
          <w:vertAlign w:val="superscript"/>
        </w:rPr>
        <w:t>31</w:t>
      </w:r>
      <w:r>
        <w:rPr>
          <w:vertAlign w:val="baseline"/>
        </w:rPr>
        <w:t> In any case, several scholars have since criticized the laxity in standards proposed by</w:t>
      </w:r>
      <w:r>
        <w:rPr>
          <w:spacing w:val="-1"/>
          <w:vertAlign w:val="baseline"/>
        </w:rPr>
        <w:t> </w:t>
      </w:r>
      <w:r>
        <w:rPr>
          <w:vertAlign w:val="baseline"/>
        </w:rPr>
        <w:t>the decisions, particularly</w:t>
      </w:r>
      <w:r>
        <w:rPr>
          <w:spacing w:val="-1"/>
          <w:vertAlign w:val="baseline"/>
        </w:rPr>
        <w:t> </w:t>
      </w:r>
      <w:r>
        <w:rPr>
          <w:vertAlign w:val="baseline"/>
        </w:rPr>
        <w:t>the fact of their</w:t>
      </w:r>
      <w:r>
        <w:rPr>
          <w:spacing w:val="20"/>
          <w:vertAlign w:val="baseline"/>
        </w:rPr>
        <w:t> </w:t>
      </w:r>
      <w:r>
        <w:rPr>
          <w:vertAlign w:val="baseline"/>
        </w:rPr>
        <w:t>being unsuitable for</w:t>
      </w:r>
      <w:r>
        <w:rPr>
          <w:spacing w:val="20"/>
          <w:vertAlign w:val="baseline"/>
        </w:rPr>
        <w:t> </w:t>
      </w:r>
      <w:r>
        <w:rPr>
          <w:vertAlign w:val="baseline"/>
        </w:rPr>
        <w:t>modern time</w:t>
      </w:r>
      <w:r>
        <w:rPr>
          <w:vertAlign w:val="superscript"/>
        </w:rPr>
        <w:t>32</w:t>
      </w:r>
      <w:r>
        <w:rPr>
          <w:vertAlign w:val="baseline"/>
        </w:rPr>
        <w:t>and being unduly generous to the incompetent</w:t>
      </w:r>
    </w:p>
    <w:p>
      <w:pPr>
        <w:pStyle w:val="BodyText"/>
        <w:spacing w:before="45"/>
        <w:ind w:left="0"/>
        <w:rPr>
          <w:sz w:val="20"/>
        </w:rPr>
      </w:pPr>
      <w:r>
        <w:rPr/>
        <mc:AlternateContent>
          <mc:Choice Requires="wps">
            <w:drawing>
              <wp:anchor distT="0" distB="0" distL="0" distR="0" allowOverlap="1" layoutInCell="1" locked="0" behindDoc="1" simplePos="0" relativeHeight="487636992">
                <wp:simplePos x="0" y="0"/>
                <wp:positionH relativeFrom="page">
                  <wp:posOffset>1262481</wp:posOffset>
                </wp:positionH>
                <wp:positionV relativeFrom="paragraph">
                  <wp:posOffset>190401</wp:posOffset>
                </wp:positionV>
                <wp:extent cx="1829435" cy="9525"/>
                <wp:effectExtent l="0" t="0" r="0" b="0"/>
                <wp:wrapTopAndBottom/>
                <wp:docPr id="106" name="Graphic 106"/>
                <wp:cNvGraphicFramePr>
                  <a:graphicFrameLocks/>
                </wp:cNvGraphicFramePr>
                <a:graphic>
                  <a:graphicData uri="http://schemas.microsoft.com/office/word/2010/wordprocessingShape">
                    <wps:wsp>
                      <wps:cNvPr id="106" name="Graphic 10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992217pt;width:144.050pt;height:.71997pt;mso-position-horizontal-relative:page;mso-position-vertical-relative:paragraph;z-index:-15679488;mso-wrap-distance-left:0;mso-wrap-distance-right:0" id="docshape61"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27</w:t>
      </w:r>
      <w:r>
        <w:rPr>
          <w:rFonts w:ascii="Calibri"/>
          <w:sz w:val="20"/>
          <w:vertAlign w:val="baseline"/>
        </w:rPr>
        <w:t>(1911)</w:t>
      </w:r>
      <w:r>
        <w:rPr>
          <w:rFonts w:ascii="Calibri"/>
          <w:spacing w:val="-2"/>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Ch.</w:t>
      </w:r>
      <w:r>
        <w:rPr>
          <w:rFonts w:ascii="Calibri"/>
          <w:spacing w:val="-1"/>
          <w:sz w:val="20"/>
          <w:vertAlign w:val="baseline"/>
        </w:rPr>
        <w:t> </w:t>
      </w:r>
      <w:r>
        <w:rPr>
          <w:rFonts w:ascii="Calibri"/>
          <w:spacing w:val="-4"/>
          <w:sz w:val="20"/>
          <w:vertAlign w:val="baseline"/>
        </w:rPr>
        <w:t>425.</w:t>
      </w:r>
    </w:p>
    <w:p>
      <w:pPr>
        <w:spacing w:line="242" w:lineRule="exact" w:before="0"/>
        <w:ind w:left="308" w:right="0" w:firstLine="0"/>
        <w:jc w:val="left"/>
        <w:rPr>
          <w:rFonts w:ascii="Calibri"/>
          <w:sz w:val="20"/>
        </w:rPr>
      </w:pPr>
      <w:r>
        <w:rPr>
          <w:rFonts w:ascii="Calibri"/>
          <w:sz w:val="20"/>
          <w:vertAlign w:val="superscript"/>
        </w:rPr>
        <w:t>28</w:t>
      </w:r>
      <w:r>
        <w:rPr>
          <w:rFonts w:ascii="Calibri"/>
          <w:sz w:val="20"/>
          <w:vertAlign w:val="baseline"/>
        </w:rPr>
        <w:t>Per</w:t>
      </w:r>
      <w:r>
        <w:rPr>
          <w:rFonts w:ascii="Calibri"/>
          <w:spacing w:val="-3"/>
          <w:sz w:val="20"/>
          <w:vertAlign w:val="baseline"/>
        </w:rPr>
        <w:t> </w:t>
      </w:r>
      <w:r>
        <w:rPr>
          <w:rFonts w:ascii="Calibri"/>
          <w:sz w:val="20"/>
          <w:vertAlign w:val="baseline"/>
        </w:rPr>
        <w:t>Neville,</w:t>
      </w:r>
      <w:r>
        <w:rPr>
          <w:rFonts w:ascii="Calibri"/>
          <w:spacing w:val="-3"/>
          <w:sz w:val="20"/>
          <w:vertAlign w:val="baseline"/>
        </w:rPr>
        <w:t> </w:t>
      </w:r>
      <w:r>
        <w:rPr>
          <w:rFonts w:ascii="Calibri"/>
          <w:sz w:val="20"/>
          <w:vertAlign w:val="baseline"/>
        </w:rPr>
        <w:t>J.</w:t>
      </w:r>
      <w:r>
        <w:rPr>
          <w:rFonts w:ascii="Calibri"/>
          <w:spacing w:val="-3"/>
          <w:sz w:val="20"/>
          <w:vertAlign w:val="baseline"/>
        </w:rPr>
        <w:t> </w:t>
      </w:r>
      <w:r>
        <w:rPr>
          <w:rFonts w:ascii="Calibri"/>
          <w:spacing w:val="-4"/>
          <w:sz w:val="20"/>
          <w:vertAlign w:val="baseline"/>
        </w:rPr>
        <w:t>ibid.</w:t>
      </w:r>
    </w:p>
    <w:p>
      <w:pPr>
        <w:spacing w:before="1"/>
        <w:ind w:left="308" w:right="0" w:firstLine="0"/>
        <w:jc w:val="left"/>
        <w:rPr>
          <w:rFonts w:ascii="Calibri" w:hAnsi="Calibri"/>
          <w:sz w:val="20"/>
        </w:rPr>
      </w:pPr>
      <w:r>
        <w:rPr>
          <w:rFonts w:ascii="Calibri" w:hAnsi="Calibri"/>
          <w:sz w:val="20"/>
          <w:vertAlign w:val="superscript"/>
        </w:rPr>
        <w:t>29</w:t>
      </w:r>
      <w:r>
        <w:rPr>
          <w:rFonts w:ascii="Calibri" w:hAnsi="Calibri"/>
          <w:spacing w:val="3"/>
          <w:sz w:val="20"/>
          <w:vertAlign w:val="baseline"/>
        </w:rPr>
        <w:t> </w:t>
      </w:r>
      <w:r>
        <w:rPr>
          <w:rFonts w:ascii="Calibri" w:hAnsi="Calibri"/>
          <w:sz w:val="20"/>
          <w:vertAlign w:val="baseline"/>
        </w:rPr>
        <w:t>Mackenzie.</w:t>
      </w:r>
      <w:r>
        <w:rPr>
          <w:rFonts w:ascii="Calibri" w:hAnsi="Calibri"/>
          <w:spacing w:val="-1"/>
          <w:sz w:val="20"/>
          <w:vertAlign w:val="baseline"/>
        </w:rPr>
        <w:t> </w:t>
      </w:r>
      <w:r>
        <w:rPr>
          <w:rFonts w:ascii="Calibri" w:hAnsi="Calibri"/>
          <w:sz w:val="20"/>
          <w:vertAlign w:val="baseline"/>
        </w:rPr>
        <w:t>(1982).</w:t>
      </w:r>
      <w:r>
        <w:rPr>
          <w:rFonts w:ascii="Calibri" w:hAnsi="Calibri"/>
          <w:spacing w:val="-2"/>
          <w:sz w:val="20"/>
          <w:vertAlign w:val="baseline"/>
        </w:rPr>
        <w:t> </w:t>
      </w:r>
      <w:r>
        <w:rPr>
          <w:rFonts w:ascii="Calibri" w:hAnsi="Calibri"/>
          <w:sz w:val="20"/>
          <w:vertAlign w:val="baseline"/>
        </w:rPr>
        <w:t>A Company</w:t>
      </w:r>
      <w:r>
        <w:rPr>
          <w:rFonts w:ascii="Calibri" w:hAnsi="Calibri"/>
          <w:spacing w:val="-3"/>
          <w:sz w:val="20"/>
          <w:vertAlign w:val="baseline"/>
        </w:rPr>
        <w:t> </w:t>
      </w:r>
      <w:r>
        <w:rPr>
          <w:rFonts w:ascii="Calibri" w:hAnsi="Calibri"/>
          <w:sz w:val="20"/>
          <w:vertAlign w:val="baseline"/>
        </w:rPr>
        <w:t>Director’s Obligations</w:t>
      </w:r>
      <w:r>
        <w:rPr>
          <w:rFonts w:ascii="Calibri" w:hAnsi="Calibri"/>
          <w:spacing w:val="-1"/>
          <w:sz w:val="20"/>
          <w:vertAlign w:val="baseline"/>
        </w:rPr>
        <w:t> </w:t>
      </w:r>
      <w:r>
        <w:rPr>
          <w:rFonts w:ascii="Calibri" w:hAnsi="Calibri"/>
          <w:sz w:val="20"/>
          <w:vertAlign w:val="baseline"/>
        </w:rPr>
        <w:t>of</w:t>
      </w:r>
      <w:r>
        <w:rPr>
          <w:rFonts w:ascii="Calibri" w:hAnsi="Calibri"/>
          <w:spacing w:val="3"/>
          <w:sz w:val="20"/>
          <w:vertAlign w:val="baseline"/>
        </w:rPr>
        <w:t> </w:t>
      </w:r>
      <w:r>
        <w:rPr>
          <w:rFonts w:ascii="Calibri" w:hAnsi="Calibri"/>
          <w:sz w:val="20"/>
          <w:vertAlign w:val="baseline"/>
        </w:rPr>
        <w:t>Care</w:t>
      </w:r>
      <w:r>
        <w:rPr>
          <w:rFonts w:ascii="Calibri" w:hAnsi="Calibri"/>
          <w:spacing w:val="1"/>
          <w:sz w:val="20"/>
          <w:vertAlign w:val="baseline"/>
        </w:rPr>
        <w:t> </w:t>
      </w:r>
      <w:r>
        <w:rPr>
          <w:rFonts w:ascii="Calibri" w:hAnsi="Calibri"/>
          <w:sz w:val="20"/>
          <w:vertAlign w:val="baseline"/>
        </w:rPr>
        <w:t>and</w:t>
      </w:r>
      <w:r>
        <w:rPr>
          <w:rFonts w:ascii="Calibri" w:hAnsi="Calibri"/>
          <w:spacing w:val="-3"/>
          <w:sz w:val="20"/>
          <w:vertAlign w:val="baseline"/>
        </w:rPr>
        <w:t> </w:t>
      </w:r>
      <w:r>
        <w:rPr>
          <w:rFonts w:ascii="Calibri" w:hAnsi="Calibri"/>
          <w:sz w:val="20"/>
          <w:vertAlign w:val="baseline"/>
        </w:rPr>
        <w:t>Skill.</w:t>
      </w:r>
      <w:r>
        <w:rPr>
          <w:rFonts w:ascii="Calibri" w:hAnsi="Calibri"/>
          <w:i/>
          <w:sz w:val="20"/>
          <w:vertAlign w:val="baseline"/>
        </w:rPr>
        <w:t>Journal</w:t>
      </w:r>
      <w:r>
        <w:rPr>
          <w:rFonts w:ascii="Calibri" w:hAnsi="Calibri"/>
          <w:i/>
          <w:spacing w:val="-1"/>
          <w:sz w:val="20"/>
          <w:vertAlign w:val="baseline"/>
        </w:rPr>
        <w:t> </w:t>
      </w:r>
      <w:r>
        <w:rPr>
          <w:rFonts w:ascii="Calibri" w:hAnsi="Calibri"/>
          <w:i/>
          <w:sz w:val="20"/>
          <w:vertAlign w:val="baseline"/>
        </w:rPr>
        <w:t>of</w:t>
      </w:r>
      <w:r>
        <w:rPr>
          <w:rFonts w:ascii="Calibri" w:hAnsi="Calibri"/>
          <w:i/>
          <w:spacing w:val="2"/>
          <w:sz w:val="20"/>
          <w:vertAlign w:val="baseline"/>
        </w:rPr>
        <w:t> </w:t>
      </w:r>
      <w:r>
        <w:rPr>
          <w:rFonts w:ascii="Calibri" w:hAnsi="Calibri"/>
          <w:i/>
          <w:sz w:val="20"/>
          <w:vertAlign w:val="baseline"/>
        </w:rPr>
        <w:t>Business Law, </w:t>
      </w:r>
      <w:r>
        <w:rPr>
          <w:rFonts w:ascii="Calibri" w:hAnsi="Calibri"/>
          <w:sz w:val="20"/>
          <w:vertAlign w:val="baseline"/>
        </w:rPr>
        <w:t>460 </w:t>
      </w:r>
      <w:r>
        <w:rPr>
          <w:rFonts w:ascii="Calibri" w:hAnsi="Calibri"/>
          <w:spacing w:val="-5"/>
          <w:sz w:val="20"/>
          <w:vertAlign w:val="baseline"/>
        </w:rPr>
        <w:t>at</w:t>
      </w:r>
    </w:p>
    <w:p>
      <w:pPr>
        <w:spacing w:before="1"/>
        <w:ind w:left="308" w:right="226" w:firstLine="0"/>
        <w:jc w:val="both"/>
        <w:rPr>
          <w:rFonts w:ascii="Calibri"/>
          <w:sz w:val="20"/>
        </w:rPr>
      </w:pPr>
      <w:r>
        <w:rPr>
          <w:rFonts w:ascii="Calibri"/>
          <w:sz w:val="20"/>
        </w:rPr>
        <w:t>p. 461. Cited in Finch, V. (1992).Company Directors: Who Cares About Skill and Care?</w:t>
      </w:r>
      <w:r>
        <w:rPr>
          <w:rFonts w:ascii="Calibri"/>
          <w:i/>
          <w:sz w:val="20"/>
        </w:rPr>
        <w:t>The Modern Law Review</w:t>
      </w:r>
      <w:r>
        <w:rPr>
          <w:rFonts w:ascii="Calibri"/>
          <w:sz w:val="20"/>
        </w:rPr>
        <w:t>, 55(2): 179-214, at p. 200.</w:t>
      </w:r>
    </w:p>
    <w:p>
      <w:pPr>
        <w:spacing w:before="1"/>
        <w:ind w:left="308" w:right="0" w:firstLine="0"/>
        <w:jc w:val="both"/>
        <w:rPr>
          <w:rFonts w:ascii="Calibri"/>
          <w:sz w:val="20"/>
        </w:rPr>
      </w:pPr>
      <w:r>
        <w:rPr>
          <w:rFonts w:ascii="Calibri"/>
          <w:sz w:val="20"/>
          <w:vertAlign w:val="superscript"/>
        </w:rPr>
        <w:t>30</w:t>
      </w:r>
      <w:r>
        <w:rPr>
          <w:rFonts w:ascii="Calibri"/>
          <w:spacing w:val="40"/>
          <w:sz w:val="20"/>
          <w:vertAlign w:val="baseline"/>
        </w:rPr>
        <w:t> </w:t>
      </w:r>
      <w:r>
        <w:rPr>
          <w:rFonts w:ascii="Calibri"/>
          <w:sz w:val="20"/>
          <w:vertAlign w:val="baseline"/>
        </w:rPr>
        <w:t>Davies,</w:t>
      </w:r>
      <w:r>
        <w:rPr>
          <w:rFonts w:ascii="Calibri"/>
          <w:spacing w:val="38"/>
          <w:sz w:val="20"/>
          <w:vertAlign w:val="baseline"/>
        </w:rPr>
        <w:t> </w:t>
      </w:r>
      <w:r>
        <w:rPr>
          <w:rFonts w:ascii="Calibri"/>
          <w:sz w:val="20"/>
          <w:vertAlign w:val="baseline"/>
        </w:rPr>
        <w:t>L.P.</w:t>
      </w:r>
      <w:r>
        <w:rPr>
          <w:rFonts w:ascii="Calibri"/>
          <w:spacing w:val="41"/>
          <w:sz w:val="20"/>
          <w:vertAlign w:val="baseline"/>
        </w:rPr>
        <w:t> </w:t>
      </w:r>
      <w:r>
        <w:rPr>
          <w:rFonts w:ascii="Calibri"/>
          <w:sz w:val="20"/>
          <w:vertAlign w:val="baseline"/>
        </w:rPr>
        <w:t>and</w:t>
      </w:r>
      <w:r>
        <w:rPr>
          <w:rFonts w:ascii="Calibri"/>
          <w:spacing w:val="39"/>
          <w:sz w:val="20"/>
          <w:vertAlign w:val="baseline"/>
        </w:rPr>
        <w:t> </w:t>
      </w:r>
      <w:r>
        <w:rPr>
          <w:rFonts w:ascii="Calibri"/>
          <w:sz w:val="20"/>
          <w:vertAlign w:val="baseline"/>
        </w:rPr>
        <w:t>Worthington,</w:t>
      </w:r>
      <w:r>
        <w:rPr>
          <w:rFonts w:ascii="Calibri"/>
          <w:spacing w:val="36"/>
          <w:sz w:val="20"/>
          <w:vertAlign w:val="baseline"/>
        </w:rPr>
        <w:t> </w:t>
      </w:r>
      <w:r>
        <w:rPr>
          <w:rFonts w:ascii="Calibri"/>
          <w:sz w:val="20"/>
          <w:vertAlign w:val="baseline"/>
        </w:rPr>
        <w:t>S.</w:t>
      </w:r>
      <w:r>
        <w:rPr>
          <w:rFonts w:ascii="Calibri"/>
          <w:spacing w:val="44"/>
          <w:sz w:val="20"/>
          <w:vertAlign w:val="baseline"/>
        </w:rPr>
        <w:t> </w:t>
      </w:r>
      <w:r>
        <w:rPr>
          <w:rFonts w:ascii="Calibri"/>
          <w:sz w:val="20"/>
          <w:vertAlign w:val="baseline"/>
        </w:rPr>
        <w:t>(2012).</w:t>
      </w:r>
      <w:r>
        <w:rPr>
          <w:rFonts w:ascii="Calibri"/>
          <w:i/>
          <w:sz w:val="20"/>
          <w:vertAlign w:val="baseline"/>
        </w:rPr>
        <w:t>Gower</w:t>
      </w:r>
      <w:r>
        <w:rPr>
          <w:rFonts w:ascii="Calibri"/>
          <w:i/>
          <w:spacing w:val="32"/>
          <w:sz w:val="20"/>
          <w:vertAlign w:val="baseline"/>
        </w:rPr>
        <w:t> </w:t>
      </w:r>
      <w:r>
        <w:rPr>
          <w:rFonts w:ascii="Calibri"/>
          <w:i/>
          <w:sz w:val="20"/>
          <w:vertAlign w:val="baseline"/>
        </w:rPr>
        <w:t>&amp;</w:t>
      </w:r>
      <w:r>
        <w:rPr>
          <w:rFonts w:ascii="Calibri"/>
          <w:i/>
          <w:spacing w:val="40"/>
          <w:sz w:val="20"/>
          <w:vertAlign w:val="baseline"/>
        </w:rPr>
        <w:t> </w:t>
      </w:r>
      <w:r>
        <w:rPr>
          <w:rFonts w:ascii="Calibri"/>
          <w:i/>
          <w:sz w:val="20"/>
          <w:vertAlign w:val="baseline"/>
        </w:rPr>
        <w:t>Davies:</w:t>
      </w:r>
      <w:r>
        <w:rPr>
          <w:rFonts w:ascii="Calibri"/>
          <w:i/>
          <w:spacing w:val="39"/>
          <w:sz w:val="20"/>
          <w:vertAlign w:val="baseline"/>
        </w:rPr>
        <w:t> </w:t>
      </w:r>
      <w:r>
        <w:rPr>
          <w:rFonts w:ascii="Calibri"/>
          <w:i/>
          <w:sz w:val="20"/>
          <w:vertAlign w:val="baseline"/>
        </w:rPr>
        <w:t>Principles</w:t>
      </w:r>
      <w:r>
        <w:rPr>
          <w:rFonts w:ascii="Calibri"/>
          <w:i/>
          <w:spacing w:val="32"/>
          <w:sz w:val="20"/>
          <w:vertAlign w:val="baseline"/>
        </w:rPr>
        <w:t> </w:t>
      </w:r>
      <w:r>
        <w:rPr>
          <w:rFonts w:ascii="Calibri"/>
          <w:i/>
          <w:sz w:val="20"/>
          <w:vertAlign w:val="baseline"/>
        </w:rPr>
        <w:t>of</w:t>
      </w:r>
      <w:r>
        <w:rPr>
          <w:rFonts w:ascii="Calibri"/>
          <w:i/>
          <w:spacing w:val="40"/>
          <w:sz w:val="20"/>
          <w:vertAlign w:val="baseline"/>
        </w:rPr>
        <w:t> </w:t>
      </w:r>
      <w:r>
        <w:rPr>
          <w:rFonts w:ascii="Calibri"/>
          <w:i/>
          <w:sz w:val="20"/>
          <w:vertAlign w:val="baseline"/>
        </w:rPr>
        <w:t>Modern</w:t>
      </w:r>
      <w:r>
        <w:rPr>
          <w:rFonts w:ascii="Calibri"/>
          <w:i/>
          <w:spacing w:val="41"/>
          <w:sz w:val="20"/>
          <w:vertAlign w:val="baseline"/>
        </w:rPr>
        <w:t> </w:t>
      </w:r>
      <w:r>
        <w:rPr>
          <w:rFonts w:ascii="Calibri"/>
          <w:i/>
          <w:sz w:val="20"/>
          <w:vertAlign w:val="baseline"/>
        </w:rPr>
        <w:t>Company</w:t>
      </w:r>
      <w:r>
        <w:rPr>
          <w:rFonts w:ascii="Calibri"/>
          <w:i/>
          <w:spacing w:val="35"/>
          <w:sz w:val="20"/>
          <w:vertAlign w:val="baseline"/>
        </w:rPr>
        <w:t> </w:t>
      </w:r>
      <w:r>
        <w:rPr>
          <w:rFonts w:ascii="Calibri"/>
          <w:i/>
          <w:spacing w:val="-2"/>
          <w:sz w:val="20"/>
          <w:vertAlign w:val="baseline"/>
        </w:rPr>
        <w:t>Law.</w:t>
      </w:r>
      <w:r>
        <w:rPr>
          <w:rFonts w:ascii="Calibri"/>
          <w:spacing w:val="-2"/>
          <w:sz w:val="20"/>
          <w:vertAlign w:val="baseline"/>
        </w:rPr>
        <w:t>9</w:t>
      </w:r>
      <w:r>
        <w:rPr>
          <w:rFonts w:ascii="Calibri"/>
          <w:spacing w:val="-2"/>
          <w:sz w:val="20"/>
          <w:vertAlign w:val="superscript"/>
        </w:rPr>
        <w:t>th</w:t>
      </w:r>
    </w:p>
    <w:p>
      <w:pPr>
        <w:spacing w:before="1"/>
        <w:ind w:left="308" w:right="0" w:firstLine="0"/>
        <w:jc w:val="left"/>
        <w:rPr>
          <w:rFonts w:ascii="Calibri"/>
          <w:sz w:val="20"/>
        </w:rPr>
      </w:pPr>
      <w:r>
        <w:rPr>
          <w:rFonts w:ascii="Calibri"/>
          <w:sz w:val="20"/>
        </w:rPr>
        <w:t>edition,</w:t>
      </w:r>
      <w:r>
        <w:rPr>
          <w:rFonts w:ascii="Calibri"/>
          <w:spacing w:val="-10"/>
          <w:sz w:val="20"/>
        </w:rPr>
        <w:t> </w:t>
      </w:r>
      <w:r>
        <w:rPr>
          <w:rFonts w:ascii="Calibri"/>
          <w:sz w:val="20"/>
        </w:rPr>
        <w:t>Sweet</w:t>
      </w:r>
      <w:r>
        <w:rPr>
          <w:rFonts w:ascii="Calibri"/>
          <w:spacing w:val="-5"/>
          <w:sz w:val="20"/>
        </w:rPr>
        <w:t> </w:t>
      </w:r>
      <w:r>
        <w:rPr>
          <w:rFonts w:ascii="Calibri"/>
          <w:sz w:val="20"/>
        </w:rPr>
        <w:t>and</w:t>
      </w:r>
      <w:r>
        <w:rPr>
          <w:rFonts w:ascii="Calibri"/>
          <w:spacing w:val="-6"/>
          <w:sz w:val="20"/>
        </w:rPr>
        <w:t> </w:t>
      </w:r>
      <w:r>
        <w:rPr>
          <w:rFonts w:ascii="Calibri"/>
          <w:sz w:val="20"/>
        </w:rPr>
        <w:t>Maxwell,</w:t>
      </w:r>
      <w:r>
        <w:rPr>
          <w:rFonts w:ascii="Calibri"/>
          <w:spacing w:val="-7"/>
          <w:sz w:val="20"/>
        </w:rPr>
        <w:t> </w:t>
      </w:r>
      <w:r>
        <w:rPr>
          <w:rFonts w:ascii="Calibri"/>
          <w:sz w:val="20"/>
        </w:rPr>
        <w:t>London,</w:t>
      </w:r>
      <w:r>
        <w:rPr>
          <w:rFonts w:ascii="Calibri"/>
          <w:spacing w:val="-3"/>
          <w:sz w:val="20"/>
        </w:rPr>
        <w:t> </w:t>
      </w:r>
      <w:r>
        <w:rPr>
          <w:rFonts w:ascii="Calibri"/>
          <w:sz w:val="20"/>
        </w:rPr>
        <w:t>p.</w:t>
      </w:r>
      <w:r>
        <w:rPr>
          <w:rFonts w:ascii="Calibri"/>
          <w:spacing w:val="-2"/>
          <w:sz w:val="20"/>
        </w:rPr>
        <w:t> </w:t>
      </w:r>
      <w:r>
        <w:rPr>
          <w:rFonts w:ascii="Calibri"/>
          <w:spacing w:val="-4"/>
          <w:sz w:val="20"/>
        </w:rPr>
        <w:t>518.</w:t>
      </w:r>
    </w:p>
    <w:p>
      <w:pPr>
        <w:spacing w:line="242" w:lineRule="exact" w:before="0"/>
        <w:ind w:left="308" w:right="0" w:firstLine="0"/>
        <w:jc w:val="both"/>
        <w:rPr>
          <w:rFonts w:ascii="Calibri"/>
          <w:sz w:val="20"/>
        </w:rPr>
      </w:pPr>
      <w:r>
        <w:rPr>
          <w:rFonts w:ascii="Calibri"/>
          <w:sz w:val="20"/>
          <w:vertAlign w:val="superscript"/>
        </w:rPr>
        <w:t>31</w:t>
      </w:r>
      <w:r>
        <w:rPr>
          <w:rFonts w:ascii="Calibri"/>
          <w:sz w:val="20"/>
          <w:vertAlign w:val="baseline"/>
        </w:rPr>
        <w:t>Corkery,</w:t>
      </w:r>
      <w:r>
        <w:rPr>
          <w:rFonts w:ascii="Calibri"/>
          <w:spacing w:val="-6"/>
          <w:sz w:val="20"/>
          <w:vertAlign w:val="baseline"/>
        </w:rPr>
        <w:t> </w:t>
      </w:r>
      <w:r>
        <w:rPr>
          <w:rFonts w:ascii="Calibri"/>
          <w:sz w:val="20"/>
          <w:vertAlign w:val="baseline"/>
        </w:rPr>
        <w:t>F.J.</w:t>
      </w:r>
      <w:r>
        <w:rPr>
          <w:rFonts w:ascii="Calibri"/>
          <w:spacing w:val="-7"/>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p.</w:t>
      </w:r>
      <w:r>
        <w:rPr>
          <w:rFonts w:ascii="Calibri"/>
          <w:spacing w:val="-7"/>
          <w:sz w:val="20"/>
          <w:vertAlign w:val="baseline"/>
        </w:rPr>
        <w:t> </w:t>
      </w:r>
      <w:r>
        <w:rPr>
          <w:rFonts w:ascii="Calibri"/>
          <w:sz w:val="20"/>
          <w:vertAlign w:val="baseline"/>
        </w:rPr>
        <w:t>142</w:t>
      </w:r>
      <w:r>
        <w:rPr>
          <w:rFonts w:ascii="Calibri"/>
          <w:spacing w:val="-4"/>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Davies,</w:t>
      </w:r>
      <w:r>
        <w:rPr>
          <w:rFonts w:ascii="Calibri"/>
          <w:spacing w:val="-6"/>
          <w:sz w:val="20"/>
          <w:vertAlign w:val="baseline"/>
        </w:rPr>
        <w:t> </w:t>
      </w:r>
      <w:r>
        <w:rPr>
          <w:rFonts w:ascii="Calibri"/>
          <w:sz w:val="20"/>
          <w:vertAlign w:val="baseline"/>
        </w:rPr>
        <w:t>J.</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pp.39-</w:t>
      </w:r>
      <w:r>
        <w:rPr>
          <w:rFonts w:ascii="Calibri"/>
          <w:spacing w:val="-5"/>
          <w:sz w:val="20"/>
          <w:vertAlign w:val="baseline"/>
        </w:rPr>
        <w:t>40.</w:t>
      </w:r>
    </w:p>
    <w:p>
      <w:pPr>
        <w:spacing w:line="240" w:lineRule="auto" w:before="0"/>
        <w:ind w:left="308" w:right="223" w:firstLine="0"/>
        <w:jc w:val="both"/>
        <w:rPr>
          <w:rFonts w:ascii="Calibri" w:hAnsi="Calibri"/>
          <w:i/>
          <w:sz w:val="20"/>
        </w:rPr>
      </w:pPr>
      <w:r>
        <w:rPr>
          <w:rFonts w:ascii="Calibri" w:hAnsi="Calibri"/>
          <w:sz w:val="20"/>
          <w:vertAlign w:val="superscript"/>
        </w:rPr>
        <w:t>32</w:t>
      </w:r>
      <w:r>
        <w:rPr>
          <w:rFonts w:ascii="Calibri" w:hAnsi="Calibri"/>
          <w:sz w:val="20"/>
          <w:vertAlign w:val="baseline"/>
        </w:rPr>
        <w:t> See Ogbuanya, N.C.S. (2010).</w:t>
      </w:r>
      <w:r>
        <w:rPr>
          <w:rFonts w:ascii="Calibri" w:hAnsi="Calibri"/>
          <w:i/>
          <w:sz w:val="20"/>
          <w:vertAlign w:val="baseline"/>
        </w:rPr>
        <w:t>Essentials of Corporate Law Practice in Nigeria.</w:t>
      </w:r>
      <w:r>
        <w:rPr>
          <w:rFonts w:ascii="Calibri" w:hAnsi="Calibri"/>
          <w:sz w:val="20"/>
          <w:vertAlign w:val="baseline"/>
        </w:rPr>
        <w:t>Novena Publishers Ltd., Lagos, p. 345; Olakanmi, O. &amp; Co. (2006).</w:t>
      </w:r>
      <w:r>
        <w:rPr>
          <w:rFonts w:ascii="Calibri" w:hAnsi="Calibri"/>
          <w:i/>
          <w:sz w:val="20"/>
          <w:vertAlign w:val="baseline"/>
        </w:rPr>
        <w:t>Companies and Allied Matters Act: Synoptic Guide</w:t>
      </w:r>
      <w:r>
        <w:rPr>
          <w:rFonts w:ascii="Calibri" w:hAnsi="Calibri"/>
          <w:sz w:val="20"/>
          <w:vertAlign w:val="baseline"/>
        </w:rPr>
        <w:t>.Lawlords Publications, Abuja,</w:t>
      </w:r>
      <w:r>
        <w:rPr>
          <w:rFonts w:ascii="Calibri" w:hAnsi="Calibri"/>
          <w:spacing w:val="-1"/>
          <w:sz w:val="20"/>
          <w:vertAlign w:val="baseline"/>
        </w:rPr>
        <w:t> </w:t>
      </w:r>
      <w:r>
        <w:rPr>
          <w:rFonts w:ascii="Calibri" w:hAnsi="Calibri"/>
          <w:sz w:val="20"/>
          <w:vertAlign w:val="baseline"/>
        </w:rPr>
        <w:t>p. 41; Ali, H.L. (1996).</w:t>
      </w:r>
      <w:r>
        <w:rPr>
          <w:rFonts w:ascii="Calibri" w:hAnsi="Calibri"/>
          <w:i/>
          <w:sz w:val="20"/>
          <w:vertAlign w:val="baseline"/>
        </w:rPr>
        <w:t>The Powers of Directors in Nigerian Company Law: An Analysis of the Dynamic</w:t>
      </w:r>
      <w:r>
        <w:rPr>
          <w:rFonts w:ascii="Calibri" w:hAnsi="Calibri"/>
          <w:i/>
          <w:spacing w:val="-1"/>
          <w:sz w:val="20"/>
          <w:vertAlign w:val="baseline"/>
        </w:rPr>
        <w:t> </w:t>
      </w:r>
      <w:r>
        <w:rPr>
          <w:rFonts w:ascii="Calibri" w:hAnsi="Calibri"/>
          <w:i/>
          <w:sz w:val="20"/>
          <w:vertAlign w:val="baseline"/>
        </w:rPr>
        <w:t>of Directors</w:t>
      </w:r>
      <w:r>
        <w:rPr>
          <w:rFonts w:ascii="Calibri" w:hAnsi="Calibri"/>
          <w:i/>
          <w:spacing w:val="-1"/>
          <w:sz w:val="20"/>
          <w:vertAlign w:val="baseline"/>
        </w:rPr>
        <w:t> </w:t>
      </w:r>
      <w:r>
        <w:rPr>
          <w:rFonts w:ascii="Calibri" w:hAnsi="Calibri"/>
          <w:i/>
          <w:sz w:val="20"/>
          <w:vertAlign w:val="baseline"/>
        </w:rPr>
        <w:t>Dominance in Modern Companies.</w:t>
      </w:r>
      <w:r>
        <w:rPr>
          <w:rFonts w:ascii="Calibri" w:hAnsi="Calibri"/>
          <w:sz w:val="20"/>
          <w:vertAlign w:val="baseline"/>
        </w:rPr>
        <w:t>LL.M. thesis (unpublished) Faculty of Law, Ahmadu Bello University Zaria, p. 155; Mbah, D.E. (1987).</w:t>
      </w:r>
      <w:r>
        <w:rPr>
          <w:rFonts w:ascii="Calibri" w:hAnsi="Calibri"/>
          <w:i/>
          <w:sz w:val="20"/>
          <w:vertAlign w:val="baseline"/>
        </w:rPr>
        <w:t>A Comparative Study of the Nigerian Companies’ Act 1968 and the Ghana Companies Code 1963</w:t>
      </w:r>
      <w:r>
        <w:rPr>
          <w:rFonts w:ascii="Calibri" w:hAnsi="Calibri"/>
          <w:sz w:val="20"/>
          <w:vertAlign w:val="baseline"/>
        </w:rPr>
        <w:t>.LL.M. thesis (unpublished) Faculty of Law, Ahmadu</w:t>
      </w:r>
      <w:r>
        <w:rPr>
          <w:rFonts w:ascii="Calibri" w:hAnsi="Calibri"/>
          <w:spacing w:val="29"/>
          <w:sz w:val="20"/>
          <w:vertAlign w:val="baseline"/>
        </w:rPr>
        <w:t> </w:t>
      </w:r>
      <w:r>
        <w:rPr>
          <w:rFonts w:ascii="Calibri" w:hAnsi="Calibri"/>
          <w:sz w:val="20"/>
          <w:vertAlign w:val="baseline"/>
        </w:rPr>
        <w:t>Bello</w:t>
      </w:r>
      <w:r>
        <w:rPr>
          <w:rFonts w:ascii="Calibri" w:hAnsi="Calibri"/>
          <w:spacing w:val="29"/>
          <w:sz w:val="20"/>
          <w:vertAlign w:val="baseline"/>
        </w:rPr>
        <w:t> </w:t>
      </w:r>
      <w:r>
        <w:rPr>
          <w:rFonts w:ascii="Calibri" w:hAnsi="Calibri"/>
          <w:sz w:val="20"/>
          <w:vertAlign w:val="baseline"/>
        </w:rPr>
        <w:t>University</w:t>
      </w:r>
      <w:r>
        <w:rPr>
          <w:rFonts w:ascii="Calibri" w:hAnsi="Calibri"/>
          <w:spacing w:val="30"/>
          <w:sz w:val="20"/>
          <w:vertAlign w:val="baseline"/>
        </w:rPr>
        <w:t> </w:t>
      </w:r>
      <w:r>
        <w:rPr>
          <w:rFonts w:ascii="Calibri" w:hAnsi="Calibri"/>
          <w:sz w:val="20"/>
          <w:vertAlign w:val="baseline"/>
        </w:rPr>
        <w:t>Zaria,</w:t>
      </w:r>
      <w:r>
        <w:rPr>
          <w:rFonts w:ascii="Calibri" w:hAnsi="Calibri"/>
          <w:spacing w:val="32"/>
          <w:sz w:val="20"/>
          <w:vertAlign w:val="baseline"/>
        </w:rPr>
        <w:t> </w:t>
      </w:r>
      <w:r>
        <w:rPr>
          <w:rFonts w:ascii="Calibri" w:hAnsi="Calibri"/>
          <w:sz w:val="20"/>
          <w:vertAlign w:val="baseline"/>
        </w:rPr>
        <w:t>pp.</w:t>
      </w:r>
      <w:r>
        <w:rPr>
          <w:rFonts w:ascii="Calibri" w:hAnsi="Calibri"/>
          <w:spacing w:val="34"/>
          <w:sz w:val="20"/>
          <w:vertAlign w:val="baseline"/>
        </w:rPr>
        <w:t> </w:t>
      </w:r>
      <w:r>
        <w:rPr>
          <w:rFonts w:ascii="Calibri" w:hAnsi="Calibri"/>
          <w:sz w:val="20"/>
          <w:vertAlign w:val="baseline"/>
        </w:rPr>
        <w:t>101-102;</w:t>
      </w:r>
      <w:r>
        <w:rPr>
          <w:rFonts w:ascii="Calibri" w:hAnsi="Calibri"/>
          <w:spacing w:val="34"/>
          <w:sz w:val="20"/>
          <w:vertAlign w:val="baseline"/>
        </w:rPr>
        <w:t> </w:t>
      </w:r>
      <w:r>
        <w:rPr>
          <w:rFonts w:ascii="Calibri" w:hAnsi="Calibri"/>
          <w:sz w:val="20"/>
          <w:vertAlign w:val="baseline"/>
        </w:rPr>
        <w:t>Gower,</w:t>
      </w:r>
      <w:r>
        <w:rPr>
          <w:rFonts w:ascii="Calibri" w:hAnsi="Calibri"/>
          <w:spacing w:val="27"/>
          <w:sz w:val="20"/>
          <w:vertAlign w:val="baseline"/>
        </w:rPr>
        <w:t> </w:t>
      </w:r>
      <w:r>
        <w:rPr>
          <w:rFonts w:ascii="Calibri" w:hAnsi="Calibri"/>
          <w:sz w:val="20"/>
          <w:vertAlign w:val="baseline"/>
        </w:rPr>
        <w:t>L.C.B.</w:t>
      </w:r>
      <w:r>
        <w:rPr>
          <w:rFonts w:ascii="Calibri" w:hAnsi="Calibri"/>
          <w:spacing w:val="38"/>
          <w:sz w:val="20"/>
          <w:vertAlign w:val="baseline"/>
        </w:rPr>
        <w:t> </w:t>
      </w:r>
      <w:r>
        <w:rPr>
          <w:rFonts w:ascii="Calibri" w:hAnsi="Calibri"/>
          <w:sz w:val="20"/>
          <w:vertAlign w:val="baseline"/>
        </w:rPr>
        <w:t>(1961).</w:t>
      </w:r>
      <w:r>
        <w:rPr>
          <w:rFonts w:ascii="Calibri" w:hAnsi="Calibri"/>
          <w:i/>
          <w:sz w:val="20"/>
          <w:vertAlign w:val="baseline"/>
        </w:rPr>
        <w:t>Final</w:t>
      </w:r>
      <w:r>
        <w:rPr>
          <w:rFonts w:ascii="Calibri" w:hAnsi="Calibri"/>
          <w:i/>
          <w:spacing w:val="37"/>
          <w:sz w:val="20"/>
          <w:vertAlign w:val="baseline"/>
        </w:rPr>
        <w:t> </w:t>
      </w:r>
      <w:r>
        <w:rPr>
          <w:rFonts w:ascii="Calibri" w:hAnsi="Calibri"/>
          <w:i/>
          <w:sz w:val="20"/>
          <w:vertAlign w:val="baseline"/>
        </w:rPr>
        <w:t>Report</w:t>
      </w:r>
      <w:r>
        <w:rPr>
          <w:rFonts w:ascii="Calibri" w:hAnsi="Calibri"/>
          <w:i/>
          <w:spacing w:val="29"/>
          <w:sz w:val="20"/>
          <w:vertAlign w:val="baseline"/>
        </w:rPr>
        <w:t> </w:t>
      </w:r>
      <w:r>
        <w:rPr>
          <w:rFonts w:ascii="Calibri" w:hAnsi="Calibri"/>
          <w:i/>
          <w:sz w:val="20"/>
          <w:vertAlign w:val="baseline"/>
        </w:rPr>
        <w:t>of</w:t>
      </w:r>
      <w:r>
        <w:rPr>
          <w:rFonts w:ascii="Calibri" w:hAnsi="Calibri"/>
          <w:i/>
          <w:spacing w:val="30"/>
          <w:sz w:val="20"/>
          <w:vertAlign w:val="baseline"/>
        </w:rPr>
        <w:t> </w:t>
      </w:r>
      <w:r>
        <w:rPr>
          <w:rFonts w:ascii="Calibri" w:hAnsi="Calibri"/>
          <w:i/>
          <w:sz w:val="20"/>
          <w:vertAlign w:val="baseline"/>
        </w:rPr>
        <w:t>the</w:t>
      </w:r>
      <w:r>
        <w:rPr>
          <w:rFonts w:ascii="Calibri" w:hAnsi="Calibri"/>
          <w:i/>
          <w:spacing w:val="29"/>
          <w:sz w:val="20"/>
          <w:vertAlign w:val="baseline"/>
        </w:rPr>
        <w:t> </w:t>
      </w:r>
      <w:r>
        <w:rPr>
          <w:rFonts w:ascii="Calibri" w:hAnsi="Calibri"/>
          <w:i/>
          <w:sz w:val="20"/>
          <w:vertAlign w:val="baseline"/>
        </w:rPr>
        <w:t>Commission</w:t>
      </w:r>
      <w:r>
        <w:rPr>
          <w:rFonts w:ascii="Calibri" w:hAnsi="Calibri"/>
          <w:i/>
          <w:spacing w:val="32"/>
          <w:sz w:val="20"/>
          <w:vertAlign w:val="baseline"/>
        </w:rPr>
        <w:t> </w:t>
      </w:r>
      <w:r>
        <w:rPr>
          <w:rFonts w:ascii="Calibri" w:hAnsi="Calibri"/>
          <w:i/>
          <w:sz w:val="20"/>
          <w:vertAlign w:val="baseline"/>
        </w:rPr>
        <w:t>of</w:t>
      </w:r>
    </w:p>
    <w:p>
      <w:pPr>
        <w:spacing w:after="0" w:line="240" w:lineRule="auto"/>
        <w:jc w:val="both"/>
        <w:rPr>
          <w:rFonts w:ascii="Calibri" w:hAnsi="Calibri"/>
          <w:sz w:val="20"/>
        </w:rPr>
        <w:sectPr>
          <w:pgSz w:w="11910" w:h="16840"/>
          <w:pgMar w:header="0" w:footer="1003" w:top="1280" w:bottom="1200" w:left="1680" w:right="1180"/>
        </w:sectPr>
      </w:pPr>
    </w:p>
    <w:p>
      <w:pPr>
        <w:pStyle w:val="BodyText"/>
        <w:spacing w:line="480" w:lineRule="auto" w:before="110"/>
        <w:ind w:right="228"/>
        <w:jc w:val="both"/>
      </w:pPr>
      <w:r>
        <w:rPr/>
        <w:t>director.</w:t>
      </w:r>
      <w:r>
        <w:rPr>
          <w:vertAlign w:val="superscript"/>
        </w:rPr>
        <w:t>33</w:t>
      </w:r>
      <w:r>
        <w:rPr>
          <w:vertAlign w:val="baseline"/>
        </w:rPr>
        <w:t>In calling for higher standards, Gower argued, ―as the business world comes to expect higher standards, the law should develop in step. What has handicapped legal development so far has been the failure of the courts to recognise that ‗directing is becoming a profession with developing standards of expertise.‖</w:t>
      </w:r>
      <w:r>
        <w:rPr>
          <w:vertAlign w:val="superscript"/>
        </w:rPr>
        <w:t>34</w:t>
      </w:r>
      <w:r>
        <w:rPr>
          <w:vertAlign w:val="baseline"/>
        </w:rPr>
        <w:t> Thus, having minimal or no knowledge in connection with the line of business of</w:t>
      </w:r>
      <w:r>
        <w:rPr>
          <w:spacing w:val="-2"/>
          <w:vertAlign w:val="baseline"/>
        </w:rPr>
        <w:t> </w:t>
      </w:r>
      <w:r>
        <w:rPr>
          <w:vertAlign w:val="baseline"/>
        </w:rPr>
        <w:t>a particular company can no longer be tolerated of directors.</w:t>
      </w:r>
    </w:p>
    <w:p>
      <w:pPr>
        <w:pStyle w:val="BodyText"/>
        <w:spacing w:line="480" w:lineRule="auto" w:before="1"/>
        <w:ind w:right="226" w:firstLine="720"/>
        <w:jc w:val="both"/>
      </w:pPr>
      <w:r>
        <w:rPr/>
        <w:t>Apparently inspired by the plethora of condemnation and in a bid to set the record straight and improve upon the standard hitherto set by the English cases, the drafters</w:t>
      </w:r>
      <w:r>
        <w:rPr>
          <w:spacing w:val="-5"/>
        </w:rPr>
        <w:t> </w:t>
      </w:r>
      <w:r>
        <w:rPr/>
        <w:t>of</w:t>
      </w:r>
      <w:r>
        <w:rPr>
          <w:spacing w:val="-10"/>
        </w:rPr>
        <w:t> </w:t>
      </w:r>
      <w:r>
        <w:rPr/>
        <w:t>the CAMA</w:t>
      </w:r>
      <w:r>
        <w:rPr>
          <w:spacing w:val="-4"/>
        </w:rPr>
        <w:t> </w:t>
      </w:r>
      <w:r>
        <w:rPr/>
        <w:t>at the</w:t>
      </w:r>
      <w:r>
        <w:rPr>
          <w:spacing w:val="-4"/>
        </w:rPr>
        <w:t> </w:t>
      </w:r>
      <w:r>
        <w:rPr/>
        <w:t>time came</w:t>
      </w:r>
      <w:r>
        <w:rPr>
          <w:spacing w:val="-4"/>
        </w:rPr>
        <w:t> </w:t>
      </w:r>
      <w:r>
        <w:rPr/>
        <w:t>up with</w:t>
      </w:r>
      <w:r>
        <w:rPr>
          <w:spacing w:val="-4"/>
        </w:rPr>
        <w:t> </w:t>
      </w:r>
      <w:r>
        <w:rPr/>
        <w:t>the following</w:t>
      </w:r>
      <w:r>
        <w:rPr>
          <w:spacing w:val="-4"/>
        </w:rPr>
        <w:t> </w:t>
      </w:r>
      <w:r>
        <w:rPr/>
        <w:t>provision</w:t>
      </w:r>
      <w:r>
        <w:rPr>
          <w:spacing w:val="-4"/>
        </w:rPr>
        <w:t> </w:t>
      </w:r>
      <w:r>
        <w:rPr/>
        <w:t>in s.</w:t>
      </w:r>
      <w:r>
        <w:rPr>
          <w:spacing w:val="-1"/>
        </w:rPr>
        <w:t> </w:t>
      </w:r>
      <w:r>
        <w:rPr/>
        <w:t>279(3):</w:t>
      </w:r>
      <w:r>
        <w:rPr>
          <w:spacing w:val="-3"/>
        </w:rPr>
        <w:t> </w:t>
      </w:r>
      <w:r>
        <w:rPr/>
        <w:t>―a director shall act at all times...in such manner as a faithful, diligent, careful and ordinarily skilful director would act in the circumstances.‖ More to the point, s. 282(1), provides</w:t>
      </w:r>
      <w:r>
        <w:rPr>
          <w:spacing w:val="-8"/>
        </w:rPr>
        <w:t> </w:t>
      </w:r>
      <w:r>
        <w:rPr/>
        <w:t>that</w:t>
      </w:r>
      <w:r>
        <w:rPr>
          <w:spacing w:val="-2"/>
        </w:rPr>
        <w:t> </w:t>
      </w:r>
      <w:r>
        <w:rPr/>
        <w:t>―every</w:t>
      </w:r>
      <w:r>
        <w:rPr>
          <w:spacing w:val="-14"/>
        </w:rPr>
        <w:t> </w:t>
      </w:r>
      <w:r>
        <w:rPr/>
        <w:t>director</w:t>
      </w:r>
      <w:r>
        <w:rPr>
          <w:spacing w:val="-12"/>
        </w:rPr>
        <w:t> </w:t>
      </w:r>
      <w:r>
        <w:rPr/>
        <w:t>of</w:t>
      </w:r>
      <w:r>
        <w:rPr>
          <w:spacing w:val="-12"/>
        </w:rPr>
        <w:t> </w:t>
      </w:r>
      <w:r>
        <w:rPr/>
        <w:t>a</w:t>
      </w:r>
      <w:r>
        <w:rPr>
          <w:spacing w:val="-7"/>
        </w:rPr>
        <w:t> </w:t>
      </w:r>
      <w:r>
        <w:rPr/>
        <w:t>company</w:t>
      </w:r>
      <w:r>
        <w:rPr>
          <w:spacing w:val="-10"/>
        </w:rPr>
        <w:t> </w:t>
      </w:r>
      <w:r>
        <w:rPr/>
        <w:t>shall...exercise</w:t>
      </w:r>
      <w:r>
        <w:rPr>
          <w:spacing w:val="-7"/>
        </w:rPr>
        <w:t> </w:t>
      </w:r>
      <w:r>
        <w:rPr/>
        <w:t>that</w:t>
      </w:r>
      <w:r>
        <w:rPr>
          <w:spacing w:val="-2"/>
        </w:rPr>
        <w:t> </w:t>
      </w:r>
      <w:r>
        <w:rPr/>
        <w:t>degree</w:t>
      </w:r>
      <w:r>
        <w:rPr>
          <w:spacing w:val="-11"/>
        </w:rPr>
        <w:t> </w:t>
      </w:r>
      <w:r>
        <w:rPr/>
        <w:t>of</w:t>
      </w:r>
      <w:r>
        <w:rPr>
          <w:spacing w:val="-12"/>
        </w:rPr>
        <w:t> </w:t>
      </w:r>
      <w:r>
        <w:rPr/>
        <w:t>care,</w:t>
      </w:r>
      <w:r>
        <w:rPr>
          <w:spacing w:val="-4"/>
        </w:rPr>
        <w:t> </w:t>
      </w:r>
      <w:r>
        <w:rPr/>
        <w:t>diligence and skill which a reasonably prudent director would exercise in comparable circumstances</w:t>
      </w:r>
      <w:r>
        <w:rPr>
          <w:i/>
        </w:rPr>
        <w:t>.‖ </w:t>
      </w:r>
      <w:r>
        <w:rPr/>
        <w:t>It is not clear from the Act what ―prudent‖ and ―diligent‖ mean. The dictionary meaning of ―prudent‖ has connotations of ―care‖ or ―being careful‖.</w:t>
      </w:r>
      <w:r>
        <w:rPr>
          <w:vertAlign w:val="superscript"/>
        </w:rPr>
        <w:t>35</w:t>
      </w:r>
      <w:r>
        <w:rPr>
          <w:vertAlign w:val="baseline"/>
        </w:rPr>
        <w:t> As earlier observed, though</w:t>
      </w:r>
      <w:r>
        <w:rPr>
          <w:spacing w:val="-2"/>
          <w:vertAlign w:val="baseline"/>
        </w:rPr>
        <w:t> </w:t>
      </w:r>
      <w:r>
        <w:rPr>
          <w:vertAlign w:val="baseline"/>
        </w:rPr>
        <w:t>―diligence‖</w:t>
      </w:r>
      <w:r>
        <w:rPr>
          <w:spacing w:val="-2"/>
          <w:vertAlign w:val="baseline"/>
        </w:rPr>
        <w:t> </w:t>
      </w:r>
      <w:r>
        <w:rPr>
          <w:vertAlign w:val="baseline"/>
        </w:rPr>
        <w:t>was</w:t>
      </w:r>
      <w:r>
        <w:rPr>
          <w:spacing w:val="-4"/>
          <w:vertAlign w:val="baseline"/>
        </w:rPr>
        <w:t> </w:t>
      </w:r>
      <w:r>
        <w:rPr>
          <w:vertAlign w:val="baseline"/>
        </w:rPr>
        <w:t>part of</w:t>
      </w:r>
      <w:r>
        <w:rPr>
          <w:spacing w:val="-8"/>
          <w:vertAlign w:val="baseline"/>
        </w:rPr>
        <w:t> </w:t>
      </w:r>
      <w:r>
        <w:rPr>
          <w:vertAlign w:val="baseline"/>
        </w:rPr>
        <w:t>the</w:t>
      </w:r>
      <w:r>
        <w:rPr>
          <w:spacing w:val="-2"/>
          <w:vertAlign w:val="baseline"/>
        </w:rPr>
        <w:t> </w:t>
      </w:r>
      <w:r>
        <w:rPr>
          <w:vertAlign w:val="baseline"/>
        </w:rPr>
        <w:t>duty</w:t>
      </w:r>
      <w:r>
        <w:rPr>
          <w:spacing w:val="-10"/>
          <w:vertAlign w:val="baseline"/>
        </w:rPr>
        <w:t> </w:t>
      </w:r>
      <w:r>
        <w:rPr>
          <w:vertAlign w:val="baseline"/>
        </w:rPr>
        <w:t>at common</w:t>
      </w:r>
      <w:r>
        <w:rPr>
          <w:spacing w:val="-2"/>
          <w:vertAlign w:val="baseline"/>
        </w:rPr>
        <w:t> </w:t>
      </w:r>
      <w:r>
        <w:rPr>
          <w:vertAlign w:val="baseline"/>
        </w:rPr>
        <w:t>law, it was not</w:t>
      </w:r>
      <w:r>
        <w:rPr>
          <w:spacing w:val="-1"/>
          <w:vertAlign w:val="baseline"/>
        </w:rPr>
        <w:t> </w:t>
      </w:r>
      <w:r>
        <w:rPr>
          <w:vertAlign w:val="baseline"/>
        </w:rPr>
        <w:t>the most prominent part of it. Whenever it is mentioned, it is usually simply lumped together with ―care and skill.‖ From all indications, it is more probably seen as an extension of the duty of care.</w:t>
      </w:r>
    </w:p>
    <w:p>
      <w:pPr>
        <w:pStyle w:val="BodyText"/>
        <w:spacing w:line="480" w:lineRule="auto" w:before="3"/>
        <w:ind w:right="231" w:firstLine="720"/>
        <w:jc w:val="both"/>
      </w:pPr>
      <w:r>
        <w:rPr/>
        <w:t>In order to further emphasise the duty in subsection (1), subsection (2) warns</w:t>
      </w:r>
      <w:r>
        <w:rPr>
          <w:spacing w:val="40"/>
        </w:rPr>
        <w:t> </w:t>
      </w:r>
      <w:r>
        <w:rPr/>
        <w:t>that ―failure to take reasonable care in accordance with the provisions of s.282 of this Act</w:t>
      </w:r>
      <w:r>
        <w:rPr>
          <w:spacing w:val="66"/>
        </w:rPr>
        <w:t> </w:t>
      </w:r>
      <w:r>
        <w:rPr/>
        <w:t>shall</w:t>
      </w:r>
      <w:r>
        <w:rPr>
          <w:spacing w:val="57"/>
        </w:rPr>
        <w:t> </w:t>
      </w:r>
      <w:r>
        <w:rPr/>
        <w:t>ground</w:t>
      </w:r>
      <w:r>
        <w:rPr>
          <w:spacing w:val="61"/>
        </w:rPr>
        <w:t> </w:t>
      </w:r>
      <w:r>
        <w:rPr/>
        <w:t>an</w:t>
      </w:r>
      <w:r>
        <w:rPr>
          <w:spacing w:val="57"/>
        </w:rPr>
        <w:t> </w:t>
      </w:r>
      <w:r>
        <w:rPr/>
        <w:t>action</w:t>
      </w:r>
      <w:r>
        <w:rPr>
          <w:spacing w:val="61"/>
        </w:rPr>
        <w:t> </w:t>
      </w:r>
      <w:r>
        <w:rPr/>
        <w:t>for</w:t>
      </w:r>
      <w:r>
        <w:rPr>
          <w:spacing w:val="63"/>
        </w:rPr>
        <w:t> </w:t>
      </w:r>
      <w:r>
        <w:rPr/>
        <w:t>negligence</w:t>
      </w:r>
      <w:r>
        <w:rPr>
          <w:spacing w:val="61"/>
        </w:rPr>
        <w:t> </w:t>
      </w:r>
      <w:r>
        <w:rPr/>
        <w:t>and</w:t>
      </w:r>
      <w:r>
        <w:rPr>
          <w:spacing w:val="66"/>
        </w:rPr>
        <w:t> </w:t>
      </w:r>
      <w:r>
        <w:rPr/>
        <w:t>breach</w:t>
      </w:r>
      <w:r>
        <w:rPr>
          <w:spacing w:val="56"/>
        </w:rPr>
        <w:t> </w:t>
      </w:r>
      <w:r>
        <w:rPr/>
        <w:t>of</w:t>
      </w:r>
      <w:r>
        <w:rPr>
          <w:spacing w:val="53"/>
        </w:rPr>
        <w:t> </w:t>
      </w:r>
      <w:r>
        <w:rPr/>
        <w:t>duty.‖To</w:t>
      </w:r>
      <w:r>
        <w:rPr>
          <w:spacing w:val="67"/>
        </w:rPr>
        <w:t> </w:t>
      </w:r>
      <w:r>
        <w:rPr/>
        <w:t>ensure</w:t>
      </w:r>
      <w:r>
        <w:rPr>
          <w:spacing w:val="60"/>
        </w:rPr>
        <w:t> </w:t>
      </w:r>
      <w:r>
        <w:rPr/>
        <w:t>that</w:t>
      </w:r>
      <w:r>
        <w:rPr>
          <w:spacing w:val="67"/>
        </w:rPr>
        <w:t> </w:t>
      </w:r>
      <w:r>
        <w:rPr>
          <w:spacing w:val="-5"/>
        </w:rPr>
        <w:t>the</w:t>
      </w:r>
    </w:p>
    <w:p>
      <w:pPr>
        <w:pStyle w:val="BodyText"/>
        <w:spacing w:before="28"/>
        <w:ind w:left="0"/>
        <w:rPr>
          <w:sz w:val="20"/>
        </w:rPr>
      </w:pPr>
      <w:r>
        <w:rPr/>
        <mc:AlternateContent>
          <mc:Choice Requires="wps">
            <w:drawing>
              <wp:anchor distT="0" distB="0" distL="0" distR="0" allowOverlap="1" layoutInCell="1" locked="0" behindDoc="1" simplePos="0" relativeHeight="487637504">
                <wp:simplePos x="0" y="0"/>
                <wp:positionH relativeFrom="page">
                  <wp:posOffset>1262481</wp:posOffset>
                </wp:positionH>
                <wp:positionV relativeFrom="paragraph">
                  <wp:posOffset>179090</wp:posOffset>
                </wp:positionV>
                <wp:extent cx="5400040" cy="9525"/>
                <wp:effectExtent l="0" t="0" r="0" b="0"/>
                <wp:wrapTopAndBottom/>
                <wp:docPr id="107" name="Graphic 107"/>
                <wp:cNvGraphicFramePr>
                  <a:graphicFrameLocks/>
                </wp:cNvGraphicFramePr>
                <a:graphic>
                  <a:graphicData uri="http://schemas.microsoft.com/office/word/2010/wordprocessingShape">
                    <wps:wsp>
                      <wps:cNvPr id="107" name="Graphic 107"/>
                      <wps:cNvSpPr/>
                      <wps:spPr>
                        <a:xfrm>
                          <a:off x="0" y="0"/>
                          <a:ext cx="5400040" cy="9525"/>
                        </a:xfrm>
                        <a:custGeom>
                          <a:avLst/>
                          <a:gdLst/>
                          <a:ahLst/>
                          <a:cxnLst/>
                          <a:rect l="l" t="t" r="r" b="b"/>
                          <a:pathLst>
                            <a:path w="5400040" h="9525">
                              <a:moveTo>
                                <a:pt x="5399785" y="0"/>
                              </a:moveTo>
                              <a:lnTo>
                                <a:pt x="0" y="0"/>
                              </a:lnTo>
                              <a:lnTo>
                                <a:pt x="0" y="9143"/>
                              </a:lnTo>
                              <a:lnTo>
                                <a:pt x="5399785" y="9143"/>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01592pt;width:425.18pt;height:.71997pt;mso-position-horizontal-relative:page;mso-position-vertical-relative:paragraph;z-index:-15678976;mso-wrap-distance-left:0;mso-wrap-distance-right:0" id="docshape62" filled="true" fillcolor="#000000" stroked="false">
                <v:fill type="solid"/>
                <w10:wrap type="topAndBottom"/>
              </v:rect>
            </w:pict>
          </mc:Fallback>
        </mc:AlternateContent>
      </w:r>
    </w:p>
    <w:p>
      <w:pPr>
        <w:spacing w:before="102"/>
        <w:ind w:left="308" w:right="227" w:firstLine="0"/>
        <w:jc w:val="both"/>
        <w:rPr>
          <w:rFonts w:ascii="Calibri"/>
          <w:sz w:val="20"/>
        </w:rPr>
      </w:pPr>
      <w:r>
        <w:rPr>
          <w:rFonts w:ascii="Calibri"/>
          <w:i/>
          <w:sz w:val="20"/>
        </w:rPr>
        <w:t>Enquiry on the Company Law of Ghana, </w:t>
      </w:r>
      <w:r>
        <w:rPr>
          <w:rFonts w:ascii="Calibri"/>
          <w:sz w:val="20"/>
        </w:rPr>
        <w:t>p. 146; Worthington, S. (2001).</w:t>
      </w:r>
      <w:r>
        <w:rPr>
          <w:rFonts w:ascii="Calibri"/>
          <w:i/>
          <w:sz w:val="20"/>
        </w:rPr>
        <w:t>Reforming Directors Duties</w:t>
      </w:r>
      <w:r>
        <w:rPr>
          <w:rFonts w:ascii="Calibri"/>
          <w:sz w:val="20"/>
        </w:rPr>
        <w:t>. London School of Economics</w:t>
      </w:r>
      <w:r>
        <w:rPr>
          <w:rFonts w:ascii="Calibri"/>
          <w:spacing w:val="40"/>
          <w:sz w:val="20"/>
        </w:rPr>
        <w:t> </w:t>
      </w:r>
      <w:r>
        <w:rPr>
          <w:rFonts w:ascii="Calibri"/>
          <w:sz w:val="20"/>
        </w:rPr>
        <w:t>(LSE) Research Online, pp.9-10. Retrieved March 24, 2013, from </w:t>
      </w:r>
      <w:hyperlink r:id="rId26">
        <w:r>
          <w:rPr>
            <w:rFonts w:ascii="Calibri"/>
            <w:color w:val="0000FF"/>
            <w:spacing w:val="-2"/>
            <w:sz w:val="20"/>
            <w:u w:val="single" w:color="0000FF"/>
          </w:rPr>
          <w:t>http://eprints.lse.ac.uk/archive/00000200</w:t>
        </w:r>
        <w:r>
          <w:rPr>
            <w:rFonts w:ascii="Calibri"/>
            <w:spacing w:val="-2"/>
            <w:sz w:val="20"/>
          </w:rPr>
          <w:t>.</w:t>
        </w:r>
      </w:hyperlink>
    </w:p>
    <w:p>
      <w:pPr>
        <w:spacing w:before="3"/>
        <w:ind w:left="308" w:right="0" w:firstLine="0"/>
        <w:jc w:val="left"/>
        <w:rPr>
          <w:rFonts w:ascii="Calibri"/>
          <w:sz w:val="20"/>
        </w:rPr>
      </w:pPr>
      <w:r>
        <w:rPr>
          <w:rFonts w:ascii="Calibri"/>
          <w:sz w:val="20"/>
          <w:vertAlign w:val="superscript"/>
        </w:rPr>
        <w:t>33</w:t>
      </w:r>
      <w:r>
        <w:rPr>
          <w:rFonts w:ascii="Calibri"/>
          <w:sz w:val="20"/>
          <w:vertAlign w:val="baseline"/>
        </w:rPr>
        <w:t>Finch,</w:t>
      </w:r>
      <w:r>
        <w:rPr>
          <w:rFonts w:ascii="Calibri"/>
          <w:spacing w:val="-4"/>
          <w:sz w:val="20"/>
          <w:vertAlign w:val="baseline"/>
        </w:rPr>
        <w:t> </w:t>
      </w:r>
      <w:r>
        <w:rPr>
          <w:rFonts w:ascii="Calibri"/>
          <w:sz w:val="20"/>
          <w:vertAlign w:val="baseline"/>
        </w:rPr>
        <w:t>V.</w:t>
      </w:r>
      <w:r>
        <w:rPr>
          <w:rFonts w:ascii="Calibri"/>
          <w:spacing w:val="-4"/>
          <w:sz w:val="20"/>
          <w:vertAlign w:val="baseline"/>
        </w:rPr>
        <w:t> </w:t>
      </w:r>
      <w:r>
        <w:rPr>
          <w:rFonts w:ascii="Calibri"/>
          <w:sz w:val="20"/>
          <w:vertAlign w:val="baseline"/>
        </w:rPr>
        <w:t>op.cit.</w:t>
      </w:r>
      <w:r>
        <w:rPr>
          <w:rFonts w:ascii="Calibri"/>
          <w:spacing w:val="-4"/>
          <w:sz w:val="20"/>
          <w:vertAlign w:val="baseline"/>
        </w:rPr>
        <w:t> </w:t>
      </w:r>
      <w:r>
        <w:rPr>
          <w:rFonts w:ascii="Calibri"/>
          <w:sz w:val="20"/>
          <w:vertAlign w:val="baseline"/>
        </w:rPr>
        <w:t>note</w:t>
      </w:r>
      <w:r>
        <w:rPr>
          <w:rFonts w:ascii="Calibri"/>
          <w:spacing w:val="-1"/>
          <w:sz w:val="20"/>
          <w:vertAlign w:val="baseline"/>
        </w:rPr>
        <w:t> </w:t>
      </w:r>
      <w:r>
        <w:rPr>
          <w:rFonts w:ascii="Calibri"/>
          <w:sz w:val="20"/>
          <w:vertAlign w:val="baseline"/>
        </w:rPr>
        <w:t>28</w:t>
      </w:r>
      <w:r>
        <w:rPr>
          <w:rFonts w:ascii="Calibri"/>
          <w:spacing w:val="-6"/>
          <w:sz w:val="20"/>
          <w:vertAlign w:val="baseline"/>
        </w:rPr>
        <w:t> </w:t>
      </w:r>
      <w:r>
        <w:rPr>
          <w:rFonts w:ascii="Calibri"/>
          <w:sz w:val="20"/>
          <w:vertAlign w:val="baseline"/>
        </w:rPr>
        <w:t>at</w:t>
      </w:r>
      <w:r>
        <w:rPr>
          <w:rFonts w:ascii="Calibri"/>
          <w:spacing w:val="-3"/>
          <w:sz w:val="20"/>
          <w:vertAlign w:val="baseline"/>
        </w:rPr>
        <w:t> </w:t>
      </w:r>
      <w:r>
        <w:rPr>
          <w:rFonts w:ascii="Calibri"/>
          <w:spacing w:val="-2"/>
          <w:sz w:val="20"/>
          <w:vertAlign w:val="baseline"/>
        </w:rPr>
        <w:t>p.179</w:t>
      </w:r>
    </w:p>
    <w:p>
      <w:pPr>
        <w:spacing w:before="0"/>
        <w:ind w:left="308" w:right="0" w:firstLine="0"/>
        <w:jc w:val="left"/>
        <w:rPr>
          <w:rFonts w:ascii="Calibri"/>
          <w:sz w:val="20"/>
        </w:rPr>
      </w:pPr>
      <w:r>
        <w:rPr>
          <w:rFonts w:ascii="Calibri"/>
          <w:sz w:val="20"/>
          <w:vertAlign w:val="superscript"/>
        </w:rPr>
        <w:t>34</w:t>
      </w:r>
      <w:r>
        <w:rPr>
          <w:rFonts w:ascii="Calibri"/>
          <w:spacing w:val="-1"/>
          <w:sz w:val="20"/>
          <w:vertAlign w:val="baseline"/>
        </w:rPr>
        <w:t> </w:t>
      </w:r>
      <w:r>
        <w:rPr>
          <w:rFonts w:ascii="Calibri"/>
          <w:sz w:val="20"/>
          <w:vertAlign w:val="baseline"/>
        </w:rPr>
        <w:t>Gower,</w:t>
      </w:r>
      <w:r>
        <w:rPr>
          <w:rFonts w:ascii="Calibri"/>
          <w:spacing w:val="-9"/>
          <w:sz w:val="20"/>
          <w:vertAlign w:val="baseline"/>
        </w:rPr>
        <w:t> </w:t>
      </w:r>
      <w:r>
        <w:rPr>
          <w:rFonts w:ascii="Calibri"/>
          <w:sz w:val="20"/>
          <w:vertAlign w:val="baseline"/>
        </w:rPr>
        <w:t>L.C.B. (1961).</w:t>
      </w:r>
      <w:r>
        <w:rPr>
          <w:rFonts w:ascii="Calibri"/>
          <w:spacing w:val="-5"/>
          <w:sz w:val="20"/>
          <w:vertAlign w:val="baseline"/>
        </w:rPr>
        <w:t> </w:t>
      </w:r>
      <w:r>
        <w:rPr>
          <w:rFonts w:ascii="Calibri"/>
          <w:sz w:val="20"/>
          <w:vertAlign w:val="baseline"/>
        </w:rPr>
        <w:t>In:</w:t>
      </w:r>
      <w:r>
        <w:rPr>
          <w:rFonts w:ascii="Calibri"/>
          <w:spacing w:val="-6"/>
          <w:sz w:val="20"/>
          <w:vertAlign w:val="baseline"/>
        </w:rPr>
        <w:t> </w:t>
      </w:r>
      <w:r>
        <w:rPr>
          <w:rFonts w:ascii="Calibri"/>
          <w:i/>
          <w:sz w:val="20"/>
          <w:vertAlign w:val="baseline"/>
        </w:rPr>
        <w:t>The</w:t>
      </w:r>
      <w:r>
        <w:rPr>
          <w:rFonts w:ascii="Calibri"/>
          <w:i/>
          <w:spacing w:val="-7"/>
          <w:sz w:val="20"/>
          <w:vertAlign w:val="baseline"/>
        </w:rPr>
        <w:t> </w:t>
      </w:r>
      <w:r>
        <w:rPr>
          <w:rFonts w:ascii="Calibri"/>
          <w:i/>
          <w:sz w:val="20"/>
          <w:vertAlign w:val="baseline"/>
        </w:rPr>
        <w:t>Report</w:t>
      </w:r>
      <w:r>
        <w:rPr>
          <w:rFonts w:ascii="Calibri"/>
          <w:i/>
          <w:spacing w:val="-7"/>
          <w:sz w:val="20"/>
          <w:vertAlign w:val="baseline"/>
        </w:rPr>
        <w:t> </w:t>
      </w:r>
      <w:r>
        <w:rPr>
          <w:rFonts w:ascii="Calibri"/>
          <w:i/>
          <w:sz w:val="20"/>
          <w:vertAlign w:val="baseline"/>
        </w:rPr>
        <w:t>of</w:t>
      </w:r>
      <w:r>
        <w:rPr>
          <w:rFonts w:ascii="Calibri"/>
          <w:i/>
          <w:spacing w:val="-5"/>
          <w:sz w:val="20"/>
          <w:vertAlign w:val="baseline"/>
        </w:rPr>
        <w:t> </w:t>
      </w:r>
      <w:r>
        <w:rPr>
          <w:rFonts w:ascii="Calibri"/>
          <w:i/>
          <w:sz w:val="20"/>
          <w:vertAlign w:val="baseline"/>
        </w:rPr>
        <w:t>the</w:t>
      </w:r>
      <w:r>
        <w:rPr>
          <w:rFonts w:ascii="Calibri"/>
          <w:i/>
          <w:spacing w:val="-7"/>
          <w:sz w:val="20"/>
          <w:vertAlign w:val="baseline"/>
        </w:rPr>
        <w:t> </w:t>
      </w:r>
      <w:r>
        <w:rPr>
          <w:rFonts w:ascii="Calibri"/>
          <w:i/>
          <w:sz w:val="20"/>
          <w:vertAlign w:val="baseline"/>
        </w:rPr>
        <w:t>Commission</w:t>
      </w:r>
      <w:r>
        <w:rPr>
          <w:rFonts w:ascii="Calibri"/>
          <w:i/>
          <w:spacing w:val="-5"/>
          <w:sz w:val="20"/>
          <w:vertAlign w:val="baseline"/>
        </w:rPr>
        <w:t> </w:t>
      </w:r>
      <w:r>
        <w:rPr>
          <w:rFonts w:ascii="Calibri"/>
          <w:i/>
          <w:sz w:val="20"/>
          <w:vertAlign w:val="baseline"/>
        </w:rPr>
        <w:t>of</w:t>
      </w:r>
      <w:r>
        <w:rPr>
          <w:rFonts w:ascii="Calibri"/>
          <w:i/>
          <w:spacing w:val="-10"/>
          <w:sz w:val="20"/>
          <w:vertAlign w:val="baseline"/>
        </w:rPr>
        <w:t> </w:t>
      </w:r>
      <w:r>
        <w:rPr>
          <w:rFonts w:ascii="Calibri"/>
          <w:i/>
          <w:sz w:val="20"/>
          <w:vertAlign w:val="baseline"/>
        </w:rPr>
        <w:t>Enquiry</w:t>
      </w:r>
      <w:r>
        <w:rPr>
          <w:rFonts w:ascii="Calibri"/>
          <w:i/>
          <w:spacing w:val="-6"/>
          <w:sz w:val="20"/>
          <w:vertAlign w:val="baseline"/>
        </w:rPr>
        <w:t> </w:t>
      </w:r>
      <w:r>
        <w:rPr>
          <w:rFonts w:ascii="Calibri"/>
          <w:i/>
          <w:sz w:val="20"/>
          <w:vertAlign w:val="baseline"/>
        </w:rPr>
        <w:t>on</w:t>
      </w:r>
      <w:r>
        <w:rPr>
          <w:rFonts w:ascii="Calibri"/>
          <w:i/>
          <w:spacing w:val="-5"/>
          <w:sz w:val="20"/>
          <w:vertAlign w:val="baseline"/>
        </w:rPr>
        <w:t> </w:t>
      </w:r>
      <w:r>
        <w:rPr>
          <w:rFonts w:ascii="Calibri"/>
          <w:i/>
          <w:sz w:val="20"/>
          <w:vertAlign w:val="baseline"/>
        </w:rPr>
        <w:t>the</w:t>
      </w:r>
      <w:r>
        <w:rPr>
          <w:rFonts w:ascii="Calibri"/>
          <w:i/>
          <w:spacing w:val="-7"/>
          <w:sz w:val="20"/>
          <w:vertAlign w:val="baseline"/>
        </w:rPr>
        <w:t> </w:t>
      </w:r>
      <w:r>
        <w:rPr>
          <w:rFonts w:ascii="Calibri"/>
          <w:i/>
          <w:sz w:val="20"/>
          <w:vertAlign w:val="baseline"/>
        </w:rPr>
        <w:t>Company</w:t>
      </w:r>
      <w:r>
        <w:rPr>
          <w:rFonts w:ascii="Calibri"/>
          <w:i/>
          <w:spacing w:val="-5"/>
          <w:sz w:val="20"/>
          <w:vertAlign w:val="baseline"/>
        </w:rPr>
        <w:t> </w:t>
      </w:r>
      <w:r>
        <w:rPr>
          <w:rFonts w:ascii="Calibri"/>
          <w:i/>
          <w:sz w:val="20"/>
          <w:vertAlign w:val="baseline"/>
        </w:rPr>
        <w:t>Law</w:t>
      </w:r>
      <w:r>
        <w:rPr>
          <w:rFonts w:ascii="Calibri"/>
          <w:i/>
          <w:spacing w:val="-7"/>
          <w:sz w:val="20"/>
          <w:vertAlign w:val="baseline"/>
        </w:rPr>
        <w:t> </w:t>
      </w:r>
      <w:r>
        <w:rPr>
          <w:rFonts w:ascii="Calibri"/>
          <w:i/>
          <w:sz w:val="20"/>
          <w:vertAlign w:val="baseline"/>
        </w:rPr>
        <w:t>of</w:t>
      </w:r>
      <w:r>
        <w:rPr>
          <w:rFonts w:ascii="Calibri"/>
          <w:i/>
          <w:spacing w:val="-10"/>
          <w:sz w:val="20"/>
          <w:vertAlign w:val="baseline"/>
        </w:rPr>
        <w:t> </w:t>
      </w:r>
      <w:r>
        <w:rPr>
          <w:rFonts w:ascii="Calibri"/>
          <w:i/>
          <w:spacing w:val="-2"/>
          <w:sz w:val="20"/>
          <w:vertAlign w:val="baseline"/>
        </w:rPr>
        <w:t>Ghana</w:t>
      </w:r>
      <w:r>
        <w:rPr>
          <w:rFonts w:ascii="Calibri"/>
          <w:spacing w:val="-2"/>
          <w:sz w:val="20"/>
          <w:vertAlign w:val="baseline"/>
        </w:rPr>
        <w:t>.</w:t>
      </w:r>
    </w:p>
    <w:p>
      <w:pPr>
        <w:spacing w:before="1"/>
        <w:ind w:left="308" w:right="0" w:firstLine="0"/>
        <w:jc w:val="left"/>
        <w:rPr>
          <w:rFonts w:ascii="Calibri"/>
          <w:sz w:val="20"/>
        </w:rPr>
      </w:pPr>
      <w:r>
        <w:rPr>
          <w:rFonts w:ascii="Calibri"/>
          <w:sz w:val="20"/>
          <w:vertAlign w:val="superscript"/>
        </w:rPr>
        <w:t>35</w:t>
      </w:r>
      <w:r>
        <w:rPr>
          <w:rFonts w:ascii="Calibri"/>
          <w:sz w:val="20"/>
          <w:vertAlign w:val="baseline"/>
        </w:rPr>
        <w:t>Encarta</w:t>
      </w:r>
      <w:r>
        <w:rPr>
          <w:rFonts w:ascii="Calibri"/>
          <w:spacing w:val="-10"/>
          <w:sz w:val="20"/>
          <w:vertAlign w:val="baseline"/>
        </w:rPr>
        <w:t> </w:t>
      </w:r>
      <w:r>
        <w:rPr>
          <w:rFonts w:ascii="Calibri"/>
          <w:sz w:val="20"/>
          <w:vertAlign w:val="baseline"/>
        </w:rPr>
        <w:t>Dictionaries</w:t>
      </w:r>
      <w:r>
        <w:rPr>
          <w:rFonts w:ascii="Calibri"/>
          <w:spacing w:val="-11"/>
          <w:sz w:val="20"/>
          <w:vertAlign w:val="baseline"/>
        </w:rPr>
        <w:t> </w:t>
      </w:r>
      <w:r>
        <w:rPr>
          <w:rFonts w:ascii="Calibri"/>
          <w:sz w:val="20"/>
          <w:vertAlign w:val="baseline"/>
        </w:rPr>
        <w:t>(2009).Microsoft</w:t>
      </w:r>
      <w:r>
        <w:rPr>
          <w:rFonts w:ascii="Calibri"/>
          <w:spacing w:val="-10"/>
          <w:sz w:val="20"/>
          <w:vertAlign w:val="baseline"/>
        </w:rPr>
        <w:t> </w:t>
      </w:r>
      <w:r>
        <w:rPr>
          <w:rFonts w:ascii="Calibri"/>
          <w:sz w:val="20"/>
          <w:vertAlign w:val="baseline"/>
        </w:rPr>
        <w:t>Encarta</w:t>
      </w:r>
      <w:r>
        <w:rPr>
          <w:rFonts w:ascii="Calibri"/>
          <w:spacing w:val="-9"/>
          <w:sz w:val="20"/>
          <w:vertAlign w:val="baseline"/>
        </w:rPr>
        <w:t> </w:t>
      </w:r>
      <w:r>
        <w:rPr>
          <w:rFonts w:ascii="Calibri"/>
          <w:sz w:val="20"/>
          <w:vertAlign w:val="baseline"/>
        </w:rPr>
        <w:t>Premium</w:t>
      </w:r>
      <w:r>
        <w:rPr>
          <w:rFonts w:ascii="Calibri"/>
          <w:spacing w:val="-9"/>
          <w:sz w:val="20"/>
          <w:vertAlign w:val="baseline"/>
        </w:rPr>
        <w:t> </w:t>
      </w:r>
      <w:r>
        <w:rPr>
          <w:rFonts w:ascii="Calibri"/>
          <w:spacing w:val="-4"/>
          <w:sz w:val="20"/>
          <w:vertAlign w:val="baseline"/>
        </w:rPr>
        <w:t>DVD.</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29"/>
        <w:jc w:val="both"/>
      </w:pPr>
      <w:r>
        <w:rPr>
          <w:w w:val="105"/>
        </w:rPr>
        <w:t>director</w:t>
      </w:r>
      <w:r>
        <w:rPr>
          <w:spacing w:val="-4"/>
          <w:w w:val="105"/>
        </w:rPr>
        <w:t> </w:t>
      </w:r>
      <w:r>
        <w:rPr>
          <w:w w:val="105"/>
        </w:rPr>
        <w:t>gives</w:t>
      </w:r>
      <w:r>
        <w:rPr>
          <w:spacing w:val="-6"/>
          <w:w w:val="105"/>
        </w:rPr>
        <w:t> </w:t>
      </w:r>
      <w:r>
        <w:rPr>
          <w:w w:val="105"/>
        </w:rPr>
        <w:t>adequate</w:t>
      </w:r>
      <w:r>
        <w:rPr>
          <w:spacing w:val="-5"/>
          <w:w w:val="105"/>
        </w:rPr>
        <w:t> </w:t>
      </w:r>
      <w:r>
        <w:rPr>
          <w:w w:val="105"/>
        </w:rPr>
        <w:t>care</w:t>
      </w:r>
      <w:r>
        <w:rPr>
          <w:spacing w:val="-5"/>
          <w:w w:val="105"/>
        </w:rPr>
        <w:t> </w:t>
      </w:r>
      <w:r>
        <w:rPr>
          <w:w w:val="105"/>
        </w:rPr>
        <w:t>and</w:t>
      </w:r>
      <w:r>
        <w:rPr>
          <w:spacing w:val="-4"/>
          <w:w w:val="105"/>
        </w:rPr>
        <w:t> </w:t>
      </w:r>
      <w:r>
        <w:rPr>
          <w:w w:val="105"/>
        </w:rPr>
        <w:t>attention</w:t>
      </w:r>
      <w:r>
        <w:rPr>
          <w:spacing w:val="-8"/>
          <w:w w:val="105"/>
        </w:rPr>
        <w:t> </w:t>
      </w:r>
      <w:r>
        <w:rPr>
          <w:w w:val="105"/>
        </w:rPr>
        <w:t>to</w:t>
      </w:r>
      <w:r>
        <w:rPr>
          <w:spacing w:val="-4"/>
          <w:w w:val="105"/>
        </w:rPr>
        <w:t> </w:t>
      </w:r>
      <w:r>
        <w:rPr>
          <w:w w:val="105"/>
        </w:rPr>
        <w:t>his</w:t>
      </w:r>
      <w:r>
        <w:rPr>
          <w:spacing w:val="-6"/>
          <w:w w:val="105"/>
        </w:rPr>
        <w:t> </w:t>
      </w:r>
      <w:r>
        <w:rPr>
          <w:w w:val="105"/>
        </w:rPr>
        <w:t>duty</w:t>
      </w:r>
      <w:r>
        <w:rPr>
          <w:spacing w:val="-11"/>
          <w:w w:val="105"/>
        </w:rPr>
        <w:t> </w:t>
      </w:r>
      <w:r>
        <w:rPr>
          <w:w w:val="105"/>
        </w:rPr>
        <w:t>to</w:t>
      </w:r>
      <w:r>
        <w:rPr>
          <w:spacing w:val="-4"/>
          <w:w w:val="105"/>
        </w:rPr>
        <w:t> </w:t>
      </w:r>
      <w:r>
        <w:rPr>
          <w:w w:val="105"/>
        </w:rPr>
        <w:t>the</w:t>
      </w:r>
      <w:r>
        <w:rPr>
          <w:spacing w:val="-5"/>
          <w:w w:val="105"/>
        </w:rPr>
        <w:t> </w:t>
      </w:r>
      <w:r>
        <w:rPr>
          <w:w w:val="105"/>
        </w:rPr>
        <w:t>company,</w:t>
      </w:r>
      <w:r>
        <w:rPr>
          <w:w w:val="105"/>
        </w:rPr>
        <w:t> and</w:t>
      </w:r>
      <w:r>
        <w:rPr>
          <w:spacing w:val="-2"/>
          <w:w w:val="105"/>
        </w:rPr>
        <w:t> </w:t>
      </w:r>
      <w:r>
        <w:rPr>
          <w:w w:val="105"/>
        </w:rPr>
        <w:t>in</w:t>
      </w:r>
      <w:r>
        <w:rPr>
          <w:spacing w:val="-4"/>
          <w:w w:val="105"/>
        </w:rPr>
        <w:t> </w:t>
      </w:r>
      <w:r>
        <w:rPr>
          <w:w w:val="105"/>
        </w:rPr>
        <w:t>order</w:t>
      </w:r>
      <w:r>
        <w:rPr>
          <w:spacing w:val="-7"/>
          <w:w w:val="105"/>
        </w:rPr>
        <w:t> </w:t>
      </w:r>
      <w:r>
        <w:rPr>
          <w:w w:val="105"/>
        </w:rPr>
        <w:t>to deliberately</w:t>
      </w:r>
      <w:r>
        <w:rPr>
          <w:w w:val="105"/>
        </w:rPr>
        <w:t> deviate</w:t>
      </w:r>
      <w:r>
        <w:rPr>
          <w:w w:val="105"/>
        </w:rPr>
        <w:t> from</w:t>
      </w:r>
      <w:r>
        <w:rPr>
          <w:w w:val="105"/>
        </w:rPr>
        <w:t> the</w:t>
      </w:r>
      <w:r>
        <w:rPr>
          <w:w w:val="105"/>
        </w:rPr>
        <w:t> English</w:t>
      </w:r>
      <w:r>
        <w:rPr>
          <w:w w:val="105"/>
        </w:rPr>
        <w:t> court‘s</w:t>
      </w:r>
      <w:r>
        <w:rPr>
          <w:w w:val="105"/>
        </w:rPr>
        <w:t> ruling</w:t>
      </w:r>
      <w:r>
        <w:rPr>
          <w:w w:val="105"/>
        </w:rPr>
        <w:t> in</w:t>
      </w:r>
      <w:r>
        <w:rPr>
          <w:w w:val="105"/>
        </w:rPr>
        <w:t> </w:t>
      </w:r>
      <w:r>
        <w:rPr>
          <w:b/>
          <w:w w:val="105"/>
        </w:rPr>
        <w:t>Re</w:t>
      </w:r>
      <w:r>
        <w:rPr>
          <w:b/>
          <w:w w:val="105"/>
        </w:rPr>
        <w:t> City</w:t>
      </w:r>
      <w:r>
        <w:rPr>
          <w:b/>
          <w:w w:val="105"/>
        </w:rPr>
        <w:t> Equitable</w:t>
      </w:r>
      <w:r>
        <w:rPr>
          <w:b/>
          <w:w w:val="105"/>
        </w:rPr>
        <w:t> Fire </w:t>
      </w:r>
      <w:r>
        <w:rPr>
          <w:b/>
        </w:rPr>
        <w:t>Insurance Co.</w:t>
      </w:r>
      <w:r>
        <w:rPr/>
        <w:t>above, Section 282(3) provides that ―each director shall be individually </w:t>
      </w:r>
      <w:r>
        <w:rPr>
          <w:w w:val="105"/>
        </w:rPr>
        <w:t>responsible</w:t>
      </w:r>
      <w:r>
        <w:rPr>
          <w:spacing w:val="-16"/>
          <w:w w:val="105"/>
        </w:rPr>
        <w:t> </w:t>
      </w:r>
      <w:r>
        <w:rPr>
          <w:w w:val="105"/>
        </w:rPr>
        <w:t>for</w:t>
      </w:r>
      <w:r>
        <w:rPr>
          <w:spacing w:val="-16"/>
          <w:w w:val="105"/>
        </w:rPr>
        <w:t> </w:t>
      </w:r>
      <w:r>
        <w:rPr>
          <w:w w:val="105"/>
        </w:rPr>
        <w:t>the</w:t>
      </w:r>
      <w:r>
        <w:rPr>
          <w:spacing w:val="-16"/>
          <w:w w:val="105"/>
        </w:rPr>
        <w:t> </w:t>
      </w:r>
      <w:r>
        <w:rPr>
          <w:w w:val="105"/>
        </w:rPr>
        <w:t>actions</w:t>
      </w:r>
      <w:r>
        <w:rPr>
          <w:spacing w:val="-15"/>
          <w:w w:val="105"/>
        </w:rPr>
        <w:t> </w:t>
      </w:r>
      <w:r>
        <w:rPr>
          <w:w w:val="105"/>
        </w:rPr>
        <w:t>of</w:t>
      </w:r>
      <w:r>
        <w:rPr>
          <w:spacing w:val="-16"/>
          <w:w w:val="105"/>
        </w:rPr>
        <w:t> </w:t>
      </w:r>
      <w:r>
        <w:rPr>
          <w:w w:val="105"/>
        </w:rPr>
        <w:t>the</w:t>
      </w:r>
      <w:r>
        <w:rPr>
          <w:spacing w:val="-16"/>
          <w:w w:val="105"/>
        </w:rPr>
        <w:t> </w:t>
      </w:r>
      <w:r>
        <w:rPr>
          <w:w w:val="105"/>
        </w:rPr>
        <w:t>board</w:t>
      </w:r>
      <w:r>
        <w:rPr>
          <w:spacing w:val="-16"/>
          <w:w w:val="105"/>
        </w:rPr>
        <w:t> </w:t>
      </w:r>
      <w:r>
        <w:rPr>
          <w:w w:val="105"/>
        </w:rPr>
        <w:t>in</w:t>
      </w:r>
      <w:r>
        <w:rPr>
          <w:spacing w:val="-15"/>
          <w:w w:val="105"/>
        </w:rPr>
        <w:t> </w:t>
      </w:r>
      <w:r>
        <w:rPr>
          <w:w w:val="105"/>
        </w:rPr>
        <w:t>which</w:t>
      </w:r>
      <w:r>
        <w:rPr>
          <w:spacing w:val="-16"/>
          <w:w w:val="105"/>
        </w:rPr>
        <w:t> </w:t>
      </w:r>
      <w:r>
        <w:rPr>
          <w:w w:val="105"/>
        </w:rPr>
        <w:t>he</w:t>
      </w:r>
      <w:r>
        <w:rPr>
          <w:spacing w:val="-16"/>
          <w:w w:val="105"/>
        </w:rPr>
        <w:t> </w:t>
      </w:r>
      <w:r>
        <w:rPr>
          <w:w w:val="105"/>
        </w:rPr>
        <w:t>participated,</w:t>
      </w:r>
      <w:r>
        <w:rPr>
          <w:spacing w:val="-16"/>
          <w:w w:val="105"/>
        </w:rPr>
        <w:t> </w:t>
      </w:r>
      <w:r>
        <w:rPr>
          <w:w w:val="105"/>
        </w:rPr>
        <w:t>and</w:t>
      </w:r>
      <w:r>
        <w:rPr>
          <w:spacing w:val="-15"/>
          <w:w w:val="105"/>
        </w:rPr>
        <w:t> </w:t>
      </w:r>
      <w:r>
        <w:rPr>
          <w:w w:val="105"/>
        </w:rPr>
        <w:t>the</w:t>
      </w:r>
      <w:r>
        <w:rPr>
          <w:spacing w:val="-16"/>
          <w:w w:val="105"/>
        </w:rPr>
        <w:t> </w:t>
      </w:r>
      <w:r>
        <w:rPr>
          <w:w w:val="105"/>
        </w:rPr>
        <w:t>absence</w:t>
      </w:r>
      <w:r>
        <w:rPr>
          <w:spacing w:val="-16"/>
          <w:w w:val="105"/>
        </w:rPr>
        <w:t> </w:t>
      </w:r>
      <w:r>
        <w:rPr>
          <w:w w:val="105"/>
        </w:rPr>
        <w:t>from the</w:t>
      </w:r>
      <w:r>
        <w:rPr>
          <w:w w:val="105"/>
        </w:rPr>
        <w:t> board‘s</w:t>
      </w:r>
      <w:r>
        <w:rPr>
          <w:w w:val="105"/>
        </w:rPr>
        <w:t> deliberation,</w:t>
      </w:r>
      <w:r>
        <w:rPr>
          <w:w w:val="105"/>
        </w:rPr>
        <w:t> unless</w:t>
      </w:r>
      <w:r>
        <w:rPr>
          <w:w w:val="105"/>
        </w:rPr>
        <w:t> justified,</w:t>
      </w:r>
      <w:r>
        <w:rPr>
          <w:w w:val="105"/>
        </w:rPr>
        <w:t> shall</w:t>
      </w:r>
      <w:r>
        <w:rPr>
          <w:w w:val="105"/>
        </w:rPr>
        <w:t> not</w:t>
      </w:r>
      <w:r>
        <w:rPr>
          <w:w w:val="105"/>
        </w:rPr>
        <w:t> relieve</w:t>
      </w:r>
      <w:r>
        <w:rPr>
          <w:w w:val="105"/>
        </w:rPr>
        <w:t> a</w:t>
      </w:r>
      <w:r>
        <w:rPr>
          <w:w w:val="105"/>
        </w:rPr>
        <w:t> director</w:t>
      </w:r>
      <w:r>
        <w:rPr>
          <w:w w:val="105"/>
        </w:rPr>
        <w:t> of</w:t>
      </w:r>
      <w:r>
        <w:rPr>
          <w:w w:val="105"/>
        </w:rPr>
        <w:t> such </w:t>
      </w:r>
      <w:r>
        <w:rPr>
          <w:spacing w:val="-2"/>
          <w:w w:val="105"/>
        </w:rPr>
        <w:t>responsibility.‖</w:t>
      </w:r>
    </w:p>
    <w:p>
      <w:pPr>
        <w:pStyle w:val="BodyText"/>
        <w:spacing w:line="480" w:lineRule="auto" w:before="1"/>
        <w:ind w:right="229" w:firstLine="720"/>
        <w:jc w:val="both"/>
      </w:pPr>
      <w:r>
        <w:rPr/>
        <w:t>Evidently, contrary</w:t>
      </w:r>
      <w:r>
        <w:rPr>
          <w:spacing w:val="-5"/>
        </w:rPr>
        <w:t> </w:t>
      </w:r>
      <w:r>
        <w:rPr/>
        <w:t>to the position held by Orojo,</w:t>
      </w:r>
      <w:r>
        <w:rPr>
          <w:vertAlign w:val="superscript"/>
        </w:rPr>
        <w:t>36</w:t>
      </w:r>
      <w:r>
        <w:rPr>
          <w:vertAlign w:val="baseline"/>
        </w:rPr>
        <w:t> the position in Nigeria today is not the same as the common law at the time of</w:t>
      </w:r>
      <w:r>
        <w:rPr>
          <w:spacing w:val="-3"/>
          <w:vertAlign w:val="baseline"/>
        </w:rPr>
        <w:t> </w:t>
      </w:r>
      <w:r>
        <w:rPr>
          <w:vertAlign w:val="baseline"/>
        </w:rPr>
        <w:t>the ruling by</w:t>
      </w:r>
      <w:r>
        <w:rPr>
          <w:spacing w:val="-1"/>
          <w:vertAlign w:val="baseline"/>
        </w:rPr>
        <w:t> </w:t>
      </w:r>
      <w:r>
        <w:rPr>
          <w:vertAlign w:val="baseline"/>
        </w:rPr>
        <w:t>Romer J. The drafters of the CAMA deviated from the common law position noted by deliberately setting clear, objective standards in the sections mentioned above, perhaps due to the obvious inadequacies observed in the subjective standard.</w:t>
      </w:r>
    </w:p>
    <w:p>
      <w:pPr>
        <w:pStyle w:val="BodyText"/>
        <w:spacing w:line="480" w:lineRule="auto" w:before="1"/>
        <w:ind w:right="230" w:firstLine="720"/>
        <w:jc w:val="both"/>
      </w:pPr>
      <w:r>
        <w:rPr/>
        <w:t>Essentially, the CAMA differs from the propositions proffered in the English cases in three ways. Firstly, by requiring the director to measure up to the standard of any ―reasonably prudent director‖, the law thereby subjects him to an objective, reasonable man test. Thus, if a company appoints a moron, it is well within its rights to still expect him to measure up to the standard of a notional, reasonable director. It has been suggested</w:t>
      </w:r>
      <w:r>
        <w:rPr>
          <w:vertAlign w:val="superscript"/>
        </w:rPr>
        <w:t>37</w:t>
      </w:r>
      <w:r>
        <w:rPr>
          <w:vertAlign w:val="baseline"/>
        </w:rPr>
        <w:t> that the standard now seems to be set somewhere ―between the level of the</w:t>
      </w:r>
      <w:r>
        <w:rPr>
          <w:spacing w:val="18"/>
          <w:vertAlign w:val="baseline"/>
        </w:rPr>
        <w:t> </w:t>
      </w:r>
      <w:r>
        <w:rPr>
          <w:vertAlign w:val="baseline"/>
        </w:rPr>
        <w:t>ignoramus or moron at one extreme and that of a top flight</w:t>
      </w:r>
      <w:r>
        <w:rPr>
          <w:spacing w:val="19"/>
          <w:vertAlign w:val="baseline"/>
        </w:rPr>
        <w:t> </w:t>
      </w:r>
      <w:r>
        <w:rPr>
          <w:vertAlign w:val="baseline"/>
        </w:rPr>
        <w:t>professional director at the other extreme.‖ The provision therefore has the potential of encouraging any prospective director to decline a position he knows he is incompetent to fill.</w:t>
      </w:r>
    </w:p>
    <w:p>
      <w:pPr>
        <w:pStyle w:val="BodyText"/>
        <w:spacing w:line="480" w:lineRule="auto" w:before="2"/>
        <w:ind w:right="240" w:firstLine="720"/>
        <w:jc w:val="both"/>
      </w:pPr>
      <w:r>
        <w:rPr/>
        <w:t>Conversely, this also implies that, should any particular director in fact possess more skills or qualification than reasonably to be expected of the reasonable man or average</w:t>
      </w:r>
      <w:r>
        <w:rPr>
          <w:spacing w:val="35"/>
        </w:rPr>
        <w:t> </w:t>
      </w:r>
      <w:r>
        <w:rPr/>
        <w:t>director</w:t>
      </w:r>
      <w:r>
        <w:rPr>
          <w:spacing w:val="39"/>
        </w:rPr>
        <w:t> </w:t>
      </w:r>
      <w:r>
        <w:rPr/>
        <w:t>in</w:t>
      </w:r>
      <w:r>
        <w:rPr>
          <w:spacing w:val="37"/>
        </w:rPr>
        <w:t> </w:t>
      </w:r>
      <w:r>
        <w:rPr/>
        <w:t>his</w:t>
      </w:r>
      <w:r>
        <w:rPr>
          <w:spacing w:val="35"/>
        </w:rPr>
        <w:t> </w:t>
      </w:r>
      <w:r>
        <w:rPr/>
        <w:t>circumstance,</w:t>
      </w:r>
      <w:r>
        <w:rPr>
          <w:spacing w:val="39"/>
        </w:rPr>
        <w:t> </w:t>
      </w:r>
      <w:r>
        <w:rPr/>
        <w:t>he</w:t>
      </w:r>
      <w:r>
        <w:rPr>
          <w:spacing w:val="36"/>
        </w:rPr>
        <w:t> </w:t>
      </w:r>
      <w:r>
        <w:rPr/>
        <w:t>would</w:t>
      </w:r>
      <w:r>
        <w:rPr>
          <w:spacing w:val="37"/>
        </w:rPr>
        <w:t> </w:t>
      </w:r>
      <w:r>
        <w:rPr/>
        <w:t>still</w:t>
      </w:r>
      <w:r>
        <w:rPr>
          <w:spacing w:val="28"/>
        </w:rPr>
        <w:t> </w:t>
      </w:r>
      <w:r>
        <w:rPr/>
        <w:t>only</w:t>
      </w:r>
      <w:r>
        <w:rPr>
          <w:spacing w:val="38"/>
        </w:rPr>
        <w:t> </w:t>
      </w:r>
      <w:r>
        <w:rPr/>
        <w:t>be</w:t>
      </w:r>
      <w:r>
        <w:rPr>
          <w:spacing w:val="36"/>
        </w:rPr>
        <w:t> </w:t>
      </w:r>
      <w:r>
        <w:rPr/>
        <w:t>held</w:t>
      </w:r>
      <w:r>
        <w:rPr>
          <w:spacing w:val="37"/>
        </w:rPr>
        <w:t> </w:t>
      </w:r>
      <w:r>
        <w:rPr/>
        <w:t>accountable</w:t>
      </w:r>
      <w:r>
        <w:rPr>
          <w:spacing w:val="36"/>
        </w:rPr>
        <w:t> </w:t>
      </w:r>
      <w:r>
        <w:rPr/>
        <w:t>by</w:t>
      </w:r>
      <w:r>
        <w:rPr>
          <w:spacing w:val="33"/>
        </w:rPr>
        <w:t> </w:t>
      </w:r>
      <w:r>
        <w:rPr>
          <w:spacing w:val="-5"/>
        </w:rPr>
        <w:t>the</w:t>
      </w:r>
    </w:p>
    <w:p>
      <w:pPr>
        <w:pStyle w:val="BodyText"/>
        <w:ind w:left="0"/>
        <w:rPr>
          <w:sz w:val="17"/>
        </w:rPr>
      </w:pPr>
      <w:r>
        <w:rPr/>
        <mc:AlternateContent>
          <mc:Choice Requires="wps">
            <w:drawing>
              <wp:anchor distT="0" distB="0" distL="0" distR="0" allowOverlap="1" layoutInCell="1" locked="0" behindDoc="1" simplePos="0" relativeHeight="487638016">
                <wp:simplePos x="0" y="0"/>
                <wp:positionH relativeFrom="page">
                  <wp:posOffset>1262481</wp:posOffset>
                </wp:positionH>
                <wp:positionV relativeFrom="paragraph">
                  <wp:posOffset>139876</wp:posOffset>
                </wp:positionV>
                <wp:extent cx="1829435" cy="9525"/>
                <wp:effectExtent l="0" t="0" r="0" b="0"/>
                <wp:wrapTopAndBottom/>
                <wp:docPr id="108" name="Graphic 108"/>
                <wp:cNvGraphicFramePr>
                  <a:graphicFrameLocks/>
                </wp:cNvGraphicFramePr>
                <a:graphic>
                  <a:graphicData uri="http://schemas.microsoft.com/office/word/2010/wordprocessingShape">
                    <wps:wsp>
                      <wps:cNvPr id="108" name="Graphic 108"/>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013876pt;width:144.050pt;height:.72003pt;mso-position-horizontal-relative:page;mso-position-vertical-relative:paragraph;z-index:-15678464;mso-wrap-distance-left:0;mso-wrap-distance-right:0" id="docshape63"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36</w:t>
      </w:r>
      <w:r>
        <w:rPr>
          <w:rFonts w:ascii="Calibri"/>
          <w:sz w:val="20"/>
          <w:vertAlign w:val="baseline"/>
        </w:rPr>
        <w:t>Orojo, J.O. (2008). </w:t>
      </w:r>
      <w:r>
        <w:rPr>
          <w:rFonts w:ascii="Calibri"/>
          <w:i/>
          <w:sz w:val="20"/>
          <w:vertAlign w:val="baseline"/>
        </w:rPr>
        <w:t>Company Law and Practice in Nigeria.</w:t>
      </w:r>
      <w:r>
        <w:rPr>
          <w:rFonts w:ascii="Calibri"/>
          <w:sz w:val="20"/>
          <w:vertAlign w:val="baseline"/>
        </w:rPr>
        <w:t>5th edition, LexisNexis Butterworths, Durban, South Africa, p.269.</w:t>
      </w:r>
    </w:p>
    <w:p>
      <w:pPr>
        <w:spacing w:before="1"/>
        <w:ind w:left="308" w:right="0" w:firstLine="0"/>
        <w:jc w:val="left"/>
        <w:rPr>
          <w:rFonts w:ascii="Calibri"/>
          <w:sz w:val="20"/>
        </w:rPr>
      </w:pPr>
      <w:r>
        <w:rPr>
          <w:rFonts w:ascii="Calibri"/>
          <w:sz w:val="20"/>
          <w:vertAlign w:val="superscript"/>
        </w:rPr>
        <w:t>37</w:t>
      </w:r>
      <w:r>
        <w:rPr>
          <w:rFonts w:ascii="Calibri"/>
          <w:sz w:val="20"/>
          <w:vertAlign w:val="baseline"/>
        </w:rPr>
        <w:t>Osunbor,</w:t>
      </w:r>
      <w:r>
        <w:rPr>
          <w:rFonts w:ascii="Calibri"/>
          <w:spacing w:val="-6"/>
          <w:sz w:val="20"/>
          <w:vertAlign w:val="baseline"/>
        </w:rPr>
        <w:t> </w:t>
      </w:r>
      <w:r>
        <w:rPr>
          <w:rFonts w:ascii="Calibri"/>
          <w:sz w:val="20"/>
          <w:vertAlign w:val="baseline"/>
        </w:rPr>
        <w:t>O.A. (1992).</w:t>
      </w:r>
      <w:r>
        <w:rPr>
          <w:rFonts w:ascii="Calibri"/>
          <w:i/>
          <w:sz w:val="20"/>
          <w:vertAlign w:val="baseline"/>
        </w:rPr>
        <w:t>The</w:t>
      </w:r>
      <w:r>
        <w:rPr>
          <w:rFonts w:ascii="Calibri"/>
          <w:i/>
          <w:spacing w:val="-4"/>
          <w:sz w:val="20"/>
          <w:vertAlign w:val="baseline"/>
        </w:rPr>
        <w:t> </w:t>
      </w:r>
      <w:r>
        <w:rPr>
          <w:rFonts w:ascii="Calibri"/>
          <w:i/>
          <w:sz w:val="20"/>
          <w:vertAlign w:val="baseline"/>
        </w:rPr>
        <w:t>Company</w:t>
      </w:r>
      <w:r>
        <w:rPr>
          <w:rFonts w:ascii="Calibri"/>
          <w:i/>
          <w:spacing w:val="-3"/>
          <w:sz w:val="20"/>
          <w:vertAlign w:val="baseline"/>
        </w:rPr>
        <w:t> </w:t>
      </w:r>
      <w:r>
        <w:rPr>
          <w:rFonts w:ascii="Calibri"/>
          <w:i/>
          <w:sz w:val="20"/>
          <w:vertAlign w:val="baseline"/>
        </w:rPr>
        <w:t>Director: His</w:t>
      </w:r>
      <w:r>
        <w:rPr>
          <w:rFonts w:ascii="Calibri"/>
          <w:i/>
          <w:spacing w:val="-1"/>
          <w:sz w:val="20"/>
          <w:vertAlign w:val="baseline"/>
        </w:rPr>
        <w:t> </w:t>
      </w:r>
      <w:r>
        <w:rPr>
          <w:rFonts w:ascii="Calibri"/>
          <w:i/>
          <w:sz w:val="20"/>
          <w:vertAlign w:val="baseline"/>
        </w:rPr>
        <w:t>Appointment,</w:t>
      </w:r>
      <w:r>
        <w:rPr>
          <w:rFonts w:ascii="Calibri"/>
          <w:i/>
          <w:spacing w:val="-2"/>
          <w:sz w:val="20"/>
          <w:vertAlign w:val="baseline"/>
        </w:rPr>
        <w:t> </w:t>
      </w:r>
      <w:r>
        <w:rPr>
          <w:rFonts w:ascii="Calibri"/>
          <w:i/>
          <w:sz w:val="20"/>
          <w:vertAlign w:val="baseline"/>
        </w:rPr>
        <w:t>Powers</w:t>
      </w:r>
      <w:r>
        <w:rPr>
          <w:rFonts w:ascii="Calibri"/>
          <w:i/>
          <w:spacing w:val="-5"/>
          <w:sz w:val="20"/>
          <w:vertAlign w:val="baseline"/>
        </w:rPr>
        <w:t> </w:t>
      </w:r>
      <w:r>
        <w:rPr>
          <w:rFonts w:ascii="Calibri"/>
          <w:i/>
          <w:sz w:val="20"/>
          <w:vertAlign w:val="baseline"/>
        </w:rPr>
        <w:t>and</w:t>
      </w:r>
      <w:r>
        <w:rPr>
          <w:rFonts w:ascii="Calibri"/>
          <w:i/>
          <w:spacing w:val="-2"/>
          <w:sz w:val="20"/>
          <w:vertAlign w:val="baseline"/>
        </w:rPr>
        <w:t> </w:t>
      </w:r>
      <w:r>
        <w:rPr>
          <w:rFonts w:ascii="Calibri"/>
          <w:i/>
          <w:sz w:val="20"/>
          <w:vertAlign w:val="baseline"/>
        </w:rPr>
        <w:t>Duties. </w:t>
      </w:r>
      <w:r>
        <w:rPr>
          <w:rFonts w:ascii="Calibri"/>
          <w:sz w:val="20"/>
          <w:vertAlign w:val="baseline"/>
        </w:rPr>
        <w:t>In: Akanki,</w:t>
      </w:r>
      <w:r>
        <w:rPr>
          <w:rFonts w:ascii="Calibri"/>
          <w:spacing w:val="-6"/>
          <w:sz w:val="20"/>
          <w:vertAlign w:val="baseline"/>
        </w:rPr>
        <w:t> </w:t>
      </w:r>
      <w:r>
        <w:rPr>
          <w:rFonts w:ascii="Calibri"/>
          <w:sz w:val="20"/>
          <w:vertAlign w:val="baseline"/>
        </w:rPr>
        <w:t>E.O. (ed)</w:t>
      </w:r>
      <w:r>
        <w:rPr>
          <w:rFonts w:ascii="Calibri"/>
          <w:sz w:val="20"/>
          <w:u w:val="single"/>
          <w:vertAlign w:val="baseline"/>
        </w:rPr>
        <w:t>Essays on Company Law</w:t>
      </w:r>
      <w:r>
        <w:rPr>
          <w:rFonts w:ascii="Calibri"/>
          <w:sz w:val="20"/>
          <w:vertAlign w:val="baseline"/>
        </w:rPr>
        <w:t>, p. 130, at 147.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9"/>
        <w:jc w:val="both"/>
      </w:pPr>
      <w:r>
        <w:rPr/>
        <w:t>reasonable man‘s standard and the company cannot expect more from him, unless his service contract states otherwise. This may have the undesirable effect of not encouraging directors to acquire further skills or qualification or even neglecting to put them</w:t>
      </w:r>
      <w:r>
        <w:rPr>
          <w:spacing w:val="-9"/>
        </w:rPr>
        <w:t> </w:t>
      </w:r>
      <w:r>
        <w:rPr/>
        <w:t>to use, where they</w:t>
      </w:r>
      <w:r>
        <w:rPr>
          <w:spacing w:val="-5"/>
        </w:rPr>
        <w:t> </w:t>
      </w:r>
      <w:r>
        <w:rPr/>
        <w:t>possess them. Although</w:t>
      </w:r>
      <w:r>
        <w:rPr>
          <w:spacing w:val="-1"/>
        </w:rPr>
        <w:t> </w:t>
      </w:r>
      <w:r>
        <w:rPr/>
        <w:t>s. 282(4) leaves no doubt that</w:t>
      </w:r>
      <w:r>
        <w:rPr>
          <w:spacing w:val="-1"/>
        </w:rPr>
        <w:t> </w:t>
      </w:r>
      <w:r>
        <w:rPr/>
        <w:t>the</w:t>
      </w:r>
      <w:r>
        <w:rPr>
          <w:spacing w:val="-2"/>
        </w:rPr>
        <w:t> </w:t>
      </w:r>
      <w:r>
        <w:rPr/>
        <w:t>same standard of care is required of both executive and non executive directors, a proviso further allows any service contract with the company to demand a higher standard or place additional liability in the case of the executive or service director.</w:t>
      </w:r>
    </w:p>
    <w:p>
      <w:pPr>
        <w:pStyle w:val="BodyText"/>
        <w:spacing w:line="480" w:lineRule="auto" w:before="1"/>
        <w:ind w:right="232" w:firstLine="720"/>
        <w:jc w:val="both"/>
      </w:pPr>
      <w:r>
        <w:rPr/>
        <w:t>Secondly, by providing that each director shall be </w:t>
      </w:r>
      <w:r>
        <w:rPr>
          <w:i/>
        </w:rPr>
        <w:t>individually responsible </w:t>
      </w:r>
      <w:r>
        <w:rPr/>
        <w:t>for the actions of</w:t>
      </w:r>
      <w:r>
        <w:rPr>
          <w:spacing w:val="-3"/>
        </w:rPr>
        <w:t> </w:t>
      </w:r>
      <w:r>
        <w:rPr/>
        <w:t>the board in which he participated and, in the event he was absent, can be exonerated only when such absence can be justified, s. 282(3) thereby demands of the director to give considerable attention to attending meetings and, when he does attend, to consciously advert his mind and pay special attention to proceedings, in order to guard against liability. This effectively makes non-executives who may not even attend board meetings, responsible for any act or omission that may have occurred in their absence, if they cannot justify their absence from the meeting. Obviously, the law here does not consider the director‘s duty</w:t>
      </w:r>
      <w:r>
        <w:rPr>
          <w:spacing w:val="-1"/>
        </w:rPr>
        <w:t> </w:t>
      </w:r>
      <w:r>
        <w:rPr/>
        <w:t>as being of ―an intermittent nature‖ or one which requires him to attend meetings only when convenient. Thus, were the </w:t>
      </w:r>
      <w:r>
        <w:rPr>
          <w:b/>
        </w:rPr>
        <w:t>Marquis of Bute’s Case </w:t>
      </w:r>
      <w:r>
        <w:rPr/>
        <w:t>to be tried under the CAMA today, the Marquis would likely be found liable in negligence or breach of duty</w:t>
      </w:r>
      <w:r>
        <w:rPr>
          <w:vertAlign w:val="superscript"/>
        </w:rPr>
        <w:t>38</w:t>
      </w:r>
      <w:r>
        <w:rPr>
          <w:vertAlign w:val="baseline"/>
        </w:rPr>
        <w:t> having attended a company meeting only once</w:t>
      </w:r>
      <w:r>
        <w:rPr>
          <w:spacing w:val="40"/>
          <w:vertAlign w:val="baseline"/>
        </w:rPr>
        <w:t> </w:t>
      </w:r>
      <w:r>
        <w:rPr>
          <w:vertAlign w:val="baseline"/>
        </w:rPr>
        <w:t>in 38 years.</w:t>
      </w:r>
    </w:p>
    <w:p>
      <w:pPr>
        <w:pStyle w:val="BodyText"/>
        <w:spacing w:line="480" w:lineRule="auto" w:before="3"/>
        <w:ind w:right="236" w:firstLine="720"/>
        <w:jc w:val="both"/>
      </w:pPr>
      <w:r>
        <w:rPr/>
        <w:t>Thirdly, by cautioning the director against delegating his powers in a manner</w:t>
      </w:r>
      <w:r>
        <w:rPr>
          <w:spacing w:val="40"/>
        </w:rPr>
        <w:t> </w:t>
      </w:r>
      <w:r>
        <w:rPr/>
        <w:t>that may amount to an </w:t>
      </w:r>
      <w:r>
        <w:rPr>
          <w:i/>
        </w:rPr>
        <w:t>abdication of duty</w:t>
      </w:r>
      <w:r>
        <w:rPr/>
        <w:t>, s. 279(7) thereby encourages the director to</w:t>
      </w:r>
      <w:r>
        <w:rPr>
          <w:spacing w:val="40"/>
        </w:rPr>
        <w:t> </w:t>
      </w:r>
      <w:r>
        <w:rPr/>
        <w:t>be mindful</w:t>
      </w:r>
      <w:r>
        <w:rPr>
          <w:spacing w:val="-5"/>
        </w:rPr>
        <w:t> </w:t>
      </w:r>
      <w:r>
        <w:rPr/>
        <w:t>of</w:t>
      </w:r>
      <w:r>
        <w:rPr>
          <w:spacing w:val="-3"/>
        </w:rPr>
        <w:t> </w:t>
      </w:r>
      <w:r>
        <w:rPr/>
        <w:t>his</w:t>
      </w:r>
      <w:r>
        <w:rPr>
          <w:spacing w:val="-2"/>
        </w:rPr>
        <w:t> </w:t>
      </w:r>
      <w:r>
        <w:rPr/>
        <w:t>obligations</w:t>
      </w:r>
      <w:r>
        <w:rPr>
          <w:spacing w:val="-2"/>
        </w:rPr>
        <w:t> </w:t>
      </w:r>
      <w:r>
        <w:rPr/>
        <w:t>to the</w:t>
      </w:r>
      <w:r>
        <w:rPr>
          <w:spacing w:val="-1"/>
        </w:rPr>
        <w:t> </w:t>
      </w:r>
      <w:r>
        <w:rPr/>
        <w:t>company, even where he</w:t>
      </w:r>
      <w:r>
        <w:rPr>
          <w:spacing w:val="-1"/>
        </w:rPr>
        <w:t> </w:t>
      </w:r>
      <w:r>
        <w:rPr/>
        <w:t>delegates</w:t>
      </w:r>
      <w:r>
        <w:rPr>
          <w:spacing w:val="-2"/>
        </w:rPr>
        <w:t> </w:t>
      </w:r>
      <w:r>
        <w:rPr/>
        <w:t>another to do the work. Granted, requiring</w:t>
      </w:r>
      <w:r>
        <w:rPr>
          <w:spacing w:val="-1"/>
        </w:rPr>
        <w:t> </w:t>
      </w:r>
      <w:r>
        <w:rPr/>
        <w:t>the director to display</w:t>
      </w:r>
      <w:r>
        <w:rPr>
          <w:spacing w:val="-1"/>
        </w:rPr>
        <w:t> </w:t>
      </w:r>
      <w:r>
        <w:rPr/>
        <w:t>reasonable care</w:t>
      </w:r>
      <w:r>
        <w:rPr>
          <w:spacing w:val="-2"/>
        </w:rPr>
        <w:t> </w:t>
      </w:r>
      <w:r>
        <w:rPr/>
        <w:t>and skill</w:t>
      </w:r>
      <w:r>
        <w:rPr>
          <w:spacing w:val="-1"/>
        </w:rPr>
        <w:t> </w:t>
      </w:r>
      <w:r>
        <w:rPr/>
        <w:t>implies that he</w:t>
      </w:r>
    </w:p>
    <w:p>
      <w:pPr>
        <w:pStyle w:val="BodyText"/>
        <w:spacing w:before="148"/>
        <w:ind w:left="0"/>
        <w:rPr>
          <w:sz w:val="20"/>
        </w:rPr>
      </w:pPr>
      <w:r>
        <w:rPr/>
        <mc:AlternateContent>
          <mc:Choice Requires="wps">
            <w:drawing>
              <wp:anchor distT="0" distB="0" distL="0" distR="0" allowOverlap="1" layoutInCell="1" locked="0" behindDoc="1" simplePos="0" relativeHeight="487638528">
                <wp:simplePos x="0" y="0"/>
                <wp:positionH relativeFrom="page">
                  <wp:posOffset>1262481</wp:posOffset>
                </wp:positionH>
                <wp:positionV relativeFrom="paragraph">
                  <wp:posOffset>255679</wp:posOffset>
                </wp:positionV>
                <wp:extent cx="1829435" cy="9525"/>
                <wp:effectExtent l="0" t="0" r="0" b="0"/>
                <wp:wrapTopAndBottom/>
                <wp:docPr id="109" name="Graphic 109"/>
                <wp:cNvGraphicFramePr>
                  <a:graphicFrameLocks/>
                </wp:cNvGraphicFramePr>
                <a:graphic>
                  <a:graphicData uri="http://schemas.microsoft.com/office/word/2010/wordprocessingShape">
                    <wps:wsp>
                      <wps:cNvPr id="109" name="Graphic 10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32280pt;width:144.050pt;height:.71997pt;mso-position-horizontal-relative:page;mso-position-vertical-relative:paragraph;z-index:-15677952;mso-wrap-distance-left:0;mso-wrap-distance-right:0" id="docshape64"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38</w:t>
      </w:r>
      <w:r>
        <w:rPr>
          <w:rFonts w:ascii="Calibri"/>
          <w:spacing w:val="-1"/>
          <w:sz w:val="20"/>
          <w:vertAlign w:val="baseline"/>
        </w:rPr>
        <w:t> </w:t>
      </w:r>
      <w:r>
        <w:rPr>
          <w:rFonts w:ascii="Calibri"/>
          <w:sz w:val="20"/>
          <w:vertAlign w:val="baseline"/>
        </w:rPr>
        <w:t>Refer</w:t>
      </w:r>
      <w:r>
        <w:rPr>
          <w:rFonts w:ascii="Calibri"/>
          <w:spacing w:val="-5"/>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 282(2)</w:t>
      </w:r>
      <w:r>
        <w:rPr>
          <w:rFonts w:ascii="Calibri"/>
          <w:spacing w:val="-2"/>
          <w:sz w:val="20"/>
          <w:vertAlign w:val="baseline"/>
        </w:rPr>
        <w:t> </w:t>
      </w:r>
      <w:r>
        <w:rPr>
          <w:rFonts w:ascii="Calibri"/>
          <w:spacing w:val="-4"/>
          <w:sz w:val="20"/>
          <w:vertAlign w:val="baseline"/>
        </w:rPr>
        <w:t>CAMA.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0"/>
        <w:jc w:val="both"/>
      </w:pPr>
      <w:r>
        <w:rPr/>
        <w:t>himself is involved in the act of discharging his duty. Yet, it is conceded that due to some circumstantial exigency and the nature of the services directors provide for the company, it may be necessary for directors to delegate some tasks or responsibilities to other persons and indeed, the terms of their appointment may allow them to do so. On the other hand, the law realises the need to curtail unrestrained or excessive delegation of duties on the part of directors in order to curtail the abuse of the discretion given.</w:t>
      </w:r>
    </w:p>
    <w:p>
      <w:pPr>
        <w:pStyle w:val="BodyText"/>
        <w:spacing w:line="480" w:lineRule="auto" w:before="1"/>
        <w:ind w:right="238" w:firstLine="720"/>
        <w:jc w:val="both"/>
      </w:pPr>
      <w:r>
        <w:rPr/>
        <w:t>Exactly</w:t>
      </w:r>
      <w:r>
        <w:rPr>
          <w:spacing w:val="-7"/>
        </w:rPr>
        <w:t> </w:t>
      </w:r>
      <w:r>
        <w:rPr/>
        <w:t>the extent of</w:t>
      </w:r>
      <w:r>
        <w:rPr>
          <w:spacing w:val="-6"/>
        </w:rPr>
        <w:t> </w:t>
      </w:r>
      <w:r>
        <w:rPr/>
        <w:t>delegation likely</w:t>
      </w:r>
      <w:r>
        <w:rPr>
          <w:spacing w:val="-2"/>
        </w:rPr>
        <w:t> </w:t>
      </w:r>
      <w:r>
        <w:rPr/>
        <w:t>to result in</w:t>
      </w:r>
      <w:r>
        <w:rPr>
          <w:spacing w:val="-3"/>
        </w:rPr>
        <w:t> </w:t>
      </w:r>
      <w:r>
        <w:rPr/>
        <w:t>an ―abdication</w:t>
      </w:r>
      <w:r>
        <w:rPr>
          <w:spacing w:val="-3"/>
        </w:rPr>
        <w:t> </w:t>
      </w:r>
      <w:r>
        <w:rPr/>
        <w:t>of</w:t>
      </w:r>
      <w:r>
        <w:rPr>
          <w:spacing w:val="-6"/>
        </w:rPr>
        <w:t> </w:t>
      </w:r>
      <w:r>
        <w:rPr/>
        <w:t>duty‖ is not clear.</w:t>
      </w:r>
      <w:r>
        <w:rPr>
          <w:spacing w:val="36"/>
        </w:rPr>
        <w:t> </w:t>
      </w:r>
      <w:r>
        <w:rPr/>
        <w:t>However,</w:t>
      </w:r>
      <w:r>
        <w:rPr>
          <w:spacing w:val="39"/>
        </w:rPr>
        <w:t> </w:t>
      </w:r>
      <w:r>
        <w:rPr/>
        <w:t>since</w:t>
      </w:r>
      <w:r>
        <w:rPr>
          <w:spacing w:val="36"/>
        </w:rPr>
        <w:t> </w:t>
      </w:r>
      <w:r>
        <w:rPr/>
        <w:t>the</w:t>
      </w:r>
      <w:r>
        <w:rPr>
          <w:spacing w:val="35"/>
        </w:rPr>
        <w:t> </w:t>
      </w:r>
      <w:r>
        <w:rPr/>
        <w:t>section</w:t>
      </w:r>
      <w:r>
        <w:rPr>
          <w:spacing w:val="32"/>
        </w:rPr>
        <w:t> </w:t>
      </w:r>
      <w:r>
        <w:rPr/>
        <w:t>does</w:t>
      </w:r>
      <w:r>
        <w:rPr>
          <w:spacing w:val="35"/>
        </w:rPr>
        <w:t> </w:t>
      </w:r>
      <w:r>
        <w:rPr/>
        <w:t>permit</w:t>
      </w:r>
      <w:r>
        <w:rPr>
          <w:spacing w:val="41"/>
        </w:rPr>
        <w:t> </w:t>
      </w:r>
      <w:r>
        <w:rPr/>
        <w:t>delegation</w:t>
      </w:r>
      <w:r>
        <w:rPr>
          <w:spacing w:val="41"/>
        </w:rPr>
        <w:t> </w:t>
      </w:r>
      <w:r>
        <w:rPr>
          <w:i/>
        </w:rPr>
        <w:t>primafacie</w:t>
      </w:r>
      <w:r>
        <w:rPr/>
        <w:t>,</w:t>
      </w:r>
      <w:r>
        <w:rPr>
          <w:spacing w:val="39"/>
        </w:rPr>
        <w:t> </w:t>
      </w:r>
      <w:r>
        <w:rPr/>
        <w:t>it</w:t>
      </w:r>
      <w:r>
        <w:rPr>
          <w:spacing w:val="46"/>
        </w:rPr>
        <w:t> </w:t>
      </w:r>
      <w:r>
        <w:rPr/>
        <w:t>is</w:t>
      </w:r>
      <w:r>
        <w:rPr>
          <w:spacing w:val="40"/>
        </w:rPr>
        <w:t> </w:t>
      </w:r>
      <w:r>
        <w:rPr/>
        <w:t>likely</w:t>
      </w:r>
      <w:r>
        <w:rPr>
          <w:spacing w:val="33"/>
        </w:rPr>
        <w:t> </w:t>
      </w:r>
      <w:r>
        <w:rPr>
          <w:spacing w:val="-4"/>
        </w:rPr>
        <w:t>that</w:t>
      </w:r>
    </w:p>
    <w:p>
      <w:pPr>
        <w:pStyle w:val="BodyText"/>
        <w:spacing w:line="480" w:lineRule="auto" w:before="1"/>
        <w:ind w:right="234"/>
        <w:jc w:val="both"/>
      </w:pPr>
      <w:r>
        <w:rPr/>
        <w:t>―abdication</w:t>
      </w:r>
      <w:r>
        <w:rPr>
          <w:spacing w:val="-7"/>
        </w:rPr>
        <w:t> </w:t>
      </w:r>
      <w:r>
        <w:rPr/>
        <w:t>of</w:t>
      </w:r>
      <w:r>
        <w:rPr>
          <w:spacing w:val="-10"/>
        </w:rPr>
        <w:t> </w:t>
      </w:r>
      <w:r>
        <w:rPr/>
        <w:t>duty‖</w:t>
      </w:r>
      <w:r>
        <w:rPr>
          <w:spacing w:val="-4"/>
        </w:rPr>
        <w:t> </w:t>
      </w:r>
      <w:r>
        <w:rPr/>
        <w:t>may</w:t>
      </w:r>
      <w:r>
        <w:rPr>
          <w:spacing w:val="-7"/>
        </w:rPr>
        <w:t> </w:t>
      </w:r>
      <w:r>
        <w:rPr/>
        <w:t>be</w:t>
      </w:r>
      <w:r>
        <w:rPr>
          <w:spacing w:val="-5"/>
        </w:rPr>
        <w:t> </w:t>
      </w:r>
      <w:r>
        <w:rPr/>
        <w:t>alluding</w:t>
      </w:r>
      <w:r>
        <w:rPr>
          <w:spacing w:val="-7"/>
        </w:rPr>
        <w:t> </w:t>
      </w:r>
      <w:r>
        <w:rPr/>
        <w:t>to</w:t>
      </w:r>
      <w:r>
        <w:rPr>
          <w:spacing w:val="-2"/>
        </w:rPr>
        <w:t> </w:t>
      </w:r>
      <w:r>
        <w:rPr/>
        <w:t>the</w:t>
      </w:r>
      <w:r>
        <w:rPr>
          <w:spacing w:val="-4"/>
        </w:rPr>
        <w:t> </w:t>
      </w:r>
      <w:r>
        <w:rPr/>
        <w:t>issue of</w:t>
      </w:r>
      <w:r>
        <w:rPr>
          <w:spacing w:val="-12"/>
        </w:rPr>
        <w:t> </w:t>
      </w:r>
      <w:r>
        <w:rPr/>
        <w:t>supervision.</w:t>
      </w:r>
      <w:r>
        <w:rPr>
          <w:spacing w:val="-6"/>
        </w:rPr>
        <w:t> </w:t>
      </w:r>
      <w:r>
        <w:rPr/>
        <w:t>Therefore,</w:t>
      </w:r>
      <w:r>
        <w:rPr>
          <w:spacing w:val="-6"/>
        </w:rPr>
        <w:t> </w:t>
      </w:r>
      <w:r>
        <w:rPr/>
        <w:t>a</w:t>
      </w:r>
      <w:r>
        <w:rPr>
          <w:spacing w:val="-8"/>
        </w:rPr>
        <w:t> </w:t>
      </w:r>
      <w:r>
        <w:rPr/>
        <w:t>director</w:t>
      </w:r>
      <w:r>
        <w:rPr>
          <w:spacing w:val="-6"/>
        </w:rPr>
        <w:t> </w:t>
      </w:r>
      <w:r>
        <w:rPr/>
        <w:t>is allowed to delegate, but he must not only ensure that the delegated responsibility is discharged in the proper manner and with the required standard of skill and care, but must also only delegate such tasks as do not, by their nature, require his own personal attention or expertise. Presumably, if he must delegate, then he should ensure to</w:t>
      </w:r>
      <w:r>
        <w:rPr>
          <w:spacing w:val="40"/>
        </w:rPr>
        <w:t> </w:t>
      </w:r>
      <w:r>
        <w:rPr/>
        <w:t>delegate to someone competent.</w:t>
      </w:r>
    </w:p>
    <w:p>
      <w:pPr>
        <w:pStyle w:val="BodyText"/>
        <w:spacing w:line="480" w:lineRule="auto" w:before="1"/>
        <w:ind w:right="224" w:firstLine="720"/>
        <w:jc w:val="both"/>
      </w:pPr>
      <w:r>
        <w:rPr/>
        <w:t>The case of </w:t>
      </w:r>
      <w:r>
        <w:rPr>
          <w:b/>
        </w:rPr>
        <w:t>Adebayo vs. Johnson</w:t>
      </w:r>
      <w:r>
        <w:rPr/>
        <w:t>,</w:t>
      </w:r>
      <w:r>
        <w:rPr>
          <w:vertAlign w:val="superscript"/>
        </w:rPr>
        <w:t>39</w:t>
      </w:r>
      <w:r>
        <w:rPr>
          <w:vertAlign w:val="baseline"/>
        </w:rPr>
        <w:t> though a misfeasance proceedings decided under s. 211 of</w:t>
      </w:r>
      <w:r>
        <w:rPr>
          <w:spacing w:val="-2"/>
          <w:vertAlign w:val="baseline"/>
        </w:rPr>
        <w:t> </w:t>
      </w:r>
      <w:r>
        <w:rPr>
          <w:vertAlign w:val="baseline"/>
        </w:rPr>
        <w:t>the Companies Decree 1968, is here presented as a classic example of</w:t>
      </w:r>
      <w:r>
        <w:rPr>
          <w:spacing w:val="-2"/>
          <w:vertAlign w:val="baseline"/>
        </w:rPr>
        <w:t> </w:t>
      </w:r>
      <w:r>
        <w:rPr>
          <w:vertAlign w:val="baseline"/>
        </w:rPr>
        <w:t>a case of a company destroyed by the incompetence and carelessness of its directors. In that case,</w:t>
      </w:r>
      <w:r>
        <w:rPr>
          <w:spacing w:val="-5"/>
          <w:vertAlign w:val="baseline"/>
        </w:rPr>
        <w:t> </w:t>
      </w:r>
      <w:r>
        <w:rPr>
          <w:vertAlign w:val="baseline"/>
        </w:rPr>
        <w:t>the</w:t>
      </w:r>
      <w:r>
        <w:rPr>
          <w:spacing w:val="-3"/>
          <w:vertAlign w:val="baseline"/>
        </w:rPr>
        <w:t> </w:t>
      </w:r>
      <w:r>
        <w:rPr>
          <w:vertAlign w:val="baseline"/>
        </w:rPr>
        <w:t>Merchants</w:t>
      </w:r>
      <w:r>
        <w:rPr>
          <w:spacing w:val="-4"/>
          <w:vertAlign w:val="baseline"/>
        </w:rPr>
        <w:t> </w:t>
      </w:r>
      <w:r>
        <w:rPr>
          <w:vertAlign w:val="baseline"/>
        </w:rPr>
        <w:t>Bank</w:t>
      </w:r>
      <w:r>
        <w:rPr>
          <w:spacing w:val="-2"/>
          <w:vertAlign w:val="baseline"/>
        </w:rPr>
        <w:t> </w:t>
      </w:r>
      <w:r>
        <w:rPr>
          <w:vertAlign w:val="baseline"/>
        </w:rPr>
        <w:t>Ltd. had incurred</w:t>
      </w:r>
      <w:r>
        <w:rPr>
          <w:spacing w:val="-2"/>
          <w:vertAlign w:val="baseline"/>
        </w:rPr>
        <w:t> </w:t>
      </w:r>
      <w:r>
        <w:rPr>
          <w:vertAlign w:val="baseline"/>
        </w:rPr>
        <w:t>a lot</w:t>
      </w:r>
      <w:r>
        <w:rPr>
          <w:spacing w:val="-2"/>
          <w:vertAlign w:val="baseline"/>
        </w:rPr>
        <w:t> </w:t>
      </w:r>
      <w:r>
        <w:rPr>
          <w:vertAlign w:val="baseline"/>
        </w:rPr>
        <w:t>of</w:t>
      </w:r>
      <w:r>
        <w:rPr>
          <w:spacing w:val="-5"/>
          <w:vertAlign w:val="baseline"/>
        </w:rPr>
        <w:t> </w:t>
      </w:r>
      <w:r>
        <w:rPr>
          <w:vertAlign w:val="baseline"/>
        </w:rPr>
        <w:t>losses</w:t>
      </w:r>
      <w:r>
        <w:rPr>
          <w:spacing w:val="-4"/>
          <w:vertAlign w:val="baseline"/>
        </w:rPr>
        <w:t> </w:t>
      </w:r>
      <w:r>
        <w:rPr>
          <w:vertAlign w:val="baseline"/>
        </w:rPr>
        <w:t>and</w:t>
      </w:r>
      <w:r>
        <w:rPr>
          <w:spacing w:val="-2"/>
          <w:vertAlign w:val="baseline"/>
        </w:rPr>
        <w:t> </w:t>
      </w:r>
      <w:r>
        <w:rPr>
          <w:vertAlign w:val="baseline"/>
        </w:rPr>
        <w:t>was</w:t>
      </w:r>
      <w:r>
        <w:rPr>
          <w:spacing w:val="-4"/>
          <w:vertAlign w:val="baseline"/>
        </w:rPr>
        <w:t> </w:t>
      </w:r>
      <w:r>
        <w:rPr>
          <w:vertAlign w:val="baseline"/>
        </w:rPr>
        <w:t>being liquidated. Prior</w:t>
      </w:r>
      <w:r>
        <w:rPr>
          <w:spacing w:val="-2"/>
          <w:vertAlign w:val="baseline"/>
        </w:rPr>
        <w:t> </w:t>
      </w:r>
      <w:r>
        <w:rPr>
          <w:vertAlign w:val="baseline"/>
        </w:rPr>
        <w:t>to that, at a</w:t>
      </w:r>
      <w:r>
        <w:rPr>
          <w:spacing w:val="-5"/>
          <w:vertAlign w:val="baseline"/>
        </w:rPr>
        <w:t> </w:t>
      </w:r>
      <w:r>
        <w:rPr>
          <w:vertAlign w:val="baseline"/>
        </w:rPr>
        <w:t>meeting of</w:t>
      </w:r>
      <w:r>
        <w:rPr>
          <w:spacing w:val="-7"/>
          <w:vertAlign w:val="baseline"/>
        </w:rPr>
        <w:t> </w:t>
      </w:r>
      <w:r>
        <w:rPr>
          <w:vertAlign w:val="baseline"/>
        </w:rPr>
        <w:t>the</w:t>
      </w:r>
      <w:r>
        <w:rPr>
          <w:spacing w:val="-1"/>
          <w:vertAlign w:val="baseline"/>
        </w:rPr>
        <w:t> </w:t>
      </w:r>
      <w:r>
        <w:rPr>
          <w:vertAlign w:val="baseline"/>
        </w:rPr>
        <w:t>board</w:t>
      </w:r>
      <w:r>
        <w:rPr>
          <w:spacing w:val="-4"/>
          <w:vertAlign w:val="baseline"/>
        </w:rPr>
        <w:t> </w:t>
      </w:r>
      <w:r>
        <w:rPr>
          <w:vertAlign w:val="baseline"/>
        </w:rPr>
        <w:t>of</w:t>
      </w:r>
      <w:r>
        <w:rPr>
          <w:spacing w:val="-7"/>
          <w:vertAlign w:val="baseline"/>
        </w:rPr>
        <w:t> </w:t>
      </w:r>
      <w:r>
        <w:rPr>
          <w:vertAlign w:val="baseline"/>
        </w:rPr>
        <w:t>directors</w:t>
      </w:r>
      <w:r>
        <w:rPr>
          <w:spacing w:val="-6"/>
          <w:vertAlign w:val="baseline"/>
        </w:rPr>
        <w:t> </w:t>
      </w:r>
      <w:r>
        <w:rPr>
          <w:vertAlign w:val="baseline"/>
        </w:rPr>
        <w:t>held on 29th</w:t>
      </w:r>
      <w:r>
        <w:rPr>
          <w:spacing w:val="-4"/>
          <w:vertAlign w:val="baseline"/>
        </w:rPr>
        <w:t> </w:t>
      </w:r>
      <w:r>
        <w:rPr>
          <w:vertAlign w:val="baseline"/>
        </w:rPr>
        <w:t>July</w:t>
      </w:r>
      <w:r>
        <w:rPr>
          <w:spacing w:val="-3"/>
          <w:vertAlign w:val="baseline"/>
        </w:rPr>
        <w:t> </w:t>
      </w:r>
      <w:r>
        <w:rPr>
          <w:vertAlign w:val="baseline"/>
        </w:rPr>
        <w:t>1959,</w:t>
      </w:r>
      <w:r>
        <w:rPr>
          <w:spacing w:val="-2"/>
          <w:vertAlign w:val="baseline"/>
        </w:rPr>
        <w:t> </w:t>
      </w:r>
      <w:r>
        <w:rPr>
          <w:vertAlign w:val="baseline"/>
        </w:rPr>
        <w:t>the managing director had reported that about £30,000 was unaccounted for in the books of the bank. Although the minutes of that meeting showed that the manager was directed to prepare and submit to the board a statement of the financial position of the Bank as at the 31st July, 1959, the minutes of several subsequent board meetings showed that no mention was</w:t>
      </w:r>
      <w:r>
        <w:rPr>
          <w:spacing w:val="2"/>
          <w:vertAlign w:val="baseline"/>
        </w:rPr>
        <w:t> </w:t>
      </w:r>
      <w:r>
        <w:rPr>
          <w:vertAlign w:val="baseline"/>
        </w:rPr>
        <w:t>made</w:t>
      </w:r>
      <w:r>
        <w:rPr>
          <w:spacing w:val="5"/>
          <w:vertAlign w:val="baseline"/>
        </w:rPr>
        <w:t> </w:t>
      </w:r>
      <w:r>
        <w:rPr>
          <w:vertAlign w:val="baseline"/>
        </w:rPr>
        <w:t>of</w:t>
      </w:r>
      <w:r>
        <w:rPr>
          <w:spacing w:val="-1"/>
          <w:vertAlign w:val="baseline"/>
        </w:rPr>
        <w:t> </w:t>
      </w:r>
      <w:r>
        <w:rPr>
          <w:vertAlign w:val="baseline"/>
        </w:rPr>
        <w:t>the</w:t>
      </w:r>
      <w:r>
        <w:rPr>
          <w:spacing w:val="7"/>
          <w:vertAlign w:val="baseline"/>
        </w:rPr>
        <w:t> </w:t>
      </w:r>
      <w:r>
        <w:rPr>
          <w:vertAlign w:val="baseline"/>
        </w:rPr>
        <w:t>matter</w:t>
      </w:r>
      <w:r>
        <w:rPr>
          <w:spacing w:val="3"/>
          <w:vertAlign w:val="baseline"/>
        </w:rPr>
        <w:t> </w:t>
      </w:r>
      <w:r>
        <w:rPr>
          <w:vertAlign w:val="baseline"/>
        </w:rPr>
        <w:t>again</w:t>
      </w:r>
      <w:r>
        <w:rPr>
          <w:spacing w:val="6"/>
          <w:vertAlign w:val="baseline"/>
        </w:rPr>
        <w:t> </w:t>
      </w:r>
      <w:r>
        <w:rPr>
          <w:vertAlign w:val="baseline"/>
        </w:rPr>
        <w:t>nor</w:t>
      </w:r>
      <w:r>
        <w:rPr>
          <w:spacing w:val="3"/>
          <w:vertAlign w:val="baseline"/>
        </w:rPr>
        <w:t> </w:t>
      </w:r>
      <w:r>
        <w:rPr>
          <w:vertAlign w:val="baseline"/>
        </w:rPr>
        <w:t>did</w:t>
      </w:r>
      <w:r>
        <w:rPr>
          <w:spacing w:val="3"/>
          <w:vertAlign w:val="baseline"/>
        </w:rPr>
        <w:t> </w:t>
      </w:r>
      <w:r>
        <w:rPr>
          <w:vertAlign w:val="baseline"/>
        </w:rPr>
        <w:t>any</w:t>
      </w:r>
      <w:r>
        <w:rPr>
          <w:spacing w:val="-3"/>
          <w:vertAlign w:val="baseline"/>
        </w:rPr>
        <w:t> </w:t>
      </w:r>
      <w:r>
        <w:rPr>
          <w:vertAlign w:val="baseline"/>
        </w:rPr>
        <w:t>of</w:t>
      </w:r>
      <w:r>
        <w:rPr>
          <w:spacing w:val="-1"/>
          <w:vertAlign w:val="baseline"/>
        </w:rPr>
        <w:t> </w:t>
      </w:r>
      <w:r>
        <w:rPr>
          <w:vertAlign w:val="baseline"/>
        </w:rPr>
        <w:t>the</w:t>
      </w:r>
      <w:r>
        <w:rPr>
          <w:spacing w:val="1"/>
          <w:vertAlign w:val="baseline"/>
        </w:rPr>
        <w:t> </w:t>
      </w:r>
      <w:r>
        <w:rPr>
          <w:vertAlign w:val="baseline"/>
        </w:rPr>
        <w:t>directors express</w:t>
      </w:r>
      <w:r>
        <w:rPr>
          <w:spacing w:val="5"/>
          <w:vertAlign w:val="baseline"/>
        </w:rPr>
        <w:t> </w:t>
      </w:r>
      <w:r>
        <w:rPr>
          <w:vertAlign w:val="baseline"/>
        </w:rPr>
        <w:t>any</w:t>
      </w:r>
      <w:r>
        <w:rPr>
          <w:spacing w:val="-3"/>
          <w:vertAlign w:val="baseline"/>
        </w:rPr>
        <w:t> </w:t>
      </w:r>
      <w:r>
        <w:rPr>
          <w:vertAlign w:val="baseline"/>
        </w:rPr>
        <w:t>concern</w:t>
      </w:r>
      <w:r>
        <w:rPr>
          <w:spacing w:val="14"/>
          <w:vertAlign w:val="baseline"/>
        </w:rPr>
        <w:t> </w:t>
      </w:r>
      <w:r>
        <w:rPr>
          <w:vertAlign w:val="baseline"/>
        </w:rPr>
        <w:t>about</w:t>
      </w:r>
      <w:r>
        <w:rPr>
          <w:spacing w:val="3"/>
          <w:vertAlign w:val="baseline"/>
        </w:rPr>
        <w:t> </w:t>
      </w:r>
      <w:r>
        <w:rPr>
          <w:spacing w:val="-5"/>
          <w:vertAlign w:val="baseline"/>
        </w:rPr>
        <w:t>the</w:t>
      </w:r>
    </w:p>
    <w:p>
      <w:pPr>
        <w:pStyle w:val="BodyText"/>
        <w:spacing w:before="149"/>
        <w:ind w:left="0"/>
        <w:rPr>
          <w:sz w:val="20"/>
        </w:rPr>
      </w:pPr>
      <w:r>
        <w:rPr/>
        <mc:AlternateContent>
          <mc:Choice Requires="wps">
            <w:drawing>
              <wp:anchor distT="0" distB="0" distL="0" distR="0" allowOverlap="1" layoutInCell="1" locked="0" behindDoc="1" simplePos="0" relativeHeight="487639040">
                <wp:simplePos x="0" y="0"/>
                <wp:positionH relativeFrom="page">
                  <wp:posOffset>1262481</wp:posOffset>
                </wp:positionH>
                <wp:positionV relativeFrom="paragraph">
                  <wp:posOffset>256314</wp:posOffset>
                </wp:positionV>
                <wp:extent cx="1829435" cy="9525"/>
                <wp:effectExtent l="0" t="0" r="0" b="0"/>
                <wp:wrapTopAndBottom/>
                <wp:docPr id="111" name="Graphic 111"/>
                <wp:cNvGraphicFramePr>
                  <a:graphicFrameLocks/>
                </wp:cNvGraphicFramePr>
                <a:graphic>
                  <a:graphicData uri="http://schemas.microsoft.com/office/word/2010/wordprocessingShape">
                    <wps:wsp>
                      <wps:cNvPr id="111" name="Graphic 11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82280pt;width:144.050pt;height:.71997pt;mso-position-horizontal-relative:page;mso-position-vertical-relative:paragraph;z-index:-15677440;mso-wrap-distance-left:0;mso-wrap-distance-right:0" id="docshape6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39</w:t>
      </w:r>
      <w:r>
        <w:rPr>
          <w:rFonts w:ascii="Calibri"/>
          <w:sz w:val="20"/>
          <w:vertAlign w:val="baseline"/>
        </w:rPr>
        <w:t>(1969)</w:t>
      </w:r>
      <w:r>
        <w:rPr>
          <w:rFonts w:ascii="Calibri"/>
          <w:spacing w:val="-3"/>
          <w:sz w:val="20"/>
          <w:vertAlign w:val="baseline"/>
        </w:rPr>
        <w:t> </w:t>
      </w:r>
      <w:r>
        <w:rPr>
          <w:rFonts w:ascii="Calibri"/>
          <w:sz w:val="20"/>
          <w:vertAlign w:val="baseline"/>
        </w:rPr>
        <w:t>All</w:t>
      </w:r>
      <w:r>
        <w:rPr>
          <w:rFonts w:ascii="Calibri"/>
          <w:spacing w:val="-2"/>
          <w:sz w:val="20"/>
          <w:vertAlign w:val="baseline"/>
        </w:rPr>
        <w:t> </w:t>
      </w:r>
      <w:r>
        <w:rPr>
          <w:rFonts w:ascii="Calibri"/>
          <w:sz w:val="20"/>
          <w:vertAlign w:val="baseline"/>
        </w:rPr>
        <w:t>NLR,</w:t>
      </w:r>
      <w:r>
        <w:rPr>
          <w:rFonts w:ascii="Calibri"/>
          <w:spacing w:val="-6"/>
          <w:sz w:val="20"/>
          <w:vertAlign w:val="baseline"/>
        </w:rPr>
        <w:t> </w:t>
      </w:r>
      <w:r>
        <w:rPr>
          <w:rFonts w:ascii="Calibri"/>
          <w:spacing w:val="-4"/>
          <w:sz w:val="20"/>
          <w:vertAlign w:val="baseline"/>
        </w:rPr>
        <w:t>171.</w:t>
      </w:r>
    </w:p>
    <w:p>
      <w:pPr>
        <w:spacing w:after="0"/>
        <w:jc w:val="left"/>
        <w:rPr>
          <w:rFonts w:ascii="Calibri"/>
          <w:sz w:val="20"/>
        </w:rPr>
        <w:sectPr>
          <w:footerReference w:type="default" r:id="rId27"/>
          <w:pgSz w:w="11910" w:h="16840"/>
          <w:pgMar w:header="0" w:footer="1003" w:top="1320" w:bottom="1200" w:left="1680" w:right="1180"/>
        </w:sectPr>
      </w:pPr>
    </w:p>
    <w:p>
      <w:pPr>
        <w:pStyle w:val="BodyText"/>
        <w:spacing w:line="480" w:lineRule="auto" w:before="70"/>
        <w:ind w:right="235"/>
        <w:jc w:val="both"/>
      </w:pPr>
      <w:r>
        <w:rPr/>
        <w:t>loss of this amount of about £30,000 or any expectation that the situation should be righted. Meanwhile, the losses of the bank steadily soared to about £63,000 in September, 1960. Coker J.S.C. found that it was</w:t>
      </w:r>
      <w:r>
        <w:rPr>
          <w:spacing w:val="-2"/>
        </w:rPr>
        <w:t> </w:t>
      </w:r>
      <w:r>
        <w:rPr/>
        <w:t>particularly appalling on the</w:t>
      </w:r>
      <w:r>
        <w:rPr>
          <w:spacing w:val="-1"/>
        </w:rPr>
        <w:t> </w:t>
      </w:r>
      <w:r>
        <w:rPr/>
        <w:t>part of</w:t>
      </w:r>
      <w:r>
        <w:rPr>
          <w:spacing w:val="-8"/>
        </w:rPr>
        <w:t> </w:t>
      </w:r>
      <w:r>
        <w:rPr/>
        <w:t>the directors that none of them, except the managing director, took any</w:t>
      </w:r>
      <w:r>
        <w:rPr>
          <w:spacing w:val="-1"/>
        </w:rPr>
        <w:t> </w:t>
      </w:r>
      <w:r>
        <w:rPr/>
        <w:t>steps to see that the manager complied with their directives, if only to request an investigation of the report by</w:t>
      </w:r>
      <w:r>
        <w:rPr>
          <w:spacing w:val="-5"/>
        </w:rPr>
        <w:t> </w:t>
      </w:r>
      <w:r>
        <w:rPr/>
        <w:t>a firm</w:t>
      </w:r>
      <w:r>
        <w:rPr>
          <w:spacing w:val="-9"/>
        </w:rPr>
        <w:t> </w:t>
      </w:r>
      <w:r>
        <w:rPr/>
        <w:t>of</w:t>
      </w:r>
      <w:r>
        <w:rPr>
          <w:spacing w:val="-8"/>
        </w:rPr>
        <w:t> </w:t>
      </w:r>
      <w:r>
        <w:rPr/>
        <w:t>auditors. Coker J.S.C.</w:t>
      </w:r>
      <w:r>
        <w:rPr>
          <w:spacing w:val="-3"/>
        </w:rPr>
        <w:t> </w:t>
      </w:r>
      <w:r>
        <w:rPr/>
        <w:t>then</w:t>
      </w:r>
      <w:r>
        <w:rPr>
          <w:spacing w:val="-5"/>
        </w:rPr>
        <w:t> </w:t>
      </w:r>
      <w:r>
        <w:rPr/>
        <w:t>set the</w:t>
      </w:r>
      <w:r>
        <w:rPr>
          <w:spacing w:val="-1"/>
        </w:rPr>
        <w:t> </w:t>
      </w:r>
      <w:r>
        <w:rPr/>
        <w:t>record</w:t>
      </w:r>
      <w:r>
        <w:rPr>
          <w:spacing w:val="-5"/>
        </w:rPr>
        <w:t> </w:t>
      </w:r>
      <w:r>
        <w:rPr/>
        <w:t>straight on</w:t>
      </w:r>
      <w:r>
        <w:rPr>
          <w:spacing w:val="-4"/>
        </w:rPr>
        <w:t> </w:t>
      </w:r>
      <w:r>
        <w:rPr/>
        <w:t>the</w:t>
      </w:r>
      <w:r>
        <w:rPr>
          <w:spacing w:val="-1"/>
        </w:rPr>
        <w:t> </w:t>
      </w:r>
      <w:r>
        <w:rPr/>
        <w:t>issue</w:t>
      </w:r>
      <w:r>
        <w:rPr>
          <w:spacing w:val="-1"/>
        </w:rPr>
        <w:t> </w:t>
      </w:r>
      <w:r>
        <w:rPr/>
        <w:t>of</w:t>
      </w:r>
      <w:r>
        <w:rPr>
          <w:spacing w:val="-8"/>
        </w:rPr>
        <w:t> </w:t>
      </w:r>
      <w:r>
        <w:rPr/>
        <w:t>delegation, observing that</w:t>
      </w:r>
    </w:p>
    <w:p>
      <w:pPr>
        <w:spacing w:line="240" w:lineRule="auto" w:before="1"/>
        <w:ind w:left="2007" w:right="1878" w:firstLine="0"/>
        <w:jc w:val="both"/>
        <w:rPr>
          <w:i/>
          <w:sz w:val="24"/>
        </w:rPr>
      </w:pPr>
      <w:r>
        <w:rPr>
          <w:i/>
          <w:sz w:val="24"/>
        </w:rPr>
        <w:t>A director of a company is not expected to fill all the positions in the company himself and he should be entitled to assume that qualified staff are performing the duties of their offices with competence. He is certainly not expected to abdicate his responsibility but he is undoubtedly entitled to rely on the judgments</w:t>
      </w:r>
      <w:r>
        <w:rPr>
          <w:i/>
          <w:spacing w:val="-3"/>
          <w:sz w:val="24"/>
        </w:rPr>
        <w:t> </w:t>
      </w:r>
      <w:r>
        <w:rPr>
          <w:i/>
          <w:sz w:val="24"/>
        </w:rPr>
        <w:t>of responsible</w:t>
      </w:r>
      <w:r>
        <w:rPr>
          <w:i/>
          <w:spacing w:val="-3"/>
          <w:sz w:val="24"/>
        </w:rPr>
        <w:t> </w:t>
      </w:r>
      <w:r>
        <w:rPr>
          <w:i/>
          <w:sz w:val="24"/>
        </w:rPr>
        <w:t>assistants with the requisite knowledge, training and expertise. We do not think that any inherent distinction lies in the duties and liabilities of categories of directors; but the Chairman of the Board of Directors and the Managing Director may by the Articles of Association of the company, and must by the nature of their special access and connection with the detailed machinery of control, be expected to </w:t>
      </w:r>
      <w:r>
        <w:rPr>
          <w:i/>
          <w:sz w:val="24"/>
        </w:rPr>
        <w:t>know better than the other directors.</w:t>
      </w:r>
      <w:r>
        <w:rPr>
          <w:i/>
          <w:sz w:val="24"/>
          <w:vertAlign w:val="superscript"/>
        </w:rPr>
        <w:t>40</w:t>
      </w:r>
    </w:p>
    <w:p>
      <w:pPr>
        <w:pStyle w:val="BodyText"/>
        <w:spacing w:before="4"/>
        <w:ind w:left="0"/>
        <w:rPr>
          <w:i/>
        </w:rPr>
      </w:pPr>
    </w:p>
    <w:p>
      <w:pPr>
        <w:pStyle w:val="BodyText"/>
        <w:spacing w:line="480" w:lineRule="auto"/>
        <w:ind w:right="242" w:firstLine="720"/>
        <w:jc w:val="both"/>
      </w:pPr>
      <w:r>
        <w:rPr/>
        <w:t>On the matter of the liability of the directors under the circumstances, the Supreme Court had no difficulty holding them liable for deficiency after they were put on notice of irregularities, yet still did nothing.</w:t>
      </w:r>
    </w:p>
    <w:p>
      <w:pPr>
        <w:spacing w:line="240" w:lineRule="auto" w:before="1"/>
        <w:ind w:left="2007" w:right="1886" w:firstLine="0"/>
        <w:jc w:val="both"/>
        <w:rPr>
          <w:i/>
          <w:sz w:val="24"/>
        </w:rPr>
      </w:pPr>
      <w:r>
        <w:rPr>
          <w:i/>
          <w:sz w:val="24"/>
        </w:rPr>
        <w:t>If one looks again at the authorities on the subject and examines the conduct of the directors, it is impossible in our view to resist the inference that with respect at least to the amount representing the increase in the losses</w:t>
      </w:r>
      <w:r>
        <w:rPr>
          <w:i/>
          <w:spacing w:val="-2"/>
          <w:sz w:val="24"/>
        </w:rPr>
        <w:t> </w:t>
      </w:r>
      <w:r>
        <w:rPr>
          <w:i/>
          <w:sz w:val="24"/>
        </w:rPr>
        <w:t>of the</w:t>
      </w:r>
      <w:r>
        <w:rPr>
          <w:i/>
          <w:spacing w:val="-1"/>
          <w:sz w:val="24"/>
        </w:rPr>
        <w:t> </w:t>
      </w:r>
      <w:r>
        <w:rPr>
          <w:i/>
          <w:sz w:val="24"/>
        </w:rPr>
        <w:t>Bank</w:t>
      </w:r>
      <w:r>
        <w:rPr>
          <w:i/>
          <w:spacing w:val="-1"/>
          <w:sz w:val="24"/>
        </w:rPr>
        <w:t> </w:t>
      </w:r>
      <w:r>
        <w:rPr>
          <w:i/>
          <w:sz w:val="24"/>
        </w:rPr>
        <w:t>from some</w:t>
      </w:r>
      <w:r>
        <w:rPr>
          <w:i/>
          <w:spacing w:val="-2"/>
          <w:sz w:val="24"/>
        </w:rPr>
        <w:t> </w:t>
      </w:r>
      <w:r>
        <w:rPr>
          <w:i/>
          <w:sz w:val="24"/>
        </w:rPr>
        <w:t>£37,000 in July, 1959 to some £63,000 in September, 1960, they were guilty of such conduct as is tantamount to gross negligence of their responsibility and we do</w:t>
      </w:r>
      <w:r>
        <w:rPr>
          <w:i/>
          <w:spacing w:val="40"/>
          <w:sz w:val="24"/>
        </w:rPr>
        <w:t> </w:t>
      </w:r>
      <w:r>
        <w:rPr>
          <w:i/>
          <w:sz w:val="24"/>
        </w:rPr>
        <w:t>not entertain any doubt that the loss of this amount</w:t>
      </w:r>
      <w:r>
        <w:rPr>
          <w:i/>
          <w:spacing w:val="80"/>
          <w:sz w:val="24"/>
        </w:rPr>
        <w:t> </w:t>
      </w:r>
      <w:r>
        <w:rPr>
          <w:i/>
          <w:sz w:val="24"/>
        </w:rPr>
        <w:t>of £26,506.17s. 10d. was due entirely to this condition.</w:t>
      </w:r>
      <w:r>
        <w:rPr>
          <w:i/>
          <w:spacing w:val="64"/>
          <w:sz w:val="24"/>
        </w:rPr>
        <w:t> </w:t>
      </w:r>
      <w:r>
        <w:rPr>
          <w:i/>
          <w:sz w:val="24"/>
        </w:rPr>
        <w:t>In</w:t>
      </w:r>
      <w:r>
        <w:rPr>
          <w:i/>
          <w:spacing w:val="58"/>
          <w:sz w:val="24"/>
        </w:rPr>
        <w:t> </w:t>
      </w:r>
      <w:r>
        <w:rPr>
          <w:i/>
          <w:sz w:val="24"/>
        </w:rPr>
        <w:t>the</w:t>
      </w:r>
      <w:r>
        <w:rPr>
          <w:i/>
          <w:spacing w:val="63"/>
          <w:sz w:val="24"/>
        </w:rPr>
        <w:t> </w:t>
      </w:r>
      <w:r>
        <w:rPr>
          <w:i/>
          <w:sz w:val="24"/>
        </w:rPr>
        <w:t>events</w:t>
      </w:r>
      <w:r>
        <w:rPr>
          <w:i/>
          <w:spacing w:val="61"/>
          <w:sz w:val="24"/>
        </w:rPr>
        <w:t> </w:t>
      </w:r>
      <w:r>
        <w:rPr>
          <w:i/>
          <w:sz w:val="24"/>
        </w:rPr>
        <w:t>that</w:t>
      </w:r>
      <w:r>
        <w:rPr>
          <w:i/>
          <w:spacing w:val="64"/>
          <w:sz w:val="24"/>
        </w:rPr>
        <w:t> </w:t>
      </w:r>
      <w:r>
        <w:rPr>
          <w:i/>
          <w:sz w:val="24"/>
        </w:rPr>
        <w:t>have</w:t>
      </w:r>
      <w:r>
        <w:rPr>
          <w:i/>
          <w:spacing w:val="62"/>
          <w:sz w:val="24"/>
        </w:rPr>
        <w:t> </w:t>
      </w:r>
      <w:r>
        <w:rPr>
          <w:i/>
          <w:sz w:val="24"/>
        </w:rPr>
        <w:t>happened,</w:t>
      </w:r>
      <w:r>
        <w:rPr>
          <w:i/>
          <w:spacing w:val="66"/>
          <w:sz w:val="24"/>
        </w:rPr>
        <w:t> </w:t>
      </w:r>
      <w:r>
        <w:rPr>
          <w:i/>
          <w:spacing w:val="-4"/>
          <w:sz w:val="24"/>
        </w:rPr>
        <w:t>they</w:t>
      </w:r>
    </w:p>
    <w:p>
      <w:pPr>
        <w:pStyle w:val="BodyText"/>
        <w:spacing w:before="146"/>
        <w:ind w:left="0"/>
        <w:rPr>
          <w:i/>
          <w:sz w:val="20"/>
        </w:rPr>
      </w:pPr>
      <w:r>
        <w:rPr/>
        <mc:AlternateContent>
          <mc:Choice Requires="wps">
            <w:drawing>
              <wp:anchor distT="0" distB="0" distL="0" distR="0" allowOverlap="1" layoutInCell="1" locked="0" behindDoc="1" simplePos="0" relativeHeight="487639552">
                <wp:simplePos x="0" y="0"/>
                <wp:positionH relativeFrom="page">
                  <wp:posOffset>1262481</wp:posOffset>
                </wp:positionH>
                <wp:positionV relativeFrom="paragraph">
                  <wp:posOffset>254409</wp:posOffset>
                </wp:positionV>
                <wp:extent cx="1829435" cy="9525"/>
                <wp:effectExtent l="0" t="0" r="0" b="0"/>
                <wp:wrapTopAndBottom/>
                <wp:docPr id="113" name="Graphic 113"/>
                <wp:cNvGraphicFramePr>
                  <a:graphicFrameLocks/>
                </wp:cNvGraphicFramePr>
                <a:graphic>
                  <a:graphicData uri="http://schemas.microsoft.com/office/word/2010/wordprocessingShape">
                    <wps:wsp>
                      <wps:cNvPr id="113" name="Graphic 11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03228pt;width:144.050pt;height:.71997pt;mso-position-horizontal-relative:page;mso-position-vertical-relative:paragraph;z-index:-15676928;mso-wrap-distance-left:0;mso-wrap-distance-right:0" id="docshape68"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40</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187.</w:t>
      </w:r>
    </w:p>
    <w:p>
      <w:pPr>
        <w:spacing w:after="0"/>
        <w:jc w:val="left"/>
        <w:rPr>
          <w:rFonts w:ascii="Calibri"/>
          <w:sz w:val="20"/>
        </w:rPr>
        <w:sectPr>
          <w:footerReference w:type="default" r:id="rId28"/>
          <w:pgSz w:w="11910" w:h="16840"/>
          <w:pgMar w:header="0" w:footer="1003" w:top="1320" w:bottom="1200" w:left="1680" w:right="1180"/>
          <w:pgNumType w:start="79"/>
        </w:sectPr>
      </w:pPr>
    </w:p>
    <w:p>
      <w:pPr>
        <w:spacing w:line="240" w:lineRule="auto" w:before="70"/>
        <w:ind w:left="2007" w:right="1892" w:firstLine="0"/>
        <w:jc w:val="both"/>
        <w:rPr>
          <w:i/>
          <w:sz w:val="24"/>
        </w:rPr>
      </w:pPr>
      <w:r>
        <w:rPr>
          <w:i/>
          <w:sz w:val="24"/>
        </w:rPr>
        <w:t>must pay over this amount into the assets of the company and they will be jointly and severally liable to do so.</w:t>
      </w:r>
      <w:r>
        <w:rPr>
          <w:i/>
          <w:sz w:val="24"/>
          <w:vertAlign w:val="superscript"/>
        </w:rPr>
        <w:t>41</w:t>
      </w:r>
    </w:p>
    <w:p>
      <w:pPr>
        <w:pStyle w:val="BodyText"/>
        <w:ind w:left="0"/>
        <w:rPr>
          <w:i/>
        </w:rPr>
      </w:pPr>
    </w:p>
    <w:p>
      <w:pPr>
        <w:pStyle w:val="BodyText"/>
        <w:spacing w:line="480" w:lineRule="auto"/>
        <w:ind w:right="232" w:firstLine="720"/>
        <w:jc w:val="both"/>
      </w:pPr>
      <w:r>
        <w:rPr/>
        <w:t>Though the decision above was decided based on the Companies Decree of 1968, the principle observed is no different from that in the present Act. Although the court admitted the director‘s right to delegate as was observed in </w:t>
      </w:r>
      <w:r>
        <w:rPr>
          <w:b/>
        </w:rPr>
        <w:t>Re City</w:t>
      </w:r>
      <w:r>
        <w:rPr/>
        <w:t>, yet the court was quick to caution that he must not thereby </w:t>
      </w:r>
      <w:r>
        <w:rPr>
          <w:i/>
        </w:rPr>
        <w:t>abdicate </w:t>
      </w:r>
      <w:r>
        <w:rPr/>
        <w:t>his responsibility. Particularly, the decision recognised the special offices of the chairman of the board and the managing director as having the potential of being judged by higher standards of care and skill. It is curious that the court found their conduct as amounting to ―gross negligence‖ in this case, suggesting that if their conduct had amounted to ―mere negligence,‖ they might have escaped liability.</w:t>
      </w:r>
      <w:r>
        <w:rPr>
          <w:vertAlign w:val="superscript"/>
        </w:rPr>
        <w:t>42</w:t>
      </w:r>
    </w:p>
    <w:p>
      <w:pPr>
        <w:pStyle w:val="BodyText"/>
        <w:spacing w:line="480" w:lineRule="auto" w:before="2"/>
        <w:ind w:right="230" w:firstLine="720"/>
        <w:jc w:val="both"/>
      </w:pPr>
      <w:r>
        <w:rPr/>
        <w:t>The departure by the CAMA from</w:t>
      </w:r>
      <w:r>
        <w:rPr>
          <w:spacing w:val="-4"/>
        </w:rPr>
        <w:t> </w:t>
      </w:r>
      <w:r>
        <w:rPr/>
        <w:t>the Common law position must have been an attempt to introduce</w:t>
      </w:r>
      <w:r>
        <w:rPr>
          <w:spacing w:val="-1"/>
        </w:rPr>
        <w:t> </w:t>
      </w:r>
      <w:r>
        <w:rPr/>
        <w:t>professionalism in the</w:t>
      </w:r>
      <w:r>
        <w:rPr>
          <w:spacing w:val="-1"/>
        </w:rPr>
        <w:t> </w:t>
      </w:r>
      <w:r>
        <w:rPr/>
        <w:t>office of</w:t>
      </w:r>
      <w:r>
        <w:rPr>
          <w:spacing w:val="-8"/>
        </w:rPr>
        <w:t> </w:t>
      </w:r>
      <w:r>
        <w:rPr/>
        <w:t>the</w:t>
      </w:r>
      <w:r>
        <w:rPr>
          <w:spacing w:val="-1"/>
        </w:rPr>
        <w:t> </w:t>
      </w:r>
      <w:r>
        <w:rPr/>
        <w:t>company</w:t>
      </w:r>
      <w:r>
        <w:rPr>
          <w:spacing w:val="-5"/>
        </w:rPr>
        <w:t> </w:t>
      </w:r>
      <w:r>
        <w:rPr/>
        <w:t>director in</w:t>
      </w:r>
      <w:r>
        <w:rPr>
          <w:spacing w:val="-5"/>
        </w:rPr>
        <w:t> </w:t>
      </w:r>
      <w:r>
        <w:rPr/>
        <w:t>accordance with modern day expectations. It is true that the company director is more in the limelight today</w:t>
      </w:r>
      <w:r>
        <w:rPr>
          <w:spacing w:val="-4"/>
        </w:rPr>
        <w:t> </w:t>
      </w:r>
      <w:r>
        <w:rPr/>
        <w:t>than he was decades ago. Corporate failures around the globe involving Enron, WorldCom, Vivendi, Madoff, Parmalat, Cadbury</w:t>
      </w:r>
      <w:r>
        <w:rPr>
          <w:spacing w:val="40"/>
        </w:rPr>
        <w:t> </w:t>
      </w:r>
      <w:r>
        <w:rPr/>
        <w:t>and several Nigerian banks,</w:t>
      </w:r>
      <w:r>
        <w:rPr>
          <w:vertAlign w:val="superscript"/>
        </w:rPr>
        <w:t>43</w:t>
      </w:r>
      <w:r>
        <w:rPr>
          <w:vertAlign w:val="baseline"/>
        </w:rPr>
        <w:t> have ensured that managers of companies are more in the spotlight now more than ever before. The failures have been partly attributed to the appointment by companies of unqualified</w:t>
      </w:r>
      <w:r>
        <w:rPr>
          <w:spacing w:val="37"/>
          <w:vertAlign w:val="baseline"/>
        </w:rPr>
        <w:t> </w:t>
      </w:r>
      <w:r>
        <w:rPr>
          <w:vertAlign w:val="baseline"/>
        </w:rPr>
        <w:t>or</w:t>
      </w:r>
      <w:r>
        <w:rPr>
          <w:spacing w:val="41"/>
          <w:vertAlign w:val="baseline"/>
        </w:rPr>
        <w:t> </w:t>
      </w:r>
      <w:r>
        <w:rPr>
          <w:vertAlign w:val="baseline"/>
        </w:rPr>
        <w:t>unskilled</w:t>
      </w:r>
      <w:r>
        <w:rPr>
          <w:spacing w:val="45"/>
          <w:vertAlign w:val="baseline"/>
        </w:rPr>
        <w:t> </w:t>
      </w:r>
      <w:r>
        <w:rPr>
          <w:vertAlign w:val="baseline"/>
        </w:rPr>
        <w:t>directors</w:t>
      </w:r>
      <w:r>
        <w:rPr>
          <w:spacing w:val="37"/>
          <w:vertAlign w:val="baseline"/>
        </w:rPr>
        <w:t> </w:t>
      </w:r>
      <w:r>
        <w:rPr>
          <w:vertAlign w:val="baseline"/>
        </w:rPr>
        <w:t>as</w:t>
      </w:r>
      <w:r>
        <w:rPr>
          <w:spacing w:val="38"/>
          <w:vertAlign w:val="baseline"/>
        </w:rPr>
        <w:t> </w:t>
      </w:r>
      <w:r>
        <w:rPr>
          <w:vertAlign w:val="baseline"/>
        </w:rPr>
        <w:t>well</w:t>
      </w:r>
      <w:r>
        <w:rPr>
          <w:spacing w:val="40"/>
          <w:vertAlign w:val="baseline"/>
        </w:rPr>
        <w:t> </w:t>
      </w:r>
      <w:r>
        <w:rPr>
          <w:vertAlign w:val="baseline"/>
        </w:rPr>
        <w:t>as</w:t>
      </w:r>
      <w:r>
        <w:rPr>
          <w:spacing w:val="41"/>
          <w:vertAlign w:val="baseline"/>
        </w:rPr>
        <w:t> </w:t>
      </w:r>
      <w:r>
        <w:rPr>
          <w:vertAlign w:val="baseline"/>
        </w:rPr>
        <w:t>the</w:t>
      </w:r>
      <w:r>
        <w:rPr>
          <w:spacing w:val="49"/>
          <w:vertAlign w:val="baseline"/>
        </w:rPr>
        <w:t> </w:t>
      </w:r>
      <w:r>
        <w:rPr>
          <w:vertAlign w:val="baseline"/>
        </w:rPr>
        <w:t>latter‘s</w:t>
      </w:r>
      <w:r>
        <w:rPr>
          <w:spacing w:val="37"/>
          <w:vertAlign w:val="baseline"/>
        </w:rPr>
        <w:t> </w:t>
      </w:r>
      <w:r>
        <w:rPr>
          <w:vertAlign w:val="baseline"/>
        </w:rPr>
        <w:t>outright</w:t>
      </w:r>
      <w:r>
        <w:rPr>
          <w:spacing w:val="45"/>
          <w:vertAlign w:val="baseline"/>
        </w:rPr>
        <w:t> </w:t>
      </w:r>
      <w:r>
        <w:rPr>
          <w:vertAlign w:val="baseline"/>
        </w:rPr>
        <w:t>negligence</w:t>
      </w:r>
      <w:r>
        <w:rPr>
          <w:spacing w:val="38"/>
          <w:vertAlign w:val="baseline"/>
        </w:rPr>
        <w:t> </w:t>
      </w:r>
      <w:r>
        <w:rPr>
          <w:vertAlign w:val="baseline"/>
        </w:rPr>
        <w:t>of</w:t>
      </w:r>
      <w:r>
        <w:rPr>
          <w:spacing w:val="32"/>
          <w:vertAlign w:val="baseline"/>
        </w:rPr>
        <w:t> </w:t>
      </w:r>
      <w:r>
        <w:rPr>
          <w:spacing w:val="-2"/>
          <w:vertAlign w:val="baseline"/>
        </w:rPr>
        <w:t>duty.</w:t>
      </w:r>
    </w:p>
    <w:p>
      <w:pPr>
        <w:pStyle w:val="BodyText"/>
        <w:ind w:left="0"/>
        <w:rPr>
          <w:sz w:val="20"/>
        </w:rPr>
      </w:pPr>
    </w:p>
    <w:p>
      <w:pPr>
        <w:pStyle w:val="BodyText"/>
        <w:ind w:left="0"/>
        <w:rPr>
          <w:sz w:val="20"/>
        </w:rPr>
      </w:pPr>
    </w:p>
    <w:p>
      <w:pPr>
        <w:pStyle w:val="BodyText"/>
        <w:spacing w:before="6"/>
        <w:ind w:left="0"/>
        <w:rPr>
          <w:sz w:val="20"/>
        </w:rPr>
      </w:pPr>
      <w:r>
        <w:rPr/>
        <mc:AlternateContent>
          <mc:Choice Requires="wps">
            <w:drawing>
              <wp:anchor distT="0" distB="0" distL="0" distR="0" allowOverlap="1" layoutInCell="1" locked="0" behindDoc="1" simplePos="0" relativeHeight="487640064">
                <wp:simplePos x="0" y="0"/>
                <wp:positionH relativeFrom="page">
                  <wp:posOffset>1262481</wp:posOffset>
                </wp:positionH>
                <wp:positionV relativeFrom="paragraph">
                  <wp:posOffset>165562</wp:posOffset>
                </wp:positionV>
                <wp:extent cx="1829435" cy="9525"/>
                <wp:effectExtent l="0" t="0" r="0" b="0"/>
                <wp:wrapTopAndBottom/>
                <wp:docPr id="114" name="Graphic 114"/>
                <wp:cNvGraphicFramePr>
                  <a:graphicFrameLocks/>
                </wp:cNvGraphicFramePr>
                <a:graphic>
                  <a:graphicData uri="http://schemas.microsoft.com/office/word/2010/wordprocessingShape">
                    <wps:wsp>
                      <wps:cNvPr id="114" name="Graphic 114"/>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3.036454pt;width:144.050pt;height:.72003pt;mso-position-horizontal-relative:page;mso-position-vertical-relative:paragraph;z-index:-15676416;mso-wrap-distance-left:0;mso-wrap-distance-right:0" id="docshape69"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41</w:t>
      </w:r>
      <w:r>
        <w:rPr>
          <w:rFonts w:ascii="Calibri"/>
          <w:sz w:val="20"/>
          <w:vertAlign w:val="baseline"/>
        </w:rPr>
        <w:t>Ibid.,</w:t>
      </w:r>
      <w:r>
        <w:rPr>
          <w:rFonts w:ascii="Calibri"/>
          <w:spacing w:val="-4"/>
          <w:sz w:val="20"/>
          <w:vertAlign w:val="baseline"/>
        </w:rPr>
        <w:t> </w:t>
      </w:r>
      <w:r>
        <w:rPr>
          <w:rFonts w:ascii="Calibri"/>
          <w:sz w:val="20"/>
          <w:vertAlign w:val="baseline"/>
        </w:rPr>
        <w:t>at</w:t>
      </w:r>
      <w:r>
        <w:rPr>
          <w:rFonts w:ascii="Calibri"/>
          <w:spacing w:val="-7"/>
          <w:sz w:val="20"/>
          <w:vertAlign w:val="baseline"/>
        </w:rPr>
        <w:t> </w:t>
      </w:r>
      <w:r>
        <w:rPr>
          <w:rFonts w:ascii="Calibri"/>
          <w:sz w:val="20"/>
          <w:vertAlign w:val="baseline"/>
        </w:rPr>
        <w:t>192-</w:t>
      </w:r>
      <w:r>
        <w:rPr>
          <w:rFonts w:ascii="Calibri"/>
          <w:spacing w:val="-4"/>
          <w:sz w:val="20"/>
          <w:vertAlign w:val="baseline"/>
        </w:rPr>
        <w:t>193.</w:t>
      </w:r>
    </w:p>
    <w:p>
      <w:pPr>
        <w:spacing w:line="240" w:lineRule="auto" w:before="1"/>
        <w:ind w:left="308" w:right="227" w:firstLine="0"/>
        <w:jc w:val="both"/>
        <w:rPr>
          <w:rFonts w:ascii="Calibri" w:hAnsi="Calibri"/>
          <w:sz w:val="20"/>
        </w:rPr>
      </w:pPr>
      <w:r>
        <w:rPr>
          <w:rFonts w:ascii="Calibri" w:hAnsi="Calibri"/>
          <w:sz w:val="20"/>
          <w:vertAlign w:val="superscript"/>
        </w:rPr>
        <w:t>42</w:t>
      </w:r>
      <w:r>
        <w:rPr>
          <w:rFonts w:ascii="Calibri" w:hAnsi="Calibri"/>
          <w:sz w:val="20"/>
          <w:vertAlign w:val="baseline"/>
        </w:rPr>
        <w:t>Apparently at common law, directors must be ‘culpably’ or ‘grossly’ negligent before they can be said to be in breach of the duty of care and diligence. See dicta of Romer J, Lindley MR and Rigby LJ respectively in </w:t>
      </w:r>
      <w:r>
        <w:rPr>
          <w:rFonts w:ascii="Calibri" w:hAnsi="Calibri"/>
          <w:i/>
          <w:sz w:val="20"/>
          <w:vertAlign w:val="baseline"/>
        </w:rPr>
        <w:t>Lagunas Nitrate Co. vs. Lagunas Nitrate Syndicate Ltd. </w:t>
      </w:r>
      <w:r>
        <w:rPr>
          <w:rFonts w:ascii="Calibri" w:hAnsi="Calibri"/>
          <w:sz w:val="20"/>
          <w:vertAlign w:val="baseline"/>
        </w:rPr>
        <w:t>(1899) 2 Ch. 392 at 418, 435 and 466 (CA). While the courts have long been unsure about exactly what ‘gross negligence’ means, apparently something more than what we may call ‘ordinary negligence’ is required. See Corkery, F.J. op.cit., p. 132.</w:t>
      </w:r>
    </w:p>
    <w:p>
      <w:pPr>
        <w:spacing w:line="244" w:lineRule="exact" w:before="0"/>
        <w:ind w:left="308" w:right="0" w:firstLine="0"/>
        <w:jc w:val="both"/>
        <w:rPr>
          <w:rFonts w:ascii="Calibri"/>
          <w:sz w:val="20"/>
        </w:rPr>
      </w:pPr>
      <w:r>
        <w:rPr>
          <w:rFonts w:ascii="Calibri"/>
          <w:sz w:val="20"/>
          <w:vertAlign w:val="superscript"/>
        </w:rPr>
        <w:t>43</w:t>
      </w:r>
      <w:r>
        <w:rPr>
          <w:rFonts w:ascii="Calibri"/>
          <w:sz w:val="20"/>
          <w:vertAlign w:val="baseline"/>
        </w:rPr>
        <w:t>Mostly</w:t>
      </w:r>
      <w:r>
        <w:rPr>
          <w:rFonts w:ascii="Calibri"/>
          <w:spacing w:val="-5"/>
          <w:sz w:val="20"/>
          <w:vertAlign w:val="baseline"/>
        </w:rPr>
        <w:t> </w:t>
      </w:r>
      <w:r>
        <w:rPr>
          <w:rFonts w:ascii="Calibri"/>
          <w:sz w:val="20"/>
          <w:vertAlign w:val="baseline"/>
        </w:rPr>
        <w:t>due</w:t>
      </w:r>
      <w:r>
        <w:rPr>
          <w:rFonts w:ascii="Calibri"/>
          <w:spacing w:val="-3"/>
          <w:sz w:val="20"/>
          <w:vertAlign w:val="baseline"/>
        </w:rPr>
        <w:t> </w:t>
      </w:r>
      <w:r>
        <w:rPr>
          <w:rFonts w:ascii="Calibri"/>
          <w:sz w:val="20"/>
          <w:vertAlign w:val="baseline"/>
        </w:rPr>
        <w:t>to</w:t>
      </w:r>
      <w:r>
        <w:rPr>
          <w:rFonts w:ascii="Calibri"/>
          <w:spacing w:val="-9"/>
          <w:sz w:val="20"/>
          <w:vertAlign w:val="baseline"/>
        </w:rPr>
        <w:t> </w:t>
      </w:r>
      <w:r>
        <w:rPr>
          <w:rFonts w:ascii="Calibri"/>
          <w:sz w:val="20"/>
          <w:vertAlign w:val="baseline"/>
        </w:rPr>
        <w:t>inadequate</w:t>
      </w:r>
      <w:r>
        <w:rPr>
          <w:rFonts w:ascii="Calibri"/>
          <w:spacing w:val="-8"/>
          <w:sz w:val="20"/>
          <w:vertAlign w:val="baseline"/>
        </w:rPr>
        <w:t> </w:t>
      </w:r>
      <w:r>
        <w:rPr>
          <w:rFonts w:ascii="Calibri"/>
          <w:sz w:val="20"/>
          <w:vertAlign w:val="baseline"/>
        </w:rPr>
        <w:t>supervision</w:t>
      </w:r>
      <w:r>
        <w:rPr>
          <w:rFonts w:ascii="Calibri"/>
          <w:spacing w:val="-9"/>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weak</w:t>
      </w:r>
      <w:r>
        <w:rPr>
          <w:rFonts w:ascii="Calibri"/>
          <w:spacing w:val="-9"/>
          <w:sz w:val="20"/>
          <w:vertAlign w:val="baseline"/>
        </w:rPr>
        <w:t> </w:t>
      </w:r>
      <w:r>
        <w:rPr>
          <w:rFonts w:ascii="Calibri"/>
          <w:sz w:val="20"/>
          <w:vertAlign w:val="baseline"/>
        </w:rPr>
        <w:t>management.</w:t>
      </w:r>
      <w:r>
        <w:rPr>
          <w:rFonts w:ascii="Calibri"/>
          <w:spacing w:val="-3"/>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Nworji,</w:t>
      </w:r>
      <w:r>
        <w:rPr>
          <w:rFonts w:ascii="Calibri"/>
          <w:spacing w:val="-10"/>
          <w:sz w:val="20"/>
          <w:vertAlign w:val="baseline"/>
        </w:rPr>
        <w:t> </w:t>
      </w:r>
      <w:r>
        <w:rPr>
          <w:rFonts w:ascii="Calibri"/>
          <w:sz w:val="20"/>
          <w:vertAlign w:val="baseline"/>
        </w:rPr>
        <w:t>D.I.,</w:t>
      </w:r>
      <w:r>
        <w:rPr>
          <w:rFonts w:ascii="Calibri"/>
          <w:spacing w:val="-6"/>
          <w:sz w:val="20"/>
          <w:vertAlign w:val="baseline"/>
        </w:rPr>
        <w:t> </w:t>
      </w:r>
      <w:r>
        <w:rPr>
          <w:rFonts w:ascii="Calibri"/>
          <w:sz w:val="20"/>
          <w:vertAlign w:val="baseline"/>
        </w:rPr>
        <w:t>Adebayo,</w:t>
      </w:r>
      <w:r>
        <w:rPr>
          <w:rFonts w:ascii="Calibri"/>
          <w:spacing w:val="-6"/>
          <w:sz w:val="20"/>
          <w:vertAlign w:val="baseline"/>
        </w:rPr>
        <w:t> </w:t>
      </w:r>
      <w:r>
        <w:rPr>
          <w:rFonts w:ascii="Calibri"/>
          <w:sz w:val="20"/>
          <w:vertAlign w:val="baseline"/>
        </w:rPr>
        <w:t>O.</w:t>
      </w:r>
      <w:r>
        <w:rPr>
          <w:rFonts w:ascii="Calibri"/>
          <w:spacing w:val="-2"/>
          <w:sz w:val="20"/>
          <w:vertAlign w:val="baseline"/>
        </w:rPr>
        <w:t> </w:t>
      </w:r>
      <w:r>
        <w:rPr>
          <w:rFonts w:ascii="Calibri"/>
          <w:sz w:val="20"/>
          <w:vertAlign w:val="baseline"/>
        </w:rPr>
        <w:t>and</w:t>
      </w:r>
      <w:r>
        <w:rPr>
          <w:rFonts w:ascii="Calibri"/>
          <w:spacing w:val="-9"/>
          <w:sz w:val="20"/>
          <w:vertAlign w:val="baseline"/>
        </w:rPr>
        <w:t> </w:t>
      </w:r>
      <w:r>
        <w:rPr>
          <w:rFonts w:ascii="Calibri"/>
          <w:spacing w:val="-2"/>
          <w:sz w:val="20"/>
          <w:vertAlign w:val="baseline"/>
        </w:rPr>
        <w:t>David,</w:t>
      </w:r>
    </w:p>
    <w:p>
      <w:pPr>
        <w:spacing w:before="0"/>
        <w:ind w:left="308" w:right="228" w:firstLine="0"/>
        <w:jc w:val="both"/>
        <w:rPr>
          <w:rFonts w:ascii="Calibri"/>
          <w:sz w:val="20"/>
        </w:rPr>
      </w:pPr>
      <w:r>
        <w:rPr>
          <w:rFonts w:ascii="Calibri"/>
          <w:sz w:val="20"/>
        </w:rPr>
        <w:t>O.A. (2011). Corporate Governance and Bank Failure in Nigeria: Issues, Challenges and Opportunities</w:t>
      </w:r>
      <w:r>
        <w:rPr>
          <w:rFonts w:ascii="Calibri"/>
          <w:i/>
          <w:sz w:val="20"/>
        </w:rPr>
        <w:t>.Research Journal of Finance and Accounting, </w:t>
      </w:r>
      <w:r>
        <w:rPr>
          <w:rFonts w:ascii="Calibri"/>
          <w:sz w:val="20"/>
        </w:rPr>
        <w:t>2(2): pp. 3-4. RetrievedDecember 3, 2013, from </w:t>
      </w:r>
      <w:hyperlink r:id="rId29">
        <w:r>
          <w:rPr>
            <w:rFonts w:ascii="Calibri"/>
            <w:color w:val="0000FF"/>
            <w:sz w:val="20"/>
            <w:u w:val="single" w:color="0000FF"/>
          </w:rPr>
          <w:t>www.iiste.org/Journals/index.php/RJFA/article/download/183/67</w:t>
        </w:r>
        <w:r>
          <w:rPr>
            <w:rFonts w:ascii="Calibri"/>
            <w:sz w:val="20"/>
          </w:rPr>
          <w:t>.</w:t>
        </w:r>
      </w:hyperlink>
    </w:p>
    <w:p>
      <w:pPr>
        <w:spacing w:after="0"/>
        <w:jc w:val="both"/>
        <w:rPr>
          <w:rFonts w:ascii="Calibri"/>
          <w:sz w:val="20"/>
        </w:rPr>
        <w:sectPr>
          <w:pgSz w:w="11910" w:h="16840"/>
          <w:pgMar w:header="0" w:footer="1003" w:top="1320" w:bottom="1200" w:left="1680" w:right="1180"/>
        </w:sectPr>
      </w:pPr>
    </w:p>
    <w:p>
      <w:pPr>
        <w:pStyle w:val="BodyText"/>
        <w:spacing w:line="480" w:lineRule="auto" w:before="110"/>
        <w:ind w:right="230"/>
        <w:jc w:val="both"/>
      </w:pPr>
      <w:r>
        <w:rPr/>
        <w:t>Consequently, the practise in some jurisdictions today, such as the UK,</w:t>
      </w:r>
      <w:r>
        <w:rPr>
          <w:vertAlign w:val="superscript"/>
        </w:rPr>
        <w:t>44</w:t>
      </w:r>
      <w:r>
        <w:rPr>
          <w:vertAlign w:val="baseline"/>
        </w:rPr>
        <w:t> Australia,</w:t>
      </w:r>
      <w:r>
        <w:rPr>
          <w:vertAlign w:val="superscript"/>
        </w:rPr>
        <w:t>45</w:t>
      </w:r>
      <w:r>
        <w:rPr>
          <w:vertAlign w:val="baseline"/>
        </w:rPr>
        <w:t>Hong Kong</w:t>
      </w:r>
      <w:r>
        <w:rPr>
          <w:vertAlign w:val="superscript"/>
        </w:rPr>
        <w:t>46</w:t>
      </w:r>
      <w:r>
        <w:rPr>
          <w:vertAlign w:val="baseline"/>
        </w:rPr>
        <w:t> and South Africa,</w:t>
      </w:r>
      <w:r>
        <w:rPr>
          <w:vertAlign w:val="superscript"/>
        </w:rPr>
        <w:t>47</w:t>
      </w:r>
      <w:r>
        <w:rPr>
          <w:vertAlign w:val="baseline"/>
        </w:rPr>
        <w:t> is for an added subjective standard</w:t>
      </w:r>
      <w:r>
        <w:rPr>
          <w:spacing w:val="40"/>
          <w:vertAlign w:val="baseline"/>
        </w:rPr>
        <w:t> </w:t>
      </w:r>
      <w:r>
        <w:rPr>
          <w:vertAlign w:val="baseline"/>
        </w:rPr>
        <w:t>required of</w:t>
      </w:r>
      <w:r>
        <w:rPr>
          <w:spacing w:val="-2"/>
          <w:vertAlign w:val="baseline"/>
        </w:rPr>
        <w:t> </w:t>
      </w:r>
      <w:r>
        <w:rPr>
          <w:vertAlign w:val="baseline"/>
        </w:rPr>
        <w:t>directors. This is suggested as having the potential to augment the objective test in</w:t>
      </w:r>
      <w:r>
        <w:rPr>
          <w:spacing w:val="-6"/>
          <w:vertAlign w:val="baseline"/>
        </w:rPr>
        <w:t> </w:t>
      </w:r>
      <w:r>
        <w:rPr>
          <w:vertAlign w:val="baseline"/>
        </w:rPr>
        <w:t>order</w:t>
      </w:r>
      <w:r>
        <w:rPr>
          <w:spacing w:val="-4"/>
          <w:vertAlign w:val="baseline"/>
        </w:rPr>
        <w:t> </w:t>
      </w:r>
      <w:r>
        <w:rPr>
          <w:vertAlign w:val="baseline"/>
        </w:rPr>
        <w:t>to hold</w:t>
      </w:r>
      <w:r>
        <w:rPr>
          <w:spacing w:val="-1"/>
          <w:vertAlign w:val="baseline"/>
        </w:rPr>
        <w:t> </w:t>
      </w:r>
      <w:r>
        <w:rPr>
          <w:vertAlign w:val="baseline"/>
        </w:rPr>
        <w:t>directors</w:t>
      </w:r>
      <w:r>
        <w:rPr>
          <w:spacing w:val="-3"/>
          <w:vertAlign w:val="baseline"/>
        </w:rPr>
        <w:t> </w:t>
      </w:r>
      <w:r>
        <w:rPr>
          <w:vertAlign w:val="baseline"/>
        </w:rPr>
        <w:t>responsible</w:t>
      </w:r>
      <w:r>
        <w:rPr>
          <w:spacing w:val="-2"/>
          <w:vertAlign w:val="baseline"/>
        </w:rPr>
        <w:t> </w:t>
      </w:r>
      <w:r>
        <w:rPr>
          <w:vertAlign w:val="baseline"/>
        </w:rPr>
        <w:t>where</w:t>
      </w:r>
      <w:r>
        <w:rPr>
          <w:spacing w:val="-2"/>
          <w:vertAlign w:val="baseline"/>
        </w:rPr>
        <w:t> </w:t>
      </w:r>
      <w:r>
        <w:rPr>
          <w:vertAlign w:val="baseline"/>
        </w:rPr>
        <w:t>they</w:t>
      </w:r>
      <w:r>
        <w:rPr>
          <w:spacing w:val="-6"/>
          <w:vertAlign w:val="baseline"/>
        </w:rPr>
        <w:t> </w:t>
      </w:r>
      <w:r>
        <w:rPr>
          <w:vertAlign w:val="baseline"/>
        </w:rPr>
        <w:t>have special</w:t>
      </w:r>
      <w:r>
        <w:rPr>
          <w:spacing w:val="-6"/>
          <w:vertAlign w:val="baseline"/>
        </w:rPr>
        <w:t> </w:t>
      </w:r>
      <w:r>
        <w:rPr>
          <w:vertAlign w:val="baseline"/>
        </w:rPr>
        <w:t>skills</w:t>
      </w:r>
      <w:r>
        <w:rPr>
          <w:spacing w:val="-3"/>
          <w:vertAlign w:val="baseline"/>
        </w:rPr>
        <w:t> </w:t>
      </w:r>
      <w:r>
        <w:rPr>
          <w:vertAlign w:val="baseline"/>
        </w:rPr>
        <w:t>or qualifications not necessarily possessed by their peers, whether they happen to be executive or non- executive directors.</w:t>
      </w:r>
    </w:p>
    <w:p>
      <w:pPr>
        <w:pStyle w:val="BodyText"/>
        <w:spacing w:line="480" w:lineRule="auto" w:before="1"/>
        <w:ind w:right="228" w:firstLine="720"/>
        <w:jc w:val="both"/>
      </w:pPr>
      <w:r>
        <w:rPr/>
        <w:t>Granted, the CAMA improved upon the former common law by requiring a uniform objective standard. But the practice these days is to move beyond that to demand more from directors. This is because, in the past, directors didn‘t usually have any qualifications per se. Cases like </w:t>
      </w:r>
      <w:r>
        <w:rPr>
          <w:b/>
        </w:rPr>
        <w:t>Re Brazillian </w:t>
      </w:r>
      <w:r>
        <w:rPr/>
        <w:t>and </w:t>
      </w:r>
      <w:r>
        <w:rPr>
          <w:b/>
        </w:rPr>
        <w:t>Re City </w:t>
      </w:r>
      <w:r>
        <w:rPr/>
        <w:t>above show that they were either put their in spite of their lack of knowledge and experience or simply because of the prestige that comes with their name. But in modern times directors are often educated and hold portfolios that testify to several qualifications, with impressive resumes. Even non-executive directors, who are in office simply to monitor management, are known to have their own qualifications. They are no longer expected</w:t>
      </w:r>
      <w:r>
        <w:rPr>
          <w:spacing w:val="40"/>
        </w:rPr>
        <w:t> </w:t>
      </w:r>
      <w:r>
        <w:rPr/>
        <w:t>to be mere figure heads, as corporate codes increasingly show.</w:t>
      </w:r>
      <w:r>
        <w:rPr>
          <w:vertAlign w:val="superscript"/>
        </w:rPr>
        <w:t>48</w:t>
      </w:r>
      <w:r>
        <w:rPr>
          <w:vertAlign w:val="baseline"/>
        </w:rPr>
        <w:t> Added to this, the</w:t>
      </w:r>
      <w:r>
        <w:rPr>
          <w:spacing w:val="40"/>
          <w:vertAlign w:val="baseline"/>
        </w:rPr>
        <w:t> </w:t>
      </w:r>
      <w:r>
        <w:rPr>
          <w:vertAlign w:val="baseline"/>
        </w:rPr>
        <w:t>office of company director these days is often specialized or departmentalised, so that a uniform</w:t>
      </w:r>
      <w:r>
        <w:rPr>
          <w:spacing w:val="-5"/>
          <w:vertAlign w:val="baseline"/>
        </w:rPr>
        <w:t> </w:t>
      </w:r>
      <w:r>
        <w:rPr>
          <w:vertAlign w:val="baseline"/>
        </w:rPr>
        <w:t>standard would be either unduly unfair or even too generous. Thus, the</w:t>
      </w:r>
      <w:r>
        <w:rPr>
          <w:spacing w:val="-1"/>
          <w:vertAlign w:val="baseline"/>
        </w:rPr>
        <w:t> </w:t>
      </w:r>
      <w:r>
        <w:rPr>
          <w:vertAlign w:val="baseline"/>
        </w:rPr>
        <w:t>practice these days is to require directors to live up to their resumes, that is, deliver as much as they</w:t>
      </w:r>
      <w:r>
        <w:rPr>
          <w:spacing w:val="40"/>
          <w:vertAlign w:val="baseline"/>
        </w:rPr>
        <w:t> </w:t>
      </w:r>
      <w:r>
        <w:rPr>
          <w:vertAlign w:val="baseline"/>
        </w:rPr>
        <w:t>hold</w:t>
      </w:r>
      <w:r>
        <w:rPr>
          <w:spacing w:val="59"/>
          <w:vertAlign w:val="baseline"/>
        </w:rPr>
        <w:t> </w:t>
      </w:r>
      <w:r>
        <w:rPr>
          <w:vertAlign w:val="baseline"/>
        </w:rPr>
        <w:t>out</w:t>
      </w:r>
      <w:r>
        <w:rPr>
          <w:spacing w:val="64"/>
          <w:vertAlign w:val="baseline"/>
        </w:rPr>
        <w:t> </w:t>
      </w:r>
      <w:r>
        <w:rPr>
          <w:vertAlign w:val="baseline"/>
        </w:rPr>
        <w:t>in</w:t>
      </w:r>
      <w:r>
        <w:rPr>
          <w:spacing w:val="40"/>
          <w:vertAlign w:val="baseline"/>
        </w:rPr>
        <w:t> </w:t>
      </w:r>
      <w:r>
        <w:rPr>
          <w:vertAlign w:val="baseline"/>
        </w:rPr>
        <w:t>capabilities,</w:t>
      </w:r>
      <w:r>
        <w:rPr>
          <w:spacing w:val="57"/>
          <w:vertAlign w:val="baseline"/>
        </w:rPr>
        <w:t> </w:t>
      </w:r>
      <w:r>
        <w:rPr>
          <w:vertAlign w:val="baseline"/>
        </w:rPr>
        <w:t>apart</w:t>
      </w:r>
      <w:r>
        <w:rPr>
          <w:spacing w:val="60"/>
          <w:vertAlign w:val="baseline"/>
        </w:rPr>
        <w:t> </w:t>
      </w:r>
      <w:r>
        <w:rPr>
          <w:vertAlign w:val="baseline"/>
        </w:rPr>
        <w:t>from</w:t>
      </w:r>
      <w:r>
        <w:rPr>
          <w:spacing w:val="40"/>
          <w:vertAlign w:val="baseline"/>
        </w:rPr>
        <w:t> </w:t>
      </w:r>
      <w:r>
        <w:rPr>
          <w:vertAlign w:val="baseline"/>
        </w:rPr>
        <w:t>the</w:t>
      </w:r>
      <w:r>
        <w:rPr>
          <w:spacing w:val="40"/>
          <w:vertAlign w:val="baseline"/>
        </w:rPr>
        <w:t> </w:t>
      </w:r>
      <w:r>
        <w:rPr>
          <w:vertAlign w:val="baseline"/>
        </w:rPr>
        <w:t>general</w:t>
      </w:r>
      <w:r>
        <w:rPr>
          <w:spacing w:val="40"/>
          <w:vertAlign w:val="baseline"/>
        </w:rPr>
        <w:t> </w:t>
      </w:r>
      <w:r>
        <w:rPr>
          <w:vertAlign w:val="baseline"/>
        </w:rPr>
        <w:t>rule</w:t>
      </w:r>
      <w:r>
        <w:rPr>
          <w:spacing w:val="40"/>
          <w:vertAlign w:val="baseline"/>
        </w:rPr>
        <w:t> </w:t>
      </w:r>
      <w:r>
        <w:rPr>
          <w:vertAlign w:val="baseline"/>
        </w:rPr>
        <w:t>of</w:t>
      </w:r>
      <w:r>
        <w:rPr>
          <w:spacing w:val="40"/>
          <w:vertAlign w:val="baseline"/>
        </w:rPr>
        <w:t> </w:t>
      </w:r>
      <w:r>
        <w:rPr>
          <w:vertAlign w:val="baseline"/>
        </w:rPr>
        <w:t>living</w:t>
      </w:r>
      <w:r>
        <w:rPr>
          <w:spacing w:val="40"/>
          <w:vertAlign w:val="baseline"/>
        </w:rPr>
        <w:t> </w:t>
      </w:r>
      <w:r>
        <w:rPr>
          <w:vertAlign w:val="baseline"/>
        </w:rPr>
        <w:t>up</w:t>
      </w:r>
      <w:r>
        <w:rPr>
          <w:spacing w:val="40"/>
          <w:vertAlign w:val="baseline"/>
        </w:rPr>
        <w:t> </w:t>
      </w:r>
      <w:r>
        <w:rPr>
          <w:vertAlign w:val="baseline"/>
        </w:rPr>
        <w:t>to</w:t>
      </w:r>
      <w:r>
        <w:rPr>
          <w:spacing w:val="40"/>
          <w:vertAlign w:val="baseline"/>
        </w:rPr>
        <w:t> </w:t>
      </w:r>
      <w:r>
        <w:rPr>
          <w:vertAlign w:val="baseline"/>
        </w:rPr>
        <w:t>objective</w:t>
      </w:r>
    </w:p>
    <w:p>
      <w:pPr>
        <w:pStyle w:val="BodyText"/>
        <w:ind w:left="0"/>
        <w:rPr>
          <w:sz w:val="20"/>
        </w:rPr>
      </w:pPr>
    </w:p>
    <w:p>
      <w:pPr>
        <w:pStyle w:val="BodyText"/>
        <w:ind w:left="0"/>
        <w:rPr>
          <w:sz w:val="20"/>
        </w:rPr>
      </w:pPr>
    </w:p>
    <w:p>
      <w:pPr>
        <w:pStyle w:val="BodyText"/>
        <w:ind w:left="0"/>
        <w:rPr>
          <w:sz w:val="20"/>
        </w:rPr>
      </w:pPr>
    </w:p>
    <w:p>
      <w:pPr>
        <w:pStyle w:val="BodyText"/>
        <w:spacing w:before="205"/>
        <w:ind w:left="0"/>
        <w:rPr>
          <w:sz w:val="20"/>
        </w:rPr>
      </w:pPr>
      <w:r>
        <w:rPr/>
        <mc:AlternateContent>
          <mc:Choice Requires="wps">
            <w:drawing>
              <wp:anchor distT="0" distB="0" distL="0" distR="0" allowOverlap="1" layoutInCell="1" locked="0" behindDoc="1" simplePos="0" relativeHeight="487640576">
                <wp:simplePos x="0" y="0"/>
                <wp:positionH relativeFrom="page">
                  <wp:posOffset>1262481</wp:posOffset>
                </wp:positionH>
                <wp:positionV relativeFrom="paragraph">
                  <wp:posOffset>291462</wp:posOffset>
                </wp:positionV>
                <wp:extent cx="1829435" cy="9525"/>
                <wp:effectExtent l="0" t="0" r="0" b="0"/>
                <wp:wrapTopAndBottom/>
                <wp:docPr id="115" name="Graphic 115"/>
                <wp:cNvGraphicFramePr>
                  <a:graphicFrameLocks/>
                </wp:cNvGraphicFramePr>
                <a:graphic>
                  <a:graphicData uri="http://schemas.microsoft.com/office/word/2010/wordprocessingShape">
                    <wps:wsp>
                      <wps:cNvPr id="115" name="Graphic 11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949835pt;width:144.050pt;height:.71997pt;mso-position-horizontal-relative:page;mso-position-vertical-relative:paragraph;z-index:-15675904;mso-wrap-distance-left:0;mso-wrap-distance-right:0" id="docshape70" filled="true" fillcolor="#000000" stroked="false">
                <v:fill type="solid"/>
                <w10:wrap type="topAndBottom"/>
              </v:rect>
            </w:pict>
          </mc:Fallback>
        </mc:AlternateContent>
      </w:r>
    </w:p>
    <w:p>
      <w:pPr>
        <w:spacing w:before="97"/>
        <w:ind w:left="308" w:right="0" w:firstLine="0"/>
        <w:jc w:val="left"/>
        <w:rPr>
          <w:rFonts w:ascii="Calibri"/>
          <w:sz w:val="20"/>
        </w:rPr>
      </w:pPr>
      <w:r>
        <w:rPr>
          <w:rFonts w:ascii="Calibri"/>
          <w:sz w:val="20"/>
          <w:vertAlign w:val="superscript"/>
        </w:rPr>
        <w:t>44</w:t>
      </w:r>
      <w:r>
        <w:rPr>
          <w:rFonts w:ascii="Calibri"/>
          <w:sz w:val="20"/>
          <w:vertAlign w:val="baseline"/>
        </w:rPr>
        <w:t> See</w:t>
      </w:r>
      <w:r>
        <w:rPr>
          <w:rFonts w:ascii="Calibri"/>
          <w:spacing w:val="-5"/>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174</w:t>
      </w:r>
      <w:r>
        <w:rPr>
          <w:rFonts w:ascii="Calibri"/>
          <w:spacing w:val="-7"/>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UK</w:t>
      </w:r>
      <w:r>
        <w:rPr>
          <w:rFonts w:ascii="Calibri"/>
          <w:spacing w:val="-5"/>
          <w:sz w:val="20"/>
          <w:vertAlign w:val="baseline"/>
        </w:rPr>
        <w:t> </w:t>
      </w:r>
      <w:r>
        <w:rPr>
          <w:rFonts w:ascii="Calibri"/>
          <w:sz w:val="20"/>
          <w:vertAlign w:val="baseline"/>
        </w:rPr>
        <w:t>Companies</w:t>
      </w:r>
      <w:r>
        <w:rPr>
          <w:rFonts w:ascii="Calibri"/>
          <w:spacing w:val="-3"/>
          <w:sz w:val="20"/>
          <w:vertAlign w:val="baseline"/>
        </w:rPr>
        <w:t> </w:t>
      </w:r>
      <w:r>
        <w:rPr>
          <w:rFonts w:ascii="Calibri"/>
          <w:sz w:val="20"/>
          <w:vertAlign w:val="baseline"/>
        </w:rPr>
        <w:t>Act</w:t>
      </w:r>
      <w:r>
        <w:rPr>
          <w:rFonts w:ascii="Calibri"/>
          <w:spacing w:val="-1"/>
          <w:sz w:val="20"/>
          <w:vertAlign w:val="baseline"/>
        </w:rPr>
        <w:t> </w:t>
      </w:r>
      <w:r>
        <w:rPr>
          <w:rFonts w:ascii="Calibri"/>
          <w:spacing w:val="-2"/>
          <w:sz w:val="20"/>
          <w:vertAlign w:val="baseline"/>
        </w:rPr>
        <w:t>2006.</w:t>
      </w:r>
    </w:p>
    <w:p>
      <w:pPr>
        <w:spacing w:before="1"/>
        <w:ind w:left="308" w:right="0" w:firstLine="0"/>
        <w:jc w:val="left"/>
        <w:rPr>
          <w:rFonts w:ascii="Calibri"/>
          <w:sz w:val="20"/>
        </w:rPr>
      </w:pPr>
      <w:r>
        <w:rPr>
          <w:rFonts w:ascii="Calibri"/>
          <w:sz w:val="20"/>
          <w:vertAlign w:val="superscript"/>
        </w:rPr>
        <w:t>45</w:t>
      </w:r>
      <w:r>
        <w:rPr>
          <w:rFonts w:ascii="Calibri"/>
          <w:spacing w:val="-2"/>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s.180(1)Australia</w:t>
      </w:r>
      <w:r>
        <w:rPr>
          <w:rFonts w:ascii="Calibri"/>
          <w:spacing w:val="-8"/>
          <w:sz w:val="20"/>
          <w:vertAlign w:val="baseline"/>
        </w:rPr>
        <w:t> </w:t>
      </w:r>
      <w:r>
        <w:rPr>
          <w:rFonts w:ascii="Calibri"/>
          <w:sz w:val="20"/>
          <w:vertAlign w:val="baseline"/>
        </w:rPr>
        <w:t>Corporations</w:t>
      </w:r>
      <w:r>
        <w:rPr>
          <w:rFonts w:ascii="Calibri"/>
          <w:spacing w:val="-10"/>
          <w:sz w:val="20"/>
          <w:vertAlign w:val="baseline"/>
        </w:rPr>
        <w:t> </w:t>
      </w:r>
      <w:r>
        <w:rPr>
          <w:rFonts w:ascii="Calibri"/>
          <w:sz w:val="20"/>
          <w:vertAlign w:val="baseline"/>
        </w:rPr>
        <w:t>Act</w:t>
      </w:r>
      <w:r>
        <w:rPr>
          <w:rFonts w:ascii="Calibri"/>
          <w:spacing w:val="-8"/>
          <w:sz w:val="20"/>
          <w:vertAlign w:val="baseline"/>
        </w:rPr>
        <w:t> </w:t>
      </w:r>
      <w:r>
        <w:rPr>
          <w:rFonts w:ascii="Calibri"/>
          <w:sz w:val="20"/>
          <w:vertAlign w:val="baseline"/>
        </w:rPr>
        <w:t>2001</w:t>
      </w:r>
      <w:r>
        <w:rPr>
          <w:rFonts w:ascii="Calibri"/>
          <w:spacing w:val="-5"/>
          <w:sz w:val="20"/>
          <w:vertAlign w:val="baseline"/>
        </w:rPr>
        <w:t> </w:t>
      </w:r>
      <w:r>
        <w:rPr>
          <w:rFonts w:ascii="Calibri"/>
          <w:sz w:val="20"/>
          <w:vertAlign w:val="baseline"/>
        </w:rPr>
        <w:t>(as</w:t>
      </w:r>
      <w:r>
        <w:rPr>
          <w:rFonts w:ascii="Calibri"/>
          <w:spacing w:val="-6"/>
          <w:sz w:val="20"/>
          <w:vertAlign w:val="baseline"/>
        </w:rPr>
        <w:t> </w:t>
      </w:r>
      <w:r>
        <w:rPr>
          <w:rFonts w:ascii="Calibri"/>
          <w:spacing w:val="-2"/>
          <w:sz w:val="20"/>
          <w:vertAlign w:val="baseline"/>
        </w:rPr>
        <w:t>amended).</w:t>
      </w:r>
    </w:p>
    <w:p>
      <w:pPr>
        <w:spacing w:before="1"/>
        <w:ind w:left="308" w:right="0" w:firstLine="0"/>
        <w:jc w:val="left"/>
        <w:rPr>
          <w:rFonts w:ascii="Calibri"/>
          <w:sz w:val="20"/>
        </w:rPr>
      </w:pPr>
      <w:r>
        <w:rPr>
          <w:rFonts w:ascii="Calibri"/>
          <w:sz w:val="20"/>
          <w:vertAlign w:val="superscript"/>
        </w:rPr>
        <w:t>46</w:t>
      </w:r>
      <w:r>
        <w:rPr>
          <w:rFonts w:ascii="Calibri"/>
          <w:sz w:val="20"/>
          <w:vertAlign w:val="baseline"/>
        </w:rPr>
        <w:t> See</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465</w:t>
      </w:r>
      <w:r>
        <w:rPr>
          <w:rFonts w:ascii="Calibri"/>
          <w:spacing w:val="-8"/>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new</w:t>
      </w:r>
      <w:r>
        <w:rPr>
          <w:rFonts w:ascii="Calibri"/>
          <w:spacing w:val="-6"/>
          <w:sz w:val="20"/>
          <w:vertAlign w:val="baseline"/>
        </w:rPr>
        <w:t> </w:t>
      </w:r>
      <w:r>
        <w:rPr>
          <w:rFonts w:ascii="Calibri"/>
          <w:sz w:val="20"/>
          <w:vertAlign w:val="baseline"/>
        </w:rPr>
        <w:t>Hong</w:t>
      </w:r>
      <w:r>
        <w:rPr>
          <w:rFonts w:ascii="Calibri"/>
          <w:spacing w:val="-6"/>
          <w:sz w:val="20"/>
          <w:vertAlign w:val="baseline"/>
        </w:rPr>
        <w:t> </w:t>
      </w:r>
      <w:r>
        <w:rPr>
          <w:rFonts w:ascii="Calibri"/>
          <w:sz w:val="20"/>
          <w:vertAlign w:val="baseline"/>
        </w:rPr>
        <w:t>Kong Companies</w:t>
      </w:r>
      <w:r>
        <w:rPr>
          <w:rFonts w:ascii="Calibri"/>
          <w:spacing w:val="-7"/>
          <w:sz w:val="20"/>
          <w:vertAlign w:val="baseline"/>
        </w:rPr>
        <w:t> </w:t>
      </w:r>
      <w:r>
        <w:rPr>
          <w:rFonts w:ascii="Calibri"/>
          <w:sz w:val="20"/>
          <w:vertAlign w:val="baseline"/>
        </w:rPr>
        <w:t>Ordinance</w:t>
      </w:r>
      <w:r>
        <w:rPr>
          <w:rFonts w:ascii="Calibri"/>
          <w:spacing w:val="-6"/>
          <w:sz w:val="20"/>
          <w:vertAlign w:val="baseline"/>
        </w:rPr>
        <w:t> </w:t>
      </w:r>
      <w:r>
        <w:rPr>
          <w:rFonts w:ascii="Calibri"/>
          <w:spacing w:val="-2"/>
          <w:sz w:val="20"/>
          <w:vertAlign w:val="baseline"/>
        </w:rPr>
        <w:t>2012.</w:t>
      </w:r>
    </w:p>
    <w:p>
      <w:pPr>
        <w:spacing w:before="1"/>
        <w:ind w:left="308" w:right="0" w:firstLine="0"/>
        <w:jc w:val="left"/>
        <w:rPr>
          <w:rFonts w:ascii="Calibri"/>
          <w:sz w:val="20"/>
        </w:rPr>
      </w:pPr>
      <w:r>
        <w:rPr>
          <w:rFonts w:ascii="Calibri"/>
          <w:sz w:val="20"/>
          <w:vertAlign w:val="superscript"/>
        </w:rPr>
        <w:t>47</w:t>
      </w:r>
      <w:r>
        <w:rPr>
          <w:rFonts w:ascii="Calibri"/>
          <w:spacing w:val="-3"/>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s.</w:t>
      </w:r>
      <w:r>
        <w:rPr>
          <w:rFonts w:ascii="Calibri"/>
          <w:spacing w:val="-2"/>
          <w:sz w:val="20"/>
          <w:vertAlign w:val="baseline"/>
        </w:rPr>
        <w:t> </w:t>
      </w:r>
      <w:r>
        <w:rPr>
          <w:rFonts w:ascii="Calibri"/>
          <w:sz w:val="20"/>
          <w:vertAlign w:val="baseline"/>
        </w:rPr>
        <w:t>76(3)(c)</w:t>
      </w:r>
      <w:r>
        <w:rPr>
          <w:rFonts w:ascii="Calibri"/>
          <w:spacing w:val="-4"/>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South</w:t>
      </w:r>
      <w:r>
        <w:rPr>
          <w:rFonts w:ascii="Calibri"/>
          <w:spacing w:val="-9"/>
          <w:sz w:val="20"/>
          <w:vertAlign w:val="baseline"/>
        </w:rPr>
        <w:t> </w:t>
      </w:r>
      <w:r>
        <w:rPr>
          <w:rFonts w:ascii="Calibri"/>
          <w:sz w:val="20"/>
          <w:vertAlign w:val="baseline"/>
        </w:rPr>
        <w:t>African</w:t>
      </w:r>
      <w:r>
        <w:rPr>
          <w:rFonts w:ascii="Calibri"/>
          <w:spacing w:val="-5"/>
          <w:sz w:val="20"/>
          <w:vertAlign w:val="baseline"/>
        </w:rPr>
        <w:t> </w:t>
      </w:r>
      <w:r>
        <w:rPr>
          <w:rFonts w:ascii="Calibri"/>
          <w:sz w:val="20"/>
          <w:vertAlign w:val="baseline"/>
        </w:rPr>
        <w:t>Companies</w:t>
      </w:r>
      <w:r>
        <w:rPr>
          <w:rFonts w:ascii="Calibri"/>
          <w:spacing w:val="-5"/>
          <w:sz w:val="20"/>
          <w:vertAlign w:val="baseline"/>
        </w:rPr>
        <w:t> </w:t>
      </w:r>
      <w:r>
        <w:rPr>
          <w:rFonts w:ascii="Calibri"/>
          <w:sz w:val="20"/>
          <w:vertAlign w:val="baseline"/>
        </w:rPr>
        <w:t>Act</w:t>
      </w:r>
      <w:r>
        <w:rPr>
          <w:rFonts w:ascii="Calibri"/>
          <w:spacing w:val="-9"/>
          <w:sz w:val="20"/>
          <w:vertAlign w:val="baseline"/>
        </w:rPr>
        <w:t> </w:t>
      </w:r>
      <w:r>
        <w:rPr>
          <w:rFonts w:ascii="Calibri"/>
          <w:spacing w:val="-2"/>
          <w:sz w:val="20"/>
          <w:vertAlign w:val="baseline"/>
        </w:rPr>
        <w:t>2008.</w:t>
      </w:r>
    </w:p>
    <w:p>
      <w:pPr>
        <w:spacing w:before="0"/>
        <w:ind w:left="308" w:right="232" w:firstLine="0"/>
        <w:jc w:val="both"/>
        <w:rPr>
          <w:rFonts w:ascii="Calibri" w:hAnsi="Calibri"/>
          <w:sz w:val="20"/>
        </w:rPr>
      </w:pPr>
      <w:r>
        <w:rPr>
          <w:rFonts w:ascii="Calibri" w:hAnsi="Calibri"/>
          <w:sz w:val="20"/>
          <w:vertAlign w:val="superscript"/>
        </w:rPr>
        <w:t>48</w:t>
      </w:r>
      <w:r>
        <w:rPr>
          <w:rFonts w:ascii="Calibri" w:hAnsi="Calibri"/>
          <w:sz w:val="20"/>
          <w:vertAlign w:val="baseline"/>
        </w:rPr>
        <w:t> See generally Nigeria</w:t>
      </w:r>
      <w:r>
        <w:rPr>
          <w:rFonts w:ascii="Calibri" w:hAnsi="Calibri"/>
          <w:spacing w:val="-1"/>
          <w:sz w:val="20"/>
          <w:vertAlign w:val="baseline"/>
        </w:rPr>
        <w:t> </w:t>
      </w:r>
      <w:r>
        <w:rPr>
          <w:rFonts w:ascii="Calibri" w:hAnsi="Calibri"/>
          <w:sz w:val="20"/>
          <w:vertAlign w:val="baseline"/>
        </w:rPr>
        <w:t>Securities and Exchange Commission’s Code of Corporate Governance for Public Companies 2011 and the Central Bank of Nigeria Code of Corporate Governance for Banks Post Consolidation</w:t>
      </w:r>
      <w:r>
        <w:rPr>
          <w:rFonts w:ascii="Calibri" w:hAnsi="Calibri"/>
          <w:spacing w:val="-1"/>
          <w:sz w:val="20"/>
          <w:vertAlign w:val="baseline"/>
        </w:rPr>
        <w:t> </w:t>
      </w:r>
      <w:r>
        <w:rPr>
          <w:rFonts w:ascii="Calibri" w:hAnsi="Calibri"/>
          <w:sz w:val="20"/>
          <w:vertAlign w:val="baseline"/>
        </w:rPr>
        <w:t>2006.</w:t>
      </w:r>
    </w:p>
    <w:p>
      <w:pPr>
        <w:spacing w:after="0"/>
        <w:jc w:val="both"/>
        <w:rPr>
          <w:rFonts w:ascii="Calibri" w:hAnsi="Calibri"/>
          <w:sz w:val="20"/>
        </w:rPr>
        <w:sectPr>
          <w:pgSz w:w="11910" w:h="16840"/>
          <w:pgMar w:header="0" w:footer="1003" w:top="1280" w:bottom="1200" w:left="1680" w:right="1180"/>
        </w:sectPr>
      </w:pPr>
    </w:p>
    <w:p>
      <w:pPr>
        <w:pStyle w:val="BodyText"/>
        <w:spacing w:line="480" w:lineRule="auto" w:before="110"/>
        <w:ind w:right="230"/>
        <w:jc w:val="both"/>
      </w:pPr>
      <w:r>
        <w:rPr/>
        <w:t>standards.</w:t>
      </w:r>
      <w:r>
        <w:rPr>
          <w:vertAlign w:val="superscript"/>
        </w:rPr>
        <w:t>49</w:t>
      </w:r>
      <w:r>
        <w:rPr>
          <w:vertAlign w:val="baseline"/>
        </w:rPr>
        <w:t> This is considered a better way by addressing the issue of standard of care</w:t>
      </w:r>
      <w:r>
        <w:rPr>
          <w:spacing w:val="40"/>
          <w:vertAlign w:val="baseline"/>
        </w:rPr>
        <w:t> </w:t>
      </w:r>
      <w:r>
        <w:rPr>
          <w:vertAlign w:val="baseline"/>
        </w:rPr>
        <w:t>in relation</w:t>
      </w:r>
      <w:r>
        <w:rPr>
          <w:spacing w:val="-1"/>
          <w:vertAlign w:val="baseline"/>
        </w:rPr>
        <w:t> </w:t>
      </w:r>
      <w:r>
        <w:rPr>
          <w:vertAlign w:val="baseline"/>
        </w:rPr>
        <w:t>to specializations and company</w:t>
      </w:r>
      <w:r>
        <w:rPr>
          <w:spacing w:val="-5"/>
          <w:vertAlign w:val="baseline"/>
        </w:rPr>
        <w:t> </w:t>
      </w:r>
      <w:r>
        <w:rPr>
          <w:vertAlign w:val="baseline"/>
        </w:rPr>
        <w:t>types. Thus, even a non-executive director, if he has any special qualifications or experience, will be bound to put it to the use of the company. Currently under s.282, the director need not display more than the reasonable standard,</w:t>
      </w:r>
      <w:r>
        <w:rPr>
          <w:spacing w:val="-1"/>
          <w:vertAlign w:val="baseline"/>
        </w:rPr>
        <w:t> </w:t>
      </w:r>
      <w:r>
        <w:rPr>
          <w:vertAlign w:val="baseline"/>
        </w:rPr>
        <w:t>unless</w:t>
      </w:r>
      <w:r>
        <w:rPr>
          <w:spacing w:val="-1"/>
          <w:vertAlign w:val="baseline"/>
        </w:rPr>
        <w:t> </w:t>
      </w:r>
      <w:r>
        <w:rPr>
          <w:vertAlign w:val="baseline"/>
        </w:rPr>
        <w:t>his</w:t>
      </w:r>
      <w:r>
        <w:rPr>
          <w:spacing w:val="-4"/>
          <w:vertAlign w:val="baseline"/>
        </w:rPr>
        <w:t> </w:t>
      </w:r>
      <w:r>
        <w:rPr>
          <w:vertAlign w:val="baseline"/>
        </w:rPr>
        <w:t>service</w:t>
      </w:r>
      <w:r>
        <w:rPr>
          <w:spacing w:val="-3"/>
          <w:vertAlign w:val="baseline"/>
        </w:rPr>
        <w:t> </w:t>
      </w:r>
      <w:r>
        <w:rPr>
          <w:vertAlign w:val="baseline"/>
        </w:rPr>
        <w:t>contract requires</w:t>
      </w:r>
      <w:r>
        <w:rPr>
          <w:spacing w:val="-1"/>
          <w:vertAlign w:val="baseline"/>
        </w:rPr>
        <w:t> </w:t>
      </w:r>
      <w:r>
        <w:rPr>
          <w:vertAlign w:val="baseline"/>
        </w:rPr>
        <w:t>it.</w:t>
      </w:r>
      <w:r>
        <w:rPr>
          <w:spacing w:val="-1"/>
          <w:vertAlign w:val="baseline"/>
        </w:rPr>
        <w:t> </w:t>
      </w:r>
      <w:r>
        <w:rPr>
          <w:vertAlign w:val="baseline"/>
        </w:rPr>
        <w:t>But</w:t>
      </w:r>
      <w:r>
        <w:rPr>
          <w:spacing w:val="-3"/>
          <w:vertAlign w:val="baseline"/>
        </w:rPr>
        <w:t> </w:t>
      </w:r>
      <w:r>
        <w:rPr>
          <w:vertAlign w:val="baseline"/>
        </w:rPr>
        <w:t>the law ought</w:t>
      </w:r>
      <w:r>
        <w:rPr>
          <w:spacing w:val="-3"/>
          <w:vertAlign w:val="baseline"/>
        </w:rPr>
        <w:t> </w:t>
      </w:r>
      <w:r>
        <w:rPr>
          <w:vertAlign w:val="baseline"/>
        </w:rPr>
        <w:t>to allow</w:t>
      </w:r>
      <w:r>
        <w:rPr>
          <w:spacing w:val="-3"/>
          <w:vertAlign w:val="baseline"/>
        </w:rPr>
        <w:t> </w:t>
      </w:r>
      <w:r>
        <w:rPr>
          <w:vertAlign w:val="baseline"/>
        </w:rPr>
        <w:t>companies</w:t>
      </w:r>
      <w:r>
        <w:rPr>
          <w:spacing w:val="-4"/>
          <w:vertAlign w:val="baseline"/>
        </w:rPr>
        <w:t> </w:t>
      </w:r>
      <w:r>
        <w:rPr>
          <w:vertAlign w:val="baseline"/>
        </w:rPr>
        <w:t>to apply the subjective test to a director with more experience than ―reasonable‖ in addition</w:t>
      </w:r>
      <w:r>
        <w:rPr>
          <w:spacing w:val="-5"/>
          <w:vertAlign w:val="baseline"/>
        </w:rPr>
        <w:t> </w:t>
      </w:r>
      <w:r>
        <w:rPr>
          <w:vertAlign w:val="baseline"/>
        </w:rPr>
        <w:t>to the</w:t>
      </w:r>
      <w:r>
        <w:rPr>
          <w:spacing w:val="-1"/>
          <w:vertAlign w:val="baseline"/>
        </w:rPr>
        <w:t> </w:t>
      </w:r>
      <w:r>
        <w:rPr>
          <w:vertAlign w:val="baseline"/>
        </w:rPr>
        <w:t>minimum</w:t>
      </w:r>
      <w:r>
        <w:rPr>
          <w:spacing w:val="-5"/>
          <w:vertAlign w:val="baseline"/>
        </w:rPr>
        <w:t> </w:t>
      </w:r>
      <w:r>
        <w:rPr>
          <w:vertAlign w:val="baseline"/>
        </w:rPr>
        <w:t>objective</w:t>
      </w:r>
      <w:r>
        <w:rPr>
          <w:spacing w:val="-1"/>
          <w:vertAlign w:val="baseline"/>
        </w:rPr>
        <w:t> </w:t>
      </w:r>
      <w:r>
        <w:rPr>
          <w:vertAlign w:val="baseline"/>
        </w:rPr>
        <w:t>standard. This will be fairer to categories</w:t>
      </w:r>
      <w:r>
        <w:rPr>
          <w:spacing w:val="-2"/>
          <w:vertAlign w:val="baseline"/>
        </w:rPr>
        <w:t> </w:t>
      </w:r>
      <w:r>
        <w:rPr>
          <w:vertAlign w:val="baseline"/>
        </w:rPr>
        <w:t>of</w:t>
      </w:r>
      <w:r>
        <w:rPr>
          <w:spacing w:val="-8"/>
          <w:vertAlign w:val="baseline"/>
        </w:rPr>
        <w:t> </w:t>
      </w:r>
      <w:r>
        <w:rPr>
          <w:vertAlign w:val="baseline"/>
        </w:rPr>
        <w:t>directors and also discourage embellishment of resumes.</w:t>
      </w:r>
    </w:p>
    <w:p>
      <w:pPr>
        <w:pStyle w:val="BodyText"/>
        <w:spacing w:line="480" w:lineRule="auto" w:before="2"/>
        <w:ind w:right="228" w:firstLine="720"/>
        <w:jc w:val="both"/>
      </w:pPr>
      <w:r>
        <w:rPr/>
        <w:t>To complement the CAMA and encourage companies to measure up to the standards of modern time, corporate codes of governance have also been periodically formulated and reviewed as guidelines by government agencies, such as the Central Bank of Nigeria (CBN) and the Securities and Exchange Commission (SEC) and these clearly demand of directors to be somewhat more of professionals. In particular, the CBN Code of Corporate Governance for Banks Post Consolidation 2006 in paragraphs 4.11, 5.3.2, and 5.3.3, requires bank directors ―to be knowledgeable in business and financial matters and also possess the requisite experience‖</w:t>
      </w:r>
      <w:r>
        <w:rPr>
          <w:vertAlign w:val="superscript"/>
        </w:rPr>
        <w:t>50</w:t>
      </w:r>
      <w:r>
        <w:rPr>
          <w:vertAlign w:val="baseline"/>
        </w:rPr>
        <w:t> and charges banks to ensure the regular training and education of board members. Under the present rules, having bank directors conducting themselves as those of </w:t>
      </w:r>
      <w:r>
        <w:rPr>
          <w:b/>
          <w:vertAlign w:val="baseline"/>
        </w:rPr>
        <w:t>Adebayo vs. Johnson</w:t>
      </w:r>
      <w:r>
        <w:rPr>
          <w:vertAlign w:val="baseline"/>
        </w:rPr>
        <w:t>, would be highly unlikely.</w:t>
      </w:r>
    </w:p>
    <w:p>
      <w:pPr>
        <w:pStyle w:val="BodyText"/>
        <w:spacing w:line="480" w:lineRule="auto" w:before="2"/>
        <w:ind w:right="230" w:firstLine="720"/>
        <w:jc w:val="both"/>
      </w:pPr>
      <w:r>
        <w:rPr/>
        <mc:AlternateContent>
          <mc:Choice Requires="wps">
            <w:drawing>
              <wp:anchor distT="0" distB="0" distL="0" distR="0" allowOverlap="1" layoutInCell="1" locked="0" behindDoc="1" simplePos="0" relativeHeight="487641088">
                <wp:simplePos x="0" y="0"/>
                <wp:positionH relativeFrom="page">
                  <wp:posOffset>1262481</wp:posOffset>
                </wp:positionH>
                <wp:positionV relativeFrom="paragraph">
                  <wp:posOffset>1079430</wp:posOffset>
                </wp:positionV>
                <wp:extent cx="1829435" cy="9525"/>
                <wp:effectExtent l="0" t="0" r="0" b="0"/>
                <wp:wrapTopAndBottom/>
                <wp:docPr id="116" name="Graphic 116"/>
                <wp:cNvGraphicFramePr>
                  <a:graphicFrameLocks/>
                </wp:cNvGraphicFramePr>
                <a:graphic>
                  <a:graphicData uri="http://schemas.microsoft.com/office/word/2010/wordprocessingShape">
                    <wps:wsp>
                      <wps:cNvPr id="116" name="Graphic 11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4.99456pt;width:144.050pt;height:.71997pt;mso-position-horizontal-relative:page;mso-position-vertical-relative:paragraph;z-index:-15675392;mso-wrap-distance-left:0;mso-wrap-distance-right:0" id="docshape71" filled="true" fillcolor="#000000" stroked="false">
                <v:fill type="solid"/>
                <w10:wrap type="topAndBottom"/>
              </v:rect>
            </w:pict>
          </mc:Fallback>
        </mc:AlternateContent>
      </w:r>
      <w:r>
        <w:rPr/>
        <w:t>Recall that a company is not </w:t>
      </w:r>
      <w:r>
        <w:rPr>
          <w:i/>
        </w:rPr>
        <w:t>legally </w:t>
      </w:r>
      <w:r>
        <w:rPr/>
        <w:t>bound to appoint </w:t>
      </w:r>
      <w:r>
        <w:rPr>
          <w:i/>
        </w:rPr>
        <w:t>competent </w:t>
      </w:r>
      <w:r>
        <w:rPr/>
        <w:t>directors,</w:t>
      </w:r>
      <w:r>
        <w:rPr>
          <w:vertAlign w:val="superscript"/>
        </w:rPr>
        <w:t>51</w:t>
      </w:r>
      <w:r>
        <w:rPr>
          <w:vertAlign w:val="baseline"/>
        </w:rPr>
        <w:t> unlike the case of the company secretary provided for under s. 296 of the CAMA, wherein</w:t>
      </w:r>
      <w:r>
        <w:rPr>
          <w:spacing w:val="24"/>
          <w:vertAlign w:val="baseline"/>
        </w:rPr>
        <w:t> </w:t>
      </w:r>
      <w:r>
        <w:rPr>
          <w:vertAlign w:val="baseline"/>
        </w:rPr>
        <w:t>it</w:t>
      </w:r>
      <w:r>
        <w:rPr>
          <w:spacing w:val="29"/>
          <w:vertAlign w:val="baseline"/>
        </w:rPr>
        <w:t> </w:t>
      </w:r>
      <w:r>
        <w:rPr>
          <w:vertAlign w:val="baseline"/>
        </w:rPr>
        <w:t>is</w:t>
      </w:r>
      <w:r>
        <w:rPr>
          <w:spacing w:val="26"/>
          <w:vertAlign w:val="baseline"/>
        </w:rPr>
        <w:t> </w:t>
      </w:r>
      <w:r>
        <w:rPr>
          <w:vertAlign w:val="baseline"/>
        </w:rPr>
        <w:t>stated</w:t>
      </w:r>
      <w:r>
        <w:rPr>
          <w:spacing w:val="14"/>
          <w:vertAlign w:val="baseline"/>
        </w:rPr>
        <w:t> </w:t>
      </w:r>
      <w:r>
        <w:rPr>
          <w:vertAlign w:val="baseline"/>
        </w:rPr>
        <w:t>that</w:t>
      </w:r>
      <w:r>
        <w:rPr>
          <w:spacing w:val="24"/>
          <w:vertAlign w:val="baseline"/>
        </w:rPr>
        <w:t> </w:t>
      </w:r>
      <w:r>
        <w:rPr>
          <w:vertAlign w:val="baseline"/>
        </w:rPr>
        <w:t>a</w:t>
      </w:r>
      <w:r>
        <w:rPr>
          <w:spacing w:val="18"/>
          <w:vertAlign w:val="baseline"/>
        </w:rPr>
        <w:t> </w:t>
      </w:r>
      <w:r>
        <w:rPr>
          <w:vertAlign w:val="baseline"/>
        </w:rPr>
        <w:t>director</w:t>
      </w:r>
      <w:r>
        <w:rPr>
          <w:spacing w:val="25"/>
          <w:vertAlign w:val="baseline"/>
        </w:rPr>
        <w:t> </w:t>
      </w:r>
      <w:r>
        <w:rPr>
          <w:vertAlign w:val="baseline"/>
        </w:rPr>
        <w:t>is</w:t>
      </w:r>
      <w:r>
        <w:rPr>
          <w:spacing w:val="17"/>
          <w:vertAlign w:val="baseline"/>
        </w:rPr>
        <w:t> </w:t>
      </w:r>
      <w:r>
        <w:rPr>
          <w:vertAlign w:val="baseline"/>
        </w:rPr>
        <w:t>duty</w:t>
      </w:r>
      <w:r>
        <w:rPr>
          <w:spacing w:val="19"/>
          <w:vertAlign w:val="baseline"/>
        </w:rPr>
        <w:t> </w:t>
      </w:r>
      <w:r>
        <w:rPr>
          <w:vertAlign w:val="baseline"/>
        </w:rPr>
        <w:t>bound</w:t>
      </w:r>
      <w:r>
        <w:rPr>
          <w:spacing w:val="24"/>
          <w:vertAlign w:val="baseline"/>
        </w:rPr>
        <w:t> </w:t>
      </w:r>
      <w:r>
        <w:rPr>
          <w:vertAlign w:val="baseline"/>
        </w:rPr>
        <w:t>to</w:t>
      </w:r>
      <w:r>
        <w:rPr>
          <w:spacing w:val="19"/>
          <w:vertAlign w:val="baseline"/>
        </w:rPr>
        <w:t> </w:t>
      </w:r>
      <w:r>
        <w:rPr>
          <w:vertAlign w:val="baseline"/>
        </w:rPr>
        <w:t>take</w:t>
      </w:r>
      <w:r>
        <w:rPr>
          <w:spacing w:val="18"/>
          <w:vertAlign w:val="baseline"/>
        </w:rPr>
        <w:t> </w:t>
      </w:r>
      <w:r>
        <w:rPr>
          <w:vertAlign w:val="baseline"/>
        </w:rPr>
        <w:t>all</w:t>
      </w:r>
      <w:r>
        <w:rPr>
          <w:spacing w:val="15"/>
          <w:vertAlign w:val="baseline"/>
        </w:rPr>
        <w:t> </w:t>
      </w:r>
      <w:r>
        <w:rPr>
          <w:vertAlign w:val="baseline"/>
        </w:rPr>
        <w:t>reasonable</w:t>
      </w:r>
      <w:r>
        <w:rPr>
          <w:spacing w:val="23"/>
          <w:vertAlign w:val="baseline"/>
        </w:rPr>
        <w:t> </w:t>
      </w:r>
      <w:r>
        <w:rPr>
          <w:vertAlign w:val="baseline"/>
        </w:rPr>
        <w:t>steps</w:t>
      </w:r>
      <w:r>
        <w:rPr>
          <w:spacing w:val="17"/>
          <w:vertAlign w:val="baseline"/>
        </w:rPr>
        <w:t> </w:t>
      </w:r>
      <w:r>
        <w:rPr>
          <w:vertAlign w:val="baseline"/>
        </w:rPr>
        <w:t>to</w:t>
      </w:r>
      <w:r>
        <w:rPr>
          <w:spacing w:val="24"/>
          <w:vertAlign w:val="baseline"/>
        </w:rPr>
        <w:t> </w:t>
      </w:r>
      <w:r>
        <w:rPr>
          <w:vertAlign w:val="baseline"/>
        </w:rPr>
        <w:t>ensure</w:t>
      </w:r>
    </w:p>
    <w:p>
      <w:pPr>
        <w:spacing w:before="97"/>
        <w:ind w:left="308" w:right="255" w:firstLine="0"/>
        <w:jc w:val="left"/>
        <w:rPr>
          <w:rFonts w:ascii="Calibri" w:hAnsi="Calibri"/>
          <w:sz w:val="20"/>
        </w:rPr>
      </w:pPr>
      <w:r>
        <w:rPr>
          <w:rFonts w:ascii="Calibri" w:hAnsi="Calibri"/>
          <w:sz w:val="20"/>
          <w:vertAlign w:val="superscript"/>
        </w:rPr>
        <w:t>49</w:t>
      </w:r>
      <w:r>
        <w:rPr>
          <w:rFonts w:ascii="Calibri" w:hAnsi="Calibri"/>
          <w:sz w:val="20"/>
          <w:vertAlign w:val="baseline"/>
        </w:rPr>
        <w:t> See </w:t>
      </w:r>
      <w:r>
        <w:rPr>
          <w:rFonts w:ascii="Calibri" w:hAnsi="Calibri"/>
          <w:i/>
          <w:sz w:val="20"/>
          <w:vertAlign w:val="baseline"/>
        </w:rPr>
        <w:t>Norman vs. Theodore Goddard </w:t>
      </w:r>
      <w:r>
        <w:rPr>
          <w:rFonts w:ascii="Calibri" w:hAnsi="Calibri"/>
          <w:sz w:val="20"/>
          <w:vertAlign w:val="baseline"/>
        </w:rPr>
        <w:t>(1991) BCLC 1028; </w:t>
      </w:r>
      <w:r>
        <w:rPr>
          <w:rFonts w:ascii="Calibri" w:hAnsi="Calibri"/>
          <w:i/>
          <w:sz w:val="20"/>
          <w:vertAlign w:val="baseline"/>
        </w:rPr>
        <w:t>Re D’Jan of London Ltd</w:t>
      </w:r>
      <w:r>
        <w:rPr>
          <w:rFonts w:ascii="Calibri" w:hAnsi="Calibri"/>
          <w:sz w:val="20"/>
          <w:vertAlign w:val="baseline"/>
        </w:rPr>
        <w:t>.(1993) BCC 646 whose decisions</w:t>
      </w:r>
      <w:r>
        <w:rPr>
          <w:rFonts w:ascii="Calibri" w:hAnsi="Calibri"/>
          <w:spacing w:val="-7"/>
          <w:sz w:val="20"/>
          <w:vertAlign w:val="baseline"/>
        </w:rPr>
        <w:t> </w:t>
      </w:r>
      <w:r>
        <w:rPr>
          <w:rFonts w:ascii="Calibri" w:hAnsi="Calibri"/>
          <w:sz w:val="20"/>
          <w:vertAlign w:val="baseline"/>
        </w:rPr>
        <w:t>informed</w:t>
      </w:r>
      <w:r>
        <w:rPr>
          <w:rFonts w:ascii="Calibri" w:hAnsi="Calibri"/>
          <w:spacing w:val="-5"/>
          <w:sz w:val="20"/>
          <w:vertAlign w:val="baseline"/>
        </w:rPr>
        <w:t> </w:t>
      </w:r>
      <w:r>
        <w:rPr>
          <w:rFonts w:ascii="Calibri" w:hAnsi="Calibri"/>
          <w:sz w:val="20"/>
          <w:vertAlign w:val="baseline"/>
        </w:rPr>
        <w:t>s.174</w:t>
      </w:r>
      <w:r>
        <w:rPr>
          <w:rFonts w:ascii="Calibri" w:hAnsi="Calibri"/>
          <w:spacing w:val="-2"/>
          <w:sz w:val="20"/>
          <w:vertAlign w:val="baseline"/>
        </w:rPr>
        <w:t> </w:t>
      </w:r>
      <w:r>
        <w:rPr>
          <w:rFonts w:ascii="Calibri" w:hAnsi="Calibri"/>
          <w:sz w:val="20"/>
          <w:vertAlign w:val="baseline"/>
        </w:rPr>
        <w:t>of the UK Companies</w:t>
      </w:r>
      <w:r>
        <w:rPr>
          <w:rFonts w:ascii="Calibri" w:hAnsi="Calibri"/>
          <w:spacing w:val="-2"/>
          <w:sz w:val="20"/>
          <w:vertAlign w:val="baseline"/>
        </w:rPr>
        <w:t> </w:t>
      </w:r>
      <w:r>
        <w:rPr>
          <w:rFonts w:ascii="Calibri" w:hAnsi="Calibri"/>
          <w:sz w:val="20"/>
          <w:vertAlign w:val="baseline"/>
        </w:rPr>
        <w:t>Act</w:t>
      </w:r>
      <w:r>
        <w:rPr>
          <w:rFonts w:ascii="Calibri" w:hAnsi="Calibri"/>
          <w:spacing w:val="-5"/>
          <w:sz w:val="20"/>
          <w:vertAlign w:val="baseline"/>
        </w:rPr>
        <w:t> </w:t>
      </w:r>
      <w:r>
        <w:rPr>
          <w:rFonts w:ascii="Calibri" w:hAnsi="Calibri"/>
          <w:sz w:val="20"/>
          <w:vertAlign w:val="baseline"/>
        </w:rPr>
        <w:t>2006.</w:t>
      </w:r>
      <w:r>
        <w:rPr>
          <w:rFonts w:ascii="Calibri" w:hAnsi="Calibri"/>
          <w:spacing w:val="-3"/>
          <w:sz w:val="20"/>
          <w:vertAlign w:val="baseline"/>
        </w:rPr>
        <w:t> </w:t>
      </w:r>
      <w:r>
        <w:rPr>
          <w:rFonts w:ascii="Calibri" w:hAnsi="Calibri"/>
          <w:sz w:val="20"/>
          <w:vertAlign w:val="baseline"/>
        </w:rPr>
        <w:t>See also </w:t>
      </w:r>
      <w:r>
        <w:rPr>
          <w:rFonts w:ascii="Calibri" w:hAnsi="Calibri"/>
          <w:i/>
          <w:sz w:val="20"/>
          <w:vertAlign w:val="baseline"/>
        </w:rPr>
        <w:t>Abbey</w:t>
      </w:r>
      <w:r>
        <w:rPr>
          <w:rFonts w:ascii="Calibri" w:hAnsi="Calibri"/>
          <w:i/>
          <w:spacing w:val="-4"/>
          <w:sz w:val="20"/>
          <w:vertAlign w:val="baseline"/>
        </w:rPr>
        <w:t> </w:t>
      </w:r>
      <w:r>
        <w:rPr>
          <w:rFonts w:ascii="Calibri" w:hAnsi="Calibri"/>
          <w:i/>
          <w:sz w:val="20"/>
          <w:vertAlign w:val="baseline"/>
        </w:rPr>
        <w:t>Forwarding</w:t>
      </w:r>
      <w:r>
        <w:rPr>
          <w:rFonts w:ascii="Calibri" w:hAnsi="Calibri"/>
          <w:i/>
          <w:spacing w:val="-3"/>
          <w:sz w:val="20"/>
          <w:vertAlign w:val="baseline"/>
        </w:rPr>
        <w:t> </w:t>
      </w:r>
      <w:r>
        <w:rPr>
          <w:rFonts w:ascii="Calibri" w:hAnsi="Calibri"/>
          <w:i/>
          <w:sz w:val="20"/>
          <w:vertAlign w:val="baseline"/>
        </w:rPr>
        <w:t>Ltd.</w:t>
      </w:r>
      <w:r>
        <w:rPr>
          <w:rFonts w:ascii="Calibri" w:hAnsi="Calibri"/>
          <w:i/>
          <w:spacing w:val="-3"/>
          <w:sz w:val="20"/>
          <w:vertAlign w:val="baseline"/>
        </w:rPr>
        <w:t> </w:t>
      </w:r>
      <w:r>
        <w:rPr>
          <w:rFonts w:ascii="Calibri" w:hAnsi="Calibri"/>
          <w:i/>
          <w:sz w:val="20"/>
          <w:vertAlign w:val="baseline"/>
        </w:rPr>
        <w:t>(In</w:t>
      </w:r>
      <w:r>
        <w:rPr>
          <w:rFonts w:ascii="Calibri" w:hAnsi="Calibri"/>
          <w:i/>
          <w:spacing w:val="-3"/>
          <w:sz w:val="20"/>
          <w:vertAlign w:val="baseline"/>
        </w:rPr>
        <w:t> </w:t>
      </w:r>
      <w:r>
        <w:rPr>
          <w:rFonts w:ascii="Calibri" w:hAnsi="Calibri"/>
          <w:i/>
          <w:sz w:val="20"/>
          <w:vertAlign w:val="baseline"/>
        </w:rPr>
        <w:t>Liquidation) vs. Hone</w:t>
      </w:r>
      <w:r>
        <w:rPr>
          <w:rFonts w:ascii="Calibri" w:hAnsi="Calibri"/>
          <w:sz w:val="20"/>
          <w:vertAlign w:val="baseline"/>
        </w:rPr>
        <w:t>(2010) EWHC 2029 (Ch).</w:t>
      </w:r>
    </w:p>
    <w:p>
      <w:pPr>
        <w:spacing w:before="3"/>
        <w:ind w:left="308" w:right="0" w:firstLine="0"/>
        <w:jc w:val="left"/>
        <w:rPr>
          <w:rFonts w:ascii="Calibri"/>
          <w:sz w:val="20"/>
        </w:rPr>
      </w:pPr>
      <w:r>
        <w:rPr>
          <w:rFonts w:ascii="Calibri"/>
          <w:sz w:val="20"/>
          <w:vertAlign w:val="superscript"/>
        </w:rPr>
        <w:t>50</w:t>
      </w:r>
      <w:r>
        <w:rPr>
          <w:rFonts w:ascii="Calibri"/>
          <w:sz w:val="20"/>
          <w:vertAlign w:val="baseline"/>
        </w:rPr>
        <w:t> Similar provisions are contained in the existing CBN Guidelines on the Appointment to the Board of</w:t>
      </w:r>
      <w:r>
        <w:rPr>
          <w:rFonts w:ascii="Calibri"/>
          <w:spacing w:val="40"/>
          <w:sz w:val="20"/>
          <w:vertAlign w:val="baseline"/>
        </w:rPr>
        <w:t> </w:t>
      </w:r>
      <w:r>
        <w:rPr>
          <w:rFonts w:ascii="Calibri"/>
          <w:sz w:val="20"/>
          <w:vertAlign w:val="baseline"/>
        </w:rPr>
        <w:t>Financial Institutions.</w:t>
      </w:r>
    </w:p>
    <w:p>
      <w:pPr>
        <w:spacing w:before="1"/>
        <w:ind w:left="308" w:right="0" w:firstLine="0"/>
        <w:jc w:val="left"/>
        <w:rPr>
          <w:rFonts w:ascii="Calibri"/>
          <w:sz w:val="20"/>
        </w:rPr>
      </w:pPr>
      <w:r>
        <w:rPr>
          <w:rFonts w:ascii="Calibri"/>
          <w:sz w:val="20"/>
          <w:vertAlign w:val="superscript"/>
        </w:rPr>
        <w:t>51</w:t>
      </w:r>
      <w:r>
        <w:rPr>
          <w:rFonts w:ascii="Calibri"/>
          <w:sz w:val="20"/>
          <w:vertAlign w:val="baseline"/>
        </w:rPr>
        <w:t>Just</w:t>
      </w:r>
      <w:r>
        <w:rPr>
          <w:rFonts w:ascii="Calibri"/>
          <w:spacing w:val="3"/>
          <w:sz w:val="20"/>
          <w:vertAlign w:val="baseline"/>
        </w:rPr>
        <w:t> </w:t>
      </w:r>
      <w:r>
        <w:rPr>
          <w:rFonts w:ascii="Calibri"/>
          <w:sz w:val="20"/>
          <w:vertAlign w:val="baseline"/>
        </w:rPr>
        <w:t>as a</w:t>
      </w:r>
      <w:r>
        <w:rPr>
          <w:rFonts w:ascii="Calibri"/>
          <w:spacing w:val="2"/>
          <w:sz w:val="20"/>
          <w:vertAlign w:val="baseline"/>
        </w:rPr>
        <w:t> </w:t>
      </w:r>
      <w:r>
        <w:rPr>
          <w:rFonts w:ascii="Calibri"/>
          <w:sz w:val="20"/>
          <w:vertAlign w:val="baseline"/>
        </w:rPr>
        <w:t>director</w:t>
      </w:r>
      <w:r>
        <w:rPr>
          <w:rFonts w:ascii="Calibri"/>
          <w:spacing w:val="4"/>
          <w:sz w:val="20"/>
          <w:vertAlign w:val="baseline"/>
        </w:rPr>
        <w:t> </w:t>
      </w:r>
      <w:r>
        <w:rPr>
          <w:rFonts w:ascii="Calibri"/>
          <w:sz w:val="20"/>
          <w:vertAlign w:val="baseline"/>
        </w:rPr>
        <w:t>is</w:t>
      </w:r>
      <w:r>
        <w:rPr>
          <w:rFonts w:ascii="Calibri"/>
          <w:spacing w:val="1"/>
          <w:sz w:val="20"/>
          <w:vertAlign w:val="baseline"/>
        </w:rPr>
        <w:t> </w:t>
      </w:r>
      <w:r>
        <w:rPr>
          <w:rFonts w:ascii="Calibri"/>
          <w:sz w:val="20"/>
          <w:vertAlign w:val="baseline"/>
        </w:rPr>
        <w:t>not</w:t>
      </w:r>
      <w:r>
        <w:rPr>
          <w:rFonts w:ascii="Calibri"/>
          <w:spacing w:val="4"/>
          <w:sz w:val="20"/>
          <w:vertAlign w:val="baseline"/>
        </w:rPr>
        <w:t> </w:t>
      </w:r>
      <w:r>
        <w:rPr>
          <w:rFonts w:ascii="Calibri"/>
          <w:sz w:val="20"/>
          <w:vertAlign w:val="baseline"/>
        </w:rPr>
        <w:t>bound</w:t>
      </w:r>
      <w:r>
        <w:rPr>
          <w:rFonts w:ascii="Calibri"/>
          <w:spacing w:val="2"/>
          <w:sz w:val="20"/>
          <w:vertAlign w:val="baseline"/>
        </w:rPr>
        <w:t> </w:t>
      </w:r>
      <w:r>
        <w:rPr>
          <w:rFonts w:ascii="Calibri"/>
          <w:sz w:val="20"/>
          <w:vertAlign w:val="baseline"/>
        </w:rPr>
        <w:t>to</w:t>
      </w:r>
      <w:r>
        <w:rPr>
          <w:rFonts w:ascii="Calibri"/>
          <w:spacing w:val="-3"/>
          <w:sz w:val="20"/>
          <w:vertAlign w:val="baseline"/>
        </w:rPr>
        <w:t> </w:t>
      </w:r>
      <w:r>
        <w:rPr>
          <w:rFonts w:ascii="Calibri"/>
          <w:sz w:val="20"/>
          <w:vertAlign w:val="baseline"/>
        </w:rPr>
        <w:t>bring</w:t>
      </w:r>
      <w:r>
        <w:rPr>
          <w:rFonts w:ascii="Calibri"/>
          <w:spacing w:val="4"/>
          <w:sz w:val="20"/>
          <w:vertAlign w:val="baseline"/>
        </w:rPr>
        <w:t> </w:t>
      </w:r>
      <w:r>
        <w:rPr>
          <w:rFonts w:ascii="Calibri"/>
          <w:sz w:val="20"/>
          <w:vertAlign w:val="baseline"/>
        </w:rPr>
        <w:t>any</w:t>
      </w:r>
      <w:r>
        <w:rPr>
          <w:rFonts w:ascii="Calibri"/>
          <w:spacing w:val="3"/>
          <w:sz w:val="20"/>
          <w:vertAlign w:val="baseline"/>
        </w:rPr>
        <w:t> </w:t>
      </w:r>
      <w:r>
        <w:rPr>
          <w:rFonts w:ascii="Calibri"/>
          <w:sz w:val="20"/>
          <w:vertAlign w:val="baseline"/>
        </w:rPr>
        <w:t>special</w:t>
      </w:r>
      <w:r>
        <w:rPr>
          <w:rFonts w:ascii="Calibri"/>
          <w:spacing w:val="4"/>
          <w:sz w:val="20"/>
          <w:vertAlign w:val="baseline"/>
        </w:rPr>
        <w:t> </w:t>
      </w:r>
      <w:r>
        <w:rPr>
          <w:rFonts w:ascii="Calibri"/>
          <w:sz w:val="20"/>
          <w:vertAlign w:val="baseline"/>
        </w:rPr>
        <w:t>qualification</w:t>
      </w:r>
      <w:r>
        <w:rPr>
          <w:rFonts w:ascii="Calibri"/>
          <w:spacing w:val="4"/>
          <w:sz w:val="20"/>
          <w:vertAlign w:val="baseline"/>
        </w:rPr>
        <w:t> </w:t>
      </w:r>
      <w:r>
        <w:rPr>
          <w:rFonts w:ascii="Calibri"/>
          <w:sz w:val="20"/>
          <w:vertAlign w:val="baseline"/>
        </w:rPr>
        <w:t>to</w:t>
      </w:r>
      <w:r>
        <w:rPr>
          <w:rFonts w:ascii="Calibri"/>
          <w:spacing w:val="2"/>
          <w:sz w:val="20"/>
          <w:vertAlign w:val="baseline"/>
        </w:rPr>
        <w:t> </w:t>
      </w:r>
      <w:r>
        <w:rPr>
          <w:rFonts w:ascii="Calibri"/>
          <w:sz w:val="20"/>
          <w:vertAlign w:val="baseline"/>
        </w:rPr>
        <w:t>his</w:t>
      </w:r>
      <w:r>
        <w:rPr>
          <w:rFonts w:ascii="Calibri"/>
          <w:spacing w:val="1"/>
          <w:sz w:val="20"/>
          <w:vertAlign w:val="baseline"/>
        </w:rPr>
        <w:t> </w:t>
      </w:r>
      <w:r>
        <w:rPr>
          <w:rFonts w:ascii="Calibri"/>
          <w:sz w:val="20"/>
          <w:vertAlign w:val="baseline"/>
        </w:rPr>
        <w:t>office.</w:t>
      </w:r>
      <w:r>
        <w:rPr>
          <w:rFonts w:ascii="Calibri"/>
          <w:spacing w:val="5"/>
          <w:sz w:val="20"/>
          <w:vertAlign w:val="baseline"/>
        </w:rPr>
        <w:t> </w:t>
      </w:r>
      <w:r>
        <w:rPr>
          <w:rFonts w:ascii="Calibri"/>
          <w:sz w:val="20"/>
          <w:vertAlign w:val="baseline"/>
        </w:rPr>
        <w:t>See</w:t>
      </w:r>
      <w:r>
        <w:rPr>
          <w:rFonts w:ascii="Calibri"/>
          <w:spacing w:val="3"/>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dictum</w:t>
      </w:r>
      <w:r>
        <w:rPr>
          <w:rFonts w:ascii="Calibri"/>
          <w:spacing w:val="5"/>
          <w:sz w:val="20"/>
          <w:vertAlign w:val="baseline"/>
        </w:rPr>
        <w:t> </w:t>
      </w:r>
      <w:r>
        <w:rPr>
          <w:rFonts w:ascii="Calibri"/>
          <w:sz w:val="20"/>
          <w:vertAlign w:val="baseline"/>
        </w:rPr>
        <w:t>of</w:t>
      </w:r>
      <w:r>
        <w:rPr>
          <w:rFonts w:ascii="Calibri"/>
          <w:spacing w:val="4"/>
          <w:sz w:val="20"/>
          <w:vertAlign w:val="baseline"/>
        </w:rPr>
        <w:t> </w:t>
      </w:r>
      <w:r>
        <w:rPr>
          <w:rFonts w:ascii="Calibri"/>
          <w:spacing w:val="-2"/>
          <w:sz w:val="20"/>
          <w:vertAlign w:val="baseline"/>
        </w:rPr>
        <w:t>Neville</w:t>
      </w:r>
    </w:p>
    <w:p>
      <w:pPr>
        <w:spacing w:before="1"/>
        <w:ind w:left="308" w:right="0" w:firstLine="0"/>
        <w:jc w:val="left"/>
        <w:rPr>
          <w:rFonts w:ascii="Calibri"/>
          <w:sz w:val="20"/>
        </w:rPr>
      </w:pPr>
      <w:r>
        <w:rPr>
          <w:rFonts w:ascii="Calibri"/>
          <w:sz w:val="20"/>
        </w:rPr>
        <w:t>J.</w:t>
      </w:r>
      <w:r>
        <w:rPr>
          <w:rFonts w:ascii="Calibri"/>
          <w:spacing w:val="-2"/>
          <w:sz w:val="20"/>
        </w:rPr>
        <w:t> </w:t>
      </w:r>
      <w:r>
        <w:rPr>
          <w:rFonts w:ascii="Calibri"/>
          <w:sz w:val="20"/>
        </w:rPr>
        <w:t>in</w:t>
      </w:r>
      <w:r>
        <w:rPr>
          <w:rFonts w:ascii="Calibri"/>
          <w:spacing w:val="-6"/>
          <w:sz w:val="20"/>
        </w:rPr>
        <w:t> </w:t>
      </w:r>
      <w:r>
        <w:rPr>
          <w:rFonts w:ascii="Calibri"/>
          <w:i/>
          <w:sz w:val="20"/>
        </w:rPr>
        <w:t>Re</w:t>
      </w:r>
      <w:r>
        <w:rPr>
          <w:rFonts w:ascii="Calibri"/>
          <w:i/>
          <w:spacing w:val="-7"/>
          <w:sz w:val="20"/>
        </w:rPr>
        <w:t> </w:t>
      </w:r>
      <w:r>
        <w:rPr>
          <w:rFonts w:ascii="Calibri"/>
          <w:i/>
          <w:sz w:val="20"/>
        </w:rPr>
        <w:t>Brazilian</w:t>
      </w:r>
      <w:r>
        <w:rPr>
          <w:rFonts w:ascii="Calibri"/>
          <w:i/>
          <w:spacing w:val="-6"/>
          <w:sz w:val="20"/>
        </w:rPr>
        <w:t> </w:t>
      </w:r>
      <w:r>
        <w:rPr>
          <w:rFonts w:ascii="Calibri"/>
          <w:i/>
          <w:sz w:val="20"/>
        </w:rPr>
        <w:t>Rubber</w:t>
      </w:r>
      <w:r>
        <w:rPr>
          <w:rFonts w:ascii="Calibri"/>
          <w:i/>
          <w:spacing w:val="-9"/>
          <w:sz w:val="20"/>
        </w:rPr>
        <w:t> </w:t>
      </w:r>
      <w:r>
        <w:rPr>
          <w:rFonts w:ascii="Calibri"/>
          <w:i/>
          <w:sz w:val="20"/>
        </w:rPr>
        <w:t>Plantation</w:t>
      </w:r>
      <w:r>
        <w:rPr>
          <w:rFonts w:ascii="Calibri"/>
          <w:i/>
          <w:spacing w:val="-5"/>
          <w:sz w:val="20"/>
        </w:rPr>
        <w:t> </w:t>
      </w:r>
      <w:r>
        <w:rPr>
          <w:rFonts w:ascii="Calibri"/>
          <w:i/>
          <w:sz w:val="20"/>
        </w:rPr>
        <w:t>Estate</w:t>
      </w:r>
      <w:r>
        <w:rPr>
          <w:rFonts w:ascii="Calibri"/>
          <w:i/>
          <w:spacing w:val="-8"/>
          <w:sz w:val="20"/>
        </w:rPr>
        <w:t> </w:t>
      </w:r>
      <w:r>
        <w:rPr>
          <w:rFonts w:ascii="Calibri"/>
          <w:i/>
          <w:sz w:val="20"/>
        </w:rPr>
        <w:t>Ltd.</w:t>
      </w:r>
      <w:r>
        <w:rPr>
          <w:rFonts w:ascii="Calibri"/>
          <w:i/>
          <w:spacing w:val="-2"/>
          <w:sz w:val="20"/>
        </w:rPr>
        <w:t> </w:t>
      </w:r>
      <w:r>
        <w:rPr>
          <w:rFonts w:ascii="Calibri"/>
          <w:spacing w:val="-2"/>
          <w:sz w:val="20"/>
        </w:rPr>
        <w:t>supra.</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32"/>
        <w:jc w:val="both"/>
      </w:pPr>
      <w:r>
        <w:rPr/>
        <w:t>that the secretary is a person who appears to him to have the requisite knowledge and experience to discharge the functions of a secretary of a company, with added special qualifications in the</w:t>
      </w:r>
      <w:r>
        <w:rPr>
          <w:spacing w:val="-1"/>
        </w:rPr>
        <w:t> </w:t>
      </w:r>
      <w:r>
        <w:rPr/>
        <w:t>case</w:t>
      </w:r>
      <w:r>
        <w:rPr>
          <w:spacing w:val="-1"/>
        </w:rPr>
        <w:t> </w:t>
      </w:r>
      <w:r>
        <w:rPr/>
        <w:t>of</w:t>
      </w:r>
      <w:r>
        <w:rPr>
          <w:spacing w:val="-8"/>
        </w:rPr>
        <w:t> </w:t>
      </w:r>
      <w:r>
        <w:rPr/>
        <w:t>the secretary</w:t>
      </w:r>
      <w:r>
        <w:rPr>
          <w:spacing w:val="-5"/>
        </w:rPr>
        <w:t> </w:t>
      </w:r>
      <w:r>
        <w:rPr/>
        <w:t>of</w:t>
      </w:r>
      <w:r>
        <w:rPr>
          <w:spacing w:val="-8"/>
        </w:rPr>
        <w:t> </w:t>
      </w:r>
      <w:r>
        <w:rPr/>
        <w:t>a</w:t>
      </w:r>
      <w:r>
        <w:rPr>
          <w:spacing w:val="-1"/>
        </w:rPr>
        <w:t> </w:t>
      </w:r>
      <w:r>
        <w:rPr/>
        <w:t>public</w:t>
      </w:r>
      <w:r>
        <w:rPr>
          <w:spacing w:val="-1"/>
        </w:rPr>
        <w:t> </w:t>
      </w:r>
      <w:r>
        <w:rPr/>
        <w:t>company. Perhaps in order to make up for this, the SEC Code of Corporate Governance for Public Companies 2011 in paragraph 18.2 provides that</w:t>
      </w:r>
    </w:p>
    <w:p>
      <w:pPr>
        <w:spacing w:line="240" w:lineRule="auto" w:before="1"/>
        <w:ind w:left="1724" w:right="2172" w:firstLine="0"/>
        <w:jc w:val="both"/>
        <w:rPr>
          <w:i/>
          <w:sz w:val="24"/>
        </w:rPr>
      </w:pPr>
      <w:r>
        <w:rPr>
          <w:i/>
          <w:sz w:val="24"/>
        </w:rPr>
        <w:t>It is mandatory for all directors to participate in periodic, relevant, professional continuing education programmes in order to update their knowledge and skills and keep them informed of new developments</w:t>
      </w:r>
      <w:r>
        <w:rPr>
          <w:i/>
          <w:spacing w:val="40"/>
          <w:sz w:val="24"/>
        </w:rPr>
        <w:t> </w:t>
      </w:r>
      <w:r>
        <w:rPr>
          <w:i/>
          <w:sz w:val="24"/>
        </w:rPr>
        <w:t>in the company‘s business and operating environment. The objective of the</w:t>
      </w:r>
      <w:r>
        <w:rPr>
          <w:i/>
          <w:spacing w:val="-4"/>
          <w:sz w:val="24"/>
        </w:rPr>
        <w:t> </w:t>
      </w:r>
      <w:r>
        <w:rPr>
          <w:i/>
          <w:sz w:val="24"/>
        </w:rPr>
        <w:t>training is to assist the directors discharge fully and effectively their duties to the company. The training shall be at the company‘s expense.</w:t>
      </w:r>
    </w:p>
    <w:p>
      <w:pPr>
        <w:pStyle w:val="BodyText"/>
        <w:spacing w:before="1"/>
        <w:ind w:left="0"/>
        <w:rPr>
          <w:i/>
        </w:rPr>
      </w:pPr>
    </w:p>
    <w:p>
      <w:pPr>
        <w:pStyle w:val="BodyText"/>
        <w:spacing w:line="480" w:lineRule="auto"/>
        <w:ind w:right="238" w:firstLine="720"/>
        <w:jc w:val="both"/>
      </w:pPr>
      <w:r>
        <w:rPr/>
        <w:t>The provision above is limited by a major factor: it is applicable only to public companies whose securities are listed. Private companies, even those which can pass as large companies, are not bound by the provisions of the SEC codes, although they are generally</w:t>
      </w:r>
      <w:r>
        <w:rPr>
          <w:spacing w:val="-2"/>
        </w:rPr>
        <w:t> </w:t>
      </w:r>
      <w:r>
        <w:rPr/>
        <w:t>encouraged</w:t>
      </w:r>
      <w:r>
        <w:rPr>
          <w:spacing w:val="-2"/>
        </w:rPr>
        <w:t> </w:t>
      </w:r>
      <w:r>
        <w:rPr/>
        <w:t>to adopt</w:t>
      </w:r>
      <w:r>
        <w:rPr>
          <w:spacing w:val="-2"/>
        </w:rPr>
        <w:t> </w:t>
      </w:r>
      <w:r>
        <w:rPr/>
        <w:t>them. Although</w:t>
      </w:r>
      <w:r>
        <w:rPr>
          <w:spacing w:val="-1"/>
        </w:rPr>
        <w:t> </w:t>
      </w:r>
      <w:r>
        <w:rPr/>
        <w:t>private</w:t>
      </w:r>
      <w:r>
        <w:rPr>
          <w:spacing w:val="-3"/>
        </w:rPr>
        <w:t> </w:t>
      </w:r>
      <w:r>
        <w:rPr/>
        <w:t>companies are substantially</w:t>
      </w:r>
      <w:r>
        <w:rPr>
          <w:spacing w:val="-2"/>
        </w:rPr>
        <w:t> </w:t>
      </w:r>
      <w:r>
        <w:rPr/>
        <w:t>more prevalent, they are not subject to the same regulations and restrictions to which public companies are.</w:t>
      </w:r>
    </w:p>
    <w:p>
      <w:pPr>
        <w:pStyle w:val="BodyText"/>
        <w:spacing w:line="480" w:lineRule="auto" w:before="1"/>
        <w:ind w:right="232" w:firstLine="720"/>
        <w:jc w:val="both"/>
      </w:pPr>
      <w:r>
        <w:rPr/>
        <w:t>Since there are no particular qualifications, who is a ―reasonably prudent director‖? The answer to this may be embedded in the phrase ―in comparable circumstances.‖</w:t>
      </w:r>
      <w:r>
        <w:rPr>
          <w:spacing w:val="80"/>
        </w:rPr>
        <w:t> </w:t>
      </w:r>
      <w:r>
        <w:rPr/>
        <w:t>At least, this suggests that the court is entitled to take into</w:t>
      </w:r>
      <w:r>
        <w:rPr>
          <w:spacing w:val="40"/>
        </w:rPr>
        <w:t> </w:t>
      </w:r>
      <w:r>
        <w:rPr/>
        <w:t>consideration</w:t>
      </w:r>
      <w:r>
        <w:rPr>
          <w:spacing w:val="-12"/>
        </w:rPr>
        <w:t> </w:t>
      </w:r>
      <w:r>
        <w:rPr/>
        <w:t>the</w:t>
      </w:r>
      <w:r>
        <w:rPr>
          <w:spacing w:val="-4"/>
        </w:rPr>
        <w:t> </w:t>
      </w:r>
      <w:r>
        <w:rPr/>
        <w:t>―circumstances‖</w:t>
      </w:r>
      <w:r>
        <w:rPr>
          <w:spacing w:val="-8"/>
        </w:rPr>
        <w:t> </w:t>
      </w:r>
      <w:r>
        <w:rPr/>
        <w:t>of</w:t>
      </w:r>
      <w:r>
        <w:rPr>
          <w:spacing w:val="-14"/>
        </w:rPr>
        <w:t> </w:t>
      </w:r>
      <w:r>
        <w:rPr/>
        <w:t>the</w:t>
      </w:r>
      <w:r>
        <w:rPr>
          <w:spacing w:val="-8"/>
        </w:rPr>
        <w:t> </w:t>
      </w:r>
      <w:r>
        <w:rPr/>
        <w:t>director</w:t>
      </w:r>
      <w:r>
        <w:rPr>
          <w:spacing w:val="-10"/>
        </w:rPr>
        <w:t> </w:t>
      </w:r>
      <w:r>
        <w:rPr/>
        <w:t>and</w:t>
      </w:r>
      <w:r>
        <w:rPr>
          <w:spacing w:val="-8"/>
        </w:rPr>
        <w:t> </w:t>
      </w:r>
      <w:r>
        <w:rPr/>
        <w:t>the</w:t>
      </w:r>
      <w:r>
        <w:rPr>
          <w:spacing w:val="-8"/>
        </w:rPr>
        <w:t> </w:t>
      </w:r>
      <w:r>
        <w:rPr/>
        <w:t>company</w:t>
      </w:r>
      <w:r>
        <w:rPr>
          <w:spacing w:val="-12"/>
        </w:rPr>
        <w:t> </w:t>
      </w:r>
      <w:r>
        <w:rPr/>
        <w:t>he</w:t>
      </w:r>
      <w:r>
        <w:rPr>
          <w:spacing w:val="-8"/>
        </w:rPr>
        <w:t> </w:t>
      </w:r>
      <w:r>
        <w:rPr/>
        <w:t>works</w:t>
      </w:r>
      <w:r>
        <w:rPr>
          <w:spacing w:val="-10"/>
        </w:rPr>
        <w:t> </w:t>
      </w:r>
      <w:r>
        <w:rPr/>
        <w:t>for,</w:t>
      </w:r>
      <w:r>
        <w:rPr>
          <w:spacing w:val="-6"/>
        </w:rPr>
        <w:t> </w:t>
      </w:r>
      <w:r>
        <w:rPr/>
        <w:t>such</w:t>
      </w:r>
      <w:r>
        <w:rPr>
          <w:spacing w:val="-12"/>
        </w:rPr>
        <w:t> </w:t>
      </w:r>
      <w:r>
        <w:rPr/>
        <w:t>as the position of the director within the company, perhaps the type and extent of responsibility reposed on him and the kind of business carried out by the company. A financial company for example, may require some reasonable measure of basic accounting skills from its director, other companies. Importantly, though, it would not matter whether a director is an executive or non executive.</w:t>
      </w:r>
    </w:p>
    <w:p>
      <w:pPr>
        <w:spacing w:after="0" w:line="480" w:lineRule="auto"/>
        <w:jc w:val="both"/>
        <w:sectPr>
          <w:pgSz w:w="11910" w:h="16840"/>
          <w:pgMar w:header="0" w:footer="1003" w:top="1320" w:bottom="1200" w:left="1680" w:right="1180"/>
        </w:sectPr>
      </w:pPr>
    </w:p>
    <w:p>
      <w:pPr>
        <w:pStyle w:val="BodyText"/>
        <w:spacing w:line="480" w:lineRule="auto" w:before="70"/>
        <w:ind w:right="225" w:firstLine="720"/>
        <w:jc w:val="both"/>
      </w:pPr>
      <w:r>
        <w:rPr/>
        <w:t>More decisions from Nigerian courts would have been very useful in discerning exactly how much the CAMA has achieved in deviating from the early common law position. Regrettably, this researcher has not been able to find any more directly on the director‘s duty of care and skill under the present law. It is debatable if there is. This may be owing to the fact that the vast majority of companies in Nigeria are private</w:t>
      </w:r>
      <w:r>
        <w:rPr>
          <w:vertAlign w:val="superscript"/>
        </w:rPr>
        <w:t>52</w:t>
      </w:r>
      <w:r>
        <w:rPr>
          <w:vertAlign w:val="baseline"/>
        </w:rPr>
        <w:t>— and the few that are public were previously private—and used to being run by a select group of family members and or friends, so that the tendency is for breaches of directors‘ duties to be settled as private matters in the boardroom or even the living room, rather than the courtroom: that is if they are ever made known.</w:t>
      </w:r>
      <w:r>
        <w:rPr>
          <w:vertAlign w:val="superscript"/>
        </w:rPr>
        <w:t>53</w:t>
      </w:r>
      <w:r>
        <w:rPr>
          <w:vertAlign w:val="baseline"/>
        </w:rPr>
        <w:t> Indeed, it has been suggested, and this writer tends to agree with the view, that</w:t>
      </w:r>
    </w:p>
    <w:p>
      <w:pPr>
        <w:spacing w:line="240" w:lineRule="auto" w:before="2"/>
        <w:ind w:left="2007" w:right="1884" w:firstLine="0"/>
        <w:jc w:val="both"/>
        <w:rPr>
          <w:i/>
          <w:sz w:val="24"/>
        </w:rPr>
      </w:pPr>
      <w:r>
        <w:rPr>
          <w:i/>
          <w:sz w:val="24"/>
        </w:rPr>
        <w:t>The fact patterns in actions against directors for breach of their...duties are reminiscent of stories about the ―falling out of thieves.‖ Because of the impediments in the path of a minority shareholder, attempting</w:t>
      </w:r>
      <w:r>
        <w:rPr>
          <w:i/>
          <w:spacing w:val="-2"/>
          <w:sz w:val="24"/>
        </w:rPr>
        <w:t> </w:t>
      </w:r>
      <w:r>
        <w:rPr>
          <w:i/>
          <w:sz w:val="24"/>
        </w:rPr>
        <w:t>to</w:t>
      </w:r>
      <w:r>
        <w:rPr>
          <w:i/>
          <w:spacing w:val="-2"/>
          <w:sz w:val="24"/>
        </w:rPr>
        <w:t> </w:t>
      </w:r>
      <w:r>
        <w:rPr>
          <w:i/>
          <w:sz w:val="24"/>
        </w:rPr>
        <w:t>initiate</w:t>
      </w:r>
      <w:r>
        <w:rPr>
          <w:i/>
          <w:spacing w:val="-3"/>
          <w:sz w:val="24"/>
        </w:rPr>
        <w:t> </w:t>
      </w:r>
      <w:r>
        <w:rPr>
          <w:i/>
          <w:sz w:val="24"/>
        </w:rPr>
        <w:t>an</w:t>
      </w:r>
      <w:r>
        <w:rPr>
          <w:i/>
          <w:spacing w:val="-7"/>
          <w:sz w:val="24"/>
        </w:rPr>
        <w:t> </w:t>
      </w:r>
      <w:r>
        <w:rPr>
          <w:i/>
          <w:sz w:val="24"/>
        </w:rPr>
        <w:t>action</w:t>
      </w:r>
      <w:r>
        <w:rPr>
          <w:i/>
          <w:spacing w:val="-2"/>
          <w:sz w:val="24"/>
        </w:rPr>
        <w:t> </w:t>
      </w:r>
      <w:r>
        <w:rPr>
          <w:i/>
          <w:sz w:val="24"/>
        </w:rPr>
        <w:t>against</w:t>
      </w:r>
      <w:r>
        <w:rPr>
          <w:i/>
          <w:spacing w:val="-2"/>
          <w:sz w:val="24"/>
        </w:rPr>
        <w:t> </w:t>
      </w:r>
      <w:r>
        <w:rPr>
          <w:i/>
          <w:sz w:val="24"/>
        </w:rPr>
        <w:t>a</w:t>
      </w:r>
      <w:r>
        <w:rPr>
          <w:i/>
          <w:spacing w:val="-7"/>
          <w:sz w:val="24"/>
        </w:rPr>
        <w:t> </w:t>
      </w:r>
      <w:r>
        <w:rPr>
          <w:i/>
          <w:sz w:val="24"/>
        </w:rPr>
        <w:t>negligent</w:t>
      </w:r>
      <w:r>
        <w:rPr>
          <w:i/>
          <w:spacing w:val="-7"/>
          <w:sz w:val="24"/>
        </w:rPr>
        <w:t> </w:t>
      </w:r>
      <w:r>
        <w:rPr>
          <w:i/>
          <w:sz w:val="24"/>
        </w:rPr>
        <w:t>or fraudulent director, such actions tend only to occur where there has been a family squabble between the directors themselves, or a change of control. Accordingly the court has to adjudicate upon a dispute motivated more by vindictiveness than by a desire to heighten business morality.</w:t>
      </w:r>
      <w:r>
        <w:rPr>
          <w:i/>
          <w:sz w:val="24"/>
          <w:vertAlign w:val="superscript"/>
        </w:rPr>
        <w:t>54</w:t>
      </w:r>
    </w:p>
    <w:p>
      <w:pPr>
        <w:pStyle w:val="BodyText"/>
        <w:spacing w:before="1"/>
        <w:ind w:left="0"/>
        <w:rPr>
          <w:i/>
        </w:rPr>
      </w:pPr>
    </w:p>
    <w:p>
      <w:pPr>
        <w:pStyle w:val="BodyText"/>
        <w:spacing w:line="480" w:lineRule="auto"/>
        <w:ind w:right="241" w:firstLine="720"/>
        <w:jc w:val="both"/>
      </w:pPr>
      <w:r>
        <w:rPr/>
        <w:t>This pattern is observable in Nigeria. The few times management was called to order, it was usually by government agencies such as the SEC, the CBN or the Economic</w:t>
      </w:r>
      <w:r>
        <w:rPr>
          <w:spacing w:val="-3"/>
        </w:rPr>
        <w:t> </w:t>
      </w:r>
      <w:r>
        <w:rPr/>
        <w:t>and</w:t>
      </w:r>
      <w:r>
        <w:rPr>
          <w:spacing w:val="2"/>
        </w:rPr>
        <w:t> </w:t>
      </w:r>
      <w:r>
        <w:rPr/>
        <w:t>Financial</w:t>
      </w:r>
      <w:r>
        <w:rPr>
          <w:spacing w:val="-7"/>
        </w:rPr>
        <w:t> </w:t>
      </w:r>
      <w:r>
        <w:rPr/>
        <w:t>Crimes</w:t>
      </w:r>
      <w:r>
        <w:rPr>
          <w:spacing w:val="-3"/>
        </w:rPr>
        <w:t> </w:t>
      </w:r>
      <w:r>
        <w:rPr/>
        <w:t>Commission. This was</w:t>
      </w:r>
      <w:r>
        <w:rPr>
          <w:spacing w:val="-4"/>
        </w:rPr>
        <w:t> </w:t>
      </w:r>
      <w:r>
        <w:rPr/>
        <w:t>the</w:t>
      </w:r>
      <w:r>
        <w:rPr>
          <w:spacing w:val="-2"/>
        </w:rPr>
        <w:t> </w:t>
      </w:r>
      <w:r>
        <w:rPr/>
        <w:t>case</w:t>
      </w:r>
      <w:r>
        <w:rPr>
          <w:spacing w:val="-3"/>
        </w:rPr>
        <w:t> </w:t>
      </w:r>
      <w:r>
        <w:rPr/>
        <w:t>with</w:t>
      </w:r>
      <w:r>
        <w:rPr>
          <w:spacing w:val="-6"/>
        </w:rPr>
        <w:t> </w:t>
      </w:r>
      <w:r>
        <w:rPr/>
        <w:t>companies</w:t>
      </w:r>
      <w:r>
        <w:rPr>
          <w:spacing w:val="-4"/>
        </w:rPr>
        <w:t> </w:t>
      </w:r>
      <w:r>
        <w:rPr/>
        <w:t>such</w:t>
      </w:r>
      <w:r>
        <w:rPr>
          <w:spacing w:val="-6"/>
        </w:rPr>
        <w:t> </w:t>
      </w:r>
      <w:r>
        <w:rPr>
          <w:spacing w:val="-5"/>
        </w:rPr>
        <w:t>as</w:t>
      </w:r>
    </w:p>
    <w:p>
      <w:pPr>
        <w:pStyle w:val="BodyText"/>
        <w:spacing w:line="20" w:lineRule="exact"/>
        <w:rPr>
          <w:sz w:val="2"/>
        </w:rPr>
      </w:pPr>
      <w:r>
        <w:rPr>
          <w:sz w:val="2"/>
        </w:rPr>
        <mc:AlternateContent>
          <mc:Choice Requires="wps">
            <w:drawing>
              <wp:inline distT="0" distB="0" distL="0" distR="0">
                <wp:extent cx="1829435" cy="9525"/>
                <wp:effectExtent l="0" t="0" r="0" b="0"/>
                <wp:docPr id="117" name="Group 117"/>
                <wp:cNvGraphicFramePr>
                  <a:graphicFrameLocks/>
                </wp:cNvGraphicFramePr>
                <a:graphic>
                  <a:graphicData uri="http://schemas.microsoft.com/office/word/2010/wordprocessingGroup">
                    <wpg:wgp>
                      <wpg:cNvPr id="117" name="Group 117"/>
                      <wpg:cNvGrpSpPr/>
                      <wpg:grpSpPr>
                        <a:xfrm>
                          <a:off x="0" y="0"/>
                          <a:ext cx="1829435" cy="9525"/>
                          <a:chExt cx="1829435" cy="9525"/>
                        </a:xfrm>
                      </wpg:grpSpPr>
                      <wps:wsp>
                        <wps:cNvPr id="118" name="Graphic 11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72" coordorigin="0,0" coordsize="2881,15">
                <v:rect style="position:absolute;left:0;top:0;width:2881;height:15" id="docshape73" filled="true" fillcolor="#000000" stroked="false">
                  <v:fill type="solid"/>
                </v:rect>
              </v:group>
            </w:pict>
          </mc:Fallback>
        </mc:AlternateContent>
      </w:r>
      <w:r>
        <w:rPr>
          <w:sz w:val="2"/>
        </w:rPr>
      </w:r>
    </w:p>
    <w:p>
      <w:pPr>
        <w:spacing w:before="81"/>
        <w:ind w:left="308" w:right="226" w:firstLine="0"/>
        <w:jc w:val="both"/>
        <w:rPr>
          <w:rFonts w:ascii="Calibri"/>
          <w:sz w:val="20"/>
        </w:rPr>
      </w:pPr>
      <w:r>
        <w:rPr>
          <w:rFonts w:ascii="Calibri"/>
          <w:sz w:val="20"/>
          <w:vertAlign w:val="superscript"/>
        </w:rPr>
        <w:t>52</w:t>
      </w:r>
      <w:r>
        <w:rPr>
          <w:rFonts w:ascii="Calibri"/>
          <w:sz w:val="20"/>
          <w:vertAlign w:val="baseline"/>
        </w:rPr>
        <w:t> Though efforts to obtain the exact number of private companies proved futile, still the Registrar General of the CAC disclosed that as at August 2014, exactly</w:t>
      </w:r>
      <w:r>
        <w:rPr>
          <w:rFonts w:ascii="Calibri"/>
          <w:spacing w:val="-2"/>
          <w:sz w:val="20"/>
          <w:vertAlign w:val="baseline"/>
        </w:rPr>
        <w:t> </w:t>
      </w:r>
      <w:r>
        <w:rPr>
          <w:rFonts w:ascii="Calibri"/>
          <w:sz w:val="20"/>
          <w:vertAlign w:val="baseline"/>
        </w:rPr>
        <w:t>1, 201, 068 limited</w:t>
      </w:r>
      <w:r>
        <w:rPr>
          <w:rFonts w:ascii="Calibri"/>
          <w:spacing w:val="-2"/>
          <w:sz w:val="20"/>
          <w:vertAlign w:val="baseline"/>
        </w:rPr>
        <w:t> </w:t>
      </w:r>
      <w:r>
        <w:rPr>
          <w:rFonts w:ascii="Calibri"/>
          <w:sz w:val="20"/>
          <w:vertAlign w:val="baseline"/>
        </w:rPr>
        <w:t>liability companies were registered in Nigeria. See Bamgboye, A. (September 2, 2014). CAC to Strike Off 48, 000 Dormant Companies. </w:t>
      </w:r>
      <w:r>
        <w:rPr>
          <w:rFonts w:ascii="Calibri"/>
          <w:i/>
          <w:sz w:val="20"/>
          <w:vertAlign w:val="baseline"/>
        </w:rPr>
        <w:t>Daily Trust.</w:t>
      </w:r>
      <w:r>
        <w:rPr>
          <w:rFonts w:ascii="Calibri"/>
          <w:sz w:val="20"/>
          <w:vertAlign w:val="baseline"/>
        </w:rPr>
        <w:t>P. 45.</w:t>
      </w:r>
      <w:r>
        <w:rPr>
          <w:rFonts w:ascii="Calibri"/>
          <w:spacing w:val="-3"/>
          <w:sz w:val="20"/>
          <w:vertAlign w:val="baseline"/>
        </w:rPr>
        <w:t> </w:t>
      </w:r>
      <w:r>
        <w:rPr>
          <w:rFonts w:ascii="Calibri"/>
          <w:sz w:val="20"/>
          <w:vertAlign w:val="baseline"/>
        </w:rPr>
        <w:t>However,</w:t>
      </w:r>
      <w:r>
        <w:rPr>
          <w:rFonts w:ascii="Calibri"/>
          <w:spacing w:val="-3"/>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Director-General of the Securities</w:t>
      </w:r>
      <w:r>
        <w:rPr>
          <w:rFonts w:ascii="Calibri"/>
          <w:spacing w:val="-3"/>
          <w:sz w:val="20"/>
          <w:vertAlign w:val="baseline"/>
        </w:rPr>
        <w:t> </w:t>
      </w:r>
      <w:r>
        <w:rPr>
          <w:rFonts w:ascii="Calibri"/>
          <w:sz w:val="20"/>
          <w:vertAlign w:val="baseline"/>
        </w:rPr>
        <w:t>and</w:t>
      </w:r>
      <w:r>
        <w:rPr>
          <w:rFonts w:ascii="Calibri"/>
          <w:spacing w:val="-1"/>
          <w:sz w:val="20"/>
          <w:vertAlign w:val="baseline"/>
        </w:rPr>
        <w:t> </w:t>
      </w:r>
      <w:r>
        <w:rPr>
          <w:rFonts w:ascii="Calibri"/>
          <w:sz w:val="20"/>
          <w:vertAlign w:val="baseline"/>
        </w:rPr>
        <w:t>Exchange Commission recently disclosed in an interview that the country has just about 190 listed (public) companies. See Ogwu, M.S. (2014, April 18). We Encourage Quoted Firms to Have More Women Directors. </w:t>
      </w:r>
      <w:r>
        <w:rPr>
          <w:rFonts w:ascii="Calibri"/>
          <w:i/>
          <w:sz w:val="20"/>
          <w:vertAlign w:val="baseline"/>
        </w:rPr>
        <w:t>Daily Trust.</w:t>
      </w:r>
      <w:r>
        <w:rPr>
          <w:rFonts w:ascii="Calibri"/>
          <w:sz w:val="20"/>
          <w:vertAlign w:val="baseline"/>
        </w:rPr>
        <w:t>Business, p.22.</w:t>
      </w:r>
    </w:p>
    <w:p>
      <w:pPr>
        <w:spacing w:before="1"/>
        <w:ind w:left="308" w:right="226" w:firstLine="0"/>
        <w:jc w:val="both"/>
        <w:rPr>
          <w:rFonts w:ascii="Calibri"/>
          <w:sz w:val="20"/>
        </w:rPr>
      </w:pPr>
      <w:r>
        <w:rPr>
          <w:rFonts w:ascii="Calibri"/>
          <w:sz w:val="20"/>
          <w:vertAlign w:val="superscript"/>
        </w:rPr>
        <w:t>53</w:t>
      </w:r>
      <w:r>
        <w:rPr>
          <w:rFonts w:ascii="Calibri"/>
          <w:sz w:val="20"/>
          <w:vertAlign w:val="baseline"/>
        </w:rPr>
        <w:t> The case of Mrs. Cecilia Ibru of Oceanic Bank mentioned infra, is a good example here. Her family</w:t>
      </w:r>
      <w:r>
        <w:rPr>
          <w:rFonts w:ascii="Calibri"/>
          <w:spacing w:val="80"/>
          <w:sz w:val="20"/>
          <w:vertAlign w:val="baseline"/>
        </w:rPr>
        <w:t> </w:t>
      </w:r>
      <w:r>
        <w:rPr>
          <w:rFonts w:ascii="Calibri"/>
          <w:sz w:val="20"/>
          <w:vertAlign w:val="baseline"/>
        </w:rPr>
        <w:t>used to control the bank as a private business before it went public. She was certainly used to running the affairs of the bank her way, before public agencies came in, due to the change in the status of the company from private to</w:t>
      </w:r>
      <w:r>
        <w:rPr>
          <w:rFonts w:ascii="Calibri"/>
          <w:spacing w:val="-1"/>
          <w:sz w:val="20"/>
          <w:vertAlign w:val="baseline"/>
        </w:rPr>
        <w:t> </w:t>
      </w:r>
      <w:r>
        <w:rPr>
          <w:rFonts w:ascii="Calibri"/>
          <w:sz w:val="20"/>
          <w:vertAlign w:val="baseline"/>
        </w:rPr>
        <w:t>public. It is possible that Mrs.Ibru may have been committing similar breaches while the bank was private, and the public could not then have learnt of it.</w:t>
      </w:r>
    </w:p>
    <w:p>
      <w:pPr>
        <w:spacing w:before="3"/>
        <w:ind w:left="308" w:right="225" w:firstLine="0"/>
        <w:jc w:val="both"/>
        <w:rPr>
          <w:rFonts w:ascii="Calibri"/>
          <w:sz w:val="20"/>
        </w:rPr>
      </w:pPr>
      <w:r>
        <w:rPr>
          <w:rFonts w:ascii="Calibri"/>
          <w:sz w:val="20"/>
          <w:vertAlign w:val="superscript"/>
        </w:rPr>
        <w:t>54</w:t>
      </w:r>
      <w:r>
        <w:rPr>
          <w:rFonts w:ascii="Calibri"/>
          <w:sz w:val="20"/>
          <w:vertAlign w:val="baseline"/>
        </w:rPr>
        <w:t>Prentice, D.D. (1967). Regal (Hastings) Ltd. vs. Gulliver: The Canadian Experience. The </w:t>
      </w:r>
      <w:r>
        <w:rPr>
          <w:rFonts w:ascii="Calibri"/>
          <w:i/>
          <w:sz w:val="20"/>
          <w:vertAlign w:val="baseline"/>
        </w:rPr>
        <w:t>Modern Law Review, </w:t>
      </w:r>
      <w:r>
        <w:rPr>
          <w:rFonts w:ascii="Calibri"/>
          <w:sz w:val="20"/>
          <w:vertAlign w:val="baseline"/>
        </w:rPr>
        <w:t>30: 450-455, at p. 455.</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5"/>
        <w:jc w:val="both"/>
      </w:pPr>
      <w:r>
        <w:rPr/>
        <w:t>Cadbury Nig. Plc, Intercontinental Bank Plc and Oceanic Bank Plc. Indeed, this partly explains</w:t>
      </w:r>
      <w:r>
        <w:rPr>
          <w:spacing w:val="-1"/>
        </w:rPr>
        <w:t> </w:t>
      </w:r>
      <w:r>
        <w:rPr/>
        <w:t>the scarcity</w:t>
      </w:r>
      <w:r>
        <w:rPr>
          <w:spacing w:val="-9"/>
        </w:rPr>
        <w:t> </w:t>
      </w:r>
      <w:r>
        <w:rPr/>
        <w:t>observed in local</w:t>
      </w:r>
      <w:r>
        <w:rPr>
          <w:spacing w:val="-4"/>
        </w:rPr>
        <w:t> </w:t>
      </w:r>
      <w:r>
        <w:rPr/>
        <w:t>judicial</w:t>
      </w:r>
      <w:r>
        <w:rPr>
          <w:spacing w:val="-4"/>
        </w:rPr>
        <w:t> </w:t>
      </w:r>
      <w:r>
        <w:rPr/>
        <w:t>decisions</w:t>
      </w:r>
      <w:r>
        <w:rPr>
          <w:spacing w:val="-1"/>
        </w:rPr>
        <w:t> </w:t>
      </w:r>
      <w:r>
        <w:rPr/>
        <w:t>on</w:t>
      </w:r>
      <w:r>
        <w:rPr>
          <w:spacing w:val="-4"/>
        </w:rPr>
        <w:t> </w:t>
      </w:r>
      <w:r>
        <w:rPr/>
        <w:t>the duties</w:t>
      </w:r>
      <w:r>
        <w:rPr>
          <w:spacing w:val="-1"/>
        </w:rPr>
        <w:t> </w:t>
      </w:r>
      <w:r>
        <w:rPr/>
        <w:t>of</w:t>
      </w:r>
      <w:r>
        <w:rPr>
          <w:spacing w:val="-7"/>
        </w:rPr>
        <w:t> </w:t>
      </w:r>
      <w:r>
        <w:rPr/>
        <w:t>directors.</w:t>
      </w:r>
      <w:r>
        <w:rPr>
          <w:spacing w:val="-2"/>
        </w:rPr>
        <w:t> </w:t>
      </w:r>
      <w:r>
        <w:rPr/>
        <w:t>Thus, the prosecution of the erring directors was not under the CAMA. Rather, it was under various anti-graft instruments which defined their actions as criminal offences.</w:t>
      </w:r>
      <w:r>
        <w:rPr>
          <w:vertAlign w:val="superscript"/>
        </w:rPr>
        <w:t>55</w:t>
      </w:r>
      <w:r>
        <w:rPr>
          <w:vertAlign w:val="baseline"/>
        </w:rPr>
        <w:t> Even these agencies have sometimes been speculated to be mere political tools used by administrations in power to annihilate their opponents.</w:t>
      </w:r>
      <w:r>
        <w:rPr>
          <w:vertAlign w:val="superscript"/>
        </w:rPr>
        <w:t>56</w:t>
      </w:r>
      <w:r>
        <w:rPr>
          <w:vertAlign w:val="baseline"/>
        </w:rPr>
        <w:t>The case of Bernard Longe and First Bank, for example, a clear case of the breach of duty of care and skill, was</w:t>
      </w:r>
      <w:r>
        <w:rPr>
          <w:spacing w:val="40"/>
          <w:vertAlign w:val="baseline"/>
        </w:rPr>
        <w:t> </w:t>
      </w:r>
      <w:r>
        <w:rPr>
          <w:vertAlign w:val="baseline"/>
        </w:rPr>
        <w:t>resolved by removing the director, rather than suing him on negligence.</w:t>
      </w:r>
      <w:r>
        <w:rPr>
          <w:vertAlign w:val="superscript"/>
        </w:rPr>
        <w:t>57</w:t>
      </w:r>
      <w:r>
        <w:rPr>
          <w:vertAlign w:val="baseline"/>
        </w:rPr>
        <w:t> The same for the notorious Cadbury scandal whose facts were revealed only after the SEC expressed concerns regarding overstatements in the company‘s financial accounts.</w:t>
      </w:r>
      <w:r>
        <w:rPr>
          <w:vertAlign w:val="superscript"/>
        </w:rPr>
        <w:t>58</w:t>
      </w:r>
      <w:r>
        <w:rPr>
          <w:vertAlign w:val="baseline"/>
        </w:rPr>
        <w:t> Again in this case, the directors involved were simply dismissed, although it was obviously a case of the breaches of the duties of care and skill, among others.</w:t>
      </w:r>
    </w:p>
    <w:p>
      <w:pPr>
        <w:pStyle w:val="Heading2"/>
        <w:numPr>
          <w:ilvl w:val="1"/>
          <w:numId w:val="12"/>
        </w:numPr>
        <w:tabs>
          <w:tab w:pos="1027" w:val="left" w:leader="none"/>
        </w:tabs>
        <w:spacing w:line="240" w:lineRule="auto" w:before="209" w:after="0"/>
        <w:ind w:left="1027" w:right="0" w:hanging="719"/>
        <w:jc w:val="both"/>
      </w:pPr>
      <w:bookmarkStart w:name="_TOC_250030" w:id="22"/>
      <w:r>
        <w:rPr/>
        <w:t>Fiduciary Duties</w:t>
      </w:r>
      <w:r>
        <w:rPr>
          <w:spacing w:val="-3"/>
        </w:rPr>
        <w:t> </w:t>
      </w:r>
      <w:r>
        <w:rPr/>
        <w:t>of</w:t>
      </w:r>
      <w:r>
        <w:rPr>
          <w:spacing w:val="-2"/>
        </w:rPr>
        <w:t> </w:t>
      </w:r>
      <w:r>
        <w:rPr/>
        <w:t>Loyalty and</w:t>
      </w:r>
      <w:r>
        <w:rPr>
          <w:spacing w:val="5"/>
        </w:rPr>
        <w:t> </w:t>
      </w:r>
      <w:r>
        <w:rPr/>
        <w:t>Good</w:t>
      </w:r>
      <w:r>
        <w:rPr>
          <w:spacing w:val="-3"/>
        </w:rPr>
        <w:t> </w:t>
      </w:r>
      <w:bookmarkEnd w:id="22"/>
      <w:r>
        <w:rPr>
          <w:spacing w:val="-4"/>
        </w:rPr>
        <w:t>Faith</w:t>
      </w:r>
    </w:p>
    <w:p>
      <w:pPr>
        <w:pStyle w:val="BodyText"/>
        <w:spacing w:line="480" w:lineRule="auto" w:before="132"/>
        <w:ind w:right="234"/>
        <w:jc w:val="both"/>
      </w:pPr>
      <w:r>
        <w:rPr/>
        <w:t>A fiduciary has been described as ―a person who is required to act for the benefit of another person on all matters within the scope of their relationship; one who owes to another the duties of good faith, trust, confidence and candour‖.</w:t>
      </w:r>
      <w:r>
        <w:rPr>
          <w:vertAlign w:val="superscript"/>
        </w:rPr>
        <w:t>59</w:t>
      </w:r>
      <w:r>
        <w:rPr>
          <w:vertAlign w:val="baseline"/>
        </w:rPr>
        <w:t> Evidently the</w:t>
      </w:r>
      <w:r>
        <w:rPr>
          <w:spacing w:val="40"/>
          <w:vertAlign w:val="baseline"/>
        </w:rPr>
        <w:t> </w:t>
      </w:r>
      <w:r>
        <w:rPr>
          <w:vertAlign w:val="baseline"/>
        </w:rPr>
        <w:t>company director fits this description. In fact, Section 279 is clear that he stands in a fiduciary relationship towards the company. Chief among the duties owed by directors as fiduciaries, whether as agents or trustees, are loyalty and good faith.</w:t>
      </w:r>
    </w:p>
    <w:p>
      <w:pPr>
        <w:pStyle w:val="BodyText"/>
        <w:ind w:left="0"/>
        <w:rPr>
          <w:sz w:val="20"/>
        </w:rPr>
      </w:pPr>
    </w:p>
    <w:p>
      <w:pPr>
        <w:pStyle w:val="BodyText"/>
        <w:ind w:left="0"/>
        <w:rPr>
          <w:sz w:val="20"/>
        </w:rPr>
      </w:pPr>
    </w:p>
    <w:p>
      <w:pPr>
        <w:pStyle w:val="BodyText"/>
        <w:spacing w:before="188"/>
        <w:ind w:left="0"/>
        <w:rPr>
          <w:sz w:val="20"/>
        </w:rPr>
      </w:pPr>
      <w:r>
        <w:rPr/>
        <mc:AlternateContent>
          <mc:Choice Requires="wps">
            <w:drawing>
              <wp:anchor distT="0" distB="0" distL="0" distR="0" allowOverlap="1" layoutInCell="1" locked="0" behindDoc="1" simplePos="0" relativeHeight="487642112">
                <wp:simplePos x="0" y="0"/>
                <wp:positionH relativeFrom="page">
                  <wp:posOffset>1262481</wp:posOffset>
                </wp:positionH>
                <wp:positionV relativeFrom="paragraph">
                  <wp:posOffset>280991</wp:posOffset>
                </wp:positionV>
                <wp:extent cx="1829435" cy="9525"/>
                <wp:effectExtent l="0" t="0" r="0" b="0"/>
                <wp:wrapTopAndBottom/>
                <wp:docPr id="119" name="Graphic 119"/>
                <wp:cNvGraphicFramePr>
                  <a:graphicFrameLocks/>
                </wp:cNvGraphicFramePr>
                <a:graphic>
                  <a:graphicData uri="http://schemas.microsoft.com/office/word/2010/wordprocessingShape">
                    <wps:wsp>
                      <wps:cNvPr id="119" name="Graphic 11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25282pt;width:144.050pt;height:.72003pt;mso-position-horizontal-relative:page;mso-position-vertical-relative:paragraph;z-index:-15674368;mso-wrap-distance-left:0;mso-wrap-distance-right:0" id="docshape74" filled="true" fillcolor="#000000" stroked="false">
                <v:fill type="solid"/>
                <w10:wrap type="topAndBottom"/>
              </v:rect>
            </w:pict>
          </mc:Fallback>
        </mc:AlternateContent>
      </w:r>
    </w:p>
    <w:p>
      <w:pPr>
        <w:spacing w:before="102"/>
        <w:ind w:left="308" w:right="485" w:firstLine="0"/>
        <w:jc w:val="both"/>
        <w:rPr>
          <w:rFonts w:ascii="Calibri"/>
          <w:sz w:val="20"/>
        </w:rPr>
      </w:pPr>
      <w:r>
        <w:rPr>
          <w:rFonts w:ascii="Calibri"/>
          <w:sz w:val="20"/>
          <w:vertAlign w:val="superscript"/>
        </w:rPr>
        <w:t>55</w:t>
      </w:r>
      <w:r>
        <w:rPr>
          <w:rFonts w:ascii="Calibri"/>
          <w:sz w:val="20"/>
          <w:vertAlign w:val="baseline"/>
        </w:rPr>
        <w:t> Examples</w:t>
      </w:r>
      <w:r>
        <w:rPr>
          <w:rFonts w:ascii="Calibri"/>
          <w:spacing w:val="-1"/>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such</w:t>
      </w:r>
      <w:r>
        <w:rPr>
          <w:rFonts w:ascii="Calibri"/>
          <w:spacing w:val="-4"/>
          <w:sz w:val="20"/>
          <w:vertAlign w:val="baseline"/>
        </w:rPr>
        <w:t> </w:t>
      </w:r>
      <w:r>
        <w:rPr>
          <w:rFonts w:ascii="Calibri"/>
          <w:sz w:val="20"/>
          <w:vertAlign w:val="baseline"/>
        </w:rPr>
        <w:t>legislations</w:t>
      </w:r>
      <w:r>
        <w:rPr>
          <w:rFonts w:ascii="Calibri"/>
          <w:spacing w:val="-6"/>
          <w:sz w:val="20"/>
          <w:vertAlign w:val="baseline"/>
        </w:rPr>
        <w:t> </w:t>
      </w:r>
      <w:r>
        <w:rPr>
          <w:rFonts w:ascii="Calibri"/>
          <w:sz w:val="20"/>
          <w:vertAlign w:val="baseline"/>
        </w:rPr>
        <w:t>are</w:t>
      </w:r>
      <w:r>
        <w:rPr>
          <w:rFonts w:ascii="Calibri"/>
          <w:spacing w:val="-3"/>
          <w:sz w:val="20"/>
          <w:vertAlign w:val="baseline"/>
        </w:rPr>
        <w:t> </w:t>
      </w:r>
      <w:r>
        <w:rPr>
          <w:rFonts w:ascii="Calibri"/>
          <w:sz w:val="20"/>
          <w:vertAlign w:val="baseline"/>
        </w:rPr>
        <w:t>the</w:t>
      </w:r>
      <w:r>
        <w:rPr>
          <w:rFonts w:ascii="Calibri"/>
          <w:spacing w:val="-4"/>
          <w:sz w:val="20"/>
          <w:vertAlign w:val="baseline"/>
        </w:rPr>
        <w:t> </w:t>
      </w:r>
      <w:r>
        <w:rPr>
          <w:rFonts w:ascii="Calibri"/>
          <w:sz w:val="20"/>
          <w:vertAlign w:val="baseline"/>
        </w:rPr>
        <w:t>Failed</w:t>
      </w:r>
      <w:r>
        <w:rPr>
          <w:rFonts w:ascii="Calibri"/>
          <w:spacing w:val="-4"/>
          <w:sz w:val="20"/>
          <w:vertAlign w:val="baseline"/>
        </w:rPr>
        <w:t> </w:t>
      </w:r>
      <w:r>
        <w:rPr>
          <w:rFonts w:ascii="Calibri"/>
          <w:sz w:val="20"/>
          <w:vertAlign w:val="baseline"/>
        </w:rPr>
        <w:t>Banks</w:t>
      </w:r>
      <w:r>
        <w:rPr>
          <w:rFonts w:ascii="Calibri"/>
          <w:spacing w:val="-6"/>
          <w:sz w:val="20"/>
          <w:vertAlign w:val="baseline"/>
        </w:rPr>
        <w:t> </w:t>
      </w:r>
      <w:r>
        <w:rPr>
          <w:rFonts w:ascii="Calibri"/>
          <w:sz w:val="20"/>
          <w:vertAlign w:val="baseline"/>
        </w:rPr>
        <w:t>(Recovery of</w:t>
      </w:r>
      <w:r>
        <w:rPr>
          <w:rFonts w:ascii="Calibri"/>
          <w:spacing w:val="-3"/>
          <w:sz w:val="20"/>
          <w:vertAlign w:val="baseline"/>
        </w:rPr>
        <w:t> </w:t>
      </w:r>
      <w:r>
        <w:rPr>
          <w:rFonts w:ascii="Calibri"/>
          <w:sz w:val="20"/>
          <w:vertAlign w:val="baseline"/>
        </w:rPr>
        <w:t>Debts)</w:t>
      </w:r>
      <w:r>
        <w:rPr>
          <w:rFonts w:ascii="Calibri"/>
          <w:spacing w:val="-2"/>
          <w:sz w:val="20"/>
          <w:vertAlign w:val="baseline"/>
        </w:rPr>
        <w:t> </w:t>
      </w:r>
      <w:r>
        <w:rPr>
          <w:rFonts w:ascii="Calibri"/>
          <w:sz w:val="20"/>
          <w:vertAlign w:val="baseline"/>
        </w:rPr>
        <w:t>and</w:t>
      </w:r>
      <w:r>
        <w:rPr>
          <w:rFonts w:ascii="Calibri"/>
          <w:spacing w:val="-4"/>
          <w:sz w:val="20"/>
          <w:vertAlign w:val="baseline"/>
        </w:rPr>
        <w:t> </w:t>
      </w:r>
      <w:r>
        <w:rPr>
          <w:rFonts w:ascii="Calibri"/>
          <w:sz w:val="20"/>
          <w:vertAlign w:val="baseline"/>
        </w:rPr>
        <w:t>Financial</w:t>
      </w:r>
      <w:r>
        <w:rPr>
          <w:rFonts w:ascii="Calibri"/>
          <w:spacing w:val="-2"/>
          <w:sz w:val="20"/>
          <w:vertAlign w:val="baseline"/>
        </w:rPr>
        <w:t> </w:t>
      </w:r>
      <w:r>
        <w:rPr>
          <w:rFonts w:ascii="Calibri"/>
          <w:sz w:val="20"/>
          <w:vertAlign w:val="baseline"/>
        </w:rPr>
        <w:t>Malpractices</w:t>
      </w:r>
      <w:r>
        <w:rPr>
          <w:rFonts w:ascii="Calibri"/>
          <w:spacing w:val="-5"/>
          <w:sz w:val="20"/>
          <w:vertAlign w:val="baseline"/>
        </w:rPr>
        <w:t> </w:t>
      </w:r>
      <w:r>
        <w:rPr>
          <w:rFonts w:ascii="Calibri"/>
          <w:sz w:val="20"/>
          <w:vertAlign w:val="baseline"/>
        </w:rPr>
        <w:t>in Banks Act 1994, the Criminal Code, and the Banks and Other Financial Institutions Act 1991.</w:t>
      </w:r>
    </w:p>
    <w:p>
      <w:pPr>
        <w:spacing w:line="237" w:lineRule="auto" w:before="3"/>
        <w:ind w:left="308" w:right="230" w:firstLine="0"/>
        <w:jc w:val="both"/>
        <w:rPr>
          <w:rFonts w:ascii="Calibri" w:hAnsi="Calibri"/>
          <w:sz w:val="20"/>
        </w:rPr>
      </w:pPr>
      <w:r>
        <w:rPr>
          <w:rFonts w:ascii="Calibri" w:hAnsi="Calibri"/>
          <w:sz w:val="20"/>
          <w:vertAlign w:val="superscript"/>
        </w:rPr>
        <w:t>56</w:t>
      </w:r>
      <w:r>
        <w:rPr>
          <w:rFonts w:ascii="Calibri" w:hAnsi="Calibri"/>
          <w:sz w:val="20"/>
          <w:vertAlign w:val="baseline"/>
        </w:rPr>
        <w:t> For instance, Erastus Akingbola, the former Managing Director of Intercontinental Bank has several times suggested that the CBN forcefully removed and levelled accusations against him because of the governor’s affiliation with Sen. BukolaSaraki, his arch enemy.</w:t>
      </w:r>
    </w:p>
    <w:p>
      <w:pPr>
        <w:spacing w:before="3"/>
        <w:ind w:left="308" w:right="0" w:firstLine="0"/>
        <w:jc w:val="both"/>
        <w:rPr>
          <w:rFonts w:ascii="Calibri"/>
          <w:sz w:val="20"/>
        </w:rPr>
      </w:pPr>
      <w:r>
        <w:rPr>
          <w:rFonts w:ascii="Calibri"/>
          <w:sz w:val="20"/>
          <w:vertAlign w:val="superscript"/>
        </w:rPr>
        <w:t>57</w:t>
      </w:r>
      <w:r>
        <w:rPr>
          <w:rFonts w:ascii="Calibri"/>
          <w:sz w:val="20"/>
          <w:vertAlign w:val="baseline"/>
        </w:rPr>
        <w:t>See</w:t>
      </w:r>
      <w:r>
        <w:rPr>
          <w:rFonts w:ascii="Calibri"/>
          <w:spacing w:val="-3"/>
          <w:sz w:val="20"/>
          <w:vertAlign w:val="baseline"/>
        </w:rPr>
        <w:t> </w:t>
      </w:r>
      <w:r>
        <w:rPr>
          <w:rFonts w:ascii="Calibri"/>
          <w:i/>
          <w:sz w:val="20"/>
          <w:vertAlign w:val="baseline"/>
        </w:rPr>
        <w:t>Longe</w:t>
      </w:r>
      <w:r>
        <w:rPr>
          <w:rFonts w:ascii="Calibri"/>
          <w:i/>
          <w:spacing w:val="-7"/>
          <w:sz w:val="20"/>
          <w:vertAlign w:val="baseline"/>
        </w:rPr>
        <w:t> </w:t>
      </w:r>
      <w:r>
        <w:rPr>
          <w:rFonts w:ascii="Calibri"/>
          <w:i/>
          <w:sz w:val="20"/>
          <w:vertAlign w:val="baseline"/>
        </w:rPr>
        <w:t>vs.</w:t>
      </w:r>
      <w:r>
        <w:rPr>
          <w:rFonts w:ascii="Calibri"/>
          <w:i/>
          <w:spacing w:val="-1"/>
          <w:sz w:val="20"/>
          <w:vertAlign w:val="baseline"/>
        </w:rPr>
        <w:t> </w:t>
      </w:r>
      <w:r>
        <w:rPr>
          <w:rFonts w:ascii="Calibri"/>
          <w:i/>
          <w:sz w:val="20"/>
          <w:vertAlign w:val="baseline"/>
        </w:rPr>
        <w:t>FBN</w:t>
      </w:r>
      <w:r>
        <w:rPr>
          <w:rFonts w:ascii="Calibri"/>
          <w:i/>
          <w:spacing w:val="-8"/>
          <w:sz w:val="20"/>
          <w:vertAlign w:val="baseline"/>
        </w:rPr>
        <w:t> </w:t>
      </w:r>
      <w:r>
        <w:rPr>
          <w:rFonts w:ascii="Calibri"/>
          <w:i/>
          <w:sz w:val="20"/>
          <w:vertAlign w:val="baseline"/>
        </w:rPr>
        <w:t>Plc.</w:t>
      </w:r>
      <w:r>
        <w:rPr>
          <w:rFonts w:ascii="Calibri"/>
          <w:i/>
          <w:spacing w:val="-4"/>
          <w:sz w:val="20"/>
          <w:vertAlign w:val="baseline"/>
        </w:rPr>
        <w:t> </w:t>
      </w:r>
      <w:r>
        <w:rPr>
          <w:rFonts w:ascii="Calibri"/>
          <w:sz w:val="20"/>
          <w:vertAlign w:val="baseline"/>
        </w:rPr>
        <w:t>(2003)</w:t>
      </w:r>
      <w:r>
        <w:rPr>
          <w:rFonts w:ascii="Calibri"/>
          <w:spacing w:val="-5"/>
          <w:sz w:val="20"/>
          <w:vertAlign w:val="baseline"/>
        </w:rPr>
        <w:t> </w:t>
      </w:r>
      <w:r>
        <w:rPr>
          <w:rFonts w:ascii="Calibri"/>
          <w:sz w:val="20"/>
          <w:vertAlign w:val="baseline"/>
        </w:rPr>
        <w:t>3</w:t>
      </w:r>
      <w:r>
        <w:rPr>
          <w:rFonts w:ascii="Calibri"/>
          <w:spacing w:val="-4"/>
          <w:sz w:val="20"/>
          <w:vertAlign w:val="baseline"/>
        </w:rPr>
        <w:t> </w:t>
      </w:r>
      <w:r>
        <w:rPr>
          <w:rFonts w:ascii="Calibri"/>
          <w:sz w:val="20"/>
          <w:vertAlign w:val="baseline"/>
        </w:rPr>
        <w:t>NWLR</w:t>
      </w:r>
      <w:r>
        <w:rPr>
          <w:rFonts w:ascii="Calibri"/>
          <w:spacing w:val="-7"/>
          <w:sz w:val="20"/>
          <w:vertAlign w:val="baseline"/>
        </w:rPr>
        <w:t> </w:t>
      </w:r>
      <w:r>
        <w:rPr>
          <w:rFonts w:ascii="Calibri"/>
          <w:sz w:val="20"/>
          <w:vertAlign w:val="baseline"/>
        </w:rPr>
        <w:t>(Pt.</w:t>
      </w:r>
      <w:r>
        <w:rPr>
          <w:rFonts w:ascii="Calibri"/>
          <w:spacing w:val="-6"/>
          <w:sz w:val="20"/>
          <w:vertAlign w:val="baseline"/>
        </w:rPr>
        <w:t> </w:t>
      </w:r>
      <w:r>
        <w:rPr>
          <w:rFonts w:ascii="Calibri"/>
          <w:sz w:val="20"/>
          <w:vertAlign w:val="baseline"/>
        </w:rPr>
        <w:t>967)</w:t>
      </w:r>
      <w:r>
        <w:rPr>
          <w:rFonts w:ascii="Calibri"/>
          <w:spacing w:val="-2"/>
          <w:sz w:val="20"/>
          <w:vertAlign w:val="baseline"/>
        </w:rPr>
        <w:t> </w:t>
      </w:r>
      <w:r>
        <w:rPr>
          <w:rFonts w:ascii="Calibri"/>
          <w:sz w:val="20"/>
          <w:vertAlign w:val="baseline"/>
        </w:rPr>
        <w:t>228</w:t>
      </w:r>
      <w:r>
        <w:rPr>
          <w:rFonts w:ascii="Calibri"/>
          <w:spacing w:val="-4"/>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(2010)</w:t>
      </w:r>
      <w:r>
        <w:rPr>
          <w:rFonts w:ascii="Calibri"/>
          <w:spacing w:val="-2"/>
          <w:sz w:val="20"/>
          <w:vertAlign w:val="baseline"/>
        </w:rPr>
        <w:t> </w:t>
      </w:r>
      <w:r>
        <w:rPr>
          <w:rFonts w:ascii="Calibri"/>
          <w:sz w:val="20"/>
          <w:vertAlign w:val="baseline"/>
        </w:rPr>
        <w:t>All</w:t>
      </w:r>
      <w:r>
        <w:rPr>
          <w:rFonts w:ascii="Calibri"/>
          <w:spacing w:val="-2"/>
          <w:sz w:val="20"/>
          <w:vertAlign w:val="baseline"/>
        </w:rPr>
        <w:t> </w:t>
      </w:r>
      <w:r>
        <w:rPr>
          <w:rFonts w:ascii="Calibri"/>
          <w:sz w:val="20"/>
          <w:vertAlign w:val="baseline"/>
        </w:rPr>
        <w:t>FWLR</w:t>
      </w:r>
      <w:r>
        <w:rPr>
          <w:rFonts w:ascii="Calibri"/>
          <w:spacing w:val="-2"/>
          <w:sz w:val="20"/>
          <w:vertAlign w:val="baseline"/>
        </w:rPr>
        <w:t> </w:t>
      </w:r>
      <w:r>
        <w:rPr>
          <w:rFonts w:ascii="Calibri"/>
          <w:spacing w:val="-4"/>
          <w:sz w:val="20"/>
          <w:vertAlign w:val="baseline"/>
        </w:rPr>
        <w:t>258.</w:t>
      </w:r>
    </w:p>
    <w:p>
      <w:pPr>
        <w:spacing w:before="1"/>
        <w:ind w:left="308" w:right="509" w:firstLine="0"/>
        <w:jc w:val="left"/>
        <w:rPr>
          <w:rFonts w:ascii="Calibri"/>
          <w:sz w:val="20"/>
        </w:rPr>
      </w:pPr>
      <w:r>
        <w:rPr>
          <w:rFonts w:ascii="Calibri"/>
          <w:sz w:val="20"/>
          <w:vertAlign w:val="superscript"/>
        </w:rPr>
        <w:t>58</w:t>
      </w:r>
      <w:r>
        <w:rPr>
          <w:rFonts w:ascii="Calibri"/>
          <w:sz w:val="20"/>
          <w:vertAlign w:val="baseline"/>
        </w:rPr>
        <w:t> See</w:t>
      </w:r>
      <w:r>
        <w:rPr>
          <w:rFonts w:ascii="Calibri"/>
          <w:spacing w:val="-5"/>
          <w:sz w:val="20"/>
          <w:vertAlign w:val="baseline"/>
        </w:rPr>
        <w:t> </w:t>
      </w:r>
      <w:r>
        <w:rPr>
          <w:rFonts w:ascii="Calibri"/>
          <w:sz w:val="20"/>
          <w:vertAlign w:val="baseline"/>
        </w:rPr>
        <w:t>The</w:t>
      </w:r>
      <w:r>
        <w:rPr>
          <w:rFonts w:ascii="Calibri"/>
          <w:spacing w:val="-1"/>
          <w:sz w:val="20"/>
          <w:vertAlign w:val="baseline"/>
        </w:rPr>
        <w:t> </w:t>
      </w:r>
      <w:r>
        <w:rPr>
          <w:rFonts w:ascii="Calibri"/>
          <w:sz w:val="20"/>
          <w:vertAlign w:val="baseline"/>
        </w:rPr>
        <w:t>Citizen</w:t>
      </w:r>
      <w:r>
        <w:rPr>
          <w:rFonts w:ascii="Calibri"/>
          <w:spacing w:val="-5"/>
          <w:sz w:val="20"/>
          <w:vertAlign w:val="baseline"/>
        </w:rPr>
        <w:t> </w:t>
      </w:r>
      <w:r>
        <w:rPr>
          <w:rFonts w:ascii="Calibri"/>
          <w:sz w:val="20"/>
          <w:vertAlign w:val="baseline"/>
        </w:rPr>
        <w:t>Online.</w:t>
      </w:r>
      <w:r>
        <w:rPr>
          <w:rFonts w:ascii="Calibri"/>
          <w:spacing w:val="-4"/>
          <w:sz w:val="20"/>
          <w:vertAlign w:val="baseline"/>
        </w:rPr>
        <w:t> </w:t>
      </w:r>
      <w:r>
        <w:rPr>
          <w:rFonts w:ascii="Calibri"/>
          <w:sz w:val="20"/>
          <w:vertAlign w:val="baseline"/>
        </w:rPr>
        <w:t>Retrieved</w:t>
      </w:r>
      <w:r>
        <w:rPr>
          <w:rFonts w:ascii="Calibri"/>
          <w:spacing w:val="-5"/>
          <w:sz w:val="20"/>
          <w:vertAlign w:val="baseline"/>
        </w:rPr>
        <w:t> </w:t>
      </w:r>
      <w:r>
        <w:rPr>
          <w:rFonts w:ascii="Calibri"/>
          <w:sz w:val="20"/>
          <w:vertAlign w:val="baseline"/>
        </w:rPr>
        <w:t>May</w:t>
      </w:r>
      <w:r>
        <w:rPr>
          <w:rFonts w:ascii="Calibri"/>
          <w:spacing w:val="-1"/>
          <w:sz w:val="20"/>
          <w:vertAlign w:val="baseline"/>
        </w:rPr>
        <w:t> </w:t>
      </w:r>
      <w:r>
        <w:rPr>
          <w:rFonts w:ascii="Calibri"/>
          <w:sz w:val="20"/>
          <w:vertAlign w:val="baseline"/>
        </w:rPr>
        <w:t>5,</w:t>
      </w:r>
      <w:r>
        <w:rPr>
          <w:rFonts w:ascii="Calibri"/>
          <w:spacing w:val="-8"/>
          <w:sz w:val="20"/>
          <w:vertAlign w:val="baseline"/>
        </w:rPr>
        <w:t> </w:t>
      </w:r>
      <w:r>
        <w:rPr>
          <w:rFonts w:ascii="Calibri"/>
          <w:sz w:val="20"/>
          <w:vertAlign w:val="baseline"/>
        </w:rPr>
        <w:t>2014</w:t>
      </w:r>
      <w:r>
        <w:rPr>
          <w:rFonts w:ascii="Calibri"/>
          <w:spacing w:val="-2"/>
          <w:sz w:val="20"/>
          <w:vertAlign w:val="baseline"/>
        </w:rPr>
        <w:t> </w:t>
      </w:r>
      <w:r>
        <w:rPr>
          <w:rFonts w:ascii="Calibri"/>
          <w:sz w:val="20"/>
          <w:vertAlign w:val="baseline"/>
        </w:rPr>
        <w:t>from </w:t>
      </w:r>
      <w:hyperlink r:id="rId30">
        <w:r>
          <w:rPr>
            <w:rFonts w:ascii="Calibri"/>
            <w:color w:val="0000FF"/>
            <w:sz w:val="20"/>
            <w:u w:val="single" w:color="0000FF"/>
            <w:vertAlign w:val="baseline"/>
          </w:rPr>
          <w:t>http://thecitizenng.com/business/cadbury-plc-</w:t>
        </w:r>
      </w:hyperlink>
      <w:r>
        <w:rPr>
          <w:rFonts w:ascii="Calibri"/>
          <w:color w:val="0000FF"/>
          <w:sz w:val="20"/>
          <w:vertAlign w:val="baseline"/>
        </w:rPr>
        <w:t> </w:t>
      </w:r>
      <w:hyperlink r:id="rId30">
        <w:r>
          <w:rPr>
            <w:rFonts w:ascii="Calibri"/>
            <w:color w:val="0000FF"/>
            <w:spacing w:val="-2"/>
            <w:sz w:val="20"/>
            <w:u w:val="single" w:color="0000FF"/>
            <w:vertAlign w:val="baseline"/>
          </w:rPr>
          <w:t>heads-to-trouble-again-over-alleged-fraudulent-reporting-its-not-true-says-cadbury/</w:t>
        </w:r>
        <w:r>
          <w:rPr>
            <w:rFonts w:ascii="Calibri"/>
            <w:spacing w:val="-2"/>
            <w:sz w:val="20"/>
            <w:vertAlign w:val="baseline"/>
          </w:rPr>
          <w:t>.</w:t>
        </w:r>
      </w:hyperlink>
    </w:p>
    <w:p>
      <w:pPr>
        <w:spacing w:before="1"/>
        <w:ind w:left="308" w:right="255" w:firstLine="0"/>
        <w:jc w:val="left"/>
        <w:rPr>
          <w:rFonts w:ascii="Calibri" w:hAnsi="Calibri"/>
          <w:sz w:val="20"/>
        </w:rPr>
      </w:pPr>
      <w:r>
        <w:rPr>
          <w:rFonts w:ascii="Calibri" w:hAnsi="Calibri"/>
          <w:sz w:val="20"/>
          <w:vertAlign w:val="superscript"/>
        </w:rPr>
        <w:t>59</w:t>
      </w:r>
      <w:r>
        <w:rPr>
          <w:rFonts w:ascii="Calibri" w:hAnsi="Calibri"/>
          <w:spacing w:val="27"/>
          <w:sz w:val="20"/>
          <w:vertAlign w:val="baseline"/>
        </w:rPr>
        <w:t> </w:t>
      </w:r>
      <w:r>
        <w:rPr>
          <w:rFonts w:ascii="Calibri" w:hAnsi="Calibri"/>
          <w:sz w:val="20"/>
          <w:vertAlign w:val="baseline"/>
        </w:rPr>
        <w:t>Garner, A.B.</w:t>
      </w:r>
      <w:r>
        <w:rPr>
          <w:rFonts w:ascii="Calibri" w:hAnsi="Calibri"/>
          <w:spacing w:val="27"/>
          <w:sz w:val="20"/>
          <w:vertAlign w:val="baseline"/>
        </w:rPr>
        <w:t> </w:t>
      </w:r>
      <w:r>
        <w:rPr>
          <w:rFonts w:ascii="Calibri" w:hAnsi="Calibri"/>
          <w:sz w:val="20"/>
          <w:vertAlign w:val="baseline"/>
        </w:rPr>
        <w:t>(ed.). (2004).</w:t>
      </w:r>
      <w:r>
        <w:rPr>
          <w:rFonts w:ascii="Calibri" w:hAnsi="Calibri"/>
          <w:i/>
          <w:sz w:val="20"/>
          <w:vertAlign w:val="baseline"/>
        </w:rPr>
        <w:t>Black’s Law</w:t>
      </w:r>
      <w:r>
        <w:rPr>
          <w:rFonts w:ascii="Calibri" w:hAnsi="Calibri"/>
          <w:i/>
          <w:spacing w:val="25"/>
          <w:sz w:val="20"/>
          <w:vertAlign w:val="baseline"/>
        </w:rPr>
        <w:t> </w:t>
      </w:r>
      <w:r>
        <w:rPr>
          <w:rFonts w:ascii="Calibri" w:hAnsi="Calibri"/>
          <w:i/>
          <w:sz w:val="20"/>
          <w:vertAlign w:val="baseline"/>
        </w:rPr>
        <w:t>Dictionary.</w:t>
      </w:r>
      <w:r>
        <w:rPr>
          <w:rFonts w:ascii="Calibri" w:hAnsi="Calibri"/>
          <w:sz w:val="20"/>
          <w:vertAlign w:val="baseline"/>
        </w:rPr>
        <w:t>8th edition, West</w:t>
      </w:r>
      <w:r>
        <w:rPr>
          <w:rFonts w:ascii="Calibri" w:hAnsi="Calibri"/>
          <w:spacing w:val="24"/>
          <w:sz w:val="20"/>
          <w:vertAlign w:val="baseline"/>
        </w:rPr>
        <w:t> </w:t>
      </w:r>
      <w:r>
        <w:rPr>
          <w:rFonts w:ascii="Calibri" w:hAnsi="Calibri"/>
          <w:sz w:val="20"/>
          <w:vertAlign w:val="baseline"/>
        </w:rPr>
        <w:t>Publishing</w:t>
      </w:r>
      <w:r>
        <w:rPr>
          <w:rFonts w:ascii="Calibri" w:hAnsi="Calibri"/>
          <w:spacing w:val="26"/>
          <w:sz w:val="20"/>
          <w:vertAlign w:val="baseline"/>
        </w:rPr>
        <w:t> </w:t>
      </w:r>
      <w:r>
        <w:rPr>
          <w:rFonts w:ascii="Calibri" w:hAnsi="Calibri"/>
          <w:sz w:val="20"/>
          <w:vertAlign w:val="baseline"/>
        </w:rPr>
        <w:t>Co., United</w:t>
      </w:r>
      <w:r>
        <w:rPr>
          <w:rFonts w:ascii="Calibri" w:hAnsi="Calibri"/>
          <w:spacing w:val="25"/>
          <w:sz w:val="20"/>
          <w:vertAlign w:val="baseline"/>
        </w:rPr>
        <w:t> </w:t>
      </w:r>
      <w:r>
        <w:rPr>
          <w:rFonts w:ascii="Calibri" w:hAnsi="Calibri"/>
          <w:sz w:val="20"/>
          <w:vertAlign w:val="baseline"/>
        </w:rPr>
        <w:t>States, p. 658. See a similar definition in </w:t>
      </w:r>
      <w:r>
        <w:rPr>
          <w:rFonts w:ascii="Calibri" w:hAnsi="Calibri"/>
          <w:i/>
          <w:sz w:val="20"/>
          <w:vertAlign w:val="baseline"/>
        </w:rPr>
        <w:t>Bristol and West Building Society vs. Mothew</w:t>
      </w:r>
      <w:r>
        <w:rPr>
          <w:rFonts w:ascii="Calibri" w:hAnsi="Calibri"/>
          <w:sz w:val="20"/>
          <w:vertAlign w:val="baseline"/>
        </w:rPr>
        <w:t>(1998) Ch. 1.</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228" w:firstLine="720"/>
        <w:jc w:val="both"/>
      </w:pPr>
      <w:r>
        <w:rPr/>
        <w:t>Fiduciary duties are all pervading in the discharge, by directors, of their obligations towards the company: every task they perform</w:t>
      </w:r>
      <w:r>
        <w:rPr>
          <w:spacing w:val="-3"/>
        </w:rPr>
        <w:t> </w:t>
      </w:r>
      <w:r>
        <w:rPr/>
        <w:t>and action they take must be guided by</w:t>
      </w:r>
      <w:r>
        <w:rPr>
          <w:spacing w:val="-3"/>
        </w:rPr>
        <w:t> </w:t>
      </w:r>
      <w:r>
        <w:rPr/>
        <w:t>these duties, which</w:t>
      </w:r>
      <w:r>
        <w:rPr>
          <w:spacing w:val="-3"/>
        </w:rPr>
        <w:t> </w:t>
      </w:r>
      <w:r>
        <w:rPr/>
        <w:t>are essentially</w:t>
      </w:r>
      <w:r>
        <w:rPr>
          <w:spacing w:val="-3"/>
        </w:rPr>
        <w:t> </w:t>
      </w:r>
      <w:r>
        <w:rPr/>
        <w:t>to the advantage of</w:t>
      </w:r>
      <w:r>
        <w:rPr>
          <w:spacing w:val="-1"/>
        </w:rPr>
        <w:t> </w:t>
      </w:r>
      <w:r>
        <w:rPr/>
        <w:t>the company.</w:t>
      </w:r>
      <w:r>
        <w:rPr>
          <w:vertAlign w:val="superscript"/>
        </w:rPr>
        <w:t>60</w:t>
      </w:r>
      <w:r>
        <w:rPr>
          <w:vertAlign w:val="baseline"/>
        </w:rPr>
        <w:t> Such is the importance of the duties that the CAMA provides guidance as to what they entail</w:t>
      </w:r>
      <w:r>
        <w:rPr>
          <w:spacing w:val="40"/>
          <w:vertAlign w:val="baseline"/>
        </w:rPr>
        <w:t> </w:t>
      </w:r>
      <w:r>
        <w:rPr>
          <w:vertAlign w:val="baseline"/>
        </w:rPr>
        <w:t>and the circumstances in which they may be expected.</w:t>
      </w:r>
    </w:p>
    <w:p>
      <w:pPr>
        <w:pStyle w:val="Heading2"/>
        <w:numPr>
          <w:ilvl w:val="2"/>
          <w:numId w:val="12"/>
        </w:numPr>
        <w:tabs>
          <w:tab w:pos="1027" w:val="left" w:leader="none"/>
        </w:tabs>
        <w:spacing w:line="240" w:lineRule="auto" w:before="207" w:after="0"/>
        <w:ind w:left="1027" w:right="0" w:hanging="719"/>
        <w:jc w:val="both"/>
      </w:pPr>
      <w:bookmarkStart w:name="_TOC_250029" w:id="23"/>
      <w:r>
        <w:rPr/>
        <w:t>Duties</w:t>
      </w:r>
      <w:r>
        <w:rPr>
          <w:spacing w:val="-3"/>
        </w:rPr>
        <w:t> </w:t>
      </w:r>
      <w:r>
        <w:rPr/>
        <w:t>Owed</w:t>
      </w:r>
      <w:r>
        <w:rPr>
          <w:spacing w:val="2"/>
        </w:rPr>
        <w:t> </w:t>
      </w:r>
      <w:r>
        <w:rPr/>
        <w:t>to</w:t>
      </w:r>
      <w:r>
        <w:rPr>
          <w:spacing w:val="-2"/>
        </w:rPr>
        <w:t> </w:t>
      </w:r>
      <w:bookmarkEnd w:id="23"/>
      <w:r>
        <w:rPr>
          <w:spacing w:val="-4"/>
        </w:rPr>
        <w:t>Whom?</w:t>
      </w:r>
    </w:p>
    <w:p>
      <w:pPr>
        <w:pStyle w:val="BodyText"/>
        <w:spacing w:line="480" w:lineRule="auto" w:before="132"/>
        <w:ind w:right="234"/>
        <w:jc w:val="both"/>
      </w:pPr>
      <w:r>
        <w:rPr/>
        <w:t>Before discussing the director‘s fiduciary duties, it is apposite to first determine to whom they are owed. S. 279(1) starts off with an emphatic statement that a director stands in a fiduciary relationship </w:t>
      </w:r>
      <w:r>
        <w:rPr>
          <w:i/>
        </w:rPr>
        <w:t>towards the company </w:t>
      </w:r>
      <w:r>
        <w:rPr/>
        <w:t>and shall observe the utmost good faith </w:t>
      </w:r>
      <w:r>
        <w:rPr>
          <w:i/>
        </w:rPr>
        <w:t>towards the company </w:t>
      </w:r>
      <w:r>
        <w:rPr/>
        <w:t>in any transaction with it or on its behalf. This statement proposes that the director‘s fiduciary duty is one owed the company only.</w:t>
      </w:r>
      <w:r>
        <w:rPr>
          <w:spacing w:val="40"/>
        </w:rPr>
        <w:t> </w:t>
      </w:r>
      <w:r>
        <w:rPr/>
        <w:t>This follows from the issue of enforceability: only the company can enforce the duties its director owes it.</w:t>
      </w:r>
      <w:r>
        <w:rPr>
          <w:vertAlign w:val="superscript"/>
        </w:rPr>
        <w:t>61</w:t>
      </w:r>
      <w:r>
        <w:rPr>
          <w:vertAlign w:val="baseline"/>
        </w:rPr>
        <w:t>However, s. 279(2) immediately following, states that:</w:t>
      </w:r>
    </w:p>
    <w:p>
      <w:pPr>
        <w:spacing w:line="240" w:lineRule="auto" w:before="2"/>
        <w:ind w:left="2007" w:right="1886" w:firstLine="0"/>
        <w:jc w:val="both"/>
        <w:rPr>
          <w:i/>
          <w:sz w:val="24"/>
        </w:rPr>
      </w:pPr>
      <w:r>
        <w:rPr>
          <w:i/>
          <w:sz w:val="24"/>
        </w:rPr>
        <w:t>A director shall also owe fiduciary relationship with the company in the following circumstances: (a) where a director is acting as agent of a particular shareholder; (b) where, even though he is not an agent of any shareholder, such a shareholder or other person is dealing with the </w:t>
      </w:r>
      <w:r>
        <w:rPr>
          <w:i/>
          <w:sz w:val="24"/>
        </w:rPr>
        <w:t>company‘s</w:t>
      </w:r>
      <w:r>
        <w:rPr>
          <w:i/>
          <w:spacing w:val="40"/>
          <w:sz w:val="24"/>
        </w:rPr>
        <w:t> </w:t>
      </w:r>
      <w:r>
        <w:rPr>
          <w:i/>
          <w:spacing w:val="-2"/>
          <w:sz w:val="24"/>
        </w:rPr>
        <w:t>securities.</w:t>
      </w:r>
    </w:p>
    <w:p>
      <w:pPr>
        <w:pStyle w:val="BodyText"/>
        <w:spacing w:before="1"/>
        <w:ind w:left="0"/>
        <w:rPr>
          <w:i/>
        </w:rPr>
      </w:pPr>
    </w:p>
    <w:p>
      <w:pPr>
        <w:pStyle w:val="BodyText"/>
        <w:spacing w:line="480" w:lineRule="auto"/>
        <w:ind w:right="182" w:firstLine="720"/>
        <w:jc w:val="both"/>
      </w:pPr>
      <w:r>
        <w:rPr/>
        <w:t>The provision above seems confusing on four points. First, human nature would certainly make it near-impossible for a director to observe good faith in a transaction </w:t>
      </w:r>
      <w:r>
        <w:rPr>
          <w:i/>
        </w:rPr>
        <w:t>with </w:t>
      </w:r>
      <w:r>
        <w:rPr/>
        <w:t>the company. This informs the rules developed regarding conflicts of interests discussed</w:t>
      </w:r>
      <w:r>
        <w:rPr>
          <w:spacing w:val="10"/>
        </w:rPr>
        <w:t> </w:t>
      </w:r>
      <w:r>
        <w:rPr/>
        <w:t>later</w:t>
      </w:r>
      <w:r>
        <w:rPr>
          <w:spacing w:val="9"/>
        </w:rPr>
        <w:t> </w:t>
      </w:r>
      <w:r>
        <w:rPr/>
        <w:t>in</w:t>
      </w:r>
      <w:r>
        <w:rPr>
          <w:spacing w:val="3"/>
        </w:rPr>
        <w:t> </w:t>
      </w:r>
      <w:r>
        <w:rPr/>
        <w:t>this</w:t>
      </w:r>
      <w:r>
        <w:rPr>
          <w:spacing w:val="6"/>
        </w:rPr>
        <w:t> </w:t>
      </w:r>
      <w:r>
        <w:rPr/>
        <w:t>work.</w:t>
      </w:r>
      <w:r>
        <w:rPr>
          <w:spacing w:val="5"/>
        </w:rPr>
        <w:t> </w:t>
      </w:r>
      <w:r>
        <w:rPr/>
        <w:t>Second,</w:t>
      </w:r>
      <w:r>
        <w:rPr>
          <w:spacing w:val="10"/>
        </w:rPr>
        <w:t> </w:t>
      </w:r>
      <w:r>
        <w:rPr/>
        <w:t>it</w:t>
      </w:r>
      <w:r>
        <w:rPr>
          <w:spacing w:val="17"/>
        </w:rPr>
        <w:t> </w:t>
      </w:r>
      <w:r>
        <w:rPr/>
        <w:t>is</w:t>
      </w:r>
      <w:r>
        <w:rPr>
          <w:spacing w:val="10"/>
        </w:rPr>
        <w:t> </w:t>
      </w:r>
      <w:r>
        <w:rPr/>
        <w:t>hardly</w:t>
      </w:r>
      <w:r>
        <w:rPr>
          <w:spacing w:val="3"/>
        </w:rPr>
        <w:t> </w:t>
      </w:r>
      <w:r>
        <w:rPr/>
        <w:t>debatable</w:t>
      </w:r>
      <w:r>
        <w:rPr>
          <w:spacing w:val="15"/>
        </w:rPr>
        <w:t> </w:t>
      </w:r>
      <w:r>
        <w:rPr/>
        <w:t>to</w:t>
      </w:r>
      <w:r>
        <w:rPr>
          <w:spacing w:val="7"/>
        </w:rPr>
        <w:t> </w:t>
      </w:r>
      <w:r>
        <w:rPr/>
        <w:t>state</w:t>
      </w:r>
      <w:r>
        <w:rPr>
          <w:spacing w:val="3"/>
        </w:rPr>
        <w:t> </w:t>
      </w:r>
      <w:r>
        <w:rPr/>
        <w:t>that</w:t>
      </w:r>
      <w:r>
        <w:rPr>
          <w:spacing w:val="9"/>
        </w:rPr>
        <w:t> </w:t>
      </w:r>
      <w:r>
        <w:rPr/>
        <w:t>a</w:t>
      </w:r>
      <w:r>
        <w:rPr>
          <w:spacing w:val="6"/>
        </w:rPr>
        <w:t> </w:t>
      </w:r>
      <w:r>
        <w:rPr/>
        <w:t>director</w:t>
      </w:r>
      <w:r>
        <w:rPr>
          <w:spacing w:val="10"/>
        </w:rPr>
        <w:t> </w:t>
      </w:r>
      <w:r>
        <w:rPr>
          <w:spacing w:val="-2"/>
        </w:rPr>
        <w:t>cannot</w:t>
      </w:r>
    </w:p>
    <w:p>
      <w:pPr>
        <w:pStyle w:val="BodyText"/>
        <w:jc w:val="both"/>
      </w:pPr>
      <w:r>
        <w:rPr/>
        <w:t>―owe</w:t>
      </w:r>
      <w:r>
        <w:rPr>
          <w:spacing w:val="-1"/>
        </w:rPr>
        <w:t> </w:t>
      </w:r>
      <w:r>
        <w:rPr/>
        <w:t>fiduciary</w:t>
      </w:r>
      <w:r>
        <w:rPr>
          <w:spacing w:val="-7"/>
        </w:rPr>
        <w:t> </w:t>
      </w:r>
      <w:r>
        <w:rPr/>
        <w:t>relationship</w:t>
      </w:r>
      <w:r>
        <w:rPr>
          <w:spacing w:val="1"/>
        </w:rPr>
        <w:t> </w:t>
      </w:r>
      <w:r>
        <w:rPr/>
        <w:t>with‖</w:t>
      </w:r>
      <w:r>
        <w:rPr>
          <w:spacing w:val="-4"/>
        </w:rPr>
        <w:t> </w:t>
      </w:r>
      <w:r>
        <w:rPr/>
        <w:t>the</w:t>
      </w:r>
      <w:r>
        <w:rPr>
          <w:spacing w:val="-4"/>
        </w:rPr>
        <w:t> </w:t>
      </w:r>
      <w:r>
        <w:rPr/>
        <w:t>company,</w:t>
      </w:r>
      <w:r>
        <w:rPr>
          <w:spacing w:val="2"/>
        </w:rPr>
        <w:t> </w:t>
      </w:r>
      <w:r>
        <w:rPr/>
        <w:t>but</w:t>
      </w:r>
      <w:r>
        <w:rPr>
          <w:spacing w:val="1"/>
        </w:rPr>
        <w:t> </w:t>
      </w:r>
      <w:r>
        <w:rPr/>
        <w:t>can</w:t>
      </w:r>
      <w:r>
        <w:rPr>
          <w:spacing w:val="-7"/>
        </w:rPr>
        <w:t> </w:t>
      </w:r>
      <w:r>
        <w:rPr/>
        <w:t>only</w:t>
      </w:r>
      <w:r>
        <w:rPr>
          <w:spacing w:val="-2"/>
        </w:rPr>
        <w:t> </w:t>
      </w:r>
      <w:r>
        <w:rPr/>
        <w:t>―owe</w:t>
      </w:r>
      <w:r>
        <w:rPr>
          <w:spacing w:val="-4"/>
        </w:rPr>
        <w:t> </w:t>
      </w:r>
      <w:r>
        <w:rPr/>
        <w:t>a fiduciary</w:t>
      </w:r>
      <w:r>
        <w:rPr>
          <w:spacing w:val="-7"/>
        </w:rPr>
        <w:t> </w:t>
      </w:r>
      <w:r>
        <w:rPr/>
        <w:t>duty</w:t>
      </w:r>
      <w:r>
        <w:rPr>
          <w:spacing w:val="-7"/>
        </w:rPr>
        <w:t> </w:t>
      </w:r>
      <w:r>
        <w:rPr>
          <w:spacing w:val="-5"/>
        </w:rPr>
        <w:t>to‖</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71"/>
        <w:ind w:left="0"/>
        <w:rPr>
          <w:sz w:val="20"/>
        </w:rPr>
      </w:pPr>
      <w:r>
        <w:rPr/>
        <mc:AlternateContent>
          <mc:Choice Requires="wps">
            <w:drawing>
              <wp:anchor distT="0" distB="0" distL="0" distR="0" allowOverlap="1" layoutInCell="1" locked="0" behindDoc="1" simplePos="0" relativeHeight="487642624">
                <wp:simplePos x="0" y="0"/>
                <wp:positionH relativeFrom="page">
                  <wp:posOffset>1262481</wp:posOffset>
                </wp:positionH>
                <wp:positionV relativeFrom="paragraph">
                  <wp:posOffset>206935</wp:posOffset>
                </wp:positionV>
                <wp:extent cx="1829435" cy="9525"/>
                <wp:effectExtent l="0" t="0" r="0" b="0"/>
                <wp:wrapTopAndBottom/>
                <wp:docPr id="120" name="Graphic 120"/>
                <wp:cNvGraphicFramePr>
                  <a:graphicFrameLocks/>
                </wp:cNvGraphicFramePr>
                <a:graphic>
                  <a:graphicData uri="http://schemas.microsoft.com/office/word/2010/wordprocessingShape">
                    <wps:wsp>
                      <wps:cNvPr id="120" name="Graphic 12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294132pt;width:144.050pt;height:.71997pt;mso-position-horizontal-relative:page;mso-position-vertical-relative:paragraph;z-index:-15673856;mso-wrap-distance-left:0;mso-wrap-distance-right:0" id="docshape75"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60</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i/>
          <w:sz w:val="20"/>
          <w:vertAlign w:val="baseline"/>
        </w:rPr>
        <w:t>Okeowo</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Migliore</w:t>
      </w:r>
      <w:r>
        <w:rPr>
          <w:rFonts w:ascii="Calibri"/>
          <w:i/>
          <w:spacing w:val="-2"/>
          <w:sz w:val="20"/>
          <w:vertAlign w:val="baseline"/>
        </w:rPr>
        <w:t> </w:t>
      </w:r>
      <w:r>
        <w:rPr>
          <w:rFonts w:ascii="Calibri"/>
          <w:sz w:val="20"/>
          <w:vertAlign w:val="baseline"/>
        </w:rPr>
        <w:t>(1979)</w:t>
      </w:r>
      <w:r>
        <w:rPr>
          <w:rFonts w:ascii="Calibri"/>
          <w:spacing w:val="-5"/>
          <w:sz w:val="20"/>
          <w:vertAlign w:val="baseline"/>
        </w:rPr>
        <w:t> </w:t>
      </w:r>
      <w:r>
        <w:rPr>
          <w:rFonts w:ascii="Calibri"/>
          <w:sz w:val="20"/>
          <w:vertAlign w:val="baseline"/>
        </w:rPr>
        <w:t>NSCC</w:t>
      </w:r>
      <w:r>
        <w:rPr>
          <w:rFonts w:ascii="Calibri"/>
          <w:spacing w:val="-4"/>
          <w:sz w:val="20"/>
          <w:vertAlign w:val="baseline"/>
        </w:rPr>
        <w:t> </w:t>
      </w:r>
      <w:r>
        <w:rPr>
          <w:rFonts w:ascii="Calibri"/>
          <w:sz w:val="20"/>
          <w:vertAlign w:val="baseline"/>
        </w:rPr>
        <w:t>210</w:t>
      </w:r>
      <w:r>
        <w:rPr>
          <w:rFonts w:ascii="Calibri"/>
          <w:spacing w:val="-3"/>
          <w:sz w:val="20"/>
          <w:vertAlign w:val="baseline"/>
        </w:rPr>
        <w:t> </w:t>
      </w:r>
      <w:r>
        <w:rPr>
          <w:rFonts w:ascii="Calibri"/>
          <w:sz w:val="20"/>
          <w:vertAlign w:val="baseline"/>
        </w:rPr>
        <w:t>at</w:t>
      </w:r>
      <w:r>
        <w:rPr>
          <w:rFonts w:ascii="Calibri"/>
          <w:spacing w:val="-8"/>
          <w:sz w:val="20"/>
          <w:vertAlign w:val="baseline"/>
        </w:rPr>
        <w:t> </w:t>
      </w:r>
      <w:r>
        <w:rPr>
          <w:rFonts w:ascii="Calibri"/>
          <w:spacing w:val="-4"/>
          <w:sz w:val="20"/>
          <w:vertAlign w:val="baseline"/>
        </w:rPr>
        <w:t>263.</w:t>
      </w:r>
    </w:p>
    <w:p>
      <w:pPr>
        <w:spacing w:before="1"/>
        <w:ind w:left="308" w:right="0" w:firstLine="0"/>
        <w:jc w:val="left"/>
        <w:rPr>
          <w:rFonts w:ascii="Calibri"/>
          <w:sz w:val="20"/>
        </w:rPr>
      </w:pPr>
      <w:r>
        <w:rPr>
          <w:rFonts w:ascii="Calibri"/>
          <w:sz w:val="20"/>
          <w:vertAlign w:val="superscript"/>
        </w:rPr>
        <w:t>61</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section</w:t>
      </w:r>
      <w:r>
        <w:rPr>
          <w:rFonts w:ascii="Calibri"/>
          <w:spacing w:val="-5"/>
          <w:sz w:val="20"/>
          <w:vertAlign w:val="baseline"/>
        </w:rPr>
        <w:t> </w:t>
      </w:r>
      <w:r>
        <w:rPr>
          <w:rFonts w:ascii="Calibri"/>
          <w:spacing w:val="-2"/>
          <w:sz w:val="20"/>
          <w:vertAlign w:val="baseline"/>
        </w:rPr>
        <w:t>279(9).</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181"/>
        <w:jc w:val="both"/>
      </w:pPr>
      <w:r>
        <w:rPr/>
        <w:t>the company, or ―stand in a fiduciary</w:t>
      </w:r>
      <w:r>
        <w:rPr>
          <w:spacing w:val="-3"/>
        </w:rPr>
        <w:t> </w:t>
      </w:r>
      <w:r>
        <w:rPr/>
        <w:t>relationship towards‖ the company.</w:t>
      </w:r>
      <w:r>
        <w:rPr>
          <w:vertAlign w:val="superscript"/>
        </w:rPr>
        <w:t>62</w:t>
      </w:r>
      <w:r>
        <w:rPr>
          <w:vertAlign w:val="baseline"/>
        </w:rPr>
        <w:t>Third, if the subsection proposes to state that the director owes a fiduciary duty to the company</w:t>
      </w:r>
      <w:r>
        <w:rPr>
          <w:spacing w:val="40"/>
          <w:vertAlign w:val="baseline"/>
        </w:rPr>
        <w:t> </w:t>
      </w:r>
      <w:r>
        <w:rPr>
          <w:vertAlign w:val="baseline"/>
        </w:rPr>
        <w:t>where he is acting as agent of a shareholder, then the statement would make no sense because the company is never a fiduciary to any shareholder</w:t>
      </w:r>
      <w:r>
        <w:rPr>
          <w:vertAlign w:val="superscript"/>
        </w:rPr>
        <w:t>63</w:t>
      </w:r>
      <w:r>
        <w:rPr>
          <w:vertAlign w:val="baseline"/>
        </w:rPr>
        <w:t> and, if a director</w:t>
      </w:r>
      <w:r>
        <w:rPr>
          <w:spacing w:val="40"/>
          <w:vertAlign w:val="baseline"/>
        </w:rPr>
        <w:t> </w:t>
      </w:r>
      <w:r>
        <w:rPr>
          <w:vertAlign w:val="baseline"/>
        </w:rPr>
        <w:t>happened to be an</w:t>
      </w:r>
      <w:r>
        <w:rPr>
          <w:spacing w:val="-1"/>
          <w:vertAlign w:val="baseline"/>
        </w:rPr>
        <w:t> </w:t>
      </w:r>
      <w:r>
        <w:rPr>
          <w:vertAlign w:val="baseline"/>
        </w:rPr>
        <w:t>agent of</w:t>
      </w:r>
      <w:r>
        <w:rPr>
          <w:spacing w:val="-4"/>
          <w:vertAlign w:val="baseline"/>
        </w:rPr>
        <w:t> </w:t>
      </w:r>
      <w:r>
        <w:rPr>
          <w:vertAlign w:val="baseline"/>
        </w:rPr>
        <w:t>a shareholder, his fiduciary</w:t>
      </w:r>
      <w:r>
        <w:rPr>
          <w:spacing w:val="-1"/>
          <w:vertAlign w:val="baseline"/>
        </w:rPr>
        <w:t> </w:t>
      </w:r>
      <w:r>
        <w:rPr>
          <w:vertAlign w:val="baseline"/>
        </w:rPr>
        <w:t>duties in</w:t>
      </w:r>
      <w:r>
        <w:rPr>
          <w:spacing w:val="-1"/>
          <w:vertAlign w:val="baseline"/>
        </w:rPr>
        <w:t> </w:t>
      </w:r>
      <w:r>
        <w:rPr>
          <w:vertAlign w:val="baseline"/>
        </w:rPr>
        <w:t>that case would be only owed the particular shareholder and not the company, for he would not in that case be acting as its agent and for it.</w:t>
      </w:r>
    </w:p>
    <w:p>
      <w:pPr>
        <w:pStyle w:val="BodyText"/>
        <w:spacing w:line="480" w:lineRule="auto" w:before="1"/>
        <w:ind w:right="191" w:firstLine="720"/>
        <w:jc w:val="both"/>
      </w:pPr>
      <w:r>
        <w:rPr/>
        <w:t>Fourth, the second paragraph of the subsection as couched appears to impose fiduciary duties on a director towards any person dealing with the company‘s securities, whether a shareholder or not and whether he happens to be that person‘s agent or not. If that is the case, then the director would most certainly find it difficult to balance his primary</w:t>
      </w:r>
      <w:r>
        <w:rPr>
          <w:spacing w:val="-3"/>
        </w:rPr>
        <w:t> </w:t>
      </w:r>
      <w:r>
        <w:rPr/>
        <w:t>fiduciary</w:t>
      </w:r>
      <w:r>
        <w:rPr>
          <w:spacing w:val="-8"/>
        </w:rPr>
        <w:t> </w:t>
      </w:r>
      <w:r>
        <w:rPr/>
        <w:t>duty</w:t>
      </w:r>
      <w:r>
        <w:rPr>
          <w:spacing w:val="-8"/>
        </w:rPr>
        <w:t> </w:t>
      </w:r>
      <w:r>
        <w:rPr/>
        <w:t>to the company</w:t>
      </w:r>
      <w:r>
        <w:rPr>
          <w:spacing w:val="-3"/>
        </w:rPr>
        <w:t> </w:t>
      </w:r>
      <w:r>
        <w:rPr/>
        <w:t>as its director and then his duty</w:t>
      </w:r>
      <w:r>
        <w:rPr>
          <w:spacing w:val="-8"/>
        </w:rPr>
        <w:t> </w:t>
      </w:r>
      <w:r>
        <w:rPr/>
        <w:t>to a</w:t>
      </w:r>
      <w:r>
        <w:rPr>
          <w:spacing w:val="-4"/>
        </w:rPr>
        <w:t> </w:t>
      </w:r>
      <w:r>
        <w:rPr/>
        <w:t>thousand and one persons that may be dealing with that company‘s securities.</w:t>
      </w:r>
    </w:p>
    <w:p>
      <w:pPr>
        <w:pStyle w:val="BodyText"/>
        <w:spacing w:line="480" w:lineRule="auto" w:before="1"/>
        <w:ind w:right="186" w:firstLine="720"/>
        <w:jc w:val="both"/>
      </w:pPr>
      <w:r>
        <w:rPr/>
        <w:t>Osunbor has proposed</w:t>
      </w:r>
      <w:r>
        <w:rPr>
          <w:spacing w:val="-1"/>
        </w:rPr>
        <w:t> </w:t>
      </w:r>
      <w:r>
        <w:rPr/>
        <w:t>that perhaps the words ―a shareholder‖ ought to read ―a director‖ in order for the paragraph to make sense.</w:t>
      </w:r>
      <w:r>
        <w:rPr>
          <w:vertAlign w:val="superscript"/>
        </w:rPr>
        <w:t>64</w:t>
      </w:r>
      <w:r>
        <w:rPr>
          <w:vertAlign w:val="baseline"/>
        </w:rPr>
        <w:t> But then, this would raise the question</w:t>
      </w:r>
      <w:r>
        <w:rPr>
          <w:spacing w:val="-1"/>
          <w:vertAlign w:val="baseline"/>
        </w:rPr>
        <w:t> </w:t>
      </w:r>
      <w:r>
        <w:rPr>
          <w:vertAlign w:val="baseline"/>
        </w:rPr>
        <w:t>of</w:t>
      </w:r>
      <w:r>
        <w:rPr>
          <w:spacing w:val="-4"/>
          <w:vertAlign w:val="baseline"/>
        </w:rPr>
        <w:t> </w:t>
      </w:r>
      <w:r>
        <w:rPr>
          <w:vertAlign w:val="baseline"/>
        </w:rPr>
        <w:t>whom</w:t>
      </w:r>
      <w:r>
        <w:rPr>
          <w:spacing w:val="-5"/>
          <w:vertAlign w:val="baseline"/>
        </w:rPr>
        <w:t> </w:t>
      </w:r>
      <w:r>
        <w:rPr>
          <w:vertAlign w:val="baseline"/>
        </w:rPr>
        <w:t>the paragraph is referring to as</w:t>
      </w:r>
      <w:r>
        <w:rPr>
          <w:spacing w:val="-3"/>
          <w:vertAlign w:val="baseline"/>
        </w:rPr>
        <w:t> </w:t>
      </w:r>
      <w:r>
        <w:rPr>
          <w:vertAlign w:val="baseline"/>
        </w:rPr>
        <w:t>―other person‖ for his mention</w:t>
      </w:r>
      <w:r>
        <w:rPr>
          <w:spacing w:val="-1"/>
          <w:vertAlign w:val="baseline"/>
        </w:rPr>
        <w:t> </w:t>
      </w:r>
      <w:r>
        <w:rPr>
          <w:vertAlign w:val="baseline"/>
        </w:rPr>
        <w:t>would seem rather belated at this stage. Ali, on the other hand, suggests that s.279(2) can be construed</w:t>
      </w:r>
      <w:r>
        <w:rPr>
          <w:spacing w:val="59"/>
          <w:vertAlign w:val="baseline"/>
        </w:rPr>
        <w:t> </w:t>
      </w:r>
      <w:r>
        <w:rPr>
          <w:vertAlign w:val="baseline"/>
        </w:rPr>
        <w:t>to</w:t>
      </w:r>
      <w:r>
        <w:rPr>
          <w:spacing w:val="64"/>
          <w:vertAlign w:val="baseline"/>
        </w:rPr>
        <w:t> </w:t>
      </w:r>
      <w:r>
        <w:rPr>
          <w:vertAlign w:val="baseline"/>
        </w:rPr>
        <w:t>mean</w:t>
      </w:r>
      <w:r>
        <w:rPr>
          <w:spacing w:val="59"/>
          <w:vertAlign w:val="baseline"/>
        </w:rPr>
        <w:t> </w:t>
      </w:r>
      <w:r>
        <w:rPr>
          <w:vertAlign w:val="baseline"/>
        </w:rPr>
        <w:t>that</w:t>
      </w:r>
      <w:r>
        <w:rPr>
          <w:spacing w:val="68"/>
          <w:vertAlign w:val="baseline"/>
        </w:rPr>
        <w:t> </w:t>
      </w:r>
      <w:r>
        <w:rPr>
          <w:vertAlign w:val="baseline"/>
        </w:rPr>
        <w:t>a</w:t>
      </w:r>
      <w:r>
        <w:rPr>
          <w:spacing w:val="63"/>
          <w:vertAlign w:val="baseline"/>
        </w:rPr>
        <w:t> </w:t>
      </w:r>
      <w:r>
        <w:rPr>
          <w:vertAlign w:val="baseline"/>
        </w:rPr>
        <w:t>director</w:t>
      </w:r>
      <w:r>
        <w:rPr>
          <w:spacing w:val="65"/>
          <w:vertAlign w:val="baseline"/>
        </w:rPr>
        <w:t> </w:t>
      </w:r>
      <w:r>
        <w:rPr>
          <w:vertAlign w:val="baseline"/>
        </w:rPr>
        <w:t>―with‖</w:t>
      </w:r>
      <w:r>
        <w:rPr>
          <w:spacing w:val="63"/>
          <w:vertAlign w:val="baseline"/>
        </w:rPr>
        <w:t> </w:t>
      </w:r>
      <w:r>
        <w:rPr>
          <w:vertAlign w:val="baseline"/>
        </w:rPr>
        <w:t>the</w:t>
      </w:r>
      <w:r>
        <w:rPr>
          <w:spacing w:val="63"/>
          <w:vertAlign w:val="baseline"/>
        </w:rPr>
        <w:t> </w:t>
      </w:r>
      <w:r>
        <w:rPr>
          <w:vertAlign w:val="baseline"/>
        </w:rPr>
        <w:t>company</w:t>
      </w:r>
      <w:r>
        <w:rPr>
          <w:spacing w:val="59"/>
          <w:vertAlign w:val="baseline"/>
        </w:rPr>
        <w:t> </w:t>
      </w:r>
      <w:r>
        <w:rPr>
          <w:vertAlign w:val="baseline"/>
        </w:rPr>
        <w:t>shall</w:t>
      </w:r>
      <w:r>
        <w:rPr>
          <w:spacing w:val="60"/>
          <w:vertAlign w:val="baseline"/>
        </w:rPr>
        <w:t> </w:t>
      </w:r>
      <w:r>
        <w:rPr>
          <w:vertAlign w:val="baseline"/>
        </w:rPr>
        <w:t>owe</w:t>
      </w:r>
      <w:r>
        <w:rPr>
          <w:spacing w:val="62"/>
          <w:vertAlign w:val="baseline"/>
        </w:rPr>
        <w:t> </w:t>
      </w:r>
      <w:r>
        <w:rPr>
          <w:vertAlign w:val="baseline"/>
        </w:rPr>
        <w:t>fiduciary</w:t>
      </w:r>
      <w:r>
        <w:rPr>
          <w:spacing w:val="54"/>
          <w:vertAlign w:val="baseline"/>
        </w:rPr>
        <w:t> </w:t>
      </w:r>
      <w:r>
        <w:rPr>
          <w:spacing w:val="-2"/>
          <w:vertAlign w:val="baseline"/>
        </w:rPr>
        <w:t>duties</w:t>
      </w:r>
    </w:p>
    <w:p>
      <w:pPr>
        <w:pStyle w:val="BodyText"/>
        <w:spacing w:line="480" w:lineRule="auto" w:before="1"/>
        <w:ind w:right="188"/>
        <w:jc w:val="both"/>
      </w:pPr>
      <w:r>
        <w:rPr/>
        <w:t>―towards‖ the shareholder or other person in the instances mentioned in the succeeding paragraphs.</w:t>
      </w:r>
      <w:r>
        <w:rPr>
          <w:vertAlign w:val="superscript"/>
        </w:rPr>
        <w:t>65</w:t>
      </w:r>
      <w:r>
        <w:rPr>
          <w:vertAlign w:val="baseline"/>
        </w:rPr>
        <w:t> But this would suggest a double agency situation: the director would, by virtue of his office, be the agent of the company and at the same time, the agent of the shareholder.</w:t>
      </w:r>
      <w:r>
        <w:rPr>
          <w:spacing w:val="40"/>
          <w:vertAlign w:val="baseline"/>
        </w:rPr>
        <w:t> </w:t>
      </w:r>
      <w:r>
        <w:rPr>
          <w:vertAlign w:val="baseline"/>
        </w:rPr>
        <w:t>This</w:t>
      </w:r>
      <w:r>
        <w:rPr>
          <w:spacing w:val="40"/>
          <w:vertAlign w:val="baseline"/>
        </w:rPr>
        <w:t> </w:t>
      </w:r>
      <w:r>
        <w:rPr>
          <w:vertAlign w:val="baseline"/>
        </w:rPr>
        <w:t>begs</w:t>
      </w:r>
      <w:r>
        <w:rPr>
          <w:spacing w:val="40"/>
          <w:vertAlign w:val="baseline"/>
        </w:rPr>
        <w:t> </w:t>
      </w:r>
      <w:r>
        <w:rPr>
          <w:vertAlign w:val="baseline"/>
        </w:rPr>
        <w:t>the</w:t>
      </w:r>
      <w:r>
        <w:rPr>
          <w:spacing w:val="40"/>
          <w:vertAlign w:val="baseline"/>
        </w:rPr>
        <w:t> </w:t>
      </w:r>
      <w:r>
        <w:rPr>
          <w:vertAlign w:val="baseline"/>
        </w:rPr>
        <w:t>question:</w:t>
      </w:r>
      <w:r>
        <w:rPr>
          <w:spacing w:val="40"/>
          <w:vertAlign w:val="baseline"/>
        </w:rPr>
        <w:t> </w:t>
      </w:r>
      <w:r>
        <w:rPr>
          <w:vertAlign w:val="baseline"/>
        </w:rPr>
        <w:t>is</w:t>
      </w:r>
      <w:r>
        <w:rPr>
          <w:spacing w:val="40"/>
          <w:vertAlign w:val="baseline"/>
        </w:rPr>
        <w:t> </w:t>
      </w:r>
      <w:r>
        <w:rPr>
          <w:vertAlign w:val="baseline"/>
        </w:rPr>
        <w:t>the</w:t>
      </w:r>
      <w:r>
        <w:rPr>
          <w:spacing w:val="40"/>
          <w:vertAlign w:val="baseline"/>
        </w:rPr>
        <w:t> </w:t>
      </w:r>
      <w:r>
        <w:rPr>
          <w:vertAlign w:val="baseline"/>
        </w:rPr>
        <w:t>director</w:t>
      </w:r>
      <w:r>
        <w:rPr>
          <w:spacing w:val="40"/>
          <w:vertAlign w:val="baseline"/>
        </w:rPr>
        <w:t> </w:t>
      </w:r>
      <w:r>
        <w:rPr>
          <w:vertAlign w:val="baseline"/>
        </w:rPr>
        <w:t>to</w:t>
      </w:r>
      <w:r>
        <w:rPr>
          <w:spacing w:val="40"/>
          <w:vertAlign w:val="baseline"/>
        </w:rPr>
        <w:t> </w:t>
      </w:r>
      <w:r>
        <w:rPr>
          <w:vertAlign w:val="baseline"/>
        </w:rPr>
        <w:t>be</w:t>
      </w:r>
      <w:r>
        <w:rPr>
          <w:spacing w:val="40"/>
          <w:vertAlign w:val="baseline"/>
        </w:rPr>
        <w:t> </w:t>
      </w:r>
      <w:r>
        <w:rPr>
          <w:vertAlign w:val="baseline"/>
        </w:rPr>
        <w:t>taken</w:t>
      </w:r>
      <w:r>
        <w:rPr>
          <w:spacing w:val="40"/>
          <w:vertAlign w:val="baseline"/>
        </w:rPr>
        <w:t> </w:t>
      </w:r>
      <w:r>
        <w:rPr>
          <w:vertAlign w:val="baseline"/>
        </w:rPr>
        <w:t>as</w:t>
      </w:r>
      <w:r>
        <w:rPr>
          <w:spacing w:val="40"/>
          <w:vertAlign w:val="baseline"/>
        </w:rPr>
        <w:t> </w:t>
      </w:r>
      <w:r>
        <w:rPr>
          <w:vertAlign w:val="baseline"/>
        </w:rPr>
        <w:t>acting</w:t>
      </w:r>
      <w:r>
        <w:rPr>
          <w:spacing w:val="40"/>
          <w:vertAlign w:val="baseline"/>
        </w:rPr>
        <w:t> </w:t>
      </w:r>
      <w:r>
        <w:rPr>
          <w:vertAlign w:val="baseline"/>
        </w:rPr>
        <w:t>within</w:t>
      </w:r>
      <w:r>
        <w:rPr>
          <w:spacing w:val="40"/>
          <w:vertAlign w:val="baseline"/>
        </w:rPr>
        <w:t> </w:t>
      </w:r>
      <w:r>
        <w:rPr>
          <w:vertAlign w:val="baseline"/>
        </w:rPr>
        <w:t>the</w:t>
      </w:r>
    </w:p>
    <w:p>
      <w:pPr>
        <w:pStyle w:val="BodyText"/>
        <w:spacing w:before="29"/>
        <w:ind w:left="0"/>
        <w:rPr>
          <w:sz w:val="20"/>
        </w:rPr>
      </w:pPr>
      <w:r>
        <w:rPr/>
        <mc:AlternateContent>
          <mc:Choice Requires="wps">
            <w:drawing>
              <wp:anchor distT="0" distB="0" distL="0" distR="0" allowOverlap="1" layoutInCell="1" locked="0" behindDoc="1" simplePos="0" relativeHeight="487643136">
                <wp:simplePos x="0" y="0"/>
                <wp:positionH relativeFrom="page">
                  <wp:posOffset>1262481</wp:posOffset>
                </wp:positionH>
                <wp:positionV relativeFrom="paragraph">
                  <wp:posOffset>179725</wp:posOffset>
                </wp:positionV>
                <wp:extent cx="1829435" cy="9525"/>
                <wp:effectExtent l="0" t="0" r="0" b="0"/>
                <wp:wrapTopAndBottom/>
                <wp:docPr id="121" name="Graphic 121"/>
                <wp:cNvGraphicFramePr>
                  <a:graphicFrameLocks/>
                </wp:cNvGraphicFramePr>
                <a:graphic>
                  <a:graphicData uri="http://schemas.microsoft.com/office/word/2010/wordprocessingShape">
                    <wps:wsp>
                      <wps:cNvPr id="121" name="Graphic 12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51592pt;width:144.050pt;height:.71997pt;mso-position-horizontal-relative:page;mso-position-vertical-relative:paragraph;z-index:-15673344;mso-wrap-distance-left:0;mso-wrap-distance-right:0" id="docshape76" filled="true" fillcolor="#000000" stroked="false">
                <v:fill type="solid"/>
                <w10:wrap type="topAndBottom"/>
              </v:rect>
            </w:pict>
          </mc:Fallback>
        </mc:AlternateContent>
      </w:r>
    </w:p>
    <w:p>
      <w:pPr>
        <w:spacing w:before="102"/>
        <w:ind w:left="308" w:right="0" w:firstLine="0"/>
        <w:jc w:val="left"/>
        <w:rPr>
          <w:rFonts w:ascii="Calibri"/>
          <w:i/>
          <w:sz w:val="20"/>
        </w:rPr>
      </w:pPr>
      <w:r>
        <w:rPr>
          <w:rFonts w:ascii="Calibri"/>
          <w:sz w:val="20"/>
          <w:vertAlign w:val="superscript"/>
        </w:rPr>
        <w:t>62</w:t>
      </w:r>
      <w:r>
        <w:rPr>
          <w:rFonts w:ascii="Calibri"/>
          <w:sz w:val="20"/>
          <w:vertAlign w:val="baseline"/>
        </w:rPr>
        <w:t>In</w:t>
      </w:r>
      <w:r>
        <w:rPr>
          <w:rFonts w:ascii="Calibri"/>
          <w:spacing w:val="6"/>
          <w:sz w:val="20"/>
          <w:vertAlign w:val="baseline"/>
        </w:rPr>
        <w:t> </w:t>
      </w:r>
      <w:r>
        <w:rPr>
          <w:rFonts w:ascii="Calibri"/>
          <w:sz w:val="20"/>
          <w:vertAlign w:val="baseline"/>
        </w:rPr>
        <w:t>other</w:t>
      </w:r>
      <w:r>
        <w:rPr>
          <w:rFonts w:ascii="Calibri"/>
          <w:spacing w:val="9"/>
          <w:sz w:val="20"/>
          <w:vertAlign w:val="baseline"/>
        </w:rPr>
        <w:t> </w:t>
      </w:r>
      <w:r>
        <w:rPr>
          <w:rFonts w:ascii="Calibri"/>
          <w:sz w:val="20"/>
          <w:vertAlign w:val="baseline"/>
        </w:rPr>
        <w:t>words,</w:t>
      </w:r>
      <w:r>
        <w:rPr>
          <w:rFonts w:ascii="Calibri"/>
          <w:spacing w:val="5"/>
          <w:sz w:val="20"/>
          <w:vertAlign w:val="baseline"/>
        </w:rPr>
        <w:t> </w:t>
      </w:r>
      <w:r>
        <w:rPr>
          <w:rFonts w:ascii="Calibri"/>
          <w:sz w:val="20"/>
          <w:vertAlign w:val="baseline"/>
        </w:rPr>
        <w:t>one</w:t>
      </w:r>
      <w:r>
        <w:rPr>
          <w:rFonts w:ascii="Calibri"/>
          <w:spacing w:val="8"/>
          <w:sz w:val="20"/>
          <w:vertAlign w:val="baseline"/>
        </w:rPr>
        <w:t> </w:t>
      </w:r>
      <w:r>
        <w:rPr>
          <w:rFonts w:ascii="Calibri"/>
          <w:sz w:val="20"/>
          <w:vertAlign w:val="baseline"/>
        </w:rPr>
        <w:t>cannot</w:t>
      </w:r>
      <w:r>
        <w:rPr>
          <w:rFonts w:ascii="Calibri"/>
          <w:spacing w:val="5"/>
          <w:sz w:val="20"/>
          <w:vertAlign w:val="baseline"/>
        </w:rPr>
        <w:t> </w:t>
      </w:r>
      <w:r>
        <w:rPr>
          <w:rFonts w:ascii="Calibri"/>
          <w:i/>
          <w:sz w:val="20"/>
          <w:vertAlign w:val="baseline"/>
        </w:rPr>
        <w:t>owe</w:t>
      </w:r>
      <w:r>
        <w:rPr>
          <w:rFonts w:ascii="Calibri"/>
          <w:i/>
          <w:spacing w:val="3"/>
          <w:sz w:val="20"/>
          <w:vertAlign w:val="baseline"/>
        </w:rPr>
        <w:t> </w:t>
      </w:r>
      <w:r>
        <w:rPr>
          <w:rFonts w:ascii="Calibri"/>
          <w:i/>
          <w:sz w:val="20"/>
          <w:vertAlign w:val="baseline"/>
        </w:rPr>
        <w:t>a</w:t>
      </w:r>
      <w:r>
        <w:rPr>
          <w:rFonts w:ascii="Calibri"/>
          <w:i/>
          <w:spacing w:val="9"/>
          <w:sz w:val="20"/>
          <w:vertAlign w:val="baseline"/>
        </w:rPr>
        <w:t> </w:t>
      </w:r>
      <w:r>
        <w:rPr>
          <w:rFonts w:ascii="Calibri"/>
          <w:i/>
          <w:sz w:val="20"/>
          <w:vertAlign w:val="baseline"/>
        </w:rPr>
        <w:t>relationship,</w:t>
      </w:r>
      <w:r>
        <w:rPr>
          <w:rFonts w:ascii="Calibri"/>
          <w:i/>
          <w:spacing w:val="7"/>
          <w:sz w:val="20"/>
          <w:vertAlign w:val="baseline"/>
        </w:rPr>
        <w:t> </w:t>
      </w:r>
      <w:r>
        <w:rPr>
          <w:rFonts w:ascii="Calibri"/>
          <w:sz w:val="20"/>
          <w:vertAlign w:val="baseline"/>
        </w:rPr>
        <w:t>but</w:t>
      </w:r>
      <w:r>
        <w:rPr>
          <w:rFonts w:ascii="Calibri"/>
          <w:spacing w:val="2"/>
          <w:sz w:val="20"/>
          <w:vertAlign w:val="baseline"/>
        </w:rPr>
        <w:t> </w:t>
      </w:r>
      <w:r>
        <w:rPr>
          <w:rFonts w:ascii="Calibri"/>
          <w:sz w:val="20"/>
          <w:vertAlign w:val="baseline"/>
        </w:rPr>
        <w:t>can</w:t>
      </w:r>
      <w:r>
        <w:rPr>
          <w:rFonts w:ascii="Calibri"/>
          <w:spacing w:val="3"/>
          <w:sz w:val="20"/>
          <w:vertAlign w:val="baseline"/>
        </w:rPr>
        <w:t> </w:t>
      </w:r>
      <w:r>
        <w:rPr>
          <w:rFonts w:ascii="Calibri"/>
          <w:i/>
          <w:sz w:val="20"/>
          <w:vertAlign w:val="baseline"/>
        </w:rPr>
        <w:t>owe</w:t>
      </w:r>
      <w:r>
        <w:rPr>
          <w:rFonts w:ascii="Calibri"/>
          <w:i/>
          <w:spacing w:val="7"/>
          <w:sz w:val="20"/>
          <w:vertAlign w:val="baseline"/>
        </w:rPr>
        <w:t> </w:t>
      </w:r>
      <w:r>
        <w:rPr>
          <w:rFonts w:ascii="Calibri"/>
          <w:i/>
          <w:sz w:val="20"/>
          <w:vertAlign w:val="baseline"/>
        </w:rPr>
        <w:t>a</w:t>
      </w:r>
      <w:r>
        <w:rPr>
          <w:rFonts w:ascii="Calibri"/>
          <w:i/>
          <w:spacing w:val="5"/>
          <w:sz w:val="20"/>
          <w:vertAlign w:val="baseline"/>
        </w:rPr>
        <w:t> </w:t>
      </w:r>
      <w:r>
        <w:rPr>
          <w:rFonts w:ascii="Calibri"/>
          <w:i/>
          <w:sz w:val="20"/>
          <w:vertAlign w:val="baseline"/>
        </w:rPr>
        <w:t>duty</w:t>
      </w:r>
      <w:r>
        <w:rPr>
          <w:rFonts w:ascii="Calibri"/>
          <w:i/>
          <w:spacing w:val="10"/>
          <w:sz w:val="20"/>
          <w:vertAlign w:val="baseline"/>
        </w:rPr>
        <w:t> </w:t>
      </w:r>
      <w:r>
        <w:rPr>
          <w:rFonts w:ascii="Calibri"/>
          <w:sz w:val="20"/>
          <w:vertAlign w:val="baseline"/>
        </w:rPr>
        <w:t>or</w:t>
      </w:r>
      <w:r>
        <w:rPr>
          <w:rFonts w:ascii="Calibri"/>
          <w:spacing w:val="5"/>
          <w:sz w:val="20"/>
          <w:vertAlign w:val="baseline"/>
        </w:rPr>
        <w:t> </w:t>
      </w:r>
      <w:r>
        <w:rPr>
          <w:rFonts w:ascii="Calibri"/>
          <w:i/>
          <w:sz w:val="20"/>
          <w:vertAlign w:val="baseline"/>
        </w:rPr>
        <w:t>stand</w:t>
      </w:r>
      <w:r>
        <w:rPr>
          <w:rFonts w:ascii="Calibri"/>
          <w:i/>
          <w:spacing w:val="5"/>
          <w:sz w:val="20"/>
          <w:vertAlign w:val="baseline"/>
        </w:rPr>
        <w:t> </w:t>
      </w:r>
      <w:r>
        <w:rPr>
          <w:rFonts w:ascii="Calibri"/>
          <w:i/>
          <w:sz w:val="20"/>
          <w:vertAlign w:val="baseline"/>
        </w:rPr>
        <w:t>in</w:t>
      </w:r>
      <w:r>
        <w:rPr>
          <w:rFonts w:ascii="Calibri"/>
          <w:i/>
          <w:spacing w:val="9"/>
          <w:sz w:val="20"/>
          <w:vertAlign w:val="baseline"/>
        </w:rPr>
        <w:t> </w:t>
      </w:r>
      <w:r>
        <w:rPr>
          <w:rFonts w:ascii="Calibri"/>
          <w:i/>
          <w:sz w:val="20"/>
          <w:vertAlign w:val="baseline"/>
        </w:rPr>
        <w:t>a</w:t>
      </w:r>
      <w:r>
        <w:rPr>
          <w:rFonts w:ascii="Calibri"/>
          <w:i/>
          <w:spacing w:val="5"/>
          <w:sz w:val="20"/>
          <w:vertAlign w:val="baseline"/>
        </w:rPr>
        <w:t> </w:t>
      </w:r>
      <w:r>
        <w:rPr>
          <w:rFonts w:ascii="Calibri"/>
          <w:i/>
          <w:sz w:val="20"/>
          <w:vertAlign w:val="baseline"/>
        </w:rPr>
        <w:t>relationship</w:t>
      </w:r>
      <w:r>
        <w:rPr>
          <w:rFonts w:ascii="Calibri"/>
          <w:i/>
          <w:spacing w:val="10"/>
          <w:sz w:val="20"/>
          <w:vertAlign w:val="baseline"/>
        </w:rPr>
        <w:t> </w:t>
      </w:r>
      <w:r>
        <w:rPr>
          <w:rFonts w:ascii="Calibri"/>
          <w:i/>
          <w:spacing w:val="-2"/>
          <w:sz w:val="20"/>
          <w:vertAlign w:val="baseline"/>
        </w:rPr>
        <w:t>towards</w:t>
      </w:r>
    </w:p>
    <w:p>
      <w:pPr>
        <w:spacing w:before="1"/>
        <w:ind w:left="308" w:right="0" w:firstLine="0"/>
        <w:jc w:val="left"/>
        <w:rPr>
          <w:rFonts w:ascii="Calibri"/>
          <w:sz w:val="20"/>
        </w:rPr>
      </w:pPr>
      <w:r>
        <w:rPr>
          <w:rFonts w:ascii="Calibri"/>
          <w:sz w:val="20"/>
        </w:rPr>
        <w:t>some</w:t>
      </w:r>
      <w:r>
        <w:rPr>
          <w:rFonts w:ascii="Calibri"/>
          <w:spacing w:val="-3"/>
          <w:sz w:val="20"/>
        </w:rPr>
        <w:t> </w:t>
      </w:r>
      <w:r>
        <w:rPr>
          <w:rFonts w:ascii="Calibri"/>
          <w:sz w:val="20"/>
        </w:rPr>
        <w:t>other</w:t>
      </w:r>
      <w:r>
        <w:rPr>
          <w:rFonts w:ascii="Calibri"/>
          <w:spacing w:val="-5"/>
          <w:sz w:val="20"/>
        </w:rPr>
        <w:t> </w:t>
      </w:r>
      <w:r>
        <w:rPr>
          <w:rFonts w:ascii="Calibri"/>
          <w:spacing w:val="-2"/>
          <w:sz w:val="20"/>
        </w:rPr>
        <w:t>person.</w:t>
      </w:r>
    </w:p>
    <w:p>
      <w:pPr>
        <w:spacing w:before="1"/>
        <w:ind w:left="308" w:right="255" w:firstLine="0"/>
        <w:jc w:val="left"/>
        <w:rPr>
          <w:rFonts w:ascii="Calibri" w:hAnsi="Calibri"/>
          <w:sz w:val="20"/>
        </w:rPr>
      </w:pPr>
      <w:r>
        <w:rPr>
          <w:rFonts w:ascii="Calibri" w:hAnsi="Calibri"/>
          <w:sz w:val="20"/>
          <w:vertAlign w:val="superscript"/>
        </w:rPr>
        <w:t>63</w:t>
      </w:r>
      <w:r>
        <w:rPr>
          <w:rFonts w:ascii="Calibri" w:hAnsi="Calibri"/>
          <w:sz w:val="20"/>
          <w:vertAlign w:val="baseline"/>
        </w:rPr>
        <w:t> In the words of Lord MacNaughten in </w:t>
      </w:r>
      <w:r>
        <w:rPr>
          <w:rFonts w:ascii="Calibri" w:hAnsi="Calibri"/>
          <w:i/>
          <w:sz w:val="20"/>
          <w:vertAlign w:val="baseline"/>
        </w:rPr>
        <w:t>Salomon vs. Salomon </w:t>
      </w:r>
      <w:r>
        <w:rPr>
          <w:rFonts w:ascii="Calibri" w:hAnsi="Calibri"/>
          <w:sz w:val="20"/>
          <w:vertAlign w:val="baseline"/>
        </w:rPr>
        <w:t>(1897) AC 22, at 51, “the company is not,</w:t>
      </w:r>
      <w:r>
        <w:rPr>
          <w:rFonts w:ascii="Calibri" w:hAnsi="Calibri"/>
          <w:spacing w:val="40"/>
          <w:sz w:val="20"/>
          <w:vertAlign w:val="baseline"/>
        </w:rPr>
        <w:t> </w:t>
      </w:r>
      <w:r>
        <w:rPr>
          <w:rFonts w:ascii="Calibri" w:hAnsi="Calibri"/>
          <w:sz w:val="20"/>
          <w:vertAlign w:val="baseline"/>
        </w:rPr>
        <w:t>in law, the agent of the subscribers or trustee for them.”</w:t>
      </w:r>
    </w:p>
    <w:p>
      <w:pPr>
        <w:spacing w:before="1"/>
        <w:ind w:left="308" w:right="0" w:firstLine="0"/>
        <w:jc w:val="left"/>
        <w:rPr>
          <w:rFonts w:ascii="Calibri"/>
          <w:sz w:val="20"/>
        </w:rPr>
      </w:pPr>
      <w:r>
        <w:rPr>
          <w:rFonts w:ascii="Calibri"/>
          <w:sz w:val="20"/>
          <w:vertAlign w:val="superscript"/>
        </w:rPr>
        <w:t>64</w:t>
      </w:r>
      <w:r>
        <w:rPr>
          <w:rFonts w:ascii="Calibri"/>
          <w:sz w:val="20"/>
          <w:vertAlign w:val="baseline"/>
        </w:rPr>
        <w:t>Osunbor,</w:t>
      </w:r>
      <w:r>
        <w:rPr>
          <w:rFonts w:ascii="Calibri"/>
          <w:spacing w:val="-10"/>
          <w:sz w:val="20"/>
          <w:vertAlign w:val="baseline"/>
        </w:rPr>
        <w:t> </w:t>
      </w:r>
      <w:r>
        <w:rPr>
          <w:rFonts w:ascii="Calibri"/>
          <w:sz w:val="20"/>
          <w:vertAlign w:val="baseline"/>
        </w:rPr>
        <w:t>O.A.</w:t>
      </w:r>
      <w:r>
        <w:rPr>
          <w:rFonts w:ascii="Calibri"/>
          <w:spacing w:val="-5"/>
          <w:sz w:val="20"/>
          <w:vertAlign w:val="baseline"/>
        </w:rPr>
        <w:t> </w:t>
      </w:r>
      <w:r>
        <w:rPr>
          <w:rFonts w:ascii="Calibri"/>
          <w:sz w:val="20"/>
          <w:vertAlign w:val="baseline"/>
        </w:rPr>
        <w:t>op.cit.at</w:t>
      </w:r>
      <w:r>
        <w:rPr>
          <w:rFonts w:ascii="Calibri"/>
          <w:spacing w:val="-9"/>
          <w:sz w:val="20"/>
          <w:vertAlign w:val="baseline"/>
        </w:rPr>
        <w:t> </w:t>
      </w:r>
      <w:r>
        <w:rPr>
          <w:rFonts w:ascii="Calibri"/>
          <w:spacing w:val="-4"/>
          <w:sz w:val="20"/>
          <w:vertAlign w:val="baseline"/>
        </w:rPr>
        <w:t>141.</w:t>
      </w:r>
    </w:p>
    <w:p>
      <w:pPr>
        <w:spacing w:before="1"/>
        <w:ind w:left="308" w:right="0" w:firstLine="0"/>
        <w:jc w:val="left"/>
        <w:rPr>
          <w:rFonts w:ascii="Calibri"/>
          <w:sz w:val="20"/>
        </w:rPr>
      </w:pPr>
      <w:r>
        <w:rPr>
          <w:rFonts w:ascii="Calibri"/>
          <w:sz w:val="20"/>
          <w:vertAlign w:val="superscript"/>
        </w:rPr>
        <w:t>65</w:t>
      </w:r>
      <w:r>
        <w:rPr>
          <w:rFonts w:ascii="Calibri"/>
          <w:sz w:val="20"/>
          <w:vertAlign w:val="baseline"/>
        </w:rPr>
        <w:t>Ali,</w:t>
      </w:r>
      <w:r>
        <w:rPr>
          <w:rFonts w:ascii="Calibri"/>
          <w:spacing w:val="-3"/>
          <w:sz w:val="20"/>
          <w:vertAlign w:val="baseline"/>
        </w:rPr>
        <w:t> </w:t>
      </w:r>
      <w:r>
        <w:rPr>
          <w:rFonts w:ascii="Calibri"/>
          <w:sz w:val="20"/>
          <w:vertAlign w:val="baseline"/>
        </w:rPr>
        <w:t>H.L.</w:t>
      </w:r>
      <w:r>
        <w:rPr>
          <w:rFonts w:ascii="Calibri"/>
          <w:spacing w:val="-4"/>
          <w:sz w:val="20"/>
          <w:vertAlign w:val="baseline"/>
        </w:rPr>
        <w:t> </w:t>
      </w:r>
      <w:r>
        <w:rPr>
          <w:rFonts w:ascii="Calibri"/>
          <w:sz w:val="20"/>
          <w:vertAlign w:val="baseline"/>
        </w:rPr>
        <w:t>op.cit.,</w:t>
      </w:r>
      <w:r>
        <w:rPr>
          <w:rFonts w:ascii="Calibri"/>
          <w:spacing w:val="-3"/>
          <w:sz w:val="20"/>
          <w:vertAlign w:val="baseline"/>
        </w:rPr>
        <w:t> </w:t>
      </w:r>
      <w:r>
        <w:rPr>
          <w:rFonts w:ascii="Calibri"/>
          <w:sz w:val="20"/>
          <w:vertAlign w:val="baseline"/>
        </w:rPr>
        <w:t>at</w:t>
      </w:r>
      <w:r>
        <w:rPr>
          <w:rFonts w:ascii="Calibri"/>
          <w:spacing w:val="-7"/>
          <w:sz w:val="20"/>
          <w:vertAlign w:val="baseline"/>
        </w:rPr>
        <w:t> </w:t>
      </w:r>
      <w:r>
        <w:rPr>
          <w:rFonts w:ascii="Calibri"/>
          <w:spacing w:val="-2"/>
          <w:sz w:val="20"/>
          <w:vertAlign w:val="baseline"/>
        </w:rPr>
        <w:t>p.168.</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182"/>
        <w:jc w:val="both"/>
      </w:pPr>
      <w:r>
        <w:rPr/>
        <w:t>authority conferred on him by the company, when he acts as agent for a shareholder? Who is his principal at the relevant time? In any case, the shareholder would then be entitled as of right to sue the company along with the director. Yet, this is not the case.</w:t>
      </w:r>
      <w:r>
        <w:rPr>
          <w:vertAlign w:val="superscript"/>
        </w:rPr>
        <w:t>66</w:t>
      </w:r>
      <w:r>
        <w:rPr>
          <w:vertAlign w:val="baseline"/>
        </w:rPr>
        <w:t>Besides, a director is not a</w:t>
      </w:r>
      <w:r>
        <w:rPr>
          <w:spacing w:val="-2"/>
          <w:vertAlign w:val="baseline"/>
        </w:rPr>
        <w:t> </w:t>
      </w:r>
      <w:r>
        <w:rPr>
          <w:vertAlign w:val="baseline"/>
        </w:rPr>
        <w:t>trustee</w:t>
      </w:r>
      <w:r>
        <w:rPr>
          <w:spacing w:val="-2"/>
          <w:vertAlign w:val="baseline"/>
        </w:rPr>
        <w:t> </w:t>
      </w:r>
      <w:r>
        <w:rPr>
          <w:vertAlign w:val="baseline"/>
        </w:rPr>
        <w:t>to persons to whom</w:t>
      </w:r>
      <w:r>
        <w:rPr>
          <w:spacing w:val="-1"/>
          <w:vertAlign w:val="baseline"/>
        </w:rPr>
        <w:t> </w:t>
      </w:r>
      <w:r>
        <w:rPr>
          <w:vertAlign w:val="baseline"/>
        </w:rPr>
        <w:t>his company happens to be a trustee.</w:t>
      </w:r>
      <w:r>
        <w:rPr>
          <w:vertAlign w:val="superscript"/>
        </w:rPr>
        <w:t>67</w:t>
      </w:r>
    </w:p>
    <w:p>
      <w:pPr>
        <w:pStyle w:val="BodyText"/>
        <w:spacing w:line="480" w:lineRule="auto" w:before="1"/>
        <w:ind w:right="180" w:firstLine="720"/>
        <w:jc w:val="both"/>
      </w:pPr>
      <w:r>
        <w:rPr/>
        <w:t>Conclusively therefore, by stating in one breath that the director‘s fiduciary</w:t>
      </w:r>
      <w:r>
        <w:rPr>
          <w:spacing w:val="40"/>
        </w:rPr>
        <w:t> </w:t>
      </w:r>
      <w:r>
        <w:rPr/>
        <w:t>duties are owed the company as well as the shareholder and potentially, other persons, the CAMA confuses the law. This is because s. 279(9) makes it clear that only the company can enforce these duties.</w:t>
      </w:r>
      <w:r>
        <w:rPr>
          <w:vertAlign w:val="superscript"/>
        </w:rPr>
        <w:t>68</w:t>
      </w:r>
      <w:r>
        <w:rPr>
          <w:vertAlign w:val="baseline"/>
        </w:rPr>
        <w:t> To what end then is the law‘s purported mention of the director‘s duty to the others?</w:t>
      </w:r>
    </w:p>
    <w:p>
      <w:pPr>
        <w:pStyle w:val="BodyText"/>
        <w:spacing w:line="480" w:lineRule="auto" w:before="1"/>
        <w:ind w:right="177" w:firstLine="720"/>
        <w:jc w:val="both"/>
      </w:pPr>
      <w:r>
        <w:rPr/>
        <w:t>The director‘s fiduciary duty to the company has never been questioned, but the extension of this duty to others, has. Doubtless, a director as </w:t>
      </w:r>
      <w:r>
        <w:rPr>
          <w:i/>
        </w:rPr>
        <w:t>agent </w:t>
      </w:r>
      <w:r>
        <w:rPr/>
        <w:t>of a particular shareholder would stand in a fiduciary relationship towards that shareholder, even without company law stating so. This would be the natural</w:t>
      </w:r>
      <w:r>
        <w:rPr>
          <w:spacing w:val="-4"/>
        </w:rPr>
        <w:t> </w:t>
      </w:r>
      <w:r>
        <w:rPr/>
        <w:t>assumption</w:t>
      </w:r>
      <w:r>
        <w:rPr>
          <w:spacing w:val="-4"/>
        </w:rPr>
        <w:t> </w:t>
      </w:r>
      <w:r>
        <w:rPr/>
        <w:t>under the general law of agency. However, where the director is not in fact an agent to a shareholder, any fiduciary duties to him may rightly be called to question.</w:t>
      </w:r>
    </w:p>
    <w:p>
      <w:pPr>
        <w:pStyle w:val="BodyText"/>
        <w:spacing w:line="480" w:lineRule="auto" w:before="1"/>
        <w:ind w:right="188" w:firstLine="720"/>
        <w:jc w:val="both"/>
      </w:pPr>
      <w:r>
        <w:rPr/>
        <mc:AlternateContent>
          <mc:Choice Requires="wps">
            <w:drawing>
              <wp:anchor distT="0" distB="0" distL="0" distR="0" allowOverlap="1" layoutInCell="1" locked="0" behindDoc="1" simplePos="0" relativeHeight="487643648">
                <wp:simplePos x="0" y="0"/>
                <wp:positionH relativeFrom="page">
                  <wp:posOffset>1262481</wp:posOffset>
                </wp:positionH>
                <wp:positionV relativeFrom="paragraph">
                  <wp:posOffset>2130901</wp:posOffset>
                </wp:positionV>
                <wp:extent cx="1829435" cy="9525"/>
                <wp:effectExtent l="0" t="0" r="0" b="0"/>
                <wp:wrapTopAndBottom/>
                <wp:docPr id="122" name="Graphic 122"/>
                <wp:cNvGraphicFramePr>
                  <a:graphicFrameLocks/>
                </wp:cNvGraphicFramePr>
                <a:graphic>
                  <a:graphicData uri="http://schemas.microsoft.com/office/word/2010/wordprocessingShape">
                    <wps:wsp>
                      <wps:cNvPr id="122" name="Graphic 12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7.787537pt;width:144.050pt;height:.71997pt;mso-position-horizontal-relative:page;mso-position-vertical-relative:paragraph;z-index:-15672832;mso-wrap-distance-left:0;mso-wrap-distance-right:0" id="docshape77" filled="true" fillcolor="#000000" stroked="false">
                <v:fill type="solid"/>
                <w10:wrap type="topAndBottom"/>
              </v:rect>
            </w:pict>
          </mc:Fallback>
        </mc:AlternateContent>
      </w:r>
      <w:r>
        <w:rPr/>
        <w:t>In </w:t>
      </w:r>
      <w:r>
        <w:rPr>
          <w:b/>
        </w:rPr>
        <w:t>Percival vs. Wright</w:t>
      </w:r>
      <w:r>
        <w:rPr/>
        <w:t>,</w:t>
      </w:r>
      <w:r>
        <w:rPr>
          <w:vertAlign w:val="superscript"/>
        </w:rPr>
        <w:t>69</w:t>
      </w:r>
      <w:r>
        <w:rPr>
          <w:vertAlign w:val="baseline"/>
        </w:rPr>
        <w:t> a group of shareholders in a company approached the directors</w:t>
      </w:r>
      <w:r>
        <w:rPr>
          <w:spacing w:val="-3"/>
          <w:vertAlign w:val="baseline"/>
        </w:rPr>
        <w:t> </w:t>
      </w:r>
      <w:r>
        <w:rPr>
          <w:vertAlign w:val="baseline"/>
        </w:rPr>
        <w:t>with</w:t>
      </w:r>
      <w:r>
        <w:rPr>
          <w:spacing w:val="-6"/>
          <w:vertAlign w:val="baseline"/>
        </w:rPr>
        <w:t> </w:t>
      </w:r>
      <w:r>
        <w:rPr>
          <w:vertAlign w:val="baseline"/>
        </w:rPr>
        <w:t>a</w:t>
      </w:r>
      <w:r>
        <w:rPr>
          <w:spacing w:val="-2"/>
          <w:vertAlign w:val="baseline"/>
        </w:rPr>
        <w:t> </w:t>
      </w:r>
      <w:r>
        <w:rPr>
          <w:vertAlign w:val="baseline"/>
        </w:rPr>
        <w:t>request</w:t>
      </w:r>
      <w:r>
        <w:rPr>
          <w:spacing w:val="-1"/>
          <w:vertAlign w:val="baseline"/>
        </w:rPr>
        <w:t> </w:t>
      </w:r>
      <w:r>
        <w:rPr>
          <w:vertAlign w:val="baseline"/>
        </w:rPr>
        <w:t>that</w:t>
      </w:r>
      <w:r>
        <w:rPr>
          <w:spacing w:val="-1"/>
          <w:vertAlign w:val="baseline"/>
        </w:rPr>
        <w:t> </w:t>
      </w:r>
      <w:r>
        <w:rPr>
          <w:vertAlign w:val="baseline"/>
        </w:rPr>
        <w:t>the</w:t>
      </w:r>
      <w:r>
        <w:rPr>
          <w:spacing w:val="-2"/>
          <w:vertAlign w:val="baseline"/>
        </w:rPr>
        <w:t> </w:t>
      </w:r>
      <w:r>
        <w:rPr>
          <w:vertAlign w:val="baseline"/>
        </w:rPr>
        <w:t>directors</w:t>
      </w:r>
      <w:r>
        <w:rPr>
          <w:spacing w:val="-3"/>
          <w:vertAlign w:val="baseline"/>
        </w:rPr>
        <w:t> </w:t>
      </w:r>
      <w:r>
        <w:rPr>
          <w:vertAlign w:val="baseline"/>
        </w:rPr>
        <w:t>purchase</w:t>
      </w:r>
      <w:r>
        <w:rPr>
          <w:spacing w:val="-2"/>
          <w:vertAlign w:val="baseline"/>
        </w:rPr>
        <w:t> </w:t>
      </w:r>
      <w:r>
        <w:rPr>
          <w:vertAlign w:val="baseline"/>
        </w:rPr>
        <w:t>their shares. Some</w:t>
      </w:r>
      <w:r>
        <w:rPr>
          <w:spacing w:val="-2"/>
          <w:vertAlign w:val="baseline"/>
        </w:rPr>
        <w:t> </w:t>
      </w:r>
      <w:r>
        <w:rPr>
          <w:vertAlign w:val="baseline"/>
        </w:rPr>
        <w:t>of</w:t>
      </w:r>
      <w:r>
        <w:rPr>
          <w:spacing w:val="-8"/>
          <w:vertAlign w:val="baseline"/>
        </w:rPr>
        <w:t> </w:t>
      </w:r>
      <w:r>
        <w:rPr>
          <w:vertAlign w:val="baseline"/>
        </w:rPr>
        <w:t>the</w:t>
      </w:r>
      <w:r>
        <w:rPr>
          <w:spacing w:val="-2"/>
          <w:vertAlign w:val="baseline"/>
        </w:rPr>
        <w:t> </w:t>
      </w:r>
      <w:r>
        <w:rPr>
          <w:vertAlign w:val="baseline"/>
        </w:rPr>
        <w:t>directors</w:t>
      </w:r>
      <w:r>
        <w:rPr>
          <w:spacing w:val="-3"/>
          <w:vertAlign w:val="baseline"/>
        </w:rPr>
        <w:t> </w:t>
      </w:r>
      <w:r>
        <w:rPr>
          <w:vertAlign w:val="baseline"/>
        </w:rPr>
        <w:t>did so without disclosing that a purchase of the company‘s undertaking was imminent, this being a piece of information which was known to them</w:t>
      </w:r>
      <w:r>
        <w:rPr>
          <w:spacing w:val="-3"/>
          <w:vertAlign w:val="baseline"/>
        </w:rPr>
        <w:t> </w:t>
      </w:r>
      <w:r>
        <w:rPr>
          <w:vertAlign w:val="baseline"/>
        </w:rPr>
        <w:t>and to the other members of the board, though not to the shareholders concerned. No firm offer was ever made, and the negotiations</w:t>
      </w:r>
      <w:r>
        <w:rPr>
          <w:spacing w:val="30"/>
          <w:vertAlign w:val="baseline"/>
        </w:rPr>
        <w:t> </w:t>
      </w:r>
      <w:r>
        <w:rPr>
          <w:vertAlign w:val="baseline"/>
        </w:rPr>
        <w:t>ultimately</w:t>
      </w:r>
      <w:r>
        <w:rPr>
          <w:spacing w:val="27"/>
          <w:vertAlign w:val="baseline"/>
        </w:rPr>
        <w:t> </w:t>
      </w:r>
      <w:r>
        <w:rPr>
          <w:vertAlign w:val="baseline"/>
        </w:rPr>
        <w:t>proved</w:t>
      </w:r>
      <w:r>
        <w:rPr>
          <w:spacing w:val="31"/>
          <w:vertAlign w:val="baseline"/>
        </w:rPr>
        <w:t> </w:t>
      </w:r>
      <w:r>
        <w:rPr>
          <w:vertAlign w:val="baseline"/>
        </w:rPr>
        <w:t>abortive</w:t>
      </w:r>
      <w:r>
        <w:rPr>
          <w:spacing w:val="31"/>
          <w:vertAlign w:val="baseline"/>
        </w:rPr>
        <w:t> </w:t>
      </w:r>
      <w:r>
        <w:rPr>
          <w:vertAlign w:val="baseline"/>
        </w:rPr>
        <w:t>and</w:t>
      </w:r>
      <w:r>
        <w:rPr>
          <w:spacing w:val="31"/>
          <w:vertAlign w:val="baseline"/>
        </w:rPr>
        <w:t> </w:t>
      </w:r>
      <w:r>
        <w:rPr>
          <w:vertAlign w:val="baseline"/>
        </w:rPr>
        <w:t>the</w:t>
      </w:r>
      <w:r>
        <w:rPr>
          <w:spacing w:val="31"/>
          <w:vertAlign w:val="baseline"/>
        </w:rPr>
        <w:t> </w:t>
      </w:r>
      <w:r>
        <w:rPr>
          <w:vertAlign w:val="baseline"/>
        </w:rPr>
        <w:t>court</w:t>
      </w:r>
      <w:r>
        <w:rPr>
          <w:spacing w:val="32"/>
          <w:vertAlign w:val="baseline"/>
        </w:rPr>
        <w:t> </w:t>
      </w:r>
      <w:r>
        <w:rPr>
          <w:vertAlign w:val="baseline"/>
        </w:rPr>
        <w:t>was</w:t>
      </w:r>
      <w:r>
        <w:rPr>
          <w:spacing w:val="30"/>
          <w:vertAlign w:val="baseline"/>
        </w:rPr>
        <w:t> </w:t>
      </w:r>
      <w:r>
        <w:rPr>
          <w:vertAlign w:val="baseline"/>
        </w:rPr>
        <w:t>not</w:t>
      </w:r>
      <w:r>
        <w:rPr>
          <w:spacing w:val="36"/>
          <w:vertAlign w:val="baseline"/>
        </w:rPr>
        <w:t> </w:t>
      </w:r>
      <w:r>
        <w:rPr>
          <w:vertAlign w:val="baseline"/>
        </w:rPr>
        <w:t>satisfied</w:t>
      </w:r>
      <w:r>
        <w:rPr>
          <w:spacing w:val="31"/>
          <w:vertAlign w:val="baseline"/>
        </w:rPr>
        <w:t> </w:t>
      </w:r>
      <w:r>
        <w:rPr>
          <w:vertAlign w:val="baseline"/>
        </w:rPr>
        <w:t>that</w:t>
      </w:r>
      <w:r>
        <w:rPr>
          <w:spacing w:val="36"/>
          <w:vertAlign w:val="baseline"/>
        </w:rPr>
        <w:t> </w:t>
      </w:r>
      <w:r>
        <w:rPr>
          <w:vertAlign w:val="baseline"/>
        </w:rPr>
        <w:t>the</w:t>
      </w:r>
      <w:r>
        <w:rPr>
          <w:spacing w:val="31"/>
          <w:vertAlign w:val="baseline"/>
        </w:rPr>
        <w:t> </w:t>
      </w:r>
      <w:r>
        <w:rPr>
          <w:vertAlign w:val="baseline"/>
        </w:rPr>
        <w:t>board</w:t>
      </w:r>
    </w:p>
    <w:p>
      <w:pPr>
        <w:spacing w:before="97"/>
        <w:ind w:left="308" w:right="0" w:firstLine="0"/>
        <w:jc w:val="both"/>
        <w:rPr>
          <w:rFonts w:ascii="Calibri"/>
          <w:sz w:val="20"/>
        </w:rPr>
      </w:pPr>
      <w:r>
        <w:rPr>
          <w:rFonts w:ascii="Calibri"/>
          <w:sz w:val="20"/>
          <w:vertAlign w:val="superscript"/>
        </w:rPr>
        <w:t>66</w:t>
      </w:r>
      <w:r>
        <w:rPr>
          <w:rFonts w:ascii="Calibri"/>
          <w:sz w:val="20"/>
          <w:vertAlign w:val="baseline"/>
        </w:rPr>
        <w:t>See</w:t>
      </w:r>
      <w:r>
        <w:rPr>
          <w:rFonts w:ascii="Calibri"/>
          <w:spacing w:val="1"/>
          <w:sz w:val="20"/>
          <w:vertAlign w:val="baseline"/>
        </w:rPr>
        <w:t> </w:t>
      </w:r>
      <w:r>
        <w:rPr>
          <w:rFonts w:ascii="Calibri"/>
          <w:spacing w:val="-2"/>
          <w:sz w:val="20"/>
          <w:vertAlign w:val="baseline"/>
        </w:rPr>
        <w:t>s.279(9).</w:t>
      </w:r>
    </w:p>
    <w:p>
      <w:pPr>
        <w:spacing w:before="1"/>
        <w:ind w:left="308" w:right="0" w:firstLine="0"/>
        <w:jc w:val="both"/>
        <w:rPr>
          <w:rFonts w:ascii="Calibri"/>
          <w:sz w:val="20"/>
        </w:rPr>
      </w:pPr>
      <w:r>
        <w:rPr>
          <w:rFonts w:ascii="Calibri"/>
          <w:sz w:val="20"/>
          <w:vertAlign w:val="superscript"/>
        </w:rPr>
        <w:t>67</w:t>
      </w:r>
      <w:r>
        <w:rPr>
          <w:rFonts w:ascii="Calibri"/>
          <w:i/>
          <w:sz w:val="20"/>
          <w:vertAlign w:val="baseline"/>
        </w:rPr>
        <w:t>Percival</w:t>
      </w:r>
      <w:r>
        <w:rPr>
          <w:rFonts w:ascii="Calibri"/>
          <w:i/>
          <w:spacing w:val="-5"/>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Wright</w:t>
      </w:r>
      <w:r>
        <w:rPr>
          <w:rFonts w:ascii="Calibri"/>
          <w:i/>
          <w:spacing w:val="-6"/>
          <w:sz w:val="20"/>
          <w:vertAlign w:val="baseline"/>
        </w:rPr>
        <w:t> </w:t>
      </w:r>
      <w:r>
        <w:rPr>
          <w:rFonts w:ascii="Calibri"/>
          <w:sz w:val="20"/>
          <w:vertAlign w:val="baseline"/>
        </w:rPr>
        <w:t>(1902) 2</w:t>
      </w:r>
      <w:r>
        <w:rPr>
          <w:rFonts w:ascii="Calibri"/>
          <w:spacing w:val="-7"/>
          <w:sz w:val="20"/>
          <w:vertAlign w:val="baseline"/>
        </w:rPr>
        <w:t> </w:t>
      </w:r>
      <w:r>
        <w:rPr>
          <w:rFonts w:ascii="Calibri"/>
          <w:sz w:val="20"/>
          <w:vertAlign w:val="baseline"/>
        </w:rPr>
        <w:t>Ch.</w:t>
      </w:r>
      <w:r>
        <w:rPr>
          <w:rFonts w:ascii="Calibri"/>
          <w:spacing w:val="-5"/>
          <w:sz w:val="20"/>
          <w:vertAlign w:val="baseline"/>
        </w:rPr>
        <w:t> </w:t>
      </w:r>
      <w:r>
        <w:rPr>
          <w:rFonts w:ascii="Calibri"/>
          <w:spacing w:val="-4"/>
          <w:sz w:val="20"/>
          <w:vertAlign w:val="baseline"/>
        </w:rPr>
        <w:t>421.</w:t>
      </w:r>
    </w:p>
    <w:p>
      <w:pPr>
        <w:spacing w:before="1"/>
        <w:ind w:left="308" w:right="225" w:firstLine="0"/>
        <w:jc w:val="both"/>
        <w:rPr>
          <w:rFonts w:ascii="Calibri" w:hAnsi="Calibri"/>
          <w:sz w:val="20"/>
        </w:rPr>
      </w:pPr>
      <w:r>
        <w:rPr>
          <w:rFonts w:ascii="Calibri" w:hAnsi="Calibri"/>
          <w:sz w:val="20"/>
          <w:vertAlign w:val="superscript"/>
        </w:rPr>
        <w:t>68</w:t>
      </w:r>
      <w:r>
        <w:rPr>
          <w:rFonts w:ascii="Calibri" w:hAnsi="Calibri"/>
          <w:sz w:val="20"/>
          <w:vertAlign w:val="baseline"/>
        </w:rPr>
        <w:t> A member cannot here enforce any rights due to him from a director acting as his agent through derivative action under section 300 because that section would only apply if it is</w:t>
      </w:r>
      <w:r>
        <w:rPr>
          <w:rFonts w:ascii="Calibri" w:hAnsi="Calibri"/>
          <w:spacing w:val="-6"/>
          <w:sz w:val="20"/>
          <w:vertAlign w:val="baseline"/>
        </w:rPr>
        <w:t> </w:t>
      </w:r>
      <w:r>
        <w:rPr>
          <w:rFonts w:ascii="Calibri" w:hAnsi="Calibri"/>
          <w:sz w:val="20"/>
          <w:vertAlign w:val="baseline"/>
        </w:rPr>
        <w:t>“the company”—or the board acting in the name of the company—that infringes upon the right of the member, not when a particular director does so.</w:t>
      </w:r>
    </w:p>
    <w:p>
      <w:pPr>
        <w:spacing w:before="3"/>
        <w:ind w:left="308" w:right="0" w:firstLine="0"/>
        <w:jc w:val="both"/>
        <w:rPr>
          <w:rFonts w:ascii="Calibri"/>
          <w:sz w:val="20"/>
        </w:rPr>
      </w:pPr>
      <w:r>
        <w:rPr>
          <w:rFonts w:ascii="Calibri"/>
          <w:sz w:val="20"/>
          <w:vertAlign w:val="superscript"/>
        </w:rPr>
        <w:t>69</w:t>
      </w:r>
      <w:r>
        <w:rPr>
          <w:rFonts w:ascii="Calibri"/>
          <w:sz w:val="20"/>
          <w:vertAlign w:val="baseline"/>
        </w:rPr>
        <w:t>(1902)</w:t>
      </w:r>
      <w:r>
        <w:rPr>
          <w:rFonts w:ascii="Calibri"/>
          <w:spacing w:val="-2"/>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Ch.</w:t>
      </w:r>
      <w:r>
        <w:rPr>
          <w:rFonts w:ascii="Calibri"/>
          <w:spacing w:val="-1"/>
          <w:sz w:val="20"/>
          <w:vertAlign w:val="baseline"/>
        </w:rPr>
        <w:t> </w:t>
      </w:r>
      <w:r>
        <w:rPr>
          <w:rFonts w:ascii="Calibri"/>
          <w:spacing w:val="-4"/>
          <w:sz w:val="20"/>
          <w:vertAlign w:val="baseline"/>
        </w:rPr>
        <w:t>421.</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93"/>
        <w:jc w:val="both"/>
      </w:pPr>
      <w:r>
        <w:rPr/>
        <w:t>ever intended to sell. A shareholder brought this action against the directors asking for the sale of his shares to be set aside for non-disclosure.</w:t>
      </w:r>
    </w:p>
    <w:p>
      <w:pPr>
        <w:pStyle w:val="BodyText"/>
        <w:spacing w:line="480" w:lineRule="auto"/>
        <w:ind w:right="178" w:firstLine="720"/>
        <w:jc w:val="both"/>
      </w:pPr>
      <w:r>
        <w:rPr/>
        <w:t>Eady</w:t>
      </w:r>
      <w:r>
        <w:rPr>
          <w:spacing w:val="-4"/>
        </w:rPr>
        <w:t> </w:t>
      </w:r>
      <w:r>
        <w:rPr/>
        <w:t>J. held that the</w:t>
      </w:r>
      <w:r>
        <w:rPr>
          <w:spacing w:val="-1"/>
        </w:rPr>
        <w:t> </w:t>
      </w:r>
      <w:r>
        <w:rPr/>
        <w:t>directors</w:t>
      </w:r>
      <w:r>
        <w:rPr>
          <w:spacing w:val="-2"/>
        </w:rPr>
        <w:t> </w:t>
      </w:r>
      <w:r>
        <w:rPr/>
        <w:t>are not trustees for the individual shareholders and may purchase their shares without disclosing pending negotiations for the sale of the company, and even though the price being offered for the undertaking was substantially more than they paid on the purchase. To hold otherwise would mean that they</w:t>
      </w:r>
      <w:r>
        <w:rPr>
          <w:spacing w:val="-4"/>
        </w:rPr>
        <w:t> </w:t>
      </w:r>
      <w:r>
        <w:rPr/>
        <w:t>could not buy or sell shares without disclosing negotiations, a premature disclosure of which</w:t>
      </w:r>
      <w:r>
        <w:rPr>
          <w:spacing w:val="80"/>
        </w:rPr>
        <w:t> </w:t>
      </w:r>
      <w:r>
        <w:rPr/>
        <w:t>might well be against the best interests of the company. There was no </w:t>
      </w:r>
      <w:r>
        <w:rPr>
          <w:i/>
        </w:rPr>
        <w:t>unfair dealing </w:t>
      </w:r>
      <w:r>
        <w:rPr/>
        <w:t>under</w:t>
      </w:r>
      <w:r>
        <w:rPr>
          <w:spacing w:val="-1"/>
        </w:rPr>
        <w:t> </w:t>
      </w:r>
      <w:r>
        <w:rPr/>
        <w:t>the circumstances. Accordingly, the shareholder</w:t>
      </w:r>
      <w:r>
        <w:rPr>
          <w:spacing w:val="-1"/>
        </w:rPr>
        <w:t> </w:t>
      </w:r>
      <w:r>
        <w:rPr/>
        <w:t>could not have the transaction</w:t>
      </w:r>
      <w:r>
        <w:rPr>
          <w:spacing w:val="-2"/>
        </w:rPr>
        <w:t> </w:t>
      </w:r>
      <w:r>
        <w:rPr/>
        <w:t>set aside for non disclosure.</w:t>
      </w:r>
    </w:p>
    <w:p>
      <w:pPr>
        <w:pStyle w:val="BodyText"/>
        <w:spacing w:line="480" w:lineRule="auto" w:before="2"/>
        <w:ind w:right="186" w:firstLine="720"/>
        <w:jc w:val="both"/>
      </w:pPr>
      <w:r>
        <w:rPr/>
        <w:t>It is noteworthy that in arriving at this decision, the court stressed the special circumstances of this particular case. It was especially significant that the initial approach in the matter was made by the shareholders.</w:t>
      </w:r>
      <w:r>
        <w:rPr>
          <w:vertAlign w:val="superscript"/>
        </w:rPr>
        <w:t>70</w:t>
      </w:r>
      <w:r>
        <w:rPr>
          <w:vertAlign w:val="baseline"/>
        </w:rPr>
        <w:t> It is therefore possible that the court</w:t>
      </w:r>
      <w:r>
        <w:rPr>
          <w:spacing w:val="-2"/>
          <w:vertAlign w:val="baseline"/>
        </w:rPr>
        <w:t> </w:t>
      </w:r>
      <w:r>
        <w:rPr>
          <w:vertAlign w:val="baseline"/>
        </w:rPr>
        <w:t>would have</w:t>
      </w:r>
      <w:r>
        <w:rPr>
          <w:spacing w:val="-3"/>
          <w:vertAlign w:val="baseline"/>
        </w:rPr>
        <w:t> </w:t>
      </w:r>
      <w:r>
        <w:rPr>
          <w:vertAlign w:val="baseline"/>
        </w:rPr>
        <w:t>decided</w:t>
      </w:r>
      <w:r>
        <w:rPr>
          <w:spacing w:val="-2"/>
          <w:vertAlign w:val="baseline"/>
        </w:rPr>
        <w:t> </w:t>
      </w:r>
      <w:r>
        <w:rPr>
          <w:vertAlign w:val="baseline"/>
        </w:rPr>
        <w:t>otherwise,</w:t>
      </w:r>
      <w:r>
        <w:rPr>
          <w:spacing w:val="-1"/>
          <w:vertAlign w:val="baseline"/>
        </w:rPr>
        <w:t> </w:t>
      </w:r>
      <w:r>
        <w:rPr>
          <w:vertAlign w:val="baseline"/>
        </w:rPr>
        <w:t>had</w:t>
      </w:r>
      <w:r>
        <w:rPr>
          <w:spacing w:val="-2"/>
          <w:vertAlign w:val="baseline"/>
        </w:rPr>
        <w:t> </w:t>
      </w:r>
      <w:r>
        <w:rPr>
          <w:vertAlign w:val="baseline"/>
        </w:rPr>
        <w:t>the</w:t>
      </w:r>
      <w:r>
        <w:rPr>
          <w:spacing w:val="-3"/>
          <w:vertAlign w:val="baseline"/>
        </w:rPr>
        <w:t> </w:t>
      </w:r>
      <w:r>
        <w:rPr>
          <w:vertAlign w:val="baseline"/>
        </w:rPr>
        <w:t>directors</w:t>
      </w:r>
      <w:r>
        <w:rPr>
          <w:spacing w:val="-4"/>
          <w:vertAlign w:val="baseline"/>
        </w:rPr>
        <w:t> </w:t>
      </w:r>
      <w:r>
        <w:rPr>
          <w:vertAlign w:val="baseline"/>
        </w:rPr>
        <w:t>been</w:t>
      </w:r>
      <w:r>
        <w:rPr>
          <w:spacing w:val="-7"/>
          <w:vertAlign w:val="baseline"/>
        </w:rPr>
        <w:t> </w:t>
      </w:r>
      <w:r>
        <w:rPr>
          <w:vertAlign w:val="baseline"/>
        </w:rPr>
        <w:t>the</w:t>
      </w:r>
      <w:r>
        <w:rPr>
          <w:spacing w:val="-3"/>
          <w:vertAlign w:val="baseline"/>
        </w:rPr>
        <w:t> </w:t>
      </w:r>
      <w:r>
        <w:rPr>
          <w:vertAlign w:val="baseline"/>
        </w:rPr>
        <w:t>ones</w:t>
      </w:r>
      <w:r>
        <w:rPr>
          <w:spacing w:val="-4"/>
          <w:vertAlign w:val="baseline"/>
        </w:rPr>
        <w:t> </w:t>
      </w:r>
      <w:r>
        <w:rPr>
          <w:vertAlign w:val="baseline"/>
        </w:rPr>
        <w:t>who approached</w:t>
      </w:r>
      <w:r>
        <w:rPr>
          <w:spacing w:val="-2"/>
          <w:vertAlign w:val="baseline"/>
        </w:rPr>
        <w:t> </w:t>
      </w:r>
      <w:r>
        <w:rPr>
          <w:vertAlign w:val="baseline"/>
        </w:rPr>
        <w:t>the shareholders.</w:t>
      </w:r>
      <w:r>
        <w:rPr>
          <w:vertAlign w:val="superscript"/>
        </w:rPr>
        <w:t>71</w:t>
      </w:r>
      <w:r>
        <w:rPr>
          <w:vertAlign w:val="baseline"/>
        </w:rPr>
        <w:t> Moreover, the directors would have had to account to the company, having used company information to their own use.</w:t>
      </w:r>
    </w:p>
    <w:p>
      <w:pPr>
        <w:pStyle w:val="BodyText"/>
        <w:spacing w:line="480" w:lineRule="auto" w:before="1"/>
        <w:ind w:right="184" w:firstLine="720"/>
        <w:jc w:val="both"/>
      </w:pPr>
      <w:r>
        <w:rPr/>
        <w:t>However, in spite of the decision above, there appears to be a duty to shareholders concerning any advice given by directors to shareholders regarding the acquisition or rejection of a takeover bid.</w:t>
      </w:r>
      <w:r>
        <w:rPr>
          <w:vertAlign w:val="superscript"/>
        </w:rPr>
        <w:t>72</w:t>
      </w:r>
      <w:r>
        <w:rPr>
          <w:vertAlign w:val="baseline"/>
        </w:rPr>
        <w:t> In </w:t>
      </w:r>
      <w:r>
        <w:rPr>
          <w:b/>
          <w:vertAlign w:val="baseline"/>
        </w:rPr>
        <w:t>Gething vs. Kilner</w:t>
      </w:r>
      <w:r>
        <w:rPr>
          <w:vertAlign w:val="baseline"/>
        </w:rPr>
        <w:t>,</w:t>
      </w:r>
      <w:r>
        <w:rPr>
          <w:vertAlign w:val="superscript"/>
        </w:rPr>
        <w:t>73</w:t>
      </w:r>
      <w:r>
        <w:rPr>
          <w:vertAlign w:val="baseline"/>
        </w:rPr>
        <w:t> it was decided that in</w:t>
      </w:r>
      <w:r>
        <w:rPr>
          <w:spacing w:val="-1"/>
          <w:vertAlign w:val="baseline"/>
        </w:rPr>
        <w:t> </w:t>
      </w:r>
      <w:r>
        <w:rPr>
          <w:vertAlign w:val="baseline"/>
        </w:rPr>
        <w:t>a takeover situation, the</w:t>
      </w:r>
      <w:r>
        <w:rPr>
          <w:spacing w:val="-2"/>
          <w:vertAlign w:val="baseline"/>
        </w:rPr>
        <w:t> </w:t>
      </w:r>
      <w:r>
        <w:rPr>
          <w:vertAlign w:val="baseline"/>
        </w:rPr>
        <w:t>directors</w:t>
      </w:r>
      <w:r>
        <w:rPr>
          <w:spacing w:val="-7"/>
          <w:vertAlign w:val="baseline"/>
        </w:rPr>
        <w:t> </w:t>
      </w:r>
      <w:r>
        <w:rPr>
          <w:vertAlign w:val="baseline"/>
        </w:rPr>
        <w:t>of</w:t>
      </w:r>
      <w:r>
        <w:rPr>
          <w:spacing w:val="-8"/>
          <w:vertAlign w:val="baseline"/>
        </w:rPr>
        <w:t> </w:t>
      </w:r>
      <w:r>
        <w:rPr>
          <w:vertAlign w:val="baseline"/>
        </w:rPr>
        <w:t>the ‗victim‘</w:t>
      </w:r>
      <w:r>
        <w:rPr>
          <w:spacing w:val="-3"/>
          <w:vertAlign w:val="baseline"/>
        </w:rPr>
        <w:t> </w:t>
      </w:r>
      <w:r>
        <w:rPr>
          <w:vertAlign w:val="baseline"/>
        </w:rPr>
        <w:t>company</w:t>
      </w:r>
      <w:r>
        <w:rPr>
          <w:spacing w:val="-5"/>
          <w:vertAlign w:val="baseline"/>
        </w:rPr>
        <w:t> </w:t>
      </w:r>
      <w:r>
        <w:rPr>
          <w:vertAlign w:val="baseline"/>
        </w:rPr>
        <w:t>owe ―a duty</w:t>
      </w:r>
      <w:r>
        <w:rPr>
          <w:spacing w:val="-5"/>
          <w:vertAlign w:val="baseline"/>
        </w:rPr>
        <w:t> </w:t>
      </w:r>
      <w:r>
        <w:rPr>
          <w:vertAlign w:val="baseline"/>
        </w:rPr>
        <w:t>towards</w:t>
      </w:r>
      <w:r>
        <w:rPr>
          <w:spacing w:val="-7"/>
          <w:vertAlign w:val="baseline"/>
        </w:rPr>
        <w:t> </w:t>
      </w:r>
      <w:r>
        <w:rPr>
          <w:vertAlign w:val="baseline"/>
        </w:rPr>
        <w:t>their own</w:t>
      </w:r>
      <w:r>
        <w:rPr>
          <w:spacing w:val="-3"/>
          <w:vertAlign w:val="baseline"/>
        </w:rPr>
        <w:t> </w:t>
      </w:r>
      <w:r>
        <w:rPr>
          <w:vertAlign w:val="baseline"/>
        </w:rPr>
        <w:t>shareholders which...clearly includes a duty</w:t>
      </w:r>
      <w:r>
        <w:rPr>
          <w:spacing w:val="-2"/>
          <w:vertAlign w:val="baseline"/>
        </w:rPr>
        <w:t> </w:t>
      </w:r>
      <w:r>
        <w:rPr>
          <w:vertAlign w:val="baseline"/>
        </w:rPr>
        <w:t>to be honest and a duty not to mislead‖ as</w:t>
      </w:r>
      <w:r>
        <w:rPr>
          <w:spacing w:val="29"/>
          <w:vertAlign w:val="baseline"/>
        </w:rPr>
        <w:t> </w:t>
      </w:r>
      <w:r>
        <w:rPr>
          <w:vertAlign w:val="baseline"/>
        </w:rPr>
        <w:t>by</w:t>
      </w:r>
      <w:r>
        <w:rPr>
          <w:spacing w:val="26"/>
          <w:vertAlign w:val="baseline"/>
        </w:rPr>
        <w:t> </w:t>
      </w:r>
      <w:r>
        <w:rPr>
          <w:vertAlign w:val="baseline"/>
        </w:rPr>
        <w:t>suppressing,</w:t>
      </w:r>
      <w:r>
        <w:rPr>
          <w:spacing w:val="38"/>
          <w:vertAlign w:val="baseline"/>
        </w:rPr>
        <w:t> </w:t>
      </w:r>
      <w:r>
        <w:rPr>
          <w:vertAlign w:val="baseline"/>
        </w:rPr>
        <w:t>for</w:t>
      </w:r>
      <w:r>
        <w:rPr>
          <w:spacing w:val="33"/>
          <w:vertAlign w:val="baseline"/>
        </w:rPr>
        <w:t> </w:t>
      </w:r>
      <w:r>
        <w:rPr>
          <w:vertAlign w:val="baseline"/>
        </w:rPr>
        <w:t>instance,</w:t>
      </w:r>
      <w:r>
        <w:rPr>
          <w:spacing w:val="33"/>
          <w:vertAlign w:val="baseline"/>
        </w:rPr>
        <w:t> </w:t>
      </w:r>
      <w:r>
        <w:rPr>
          <w:vertAlign w:val="baseline"/>
        </w:rPr>
        <w:t>professional</w:t>
      </w:r>
      <w:r>
        <w:rPr>
          <w:spacing w:val="23"/>
          <w:vertAlign w:val="baseline"/>
        </w:rPr>
        <w:t> </w:t>
      </w:r>
      <w:r>
        <w:rPr>
          <w:vertAlign w:val="baseline"/>
        </w:rPr>
        <w:t>advice</w:t>
      </w:r>
      <w:r>
        <w:rPr>
          <w:spacing w:val="30"/>
          <w:vertAlign w:val="baseline"/>
        </w:rPr>
        <w:t> </w:t>
      </w:r>
      <w:r>
        <w:rPr>
          <w:vertAlign w:val="baseline"/>
        </w:rPr>
        <w:t>recommending</w:t>
      </w:r>
      <w:r>
        <w:rPr>
          <w:spacing w:val="31"/>
          <w:vertAlign w:val="baseline"/>
        </w:rPr>
        <w:t> </w:t>
      </w:r>
      <w:r>
        <w:rPr>
          <w:vertAlign w:val="baseline"/>
        </w:rPr>
        <w:t>rejection,</w:t>
      </w:r>
      <w:r>
        <w:rPr>
          <w:spacing w:val="33"/>
          <w:vertAlign w:val="baseline"/>
        </w:rPr>
        <w:t> </w:t>
      </w:r>
      <w:r>
        <w:rPr>
          <w:vertAlign w:val="baseline"/>
        </w:rPr>
        <w:t>and</w:t>
      </w:r>
      <w:r>
        <w:rPr>
          <w:spacing w:val="31"/>
          <w:vertAlign w:val="baseline"/>
        </w:rPr>
        <w:t> </w:t>
      </w:r>
      <w:r>
        <w:rPr>
          <w:vertAlign w:val="baseline"/>
        </w:rPr>
        <w:t>that</w:t>
      </w:r>
    </w:p>
    <w:p>
      <w:pPr>
        <w:pStyle w:val="BodyText"/>
        <w:ind w:left="0"/>
        <w:rPr>
          <w:sz w:val="20"/>
        </w:rPr>
      </w:pPr>
    </w:p>
    <w:p>
      <w:pPr>
        <w:pStyle w:val="BodyText"/>
        <w:spacing w:before="43"/>
        <w:ind w:left="0"/>
        <w:rPr>
          <w:sz w:val="20"/>
        </w:rPr>
      </w:pPr>
      <w:r>
        <w:rPr/>
        <mc:AlternateContent>
          <mc:Choice Requires="wps">
            <w:drawing>
              <wp:anchor distT="0" distB="0" distL="0" distR="0" allowOverlap="1" layoutInCell="1" locked="0" behindDoc="1" simplePos="0" relativeHeight="487644160">
                <wp:simplePos x="0" y="0"/>
                <wp:positionH relativeFrom="page">
                  <wp:posOffset>1262481</wp:posOffset>
                </wp:positionH>
                <wp:positionV relativeFrom="paragraph">
                  <wp:posOffset>189134</wp:posOffset>
                </wp:positionV>
                <wp:extent cx="1829435" cy="9525"/>
                <wp:effectExtent l="0" t="0" r="0" b="0"/>
                <wp:wrapTopAndBottom/>
                <wp:docPr id="123" name="Graphic 123"/>
                <wp:cNvGraphicFramePr>
                  <a:graphicFrameLocks/>
                </wp:cNvGraphicFramePr>
                <a:graphic>
                  <a:graphicData uri="http://schemas.microsoft.com/office/word/2010/wordprocessingShape">
                    <wps:wsp>
                      <wps:cNvPr id="123" name="Graphic 123"/>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509pt;width:144.050pt;height:.72003pt;mso-position-horizontal-relative:page;mso-position-vertical-relative:paragraph;z-index:-15672320;mso-wrap-distance-left:0;mso-wrap-distance-right:0" id="docshape78"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70</w:t>
      </w:r>
      <w:r>
        <w:rPr>
          <w:rFonts w:ascii="Calibri"/>
          <w:sz w:val="20"/>
          <w:vertAlign w:val="baseline"/>
        </w:rPr>
        <w:t> Ibid.</w:t>
      </w:r>
      <w:r>
        <w:rPr>
          <w:rFonts w:ascii="Calibri"/>
          <w:spacing w:val="-4"/>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426-</w:t>
      </w:r>
      <w:r>
        <w:rPr>
          <w:rFonts w:ascii="Calibri"/>
          <w:spacing w:val="-4"/>
          <w:sz w:val="20"/>
          <w:vertAlign w:val="baseline"/>
        </w:rPr>
        <w:t>427.</w:t>
      </w:r>
    </w:p>
    <w:p>
      <w:pPr>
        <w:spacing w:before="0"/>
        <w:ind w:left="308" w:right="255" w:firstLine="0"/>
        <w:jc w:val="left"/>
        <w:rPr>
          <w:rFonts w:ascii="Calibri" w:hAnsi="Calibri"/>
          <w:sz w:val="20"/>
        </w:rPr>
      </w:pPr>
      <w:r>
        <w:rPr>
          <w:rFonts w:ascii="Calibri" w:hAnsi="Calibri"/>
          <w:sz w:val="20"/>
          <w:vertAlign w:val="superscript"/>
        </w:rPr>
        <w:t>71</w:t>
      </w:r>
      <w:r>
        <w:rPr>
          <w:rFonts w:ascii="Calibri" w:hAnsi="Calibri"/>
          <w:sz w:val="20"/>
          <w:vertAlign w:val="baseline"/>
        </w:rPr>
        <w:t>Birds, J. et al. (2011).</w:t>
      </w:r>
      <w:r>
        <w:rPr>
          <w:rFonts w:ascii="Calibri" w:hAnsi="Calibri"/>
          <w:i/>
          <w:sz w:val="20"/>
          <w:vertAlign w:val="baseline"/>
        </w:rPr>
        <w:t>Boyle and Birds’ Company Law.</w:t>
      </w:r>
      <w:r>
        <w:rPr>
          <w:rFonts w:ascii="Calibri" w:hAnsi="Calibri"/>
          <w:sz w:val="20"/>
          <w:vertAlign w:val="baseline"/>
        </w:rPr>
        <w:t>8</w:t>
      </w:r>
      <w:r>
        <w:rPr>
          <w:rFonts w:ascii="Calibri" w:hAnsi="Calibri"/>
          <w:sz w:val="20"/>
          <w:vertAlign w:val="superscript"/>
        </w:rPr>
        <w:t>th</w:t>
      </w:r>
      <w:r>
        <w:rPr>
          <w:rFonts w:ascii="Calibri" w:hAnsi="Calibri"/>
          <w:sz w:val="20"/>
          <w:vertAlign w:val="baseline"/>
        </w:rPr>
        <w:t> edition, Jordan Publishing Limited, Bristol, p.</w:t>
      </w:r>
      <w:r>
        <w:rPr>
          <w:rFonts w:ascii="Calibri" w:hAnsi="Calibri"/>
          <w:spacing w:val="40"/>
          <w:sz w:val="20"/>
          <w:vertAlign w:val="baseline"/>
        </w:rPr>
        <w:t> </w:t>
      </w:r>
      <w:r>
        <w:rPr>
          <w:rFonts w:ascii="Calibri" w:hAnsi="Calibri"/>
          <w:spacing w:val="-4"/>
          <w:sz w:val="20"/>
          <w:vertAlign w:val="baseline"/>
        </w:rPr>
        <w:t>628.</w:t>
      </w:r>
    </w:p>
    <w:p>
      <w:pPr>
        <w:spacing w:before="2"/>
        <w:ind w:left="308" w:right="0" w:firstLine="0"/>
        <w:jc w:val="left"/>
        <w:rPr>
          <w:rFonts w:ascii="Calibri"/>
          <w:sz w:val="20"/>
        </w:rPr>
      </w:pPr>
      <w:r>
        <w:rPr>
          <w:rFonts w:ascii="Calibri"/>
          <w:sz w:val="20"/>
          <w:vertAlign w:val="superscript"/>
        </w:rPr>
        <w:t>72</w:t>
      </w:r>
      <w:r>
        <w:rPr>
          <w:rFonts w:ascii="Calibri"/>
          <w:sz w:val="20"/>
          <w:vertAlign w:val="baseline"/>
        </w:rPr>
        <w:t>Wild,</w:t>
      </w:r>
      <w:r>
        <w:rPr>
          <w:rFonts w:ascii="Calibri"/>
          <w:spacing w:val="-3"/>
          <w:sz w:val="20"/>
          <w:vertAlign w:val="baseline"/>
        </w:rPr>
        <w:t> </w:t>
      </w:r>
      <w:r>
        <w:rPr>
          <w:rFonts w:ascii="Calibri"/>
          <w:sz w:val="20"/>
          <w:vertAlign w:val="baseline"/>
        </w:rPr>
        <w:t>C.</w:t>
      </w:r>
      <w:r>
        <w:rPr>
          <w:rFonts w:ascii="Calibri"/>
          <w:spacing w:val="-4"/>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Weinstein,</w:t>
      </w:r>
      <w:r>
        <w:rPr>
          <w:rFonts w:ascii="Calibri"/>
          <w:spacing w:val="-3"/>
          <w:sz w:val="20"/>
          <w:vertAlign w:val="baseline"/>
        </w:rPr>
        <w:t> </w:t>
      </w:r>
      <w:r>
        <w:rPr>
          <w:rFonts w:ascii="Calibri"/>
          <w:spacing w:val="-2"/>
          <w:sz w:val="20"/>
          <w:vertAlign w:val="baseline"/>
        </w:rPr>
        <w:t>S.op.cit.at345.</w:t>
      </w:r>
    </w:p>
    <w:p>
      <w:pPr>
        <w:spacing w:before="0"/>
        <w:ind w:left="308" w:right="0" w:firstLine="0"/>
        <w:jc w:val="left"/>
        <w:rPr>
          <w:rFonts w:ascii="Calibri"/>
          <w:sz w:val="20"/>
        </w:rPr>
      </w:pPr>
      <w:r>
        <w:rPr>
          <w:rFonts w:ascii="Calibri"/>
          <w:sz w:val="20"/>
          <w:vertAlign w:val="superscript"/>
        </w:rPr>
        <w:t>73</w:t>
      </w:r>
      <w:r>
        <w:rPr>
          <w:rFonts w:ascii="Calibri"/>
          <w:sz w:val="20"/>
          <w:vertAlign w:val="baseline"/>
        </w:rPr>
        <w:t>(1972)</w:t>
      </w:r>
      <w:r>
        <w:rPr>
          <w:rFonts w:ascii="Calibri"/>
          <w:spacing w:val="-2"/>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WLR,</w:t>
      </w:r>
      <w:r>
        <w:rPr>
          <w:rFonts w:ascii="Calibri"/>
          <w:spacing w:val="-4"/>
          <w:sz w:val="20"/>
          <w:vertAlign w:val="baseline"/>
        </w:rPr>
        <w:t> 337.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2"/>
        <w:jc w:val="both"/>
      </w:pPr>
      <w:r>
        <w:rPr/>
        <w:t>the court might grant an injunction where this had happened, to prevent the bid from getting through.</w:t>
      </w:r>
      <w:r>
        <w:rPr>
          <w:vertAlign w:val="superscript"/>
        </w:rPr>
        <w:t>74</w:t>
      </w:r>
    </w:p>
    <w:p>
      <w:pPr>
        <w:pStyle w:val="BodyText"/>
        <w:spacing w:line="480" w:lineRule="auto"/>
        <w:ind w:right="187" w:firstLine="720"/>
        <w:jc w:val="both"/>
      </w:pPr>
      <w:r>
        <w:rPr/>
        <w:t>The courts do not also entirely rule out a fiduciary or other duty owed to individual</w:t>
      </w:r>
      <w:r>
        <w:rPr>
          <w:spacing w:val="-5"/>
        </w:rPr>
        <w:t> </w:t>
      </w:r>
      <w:r>
        <w:rPr/>
        <w:t>shareholders by</w:t>
      </w:r>
      <w:r>
        <w:rPr>
          <w:spacing w:val="-5"/>
        </w:rPr>
        <w:t> </w:t>
      </w:r>
      <w:r>
        <w:rPr/>
        <w:t>the</w:t>
      </w:r>
      <w:r>
        <w:rPr>
          <w:spacing w:val="-1"/>
        </w:rPr>
        <w:t> </w:t>
      </w:r>
      <w:r>
        <w:rPr/>
        <w:t>directors, where, on</w:t>
      </w:r>
      <w:r>
        <w:rPr>
          <w:spacing w:val="-5"/>
        </w:rPr>
        <w:t> </w:t>
      </w:r>
      <w:r>
        <w:rPr/>
        <w:t>the facts</w:t>
      </w:r>
      <w:r>
        <w:rPr>
          <w:spacing w:val="-2"/>
        </w:rPr>
        <w:t> </w:t>
      </w:r>
      <w:r>
        <w:rPr/>
        <w:t>of</w:t>
      </w:r>
      <w:r>
        <w:rPr>
          <w:spacing w:val="-3"/>
        </w:rPr>
        <w:t> </w:t>
      </w:r>
      <w:r>
        <w:rPr/>
        <w:t>a</w:t>
      </w:r>
      <w:r>
        <w:rPr>
          <w:spacing w:val="-1"/>
        </w:rPr>
        <w:t> </w:t>
      </w:r>
      <w:r>
        <w:rPr/>
        <w:t>case, the</w:t>
      </w:r>
      <w:r>
        <w:rPr>
          <w:spacing w:val="-1"/>
        </w:rPr>
        <w:t> </w:t>
      </w:r>
      <w:r>
        <w:rPr/>
        <w:t>directors</w:t>
      </w:r>
      <w:r>
        <w:rPr>
          <w:spacing w:val="-2"/>
        </w:rPr>
        <w:t> </w:t>
      </w:r>
      <w:r>
        <w:rPr/>
        <w:t>place themselves as against the shareholders individually in a legal relationship such as agency.</w:t>
      </w:r>
      <w:r>
        <w:rPr>
          <w:vertAlign w:val="superscript"/>
        </w:rPr>
        <w:t>75</w:t>
      </w:r>
      <w:r>
        <w:rPr>
          <w:vertAlign w:val="baseline"/>
        </w:rPr>
        <w:t> This may arise, for example, where the shareholders authorise the directors to sell their shares on their behalf to a potential takeover bidder, as was the case in</w:t>
      </w:r>
      <w:r>
        <w:rPr>
          <w:spacing w:val="32"/>
          <w:vertAlign w:val="baseline"/>
        </w:rPr>
        <w:t> </w:t>
      </w:r>
      <w:r>
        <w:rPr>
          <w:b/>
          <w:vertAlign w:val="baseline"/>
        </w:rPr>
        <w:t>Allen vs. Hyatt</w:t>
      </w:r>
      <w:r>
        <w:rPr>
          <w:vertAlign w:val="baseline"/>
        </w:rPr>
        <w:t>.</w:t>
      </w:r>
      <w:r>
        <w:rPr>
          <w:vertAlign w:val="superscript"/>
        </w:rPr>
        <w:t>76</w:t>
      </w:r>
      <w:r>
        <w:rPr>
          <w:vertAlign w:val="baseline"/>
        </w:rPr>
        <w:t> There, the directors induced the shareholders to give them options for the purchase of their shares so that the directors might negotiate a sale of the shares to another company. The directors used the options to purchase the shares themselves and then</w:t>
      </w:r>
      <w:r>
        <w:rPr>
          <w:spacing w:val="-5"/>
          <w:vertAlign w:val="baseline"/>
        </w:rPr>
        <w:t> </w:t>
      </w:r>
      <w:r>
        <w:rPr>
          <w:vertAlign w:val="baseline"/>
        </w:rPr>
        <w:t>resold them</w:t>
      </w:r>
      <w:r>
        <w:rPr>
          <w:spacing w:val="-5"/>
          <w:vertAlign w:val="baseline"/>
        </w:rPr>
        <w:t> </w:t>
      </w:r>
      <w:r>
        <w:rPr>
          <w:vertAlign w:val="baseline"/>
        </w:rPr>
        <w:t>at a</w:t>
      </w:r>
      <w:r>
        <w:rPr>
          <w:spacing w:val="-1"/>
          <w:vertAlign w:val="baseline"/>
        </w:rPr>
        <w:t> </w:t>
      </w:r>
      <w:r>
        <w:rPr>
          <w:vertAlign w:val="baseline"/>
        </w:rPr>
        <w:t>profit to the</w:t>
      </w:r>
      <w:r>
        <w:rPr>
          <w:spacing w:val="-1"/>
          <w:vertAlign w:val="baseline"/>
        </w:rPr>
        <w:t> </w:t>
      </w:r>
      <w:r>
        <w:rPr>
          <w:vertAlign w:val="baseline"/>
        </w:rPr>
        <w:t>other company. The</w:t>
      </w:r>
      <w:r>
        <w:rPr>
          <w:spacing w:val="-1"/>
          <w:vertAlign w:val="baseline"/>
        </w:rPr>
        <w:t> </w:t>
      </w:r>
      <w:r>
        <w:rPr>
          <w:vertAlign w:val="baseline"/>
        </w:rPr>
        <w:t>Privy Council held that, under the circumstances, the directors had made themselves agents for the shareholders and must consequently account for the profit made.</w:t>
      </w:r>
    </w:p>
    <w:p>
      <w:pPr>
        <w:pStyle w:val="BodyText"/>
        <w:spacing w:line="480" w:lineRule="auto" w:before="2"/>
        <w:ind w:right="182" w:firstLine="720"/>
        <w:jc w:val="both"/>
      </w:pPr>
      <w:r>
        <w:rPr/>
        <w:t>A major disadvantage has been noted in this agency arrangement, though.</w:t>
      </w:r>
      <w:r>
        <w:rPr>
          <w:vertAlign w:val="superscript"/>
        </w:rPr>
        <w:t>77</w:t>
      </w:r>
      <w:r>
        <w:rPr>
          <w:vertAlign w:val="baseline"/>
        </w:rPr>
        <w:t> It was held by</w:t>
      </w:r>
      <w:r>
        <w:rPr>
          <w:spacing w:val="-4"/>
          <w:vertAlign w:val="baseline"/>
        </w:rPr>
        <w:t> </w:t>
      </w:r>
      <w:r>
        <w:rPr>
          <w:vertAlign w:val="baseline"/>
        </w:rPr>
        <w:t>the</w:t>
      </w:r>
      <w:r>
        <w:rPr>
          <w:spacing w:val="-1"/>
          <w:vertAlign w:val="baseline"/>
        </w:rPr>
        <w:t> </w:t>
      </w:r>
      <w:r>
        <w:rPr>
          <w:vertAlign w:val="baseline"/>
        </w:rPr>
        <w:t>House</w:t>
      </w:r>
      <w:r>
        <w:rPr>
          <w:spacing w:val="-1"/>
          <w:vertAlign w:val="baseline"/>
        </w:rPr>
        <w:t> </w:t>
      </w:r>
      <w:r>
        <w:rPr>
          <w:vertAlign w:val="baseline"/>
        </w:rPr>
        <w:t>of</w:t>
      </w:r>
      <w:r>
        <w:rPr>
          <w:spacing w:val="-7"/>
          <w:vertAlign w:val="baseline"/>
        </w:rPr>
        <w:t> </w:t>
      </w:r>
      <w:r>
        <w:rPr>
          <w:vertAlign w:val="baseline"/>
        </w:rPr>
        <w:t>Lords in </w:t>
      </w:r>
      <w:r>
        <w:rPr>
          <w:b/>
          <w:vertAlign w:val="baseline"/>
        </w:rPr>
        <w:t>Briess vs. Woolley</w:t>
      </w:r>
      <w:r>
        <w:rPr>
          <w:vertAlign w:val="superscript"/>
        </w:rPr>
        <w:t>78</w:t>
      </w:r>
      <w:r>
        <w:rPr>
          <w:vertAlign w:val="baseline"/>
        </w:rPr>
        <w:t> that where</w:t>
      </w:r>
      <w:r>
        <w:rPr>
          <w:spacing w:val="-1"/>
          <w:vertAlign w:val="baseline"/>
        </w:rPr>
        <w:t> </w:t>
      </w:r>
      <w:r>
        <w:rPr>
          <w:vertAlign w:val="baseline"/>
        </w:rPr>
        <w:t>shareholders employ the</w:t>
      </w:r>
      <w:r>
        <w:rPr>
          <w:spacing w:val="-1"/>
          <w:vertAlign w:val="baseline"/>
        </w:rPr>
        <w:t> </w:t>
      </w:r>
      <w:r>
        <w:rPr>
          <w:vertAlign w:val="baseline"/>
        </w:rPr>
        <w:t>directors</w:t>
      </w:r>
      <w:r>
        <w:rPr>
          <w:spacing w:val="-2"/>
          <w:vertAlign w:val="baseline"/>
        </w:rPr>
        <w:t> </w:t>
      </w:r>
      <w:r>
        <w:rPr>
          <w:vertAlign w:val="baseline"/>
        </w:rPr>
        <w:t>to negotiate</w:t>
      </w:r>
      <w:r>
        <w:rPr>
          <w:spacing w:val="-1"/>
          <w:vertAlign w:val="baseline"/>
        </w:rPr>
        <w:t> </w:t>
      </w:r>
      <w:r>
        <w:rPr>
          <w:vertAlign w:val="baseline"/>
        </w:rPr>
        <w:t>a</w:t>
      </w:r>
      <w:r>
        <w:rPr>
          <w:spacing w:val="-1"/>
          <w:vertAlign w:val="baseline"/>
        </w:rPr>
        <w:t> </w:t>
      </w:r>
      <w:r>
        <w:rPr>
          <w:vertAlign w:val="baseline"/>
        </w:rPr>
        <w:t>sale</w:t>
      </w:r>
      <w:r>
        <w:rPr>
          <w:spacing w:val="-1"/>
          <w:vertAlign w:val="baseline"/>
        </w:rPr>
        <w:t> </w:t>
      </w:r>
      <w:r>
        <w:rPr>
          <w:vertAlign w:val="baseline"/>
        </w:rPr>
        <w:t>of</w:t>
      </w:r>
      <w:r>
        <w:rPr>
          <w:spacing w:val="-8"/>
          <w:vertAlign w:val="baseline"/>
        </w:rPr>
        <w:t> </w:t>
      </w:r>
      <w:r>
        <w:rPr>
          <w:vertAlign w:val="baseline"/>
        </w:rPr>
        <w:t>their shares, the</w:t>
      </w:r>
      <w:r>
        <w:rPr>
          <w:spacing w:val="-1"/>
          <w:vertAlign w:val="baseline"/>
        </w:rPr>
        <w:t> </w:t>
      </w:r>
      <w:r>
        <w:rPr>
          <w:vertAlign w:val="baseline"/>
        </w:rPr>
        <w:t>shareholders</w:t>
      </w:r>
      <w:r>
        <w:rPr>
          <w:spacing w:val="-2"/>
          <w:vertAlign w:val="baseline"/>
        </w:rPr>
        <w:t> </w:t>
      </w:r>
      <w:r>
        <w:rPr>
          <w:vertAlign w:val="baseline"/>
        </w:rPr>
        <w:t>will be vicariously liable in damages to the purchaser as principals, if the directors fraudulently misrepresent the state of the company‘s affairs to the purchaser.</w:t>
      </w:r>
    </w:p>
    <w:p>
      <w:pPr>
        <w:pStyle w:val="BodyText"/>
        <w:spacing w:line="480" w:lineRule="auto" w:before="1"/>
        <w:ind w:right="181" w:firstLine="720"/>
        <w:jc w:val="both"/>
      </w:pPr>
      <w:r>
        <w:rPr/>
        <w:t>Aside from clear agency situations, the New Zealand Court of Appeal has considered the doctrine of a ―special factual relationship‖ to cover situations where the directors are not in fact agents of the shareholders. Thus, in </w:t>
      </w:r>
      <w:r>
        <w:rPr>
          <w:b/>
        </w:rPr>
        <w:t>Coleman vs. Myers</w:t>
      </w:r>
      <w:r>
        <w:rPr/>
        <w:t>,</w:t>
      </w:r>
      <w:r>
        <w:rPr>
          <w:vertAlign w:val="superscript"/>
        </w:rPr>
        <w:t>79</w:t>
      </w:r>
      <w:r>
        <w:rPr>
          <w:vertAlign w:val="baseline"/>
        </w:rPr>
        <w:t> the court</w:t>
      </w:r>
      <w:r>
        <w:rPr>
          <w:spacing w:val="21"/>
          <w:vertAlign w:val="baseline"/>
        </w:rPr>
        <w:t> </w:t>
      </w:r>
      <w:r>
        <w:rPr>
          <w:vertAlign w:val="baseline"/>
        </w:rPr>
        <w:t>found</w:t>
      </w:r>
      <w:r>
        <w:rPr>
          <w:spacing w:val="16"/>
          <w:vertAlign w:val="baseline"/>
        </w:rPr>
        <w:t> </w:t>
      </w:r>
      <w:r>
        <w:rPr>
          <w:vertAlign w:val="baseline"/>
        </w:rPr>
        <w:t>that</w:t>
      </w:r>
      <w:r>
        <w:rPr>
          <w:spacing w:val="21"/>
          <w:vertAlign w:val="baseline"/>
        </w:rPr>
        <w:t> </w:t>
      </w:r>
      <w:r>
        <w:rPr>
          <w:vertAlign w:val="baseline"/>
        </w:rPr>
        <w:t>a</w:t>
      </w:r>
      <w:r>
        <w:rPr>
          <w:spacing w:val="20"/>
          <w:vertAlign w:val="baseline"/>
        </w:rPr>
        <w:t> </w:t>
      </w:r>
      <w:r>
        <w:rPr>
          <w:vertAlign w:val="baseline"/>
        </w:rPr>
        <w:t>fiduciary duty of disclosure</w:t>
      </w:r>
      <w:r>
        <w:rPr>
          <w:spacing w:val="15"/>
          <w:vertAlign w:val="baseline"/>
        </w:rPr>
        <w:t> </w:t>
      </w:r>
      <w:r>
        <w:rPr>
          <w:vertAlign w:val="baseline"/>
        </w:rPr>
        <w:t>arose,</w:t>
      </w:r>
      <w:r>
        <w:rPr>
          <w:spacing w:val="18"/>
          <w:vertAlign w:val="baseline"/>
        </w:rPr>
        <w:t> </w:t>
      </w:r>
      <w:r>
        <w:rPr>
          <w:vertAlign w:val="baseline"/>
        </w:rPr>
        <w:t>even</w:t>
      </w:r>
      <w:r>
        <w:rPr>
          <w:spacing w:val="16"/>
          <w:vertAlign w:val="baseline"/>
        </w:rPr>
        <w:t> </w:t>
      </w:r>
      <w:r>
        <w:rPr>
          <w:vertAlign w:val="baseline"/>
        </w:rPr>
        <w:t>in</w:t>
      </w:r>
      <w:r>
        <w:rPr>
          <w:spacing w:val="16"/>
          <w:vertAlign w:val="baseline"/>
        </w:rPr>
        <w:t> </w:t>
      </w:r>
      <w:r>
        <w:rPr>
          <w:vertAlign w:val="baseline"/>
        </w:rPr>
        <w:t>the</w:t>
      </w:r>
      <w:r>
        <w:rPr>
          <w:spacing w:val="15"/>
          <w:vertAlign w:val="baseline"/>
        </w:rPr>
        <w:t> </w:t>
      </w:r>
      <w:r>
        <w:rPr>
          <w:vertAlign w:val="baseline"/>
        </w:rPr>
        <w:t>absence</w:t>
      </w:r>
      <w:r>
        <w:rPr>
          <w:spacing w:val="20"/>
          <w:vertAlign w:val="baseline"/>
        </w:rPr>
        <w:t> </w:t>
      </w:r>
      <w:r>
        <w:rPr>
          <w:vertAlign w:val="baseline"/>
        </w:rPr>
        <w:t>of</w:t>
      </w:r>
      <w:r>
        <w:rPr>
          <w:spacing w:val="13"/>
          <w:vertAlign w:val="baseline"/>
        </w:rPr>
        <w:t> </w:t>
      </w:r>
      <w:r>
        <w:rPr>
          <w:vertAlign w:val="baseline"/>
        </w:rPr>
        <w:t>agency,</w:t>
      </w:r>
      <w:r>
        <w:rPr>
          <w:spacing w:val="23"/>
          <w:vertAlign w:val="baseline"/>
        </w:rPr>
        <w:t> </w:t>
      </w:r>
      <w:r>
        <w:rPr>
          <w:vertAlign w:val="baseline"/>
        </w:rPr>
        <w:t>in</w:t>
      </w:r>
    </w:p>
    <w:p>
      <w:pPr>
        <w:pStyle w:val="BodyText"/>
        <w:spacing w:before="29"/>
        <w:ind w:left="0"/>
        <w:rPr>
          <w:sz w:val="20"/>
        </w:rPr>
      </w:pPr>
      <w:r>
        <w:rPr/>
        <mc:AlternateContent>
          <mc:Choice Requires="wps">
            <w:drawing>
              <wp:anchor distT="0" distB="0" distL="0" distR="0" allowOverlap="1" layoutInCell="1" locked="0" behindDoc="1" simplePos="0" relativeHeight="487644672">
                <wp:simplePos x="0" y="0"/>
                <wp:positionH relativeFrom="page">
                  <wp:posOffset>1262481</wp:posOffset>
                </wp:positionH>
                <wp:positionV relativeFrom="paragraph">
                  <wp:posOffset>179725</wp:posOffset>
                </wp:positionV>
                <wp:extent cx="1829435" cy="9525"/>
                <wp:effectExtent l="0" t="0" r="0" b="0"/>
                <wp:wrapTopAndBottom/>
                <wp:docPr id="124" name="Graphic 124"/>
                <wp:cNvGraphicFramePr>
                  <a:graphicFrameLocks/>
                </wp:cNvGraphicFramePr>
                <a:graphic>
                  <a:graphicData uri="http://schemas.microsoft.com/office/word/2010/wordprocessingShape">
                    <wps:wsp>
                      <wps:cNvPr id="124" name="Graphic 12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51592pt;width:144.050pt;height:.71997pt;mso-position-horizontal-relative:page;mso-position-vertical-relative:paragraph;z-index:-15671808;mso-wrap-distance-left:0;mso-wrap-distance-right:0" id="docshape7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74</w:t>
      </w:r>
      <w:r>
        <w:rPr>
          <w:rFonts w:ascii="Calibri"/>
          <w:sz w:val="20"/>
          <w:vertAlign w:val="baseline"/>
        </w:rPr>
        <w:t>Ibid.</w:t>
      </w:r>
      <w:r>
        <w:rPr>
          <w:rFonts w:ascii="Calibri"/>
          <w:spacing w:val="-1"/>
          <w:sz w:val="20"/>
          <w:vertAlign w:val="baseline"/>
        </w:rPr>
        <w:t> </w:t>
      </w:r>
      <w:r>
        <w:rPr>
          <w:rFonts w:ascii="Calibri"/>
          <w:sz w:val="20"/>
          <w:vertAlign w:val="baseline"/>
        </w:rPr>
        <w:t>per</w:t>
      </w:r>
      <w:r>
        <w:rPr>
          <w:rFonts w:ascii="Calibri"/>
          <w:spacing w:val="-5"/>
          <w:sz w:val="20"/>
          <w:vertAlign w:val="baseline"/>
        </w:rPr>
        <w:t> </w:t>
      </w:r>
      <w:r>
        <w:rPr>
          <w:rFonts w:ascii="Calibri"/>
          <w:sz w:val="20"/>
          <w:vertAlign w:val="baseline"/>
        </w:rPr>
        <w:t>Brightman</w:t>
      </w:r>
      <w:r>
        <w:rPr>
          <w:rFonts w:ascii="Calibri"/>
          <w:spacing w:val="-8"/>
          <w:sz w:val="20"/>
          <w:vertAlign w:val="baseline"/>
        </w:rPr>
        <w:t> </w:t>
      </w:r>
      <w:r>
        <w:rPr>
          <w:rFonts w:ascii="Calibri"/>
          <w:sz w:val="20"/>
          <w:vertAlign w:val="baseline"/>
        </w:rPr>
        <w:t>at</w:t>
      </w:r>
      <w:r>
        <w:rPr>
          <w:rFonts w:ascii="Calibri"/>
          <w:spacing w:val="-8"/>
          <w:sz w:val="20"/>
          <w:vertAlign w:val="baseline"/>
        </w:rPr>
        <w:t> </w:t>
      </w:r>
      <w:r>
        <w:rPr>
          <w:rFonts w:ascii="Calibri"/>
          <w:spacing w:val="-4"/>
          <w:sz w:val="20"/>
          <w:vertAlign w:val="baseline"/>
        </w:rPr>
        <w:t>341.</w:t>
      </w:r>
    </w:p>
    <w:p>
      <w:pPr>
        <w:spacing w:before="1"/>
        <w:ind w:left="308" w:right="0" w:firstLine="0"/>
        <w:jc w:val="left"/>
        <w:rPr>
          <w:rFonts w:ascii="Calibri"/>
          <w:sz w:val="20"/>
        </w:rPr>
      </w:pPr>
      <w:r>
        <w:rPr>
          <w:rFonts w:ascii="Calibri"/>
          <w:sz w:val="20"/>
          <w:vertAlign w:val="superscript"/>
        </w:rPr>
        <w:t>75</w:t>
      </w:r>
      <w:r>
        <w:rPr>
          <w:rFonts w:ascii="Calibri"/>
          <w:sz w:val="20"/>
          <w:vertAlign w:val="baseline"/>
        </w:rPr>
        <w:t>Davies,</w:t>
      </w:r>
      <w:r>
        <w:rPr>
          <w:rFonts w:ascii="Calibri"/>
          <w:spacing w:val="-11"/>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S.op.cit.at</w:t>
      </w:r>
      <w:r>
        <w:rPr>
          <w:rFonts w:ascii="Calibri"/>
          <w:spacing w:val="-4"/>
          <w:sz w:val="20"/>
          <w:vertAlign w:val="baseline"/>
        </w:rPr>
        <w:t> 507.</w:t>
      </w:r>
    </w:p>
    <w:p>
      <w:pPr>
        <w:spacing w:before="1"/>
        <w:ind w:left="308" w:right="0" w:firstLine="0"/>
        <w:jc w:val="left"/>
        <w:rPr>
          <w:rFonts w:ascii="Calibri"/>
          <w:sz w:val="20"/>
        </w:rPr>
      </w:pPr>
      <w:r>
        <w:rPr>
          <w:rFonts w:ascii="Calibri"/>
          <w:sz w:val="20"/>
          <w:vertAlign w:val="superscript"/>
        </w:rPr>
        <w:t>76</w:t>
      </w:r>
      <w:r>
        <w:rPr>
          <w:rFonts w:ascii="Calibri"/>
          <w:sz w:val="20"/>
          <w:vertAlign w:val="baseline"/>
        </w:rPr>
        <w:t>(1914)</w:t>
      </w:r>
      <w:r>
        <w:rPr>
          <w:rFonts w:ascii="Calibri"/>
          <w:spacing w:val="-3"/>
          <w:sz w:val="20"/>
          <w:vertAlign w:val="baseline"/>
        </w:rPr>
        <w:t> </w:t>
      </w:r>
      <w:r>
        <w:rPr>
          <w:rFonts w:ascii="Calibri"/>
          <w:sz w:val="20"/>
          <w:vertAlign w:val="baseline"/>
        </w:rPr>
        <w:t>30</w:t>
      </w:r>
      <w:r>
        <w:rPr>
          <w:rFonts w:ascii="Calibri"/>
          <w:spacing w:val="-5"/>
          <w:sz w:val="20"/>
          <w:vertAlign w:val="baseline"/>
        </w:rPr>
        <w:t> </w:t>
      </w:r>
      <w:r>
        <w:rPr>
          <w:rFonts w:ascii="Calibri"/>
          <w:sz w:val="20"/>
          <w:vertAlign w:val="baseline"/>
        </w:rPr>
        <w:t>T.L.R.</w:t>
      </w:r>
      <w:r>
        <w:rPr>
          <w:rFonts w:ascii="Calibri"/>
          <w:spacing w:val="-6"/>
          <w:sz w:val="20"/>
          <w:vertAlign w:val="baseline"/>
        </w:rPr>
        <w:t> </w:t>
      </w:r>
      <w:r>
        <w:rPr>
          <w:rFonts w:ascii="Calibri"/>
          <w:sz w:val="20"/>
          <w:vertAlign w:val="baseline"/>
        </w:rPr>
        <w:t>444,</w:t>
      </w:r>
      <w:r>
        <w:rPr>
          <w:rFonts w:ascii="Calibri"/>
          <w:spacing w:val="-6"/>
          <w:sz w:val="20"/>
          <w:vertAlign w:val="baseline"/>
        </w:rPr>
        <w:t> </w:t>
      </w:r>
      <w:r>
        <w:rPr>
          <w:rFonts w:ascii="Calibri"/>
          <w:spacing w:val="-5"/>
          <w:sz w:val="20"/>
          <w:vertAlign w:val="baseline"/>
        </w:rPr>
        <w:t>PC.</w:t>
      </w:r>
    </w:p>
    <w:p>
      <w:pPr>
        <w:spacing w:before="1"/>
        <w:ind w:left="308" w:right="0" w:firstLine="0"/>
        <w:jc w:val="left"/>
        <w:rPr>
          <w:rFonts w:ascii="Calibri"/>
          <w:sz w:val="20"/>
        </w:rPr>
      </w:pPr>
      <w:r>
        <w:rPr>
          <w:rFonts w:ascii="Calibri"/>
          <w:sz w:val="20"/>
          <w:vertAlign w:val="superscript"/>
        </w:rPr>
        <w:t>77</w:t>
      </w:r>
      <w:r>
        <w:rPr>
          <w:rFonts w:ascii="Calibri"/>
          <w:sz w:val="20"/>
          <w:vertAlign w:val="baseline"/>
        </w:rPr>
        <w:t>Wild,</w:t>
      </w:r>
      <w:r>
        <w:rPr>
          <w:rFonts w:ascii="Calibri"/>
          <w:spacing w:val="-5"/>
          <w:sz w:val="20"/>
          <w:vertAlign w:val="baseline"/>
        </w:rPr>
        <w:t> </w:t>
      </w:r>
      <w:r>
        <w:rPr>
          <w:rFonts w:ascii="Calibri"/>
          <w:sz w:val="20"/>
          <w:vertAlign w:val="baseline"/>
        </w:rPr>
        <w:t>C.</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Weinstein,</w:t>
      </w:r>
      <w:r>
        <w:rPr>
          <w:rFonts w:ascii="Calibri"/>
          <w:spacing w:val="-5"/>
          <w:sz w:val="20"/>
          <w:vertAlign w:val="baseline"/>
        </w:rPr>
        <w:t> </w:t>
      </w:r>
      <w:r>
        <w:rPr>
          <w:rFonts w:ascii="Calibri"/>
          <w:sz w:val="20"/>
          <w:vertAlign w:val="baseline"/>
        </w:rPr>
        <w:t>S.op.cit.at</w:t>
      </w:r>
      <w:r>
        <w:rPr>
          <w:rFonts w:ascii="Calibri"/>
          <w:spacing w:val="-3"/>
          <w:sz w:val="20"/>
          <w:vertAlign w:val="baseline"/>
        </w:rPr>
        <w:t> </w:t>
      </w:r>
      <w:r>
        <w:rPr>
          <w:rFonts w:ascii="Calibri"/>
          <w:spacing w:val="-4"/>
          <w:sz w:val="20"/>
          <w:vertAlign w:val="baseline"/>
        </w:rPr>
        <w:t>345.</w:t>
      </w:r>
    </w:p>
    <w:p>
      <w:pPr>
        <w:spacing w:before="0"/>
        <w:ind w:left="308" w:right="0" w:firstLine="0"/>
        <w:jc w:val="left"/>
        <w:rPr>
          <w:rFonts w:ascii="Calibri"/>
          <w:sz w:val="20"/>
        </w:rPr>
      </w:pPr>
      <w:r>
        <w:rPr>
          <w:rFonts w:ascii="Calibri"/>
          <w:sz w:val="20"/>
          <w:vertAlign w:val="superscript"/>
        </w:rPr>
        <w:t>78</w:t>
      </w:r>
      <w:r>
        <w:rPr>
          <w:rFonts w:ascii="Calibri"/>
          <w:spacing w:val="1"/>
          <w:sz w:val="20"/>
          <w:vertAlign w:val="baseline"/>
        </w:rPr>
        <w:t> </w:t>
      </w:r>
      <w:r>
        <w:rPr>
          <w:rFonts w:ascii="Calibri"/>
          <w:sz w:val="20"/>
          <w:vertAlign w:val="baseline"/>
        </w:rPr>
        <w:t>(1954)</w:t>
      </w:r>
      <w:r>
        <w:rPr>
          <w:rFonts w:ascii="Calibri"/>
          <w:spacing w:val="1"/>
          <w:sz w:val="20"/>
          <w:vertAlign w:val="baseline"/>
        </w:rPr>
        <w:t> </w:t>
      </w:r>
      <w:r>
        <w:rPr>
          <w:rFonts w:ascii="Calibri"/>
          <w:sz w:val="20"/>
          <w:vertAlign w:val="baseline"/>
        </w:rPr>
        <w:t>1</w:t>
      </w:r>
      <w:r>
        <w:rPr>
          <w:rFonts w:ascii="Calibri"/>
          <w:spacing w:val="-6"/>
          <w:sz w:val="20"/>
          <w:vertAlign w:val="baseline"/>
        </w:rPr>
        <w:t> </w:t>
      </w:r>
      <w:r>
        <w:rPr>
          <w:rFonts w:ascii="Calibri"/>
          <w:sz w:val="20"/>
          <w:vertAlign w:val="baseline"/>
        </w:rPr>
        <w:t>All</w:t>
      </w:r>
      <w:r>
        <w:rPr>
          <w:rFonts w:ascii="Calibri"/>
          <w:spacing w:val="-4"/>
          <w:sz w:val="20"/>
          <w:vertAlign w:val="baseline"/>
        </w:rPr>
        <w:t> </w:t>
      </w:r>
      <w:r>
        <w:rPr>
          <w:rFonts w:ascii="Calibri"/>
          <w:sz w:val="20"/>
          <w:vertAlign w:val="baseline"/>
        </w:rPr>
        <w:t>ER</w:t>
      </w:r>
      <w:r>
        <w:rPr>
          <w:rFonts w:ascii="Calibri"/>
          <w:spacing w:val="-4"/>
          <w:sz w:val="20"/>
          <w:vertAlign w:val="baseline"/>
        </w:rPr>
        <w:t> </w:t>
      </w:r>
      <w:r>
        <w:rPr>
          <w:rFonts w:ascii="Calibri"/>
          <w:spacing w:val="-5"/>
          <w:sz w:val="20"/>
          <w:vertAlign w:val="baseline"/>
        </w:rPr>
        <w:t>909</w:t>
      </w:r>
    </w:p>
    <w:p>
      <w:pPr>
        <w:spacing w:before="1"/>
        <w:ind w:left="308" w:right="0" w:firstLine="0"/>
        <w:jc w:val="left"/>
        <w:rPr>
          <w:rFonts w:ascii="Calibri"/>
          <w:sz w:val="20"/>
        </w:rPr>
      </w:pPr>
      <w:r>
        <w:rPr>
          <w:rFonts w:ascii="Calibri"/>
          <w:sz w:val="20"/>
          <w:vertAlign w:val="superscript"/>
        </w:rPr>
        <w:t>79</w:t>
      </w:r>
      <w:r>
        <w:rPr>
          <w:rFonts w:ascii="Calibri"/>
          <w:sz w:val="20"/>
          <w:vertAlign w:val="baseline"/>
        </w:rPr>
        <w:t>(1977)</w:t>
      </w:r>
      <w:r>
        <w:rPr>
          <w:rFonts w:ascii="Calibri"/>
          <w:spacing w:val="-4"/>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N.Z.L.R.</w:t>
      </w:r>
      <w:r>
        <w:rPr>
          <w:rFonts w:ascii="Calibri"/>
          <w:spacing w:val="-3"/>
          <w:sz w:val="20"/>
          <w:vertAlign w:val="baseline"/>
        </w:rPr>
        <w:t> </w:t>
      </w:r>
      <w:r>
        <w:rPr>
          <w:rFonts w:ascii="Calibri"/>
          <w:sz w:val="20"/>
          <w:vertAlign w:val="baseline"/>
        </w:rPr>
        <w:t>225,</w:t>
      </w:r>
      <w:r>
        <w:rPr>
          <w:rFonts w:ascii="Calibri"/>
          <w:spacing w:val="-7"/>
          <w:sz w:val="20"/>
          <w:vertAlign w:val="baseline"/>
        </w:rPr>
        <w:t> </w:t>
      </w:r>
      <w:r>
        <w:rPr>
          <w:rFonts w:ascii="Calibri"/>
          <w:spacing w:val="-4"/>
          <w:sz w:val="20"/>
          <w:vertAlign w:val="baseline"/>
        </w:rPr>
        <w:t>NZCA.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6"/>
        <w:jc w:val="both"/>
      </w:pPr>
      <w:r>
        <w:rPr/>
        <w:t>the case of a small family company where there was a gross disparity of knowledge between the directors and the shareholders and where the shareholders of the company had traditionally relied on the directors for information and advice. The court clarified that whether</w:t>
      </w:r>
      <w:r>
        <w:rPr>
          <w:spacing w:val="-3"/>
        </w:rPr>
        <w:t> </w:t>
      </w:r>
      <w:r>
        <w:rPr/>
        <w:t>a</w:t>
      </w:r>
      <w:r>
        <w:rPr>
          <w:spacing w:val="-1"/>
        </w:rPr>
        <w:t> </w:t>
      </w:r>
      <w:r>
        <w:rPr/>
        <w:t>duty</w:t>
      </w:r>
      <w:r>
        <w:rPr>
          <w:spacing w:val="-8"/>
        </w:rPr>
        <w:t> </w:t>
      </w:r>
      <w:r>
        <w:rPr/>
        <w:t>existed</w:t>
      </w:r>
      <w:r>
        <w:rPr>
          <w:spacing w:val="-5"/>
        </w:rPr>
        <w:t> </w:t>
      </w:r>
      <w:r>
        <w:rPr/>
        <w:t>at all</w:t>
      </w:r>
      <w:r>
        <w:rPr>
          <w:spacing w:val="-4"/>
        </w:rPr>
        <w:t> </w:t>
      </w:r>
      <w:r>
        <w:rPr/>
        <w:t>depended on</w:t>
      </w:r>
      <w:r>
        <w:rPr>
          <w:spacing w:val="-5"/>
        </w:rPr>
        <w:t> </w:t>
      </w:r>
      <w:r>
        <w:rPr/>
        <w:t>―information</w:t>
      </w:r>
      <w:r>
        <w:rPr>
          <w:spacing w:val="-5"/>
        </w:rPr>
        <w:t> </w:t>
      </w:r>
      <w:r>
        <w:rPr/>
        <w:t>and</w:t>
      </w:r>
      <w:r>
        <w:rPr>
          <w:spacing w:val="-5"/>
        </w:rPr>
        <w:t> </w:t>
      </w:r>
      <w:r>
        <w:rPr/>
        <w:t>advice,</w:t>
      </w:r>
      <w:r>
        <w:rPr>
          <w:spacing w:val="-2"/>
        </w:rPr>
        <w:t> </w:t>
      </w:r>
      <w:r>
        <w:rPr/>
        <w:t>the</w:t>
      </w:r>
      <w:r>
        <w:rPr>
          <w:spacing w:val="-5"/>
        </w:rPr>
        <w:t> </w:t>
      </w:r>
      <w:r>
        <w:rPr/>
        <w:t>existence</w:t>
      </w:r>
      <w:r>
        <w:rPr>
          <w:spacing w:val="-1"/>
        </w:rPr>
        <w:t> </w:t>
      </w:r>
      <w:r>
        <w:rPr/>
        <w:t>of a relationship of confidence, the significance of some particular transaction for the parties and the extent of any positive action taken by, or on behalf of, the director(s) to promote it.‖</w:t>
      </w:r>
      <w:r>
        <w:rPr>
          <w:vertAlign w:val="superscript"/>
        </w:rPr>
        <w:t>80</w:t>
      </w:r>
      <w:r>
        <w:rPr>
          <w:vertAlign w:val="baseline"/>
        </w:rPr>
        <w:t>When the directors negotiated with the shareholders for the purchase of their shares and, therefore, were clearly not acting on behalf of the shareholders, they were</w:t>
      </w:r>
      <w:r>
        <w:rPr>
          <w:spacing w:val="-1"/>
          <w:vertAlign w:val="baseline"/>
        </w:rPr>
        <w:t> </w:t>
      </w:r>
      <w:r>
        <w:rPr>
          <w:vertAlign w:val="baseline"/>
        </w:rPr>
        <w:t>nonetheless held to be</w:t>
      </w:r>
      <w:r>
        <w:rPr>
          <w:spacing w:val="-1"/>
          <w:vertAlign w:val="baseline"/>
        </w:rPr>
        <w:t> </w:t>
      </w:r>
      <w:r>
        <w:rPr>
          <w:vertAlign w:val="baseline"/>
        </w:rPr>
        <w:t>subject to a</w:t>
      </w:r>
      <w:r>
        <w:rPr>
          <w:spacing w:val="-1"/>
          <w:vertAlign w:val="baseline"/>
        </w:rPr>
        <w:t> </w:t>
      </w:r>
      <w:r>
        <w:rPr>
          <w:vertAlign w:val="baseline"/>
        </w:rPr>
        <w:t>fiduciary duty</w:t>
      </w:r>
      <w:r>
        <w:rPr>
          <w:spacing w:val="-9"/>
          <w:vertAlign w:val="baseline"/>
        </w:rPr>
        <w:t> </w:t>
      </w:r>
      <w:r>
        <w:rPr>
          <w:vertAlign w:val="baseline"/>
        </w:rPr>
        <w:t>of</w:t>
      </w:r>
      <w:r>
        <w:rPr>
          <w:spacing w:val="-3"/>
          <w:vertAlign w:val="baseline"/>
        </w:rPr>
        <w:t> </w:t>
      </w:r>
      <w:r>
        <w:rPr>
          <w:vertAlign w:val="baseline"/>
        </w:rPr>
        <w:t>full</w:t>
      </w:r>
      <w:r>
        <w:rPr>
          <w:spacing w:val="-4"/>
          <w:vertAlign w:val="baseline"/>
        </w:rPr>
        <w:t> </w:t>
      </w:r>
      <w:r>
        <w:rPr>
          <w:vertAlign w:val="baseline"/>
        </w:rPr>
        <w:t>disclosure</w:t>
      </w:r>
      <w:r>
        <w:rPr>
          <w:spacing w:val="-1"/>
          <w:vertAlign w:val="baseline"/>
        </w:rPr>
        <w:t> </w:t>
      </w:r>
      <w:r>
        <w:rPr>
          <w:vertAlign w:val="baseline"/>
        </w:rPr>
        <w:t>of</w:t>
      </w:r>
      <w:r>
        <w:rPr>
          <w:spacing w:val="-8"/>
          <w:vertAlign w:val="baseline"/>
        </w:rPr>
        <w:t> </w:t>
      </w:r>
      <w:r>
        <w:rPr>
          <w:vertAlign w:val="baseline"/>
        </w:rPr>
        <w:t>relevant facts about the company to the shareholders.</w:t>
      </w:r>
    </w:p>
    <w:p>
      <w:pPr>
        <w:pStyle w:val="BodyText"/>
        <w:spacing w:line="480" w:lineRule="auto" w:before="2"/>
        <w:ind w:right="183" w:firstLine="720"/>
        <w:jc w:val="both"/>
      </w:pPr>
      <w:r>
        <w:rPr/>
        <w:t>While approving the decision above, Mummery L.J. of the English Court of Appeal, in the case of </w:t>
      </w:r>
      <w:r>
        <w:rPr>
          <w:b/>
        </w:rPr>
        <w:t>Peskin vs. Anderson</w:t>
      </w:r>
      <w:r>
        <w:rPr/>
        <w:t>,</w:t>
      </w:r>
      <w:r>
        <w:rPr>
          <w:vertAlign w:val="superscript"/>
        </w:rPr>
        <w:t>81</w:t>
      </w:r>
      <w:r>
        <w:rPr>
          <w:vertAlign w:val="baseline"/>
        </w:rPr>
        <w:t> had occasion to distinguish between fiduciary duties owed by directors to the company which arise out of the relationship between the director and the company, and fiduciary</w:t>
      </w:r>
      <w:r>
        <w:rPr>
          <w:spacing w:val="-1"/>
          <w:vertAlign w:val="baseline"/>
        </w:rPr>
        <w:t> </w:t>
      </w:r>
      <w:r>
        <w:rPr>
          <w:vertAlign w:val="baseline"/>
        </w:rPr>
        <w:t>duties owed to shareholders which are</w:t>
      </w:r>
      <w:r>
        <w:rPr>
          <w:spacing w:val="-12"/>
          <w:vertAlign w:val="baseline"/>
        </w:rPr>
        <w:t> </w:t>
      </w:r>
      <w:r>
        <w:rPr>
          <w:vertAlign w:val="baseline"/>
        </w:rPr>
        <w:t>dependent</w:t>
      </w:r>
      <w:r>
        <w:rPr>
          <w:spacing w:val="-7"/>
          <w:vertAlign w:val="baseline"/>
        </w:rPr>
        <w:t> </w:t>
      </w:r>
      <w:r>
        <w:rPr>
          <w:vertAlign w:val="baseline"/>
        </w:rPr>
        <w:t>upon</w:t>
      </w:r>
      <w:r>
        <w:rPr>
          <w:spacing w:val="-15"/>
          <w:vertAlign w:val="baseline"/>
        </w:rPr>
        <w:t> </w:t>
      </w:r>
      <w:r>
        <w:rPr>
          <w:vertAlign w:val="baseline"/>
        </w:rPr>
        <w:t>establishing</w:t>
      </w:r>
      <w:r>
        <w:rPr>
          <w:spacing w:val="-8"/>
          <w:vertAlign w:val="baseline"/>
        </w:rPr>
        <w:t> </w:t>
      </w:r>
      <w:r>
        <w:rPr>
          <w:vertAlign w:val="baseline"/>
        </w:rPr>
        <w:t>―a</w:t>
      </w:r>
      <w:r>
        <w:rPr>
          <w:spacing w:val="-12"/>
          <w:vertAlign w:val="baseline"/>
        </w:rPr>
        <w:t> </w:t>
      </w:r>
      <w:r>
        <w:rPr>
          <w:vertAlign w:val="baseline"/>
        </w:rPr>
        <w:t>special</w:t>
      </w:r>
      <w:r>
        <w:rPr>
          <w:spacing w:val="-11"/>
          <w:vertAlign w:val="baseline"/>
        </w:rPr>
        <w:t> </w:t>
      </w:r>
      <w:r>
        <w:rPr>
          <w:vertAlign w:val="baseline"/>
        </w:rPr>
        <w:t>factual</w:t>
      </w:r>
      <w:r>
        <w:rPr>
          <w:spacing w:val="-15"/>
          <w:vertAlign w:val="baseline"/>
        </w:rPr>
        <w:t> </w:t>
      </w:r>
      <w:r>
        <w:rPr>
          <w:vertAlign w:val="baseline"/>
        </w:rPr>
        <w:t>relationship</w:t>
      </w:r>
      <w:r>
        <w:rPr>
          <w:spacing w:val="-8"/>
          <w:vertAlign w:val="baseline"/>
        </w:rPr>
        <w:t> </w:t>
      </w:r>
      <w:r>
        <w:rPr>
          <w:vertAlign w:val="baseline"/>
        </w:rPr>
        <w:t>between</w:t>
      </w:r>
      <w:r>
        <w:rPr>
          <w:spacing w:val="-15"/>
          <w:vertAlign w:val="baseline"/>
        </w:rPr>
        <w:t> </w:t>
      </w:r>
      <w:r>
        <w:rPr>
          <w:vertAlign w:val="baseline"/>
        </w:rPr>
        <w:t>the</w:t>
      </w:r>
      <w:r>
        <w:rPr>
          <w:spacing w:val="-12"/>
          <w:vertAlign w:val="baseline"/>
        </w:rPr>
        <w:t> </w:t>
      </w:r>
      <w:r>
        <w:rPr>
          <w:vertAlign w:val="baseline"/>
        </w:rPr>
        <w:t>directors</w:t>
      </w:r>
      <w:r>
        <w:rPr>
          <w:spacing w:val="-13"/>
          <w:vertAlign w:val="baseline"/>
        </w:rPr>
        <w:t> </w:t>
      </w:r>
      <w:r>
        <w:rPr>
          <w:vertAlign w:val="baseline"/>
        </w:rPr>
        <w:t>and the shareholders in the particular case‖.</w:t>
      </w:r>
      <w:r>
        <w:rPr>
          <w:vertAlign w:val="superscript"/>
        </w:rPr>
        <w:t>82</w:t>
      </w:r>
      <w:r>
        <w:rPr>
          <w:vertAlign w:val="baseline"/>
        </w:rPr>
        <w:t> Each case must therefore be decided based on the facts.</w:t>
      </w:r>
    </w:p>
    <w:p>
      <w:pPr>
        <w:pStyle w:val="BodyText"/>
        <w:spacing w:line="480" w:lineRule="auto" w:before="1"/>
        <w:ind w:right="186" w:firstLine="720"/>
        <w:jc w:val="both"/>
      </w:pPr>
      <w:r>
        <w:rPr/>
        <w:t>From the report of the Nigerian Law Reform Commission, s. 279(2) appears to</w:t>
      </w:r>
      <w:r>
        <w:rPr>
          <w:spacing w:val="40"/>
        </w:rPr>
        <w:t> </w:t>
      </w:r>
      <w:r>
        <w:rPr/>
        <w:t>be an attempt to codify the foreign decisions discussed above.</w:t>
      </w:r>
      <w:r>
        <w:rPr>
          <w:vertAlign w:val="superscript"/>
        </w:rPr>
        <w:t>83</w:t>
      </w:r>
      <w:r>
        <w:rPr>
          <w:vertAlign w:val="baseline"/>
        </w:rPr>
        <w:t> If that is the case, then, as earlier pointed out, the CAMA has further confused, rather than clarified, the statement of the</w:t>
      </w:r>
      <w:r>
        <w:rPr>
          <w:spacing w:val="18"/>
          <w:vertAlign w:val="baseline"/>
        </w:rPr>
        <w:t> </w:t>
      </w:r>
      <w:r>
        <w:rPr>
          <w:vertAlign w:val="baseline"/>
        </w:rPr>
        <w:t>law. However, it</w:t>
      </w:r>
      <w:r>
        <w:rPr>
          <w:spacing w:val="19"/>
          <w:vertAlign w:val="baseline"/>
        </w:rPr>
        <w:t> </w:t>
      </w:r>
      <w:r>
        <w:rPr>
          <w:vertAlign w:val="baseline"/>
        </w:rPr>
        <w:t>is important to note that were a situation such as that</w:t>
      </w:r>
      <w:r>
        <w:rPr>
          <w:spacing w:val="40"/>
          <w:vertAlign w:val="baseline"/>
        </w:rPr>
        <w:t> </w:t>
      </w:r>
      <w:r>
        <w:rPr>
          <w:vertAlign w:val="baseline"/>
        </w:rPr>
        <w:t>in </w:t>
      </w:r>
      <w:r>
        <w:rPr>
          <w:b/>
          <w:vertAlign w:val="baseline"/>
        </w:rPr>
        <w:t>Percival vs. Wright </w:t>
      </w:r>
      <w:r>
        <w:rPr>
          <w:vertAlign w:val="baseline"/>
        </w:rPr>
        <w:t>to occur in Nigeria, it is likely to be decided in much the same way,</w:t>
      </w:r>
      <w:r>
        <w:rPr>
          <w:spacing w:val="36"/>
          <w:vertAlign w:val="baseline"/>
        </w:rPr>
        <w:t> </w:t>
      </w:r>
      <w:r>
        <w:rPr>
          <w:vertAlign w:val="baseline"/>
        </w:rPr>
        <w:t>for</w:t>
      </w:r>
      <w:r>
        <w:rPr>
          <w:spacing w:val="38"/>
          <w:vertAlign w:val="baseline"/>
        </w:rPr>
        <w:t> </w:t>
      </w:r>
      <w:r>
        <w:rPr>
          <w:vertAlign w:val="baseline"/>
        </w:rPr>
        <w:t>it</w:t>
      </w:r>
      <w:r>
        <w:rPr>
          <w:spacing w:val="36"/>
          <w:vertAlign w:val="baseline"/>
        </w:rPr>
        <w:t> </w:t>
      </w:r>
      <w:r>
        <w:rPr>
          <w:vertAlign w:val="baseline"/>
        </w:rPr>
        <w:t>would</w:t>
      </w:r>
      <w:r>
        <w:rPr>
          <w:spacing w:val="37"/>
          <w:vertAlign w:val="baseline"/>
        </w:rPr>
        <w:t> </w:t>
      </w:r>
      <w:r>
        <w:rPr>
          <w:vertAlign w:val="baseline"/>
        </w:rPr>
        <w:t>not</w:t>
      </w:r>
      <w:r>
        <w:rPr>
          <w:spacing w:val="36"/>
          <w:vertAlign w:val="baseline"/>
        </w:rPr>
        <w:t> </w:t>
      </w:r>
      <w:r>
        <w:rPr>
          <w:vertAlign w:val="baseline"/>
        </w:rPr>
        <w:t>amount</w:t>
      </w:r>
      <w:r>
        <w:rPr>
          <w:spacing w:val="36"/>
          <w:vertAlign w:val="baseline"/>
        </w:rPr>
        <w:t> </w:t>
      </w:r>
      <w:r>
        <w:rPr>
          <w:vertAlign w:val="baseline"/>
        </w:rPr>
        <w:t>to</w:t>
      </w:r>
      <w:r>
        <w:rPr>
          <w:spacing w:val="38"/>
          <w:vertAlign w:val="baseline"/>
        </w:rPr>
        <w:t> </w:t>
      </w:r>
      <w:r>
        <w:rPr>
          <w:i/>
          <w:vertAlign w:val="baseline"/>
        </w:rPr>
        <w:t>insider</w:t>
      </w:r>
      <w:r>
        <w:rPr>
          <w:i/>
          <w:spacing w:val="29"/>
          <w:vertAlign w:val="baseline"/>
        </w:rPr>
        <w:t> </w:t>
      </w:r>
      <w:r>
        <w:rPr>
          <w:i/>
          <w:vertAlign w:val="baseline"/>
        </w:rPr>
        <w:t>dealing</w:t>
      </w:r>
      <w:r>
        <w:rPr>
          <w:i/>
          <w:spacing w:val="34"/>
          <w:vertAlign w:val="baseline"/>
        </w:rPr>
        <w:t> </w:t>
      </w:r>
      <w:r>
        <w:rPr>
          <w:vertAlign w:val="baseline"/>
        </w:rPr>
        <w:t>which</w:t>
      </w:r>
      <w:r>
        <w:rPr>
          <w:spacing w:val="27"/>
          <w:vertAlign w:val="baseline"/>
        </w:rPr>
        <w:t> </w:t>
      </w:r>
      <w:r>
        <w:rPr>
          <w:vertAlign w:val="baseline"/>
        </w:rPr>
        <w:t>would</w:t>
      </w:r>
      <w:r>
        <w:rPr>
          <w:spacing w:val="36"/>
          <w:vertAlign w:val="baseline"/>
        </w:rPr>
        <w:t> </w:t>
      </w:r>
      <w:r>
        <w:rPr>
          <w:vertAlign w:val="baseline"/>
        </w:rPr>
        <w:t>have</w:t>
      </w:r>
      <w:r>
        <w:rPr>
          <w:spacing w:val="30"/>
          <w:vertAlign w:val="baseline"/>
        </w:rPr>
        <w:t> </w:t>
      </w:r>
      <w:r>
        <w:rPr>
          <w:vertAlign w:val="baseline"/>
        </w:rPr>
        <w:t>quite</w:t>
      </w:r>
      <w:r>
        <w:rPr>
          <w:spacing w:val="31"/>
          <w:vertAlign w:val="baseline"/>
        </w:rPr>
        <w:t> </w:t>
      </w:r>
      <w:r>
        <w:rPr>
          <w:vertAlign w:val="baseline"/>
        </w:rPr>
        <w:t>easily</w:t>
      </w:r>
      <w:r>
        <w:rPr>
          <w:spacing w:val="32"/>
          <w:vertAlign w:val="baseline"/>
        </w:rPr>
        <w:t> </w:t>
      </w:r>
      <w:r>
        <w:rPr>
          <w:spacing w:val="-4"/>
          <w:vertAlign w:val="baseline"/>
        </w:rPr>
        <w:t>been</w:t>
      </w:r>
    </w:p>
    <w:p>
      <w:pPr>
        <w:pStyle w:val="BodyText"/>
        <w:spacing w:before="1"/>
        <w:ind w:left="0"/>
        <w:rPr>
          <w:sz w:val="17"/>
        </w:rPr>
      </w:pPr>
      <w:r>
        <w:rPr/>
        <mc:AlternateContent>
          <mc:Choice Requires="wps">
            <w:drawing>
              <wp:anchor distT="0" distB="0" distL="0" distR="0" allowOverlap="1" layoutInCell="1" locked="0" behindDoc="1" simplePos="0" relativeHeight="487645184">
                <wp:simplePos x="0" y="0"/>
                <wp:positionH relativeFrom="page">
                  <wp:posOffset>1262481</wp:posOffset>
                </wp:positionH>
                <wp:positionV relativeFrom="paragraph">
                  <wp:posOffset>140511</wp:posOffset>
                </wp:positionV>
                <wp:extent cx="1829435" cy="9525"/>
                <wp:effectExtent l="0" t="0" r="0" b="0"/>
                <wp:wrapTopAndBottom/>
                <wp:docPr id="125" name="Graphic 125"/>
                <wp:cNvGraphicFramePr>
                  <a:graphicFrameLocks/>
                </wp:cNvGraphicFramePr>
                <a:graphic>
                  <a:graphicData uri="http://schemas.microsoft.com/office/word/2010/wordprocessingShape">
                    <wps:wsp>
                      <wps:cNvPr id="125" name="Graphic 12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063876pt;width:144.050pt;height:.72003pt;mso-position-horizontal-relative:page;mso-position-vertical-relative:paragraph;z-index:-15671296;mso-wrap-distance-left:0;mso-wrap-distance-right:0" id="docshape8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80</w:t>
      </w:r>
      <w:r>
        <w:rPr>
          <w:rFonts w:ascii="Calibri"/>
          <w:sz w:val="20"/>
          <w:vertAlign w:val="baseline"/>
        </w:rPr>
        <w:t>Supra at</w:t>
      </w:r>
      <w:r>
        <w:rPr>
          <w:rFonts w:ascii="Calibri"/>
          <w:spacing w:val="-4"/>
          <w:sz w:val="20"/>
          <w:vertAlign w:val="baseline"/>
        </w:rPr>
        <w:t> </w:t>
      </w:r>
      <w:r>
        <w:rPr>
          <w:rFonts w:ascii="Calibri"/>
          <w:spacing w:val="-2"/>
          <w:sz w:val="20"/>
          <w:vertAlign w:val="baseline"/>
        </w:rPr>
        <w:t>p.325.</w:t>
      </w:r>
    </w:p>
    <w:p>
      <w:pPr>
        <w:spacing w:before="1"/>
        <w:ind w:left="308" w:right="0" w:firstLine="0"/>
        <w:jc w:val="left"/>
        <w:rPr>
          <w:rFonts w:ascii="Calibri"/>
          <w:sz w:val="20"/>
        </w:rPr>
      </w:pPr>
      <w:r>
        <w:rPr>
          <w:rFonts w:ascii="Calibri"/>
          <w:sz w:val="20"/>
          <w:vertAlign w:val="superscript"/>
        </w:rPr>
        <w:t>81</w:t>
      </w:r>
      <w:r>
        <w:rPr>
          <w:rFonts w:ascii="Calibri"/>
          <w:sz w:val="20"/>
          <w:vertAlign w:val="baseline"/>
        </w:rPr>
        <w:t>(2001)</w:t>
      </w:r>
      <w:r>
        <w:rPr>
          <w:rFonts w:ascii="Calibri"/>
          <w:spacing w:val="-3"/>
          <w:sz w:val="20"/>
          <w:vertAlign w:val="baseline"/>
        </w:rPr>
        <w:t> </w:t>
      </w:r>
      <w:r>
        <w:rPr>
          <w:rFonts w:ascii="Calibri"/>
          <w:sz w:val="20"/>
          <w:vertAlign w:val="baseline"/>
        </w:rPr>
        <w:t>1</w:t>
      </w:r>
      <w:r>
        <w:rPr>
          <w:rFonts w:ascii="Calibri"/>
          <w:spacing w:val="-8"/>
          <w:sz w:val="20"/>
          <w:vertAlign w:val="baseline"/>
        </w:rPr>
        <w:t> </w:t>
      </w:r>
      <w:r>
        <w:rPr>
          <w:rFonts w:ascii="Calibri"/>
          <w:sz w:val="20"/>
          <w:vertAlign w:val="baseline"/>
        </w:rPr>
        <w:t>B.C.L.C.</w:t>
      </w:r>
      <w:r>
        <w:rPr>
          <w:rFonts w:ascii="Calibri"/>
          <w:spacing w:val="-2"/>
          <w:sz w:val="20"/>
          <w:vertAlign w:val="baseline"/>
        </w:rPr>
        <w:t> </w:t>
      </w:r>
      <w:r>
        <w:rPr>
          <w:rFonts w:ascii="Calibri"/>
          <w:spacing w:val="-4"/>
          <w:sz w:val="20"/>
          <w:vertAlign w:val="baseline"/>
        </w:rPr>
        <w:t>372.</w:t>
      </w:r>
    </w:p>
    <w:p>
      <w:pPr>
        <w:spacing w:before="0"/>
        <w:ind w:left="308" w:right="0" w:firstLine="0"/>
        <w:jc w:val="left"/>
        <w:rPr>
          <w:rFonts w:ascii="Calibri"/>
          <w:sz w:val="20"/>
        </w:rPr>
      </w:pPr>
      <w:r>
        <w:rPr>
          <w:rFonts w:ascii="Calibri"/>
          <w:sz w:val="20"/>
          <w:vertAlign w:val="superscript"/>
        </w:rPr>
        <w:t>82</w:t>
      </w:r>
      <w:r>
        <w:rPr>
          <w:rFonts w:ascii="Calibri"/>
          <w:sz w:val="20"/>
          <w:vertAlign w:val="baseline"/>
        </w:rPr>
        <w:t>Ibid.</w:t>
      </w:r>
      <w:r>
        <w:rPr>
          <w:rFonts w:ascii="Calibri"/>
          <w:spacing w:val="1"/>
          <w:sz w:val="20"/>
          <w:vertAlign w:val="baseline"/>
        </w:rPr>
        <w:t> </w:t>
      </w:r>
      <w:r>
        <w:rPr>
          <w:rFonts w:ascii="Calibri"/>
          <w:sz w:val="20"/>
          <w:vertAlign w:val="baseline"/>
        </w:rPr>
        <w:t>at</w:t>
      </w:r>
      <w:r>
        <w:rPr>
          <w:rFonts w:ascii="Calibri"/>
          <w:spacing w:val="-7"/>
          <w:sz w:val="20"/>
          <w:vertAlign w:val="baseline"/>
        </w:rPr>
        <w:t> </w:t>
      </w:r>
      <w:r>
        <w:rPr>
          <w:rFonts w:ascii="Calibri"/>
          <w:sz w:val="20"/>
          <w:vertAlign w:val="baseline"/>
        </w:rPr>
        <w:t>379.</w:t>
      </w:r>
      <w:r>
        <w:rPr>
          <w:rFonts w:ascii="Calibri"/>
          <w:spacing w:val="-3"/>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also</w:t>
      </w:r>
      <w:r>
        <w:rPr>
          <w:rFonts w:ascii="Calibri"/>
          <w:spacing w:val="-3"/>
          <w:sz w:val="20"/>
          <w:vertAlign w:val="baseline"/>
        </w:rPr>
        <w:t> </w:t>
      </w:r>
      <w:r>
        <w:rPr>
          <w:rFonts w:ascii="Calibri"/>
          <w:i/>
          <w:sz w:val="20"/>
          <w:vertAlign w:val="baseline"/>
        </w:rPr>
        <w:t>Platt</w:t>
      </w:r>
      <w:r>
        <w:rPr>
          <w:rFonts w:ascii="Calibri"/>
          <w:i/>
          <w:spacing w:val="-5"/>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Platt</w:t>
      </w:r>
      <w:r>
        <w:rPr>
          <w:rFonts w:ascii="Calibri"/>
          <w:i/>
          <w:spacing w:val="-5"/>
          <w:sz w:val="20"/>
          <w:vertAlign w:val="baseline"/>
        </w:rPr>
        <w:t> </w:t>
      </w:r>
      <w:r>
        <w:rPr>
          <w:rFonts w:ascii="Calibri"/>
          <w:sz w:val="20"/>
          <w:vertAlign w:val="baseline"/>
        </w:rPr>
        <w:t>(1999)</w:t>
      </w:r>
      <w:r>
        <w:rPr>
          <w:rFonts w:ascii="Calibri"/>
          <w:spacing w:val="-4"/>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BCLC</w:t>
      </w:r>
      <w:r>
        <w:rPr>
          <w:rFonts w:ascii="Calibri"/>
          <w:spacing w:val="-3"/>
          <w:sz w:val="20"/>
          <w:vertAlign w:val="baseline"/>
        </w:rPr>
        <w:t> </w:t>
      </w:r>
      <w:r>
        <w:rPr>
          <w:rFonts w:ascii="Calibri"/>
          <w:spacing w:val="-4"/>
          <w:sz w:val="20"/>
          <w:vertAlign w:val="baseline"/>
        </w:rPr>
        <w:t>745.</w:t>
      </w:r>
    </w:p>
    <w:p>
      <w:pPr>
        <w:spacing w:before="1"/>
        <w:ind w:left="308" w:right="0" w:firstLine="0"/>
        <w:jc w:val="left"/>
        <w:rPr>
          <w:rFonts w:ascii="Calibri"/>
          <w:sz w:val="20"/>
        </w:rPr>
      </w:pPr>
      <w:r>
        <w:rPr>
          <w:rFonts w:ascii="Calibri"/>
          <w:sz w:val="20"/>
          <w:vertAlign w:val="superscript"/>
        </w:rPr>
        <w:t>83</w:t>
      </w:r>
      <w:r>
        <w:rPr>
          <w:rFonts w:ascii="Calibri"/>
          <w:sz w:val="20"/>
          <w:vertAlign w:val="baseline"/>
        </w:rPr>
        <w:t>See</w:t>
      </w:r>
      <w:r>
        <w:rPr>
          <w:rFonts w:ascii="Calibri"/>
          <w:spacing w:val="-7"/>
          <w:sz w:val="20"/>
          <w:vertAlign w:val="baseline"/>
        </w:rPr>
        <w:t> </w:t>
      </w:r>
      <w:r>
        <w:rPr>
          <w:rFonts w:ascii="Calibri"/>
          <w:sz w:val="20"/>
          <w:vertAlign w:val="baseline"/>
        </w:rPr>
        <w:t>Nigerian</w:t>
      </w:r>
      <w:r>
        <w:rPr>
          <w:rFonts w:ascii="Calibri"/>
          <w:spacing w:val="-9"/>
          <w:sz w:val="20"/>
          <w:vertAlign w:val="baseline"/>
        </w:rPr>
        <w:t> </w:t>
      </w:r>
      <w:r>
        <w:rPr>
          <w:rFonts w:ascii="Calibri"/>
          <w:sz w:val="20"/>
          <w:vertAlign w:val="baseline"/>
        </w:rPr>
        <w:t>Law</w:t>
      </w:r>
      <w:r>
        <w:rPr>
          <w:rFonts w:ascii="Calibri"/>
          <w:spacing w:val="-9"/>
          <w:sz w:val="20"/>
          <w:vertAlign w:val="baseline"/>
        </w:rPr>
        <w:t> </w:t>
      </w:r>
      <w:r>
        <w:rPr>
          <w:rFonts w:ascii="Calibri"/>
          <w:sz w:val="20"/>
          <w:vertAlign w:val="baseline"/>
        </w:rPr>
        <w:t>Reform</w:t>
      </w:r>
      <w:r>
        <w:rPr>
          <w:rFonts w:ascii="Calibri"/>
          <w:spacing w:val="-6"/>
          <w:sz w:val="20"/>
          <w:vertAlign w:val="baseline"/>
        </w:rPr>
        <w:t> </w:t>
      </w:r>
      <w:r>
        <w:rPr>
          <w:rFonts w:ascii="Calibri"/>
          <w:sz w:val="20"/>
          <w:vertAlign w:val="baseline"/>
        </w:rPr>
        <w:t>commission</w:t>
      </w:r>
      <w:r>
        <w:rPr>
          <w:rFonts w:ascii="Calibri"/>
          <w:spacing w:val="-9"/>
          <w:sz w:val="20"/>
          <w:vertAlign w:val="baseline"/>
        </w:rPr>
        <w:t> </w:t>
      </w:r>
      <w:r>
        <w:rPr>
          <w:rFonts w:ascii="Calibri"/>
          <w:sz w:val="20"/>
          <w:vertAlign w:val="baseline"/>
        </w:rPr>
        <w:t>Report</w:t>
      </w:r>
      <w:r>
        <w:rPr>
          <w:rFonts w:ascii="Calibri"/>
          <w:spacing w:val="-8"/>
          <w:sz w:val="20"/>
          <w:vertAlign w:val="baseline"/>
        </w:rPr>
        <w:t> </w:t>
      </w:r>
      <w:r>
        <w:rPr>
          <w:rFonts w:ascii="Calibri"/>
          <w:sz w:val="20"/>
          <w:vertAlign w:val="baseline"/>
        </w:rPr>
        <w:t>(1988)</w:t>
      </w:r>
      <w:r>
        <w:rPr>
          <w:rFonts w:ascii="Calibri"/>
          <w:spacing w:val="-7"/>
          <w:sz w:val="20"/>
          <w:vertAlign w:val="baseline"/>
        </w:rPr>
        <w:t> </w:t>
      </w:r>
      <w:r>
        <w:rPr>
          <w:rFonts w:ascii="Calibri"/>
          <w:sz w:val="20"/>
          <w:vertAlign w:val="baseline"/>
        </w:rPr>
        <w:t>Vol.</w:t>
      </w:r>
      <w:r>
        <w:rPr>
          <w:rFonts w:ascii="Calibri"/>
          <w:spacing w:val="-3"/>
          <w:sz w:val="20"/>
          <w:vertAlign w:val="baseline"/>
        </w:rPr>
        <w:t> </w:t>
      </w:r>
      <w:r>
        <w:rPr>
          <w:rFonts w:ascii="Calibri"/>
          <w:sz w:val="20"/>
          <w:vertAlign w:val="baseline"/>
        </w:rPr>
        <w:t>1,</w:t>
      </w:r>
      <w:r>
        <w:rPr>
          <w:rFonts w:ascii="Calibri"/>
          <w:spacing w:val="-11"/>
          <w:sz w:val="20"/>
          <w:vertAlign w:val="baseline"/>
        </w:rPr>
        <w:t> </w:t>
      </w:r>
      <w:r>
        <w:rPr>
          <w:rFonts w:ascii="Calibri"/>
          <w:sz w:val="20"/>
          <w:vertAlign w:val="baseline"/>
        </w:rPr>
        <w:t>p.209-</w:t>
      </w:r>
      <w:r>
        <w:rPr>
          <w:rFonts w:ascii="Calibri"/>
          <w:spacing w:val="-4"/>
          <w:sz w:val="20"/>
          <w:vertAlign w:val="baseline"/>
        </w:rPr>
        <w:t>211.</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183"/>
        <w:jc w:val="both"/>
      </w:pPr>
      <w:r>
        <w:rPr/>
        <w:t>addressed under s. 111 of the Investment and Securities Act 2007.</w:t>
      </w:r>
      <w:r>
        <w:rPr>
          <w:vertAlign w:val="superscript"/>
        </w:rPr>
        <w:t>84</w:t>
      </w:r>
      <w:r>
        <w:rPr>
          <w:vertAlign w:val="baseline"/>
        </w:rPr>
        <w:t> This is because the case of </w:t>
      </w:r>
      <w:r>
        <w:rPr>
          <w:i/>
          <w:vertAlign w:val="baseline"/>
        </w:rPr>
        <w:t>Percival </w:t>
      </w:r>
      <w:r>
        <w:rPr>
          <w:vertAlign w:val="baseline"/>
        </w:rPr>
        <w:t>involved private dealings in shares, while the latter section is relevant only where the securities of the company are offered to the public for sale or subscription. Under that law, a director qualifies as ―insider‖ and is therefore subject to the restrictions stated therein, when he deals in securities.</w:t>
      </w:r>
    </w:p>
    <w:p>
      <w:pPr>
        <w:pStyle w:val="BodyText"/>
        <w:spacing w:line="480" w:lineRule="auto" w:before="1"/>
        <w:ind w:right="182" w:firstLine="720"/>
        <w:jc w:val="both"/>
      </w:pPr>
      <w:r>
        <w:rPr/>
        <w:t>Curiously, s. 279(4) states that, while at his job, ―the matters to which the director of a company is to have regard in the performance of his functions include the interests</w:t>
      </w:r>
      <w:r>
        <w:rPr>
          <w:spacing w:val="-1"/>
        </w:rPr>
        <w:t> </w:t>
      </w:r>
      <w:r>
        <w:rPr/>
        <w:t>of</w:t>
      </w:r>
      <w:r>
        <w:rPr>
          <w:spacing w:val="-6"/>
        </w:rPr>
        <w:t> </w:t>
      </w:r>
      <w:r>
        <w:rPr/>
        <w:t>the company‘s</w:t>
      </w:r>
      <w:r>
        <w:rPr>
          <w:spacing w:val="-1"/>
        </w:rPr>
        <w:t> </w:t>
      </w:r>
      <w:r>
        <w:rPr/>
        <w:t>employees in</w:t>
      </w:r>
      <w:r>
        <w:rPr>
          <w:spacing w:val="-3"/>
        </w:rPr>
        <w:t> </w:t>
      </w:r>
      <w:r>
        <w:rPr/>
        <w:t>general, as</w:t>
      </w:r>
      <w:r>
        <w:rPr>
          <w:spacing w:val="-1"/>
        </w:rPr>
        <w:t> </w:t>
      </w:r>
      <w:r>
        <w:rPr/>
        <w:t>well</w:t>
      </w:r>
      <w:r>
        <w:rPr>
          <w:spacing w:val="-3"/>
        </w:rPr>
        <w:t> </w:t>
      </w:r>
      <w:r>
        <w:rPr/>
        <w:t>as</w:t>
      </w:r>
      <w:r>
        <w:rPr>
          <w:spacing w:val="-1"/>
        </w:rPr>
        <w:t> </w:t>
      </w:r>
      <w:r>
        <w:rPr/>
        <w:t>the interests</w:t>
      </w:r>
      <w:r>
        <w:rPr>
          <w:spacing w:val="-1"/>
        </w:rPr>
        <w:t> </w:t>
      </w:r>
      <w:r>
        <w:rPr/>
        <w:t>of</w:t>
      </w:r>
      <w:r>
        <w:rPr>
          <w:spacing w:val="-1"/>
        </w:rPr>
        <w:t> </w:t>
      </w:r>
      <w:r>
        <w:rPr/>
        <w:t>its members.‖ To ―have regard‖ means to appreciate the worth</w:t>
      </w:r>
      <w:r>
        <w:rPr>
          <w:spacing w:val="-2"/>
        </w:rPr>
        <w:t> </w:t>
      </w:r>
      <w:r>
        <w:rPr/>
        <w:t>of something,</w:t>
      </w:r>
      <w:r>
        <w:rPr>
          <w:vertAlign w:val="superscript"/>
        </w:rPr>
        <w:t>85</w:t>
      </w:r>
      <w:r>
        <w:rPr>
          <w:vertAlign w:val="baseline"/>
        </w:rPr>
        <w:t> or to show attention</w:t>
      </w:r>
      <w:r>
        <w:rPr>
          <w:spacing w:val="-2"/>
          <w:vertAlign w:val="baseline"/>
        </w:rPr>
        <w:t> </w:t>
      </w:r>
      <w:r>
        <w:rPr>
          <w:vertAlign w:val="baseline"/>
        </w:rPr>
        <w:t>or consideration towards something.</w:t>
      </w:r>
      <w:r>
        <w:rPr>
          <w:vertAlign w:val="superscript"/>
        </w:rPr>
        <w:t>86</w:t>
      </w:r>
      <w:r>
        <w:rPr>
          <w:vertAlign w:val="baseline"/>
        </w:rPr>
        <w:t> Nowise does it mean ―to owe obligation or duty‖. Therefore, the intention of the law must be taken to mean </w:t>
      </w:r>
      <w:r>
        <w:rPr>
          <w:i/>
          <w:vertAlign w:val="baseline"/>
        </w:rPr>
        <w:t>to show consideration </w:t>
      </w:r>
      <w:r>
        <w:rPr>
          <w:vertAlign w:val="baseline"/>
        </w:rPr>
        <w:t>to the interests of</w:t>
      </w:r>
      <w:r>
        <w:rPr>
          <w:spacing w:val="-6"/>
          <w:vertAlign w:val="baseline"/>
        </w:rPr>
        <w:t> </w:t>
      </w:r>
      <w:r>
        <w:rPr>
          <w:vertAlign w:val="baseline"/>
        </w:rPr>
        <w:t>employees and members in general, while the ultimate duty</w:t>
      </w:r>
      <w:r>
        <w:rPr>
          <w:spacing w:val="-3"/>
          <w:vertAlign w:val="baseline"/>
        </w:rPr>
        <w:t> </w:t>
      </w:r>
      <w:r>
        <w:rPr>
          <w:vertAlign w:val="baseline"/>
        </w:rPr>
        <w:t>of</w:t>
      </w:r>
      <w:r>
        <w:rPr>
          <w:spacing w:val="-1"/>
          <w:vertAlign w:val="baseline"/>
        </w:rPr>
        <w:t> </w:t>
      </w:r>
      <w:r>
        <w:rPr>
          <w:vertAlign w:val="baseline"/>
        </w:rPr>
        <w:t>the director is still as set in s. 279(3): the best interests of the company as a whole.</w:t>
      </w:r>
    </w:p>
    <w:p>
      <w:pPr>
        <w:pStyle w:val="BodyText"/>
        <w:spacing w:line="480" w:lineRule="auto" w:before="1"/>
        <w:ind w:right="178" w:firstLine="720"/>
        <w:jc w:val="both"/>
      </w:pPr>
      <w:r>
        <w:rPr/>
        <w:t>However, it can be strongly argued that owing a duty to the company is </w:t>
      </w:r>
      <w:r>
        <w:rPr>
          <w:i/>
        </w:rPr>
        <w:t>in fact </w:t>
      </w:r>
      <w:r>
        <w:rPr/>
        <w:t>owing a duty</w:t>
      </w:r>
      <w:r>
        <w:rPr>
          <w:spacing w:val="-3"/>
        </w:rPr>
        <w:t> </w:t>
      </w:r>
      <w:r>
        <w:rPr/>
        <w:t>to ―its members‖ collectively, for, although the company is considered as having</w:t>
      </w:r>
      <w:r>
        <w:rPr>
          <w:spacing w:val="-2"/>
        </w:rPr>
        <w:t> </w:t>
      </w:r>
      <w:r>
        <w:rPr/>
        <w:t>a</w:t>
      </w:r>
      <w:r>
        <w:rPr>
          <w:spacing w:val="-2"/>
        </w:rPr>
        <w:t> </w:t>
      </w:r>
      <w:r>
        <w:rPr/>
        <w:t>separate</w:t>
      </w:r>
      <w:r>
        <w:rPr>
          <w:spacing w:val="-2"/>
        </w:rPr>
        <w:t> </w:t>
      </w:r>
      <w:r>
        <w:rPr/>
        <w:t>and</w:t>
      </w:r>
      <w:r>
        <w:rPr>
          <w:spacing w:val="-2"/>
        </w:rPr>
        <w:t> </w:t>
      </w:r>
      <w:r>
        <w:rPr/>
        <w:t>distinct personality</w:t>
      </w:r>
      <w:r>
        <w:rPr>
          <w:spacing w:val="-6"/>
        </w:rPr>
        <w:t> </w:t>
      </w:r>
      <w:r>
        <w:rPr/>
        <w:t>from</w:t>
      </w:r>
      <w:r>
        <w:rPr>
          <w:spacing w:val="-10"/>
        </w:rPr>
        <w:t> </w:t>
      </w:r>
      <w:r>
        <w:rPr/>
        <w:t>those</w:t>
      </w:r>
      <w:r>
        <w:rPr>
          <w:spacing w:val="-2"/>
        </w:rPr>
        <w:t> </w:t>
      </w:r>
      <w:r>
        <w:rPr/>
        <w:t>of</w:t>
      </w:r>
      <w:r>
        <w:rPr>
          <w:spacing w:val="-4"/>
        </w:rPr>
        <w:t> </w:t>
      </w:r>
      <w:r>
        <w:rPr/>
        <w:t>its members,</w:t>
      </w:r>
      <w:r>
        <w:rPr>
          <w:vertAlign w:val="superscript"/>
        </w:rPr>
        <w:t>87</w:t>
      </w:r>
      <w:r>
        <w:rPr>
          <w:vertAlign w:val="baseline"/>
        </w:rPr>
        <w:t> it is in</w:t>
      </w:r>
      <w:r>
        <w:rPr>
          <w:spacing w:val="-2"/>
          <w:vertAlign w:val="baseline"/>
        </w:rPr>
        <w:t> </w:t>
      </w:r>
      <w:r>
        <w:rPr>
          <w:vertAlign w:val="baseline"/>
        </w:rPr>
        <w:t>fact for</w:t>
      </w:r>
      <w:r>
        <w:rPr>
          <w:spacing w:val="-4"/>
          <w:vertAlign w:val="baseline"/>
        </w:rPr>
        <w:t> </w:t>
      </w:r>
      <w:r>
        <w:rPr>
          <w:vertAlign w:val="baseline"/>
        </w:rPr>
        <w:t>the ultimate benefit of the members collectively, whose ―association‖ initially formed the company,</w:t>
      </w:r>
      <w:r>
        <w:rPr>
          <w:vertAlign w:val="superscript"/>
        </w:rPr>
        <w:t>88</w:t>
      </w:r>
      <w:r>
        <w:rPr>
          <w:vertAlign w:val="baseline"/>
        </w:rPr>
        <w:t> that the company exists. According to Berle and Means,</w:t>
      </w:r>
    </w:p>
    <w:p>
      <w:pPr>
        <w:spacing w:line="240" w:lineRule="auto" w:before="1"/>
        <w:ind w:left="2007" w:right="1889" w:firstLine="0"/>
        <w:jc w:val="both"/>
        <w:rPr>
          <w:i/>
          <w:sz w:val="24"/>
        </w:rPr>
      </w:pPr>
      <w:r>
        <w:rPr>
          <w:i/>
          <w:sz w:val="24"/>
        </w:rPr>
        <w:t>...where</w:t>
      </w:r>
      <w:r>
        <w:rPr>
          <w:i/>
          <w:spacing w:val="-2"/>
          <w:sz w:val="24"/>
        </w:rPr>
        <w:t> </w:t>
      </w:r>
      <w:r>
        <w:rPr>
          <w:i/>
          <w:sz w:val="24"/>
        </w:rPr>
        <w:t>powers</w:t>
      </w:r>
      <w:r>
        <w:rPr>
          <w:i/>
          <w:spacing w:val="-3"/>
          <w:sz w:val="24"/>
        </w:rPr>
        <w:t> </w:t>
      </w:r>
      <w:r>
        <w:rPr>
          <w:i/>
          <w:sz w:val="24"/>
        </w:rPr>
        <w:t>are</w:t>
      </w:r>
      <w:r>
        <w:rPr>
          <w:i/>
          <w:spacing w:val="-2"/>
          <w:sz w:val="24"/>
        </w:rPr>
        <w:t> </w:t>
      </w:r>
      <w:r>
        <w:rPr>
          <w:i/>
          <w:sz w:val="24"/>
        </w:rPr>
        <w:t>conceded</w:t>
      </w:r>
      <w:r>
        <w:rPr>
          <w:i/>
          <w:spacing w:val="-1"/>
          <w:sz w:val="24"/>
        </w:rPr>
        <w:t> </w:t>
      </w:r>
      <w:r>
        <w:rPr>
          <w:i/>
          <w:sz w:val="24"/>
        </w:rPr>
        <w:t>to the</w:t>
      </w:r>
      <w:r>
        <w:rPr>
          <w:i/>
          <w:spacing w:val="-2"/>
          <w:sz w:val="24"/>
        </w:rPr>
        <w:t> </w:t>
      </w:r>
      <w:r>
        <w:rPr>
          <w:i/>
          <w:sz w:val="24"/>
        </w:rPr>
        <w:t>management...to act for the corporation as a whole, </w:t>
      </w:r>
      <w:r>
        <w:rPr>
          <w:i/>
          <w:sz w:val="24"/>
        </w:rPr>
        <w:t>the obvious...assumption is that these powers are intended to be used only on behalf of all. They are distinctly not intended to be granted for the purpose of</w:t>
      </w:r>
      <w:r>
        <w:rPr>
          <w:i/>
          <w:spacing w:val="72"/>
          <w:w w:val="150"/>
          <w:sz w:val="24"/>
        </w:rPr>
        <w:t> </w:t>
      </w:r>
      <w:r>
        <w:rPr>
          <w:i/>
          <w:sz w:val="24"/>
        </w:rPr>
        <w:t>benefiting</w:t>
      </w:r>
      <w:r>
        <w:rPr>
          <w:i/>
          <w:spacing w:val="67"/>
          <w:w w:val="150"/>
          <w:sz w:val="24"/>
        </w:rPr>
        <w:t> </w:t>
      </w:r>
      <w:r>
        <w:rPr>
          <w:i/>
          <w:sz w:val="24"/>
        </w:rPr>
        <w:t>one</w:t>
      </w:r>
      <w:r>
        <w:rPr>
          <w:i/>
          <w:spacing w:val="66"/>
          <w:w w:val="150"/>
          <w:sz w:val="24"/>
        </w:rPr>
        <w:t> </w:t>
      </w:r>
      <w:r>
        <w:rPr>
          <w:i/>
          <w:sz w:val="24"/>
        </w:rPr>
        <w:t>set</w:t>
      </w:r>
      <w:r>
        <w:rPr>
          <w:i/>
          <w:spacing w:val="67"/>
          <w:w w:val="150"/>
          <w:sz w:val="24"/>
        </w:rPr>
        <w:t> </w:t>
      </w:r>
      <w:r>
        <w:rPr>
          <w:i/>
          <w:sz w:val="24"/>
        </w:rPr>
        <w:t>of</w:t>
      </w:r>
      <w:r>
        <w:rPr>
          <w:i/>
          <w:spacing w:val="72"/>
          <w:w w:val="150"/>
          <w:sz w:val="24"/>
        </w:rPr>
        <w:t> </w:t>
      </w:r>
      <w:r>
        <w:rPr>
          <w:i/>
          <w:sz w:val="24"/>
        </w:rPr>
        <w:t>participants</w:t>
      </w:r>
      <w:r>
        <w:rPr>
          <w:i/>
          <w:spacing w:val="65"/>
          <w:w w:val="150"/>
          <w:sz w:val="24"/>
        </w:rPr>
        <w:t> </w:t>
      </w:r>
      <w:r>
        <w:rPr>
          <w:i/>
          <w:sz w:val="24"/>
        </w:rPr>
        <w:t>as</w:t>
      </w:r>
      <w:r>
        <w:rPr>
          <w:i/>
          <w:spacing w:val="66"/>
          <w:w w:val="150"/>
          <w:sz w:val="24"/>
        </w:rPr>
        <w:t> </w:t>
      </w:r>
      <w:r>
        <w:rPr>
          <w:i/>
          <w:spacing w:val="-2"/>
          <w:sz w:val="24"/>
        </w:rPr>
        <w:t>against</w:t>
      </w:r>
    </w:p>
    <w:p>
      <w:pPr>
        <w:pStyle w:val="BodyText"/>
        <w:ind w:left="0"/>
        <w:rPr>
          <w:i/>
          <w:sz w:val="20"/>
        </w:rPr>
      </w:pPr>
    </w:p>
    <w:p>
      <w:pPr>
        <w:pStyle w:val="BodyText"/>
        <w:ind w:left="0"/>
        <w:rPr>
          <w:i/>
          <w:sz w:val="20"/>
        </w:rPr>
      </w:pPr>
    </w:p>
    <w:p>
      <w:pPr>
        <w:pStyle w:val="BodyText"/>
        <w:ind w:left="0"/>
        <w:rPr>
          <w:i/>
          <w:sz w:val="20"/>
        </w:rPr>
      </w:pPr>
    </w:p>
    <w:p>
      <w:pPr>
        <w:pStyle w:val="BodyText"/>
        <w:spacing w:before="135"/>
        <w:ind w:left="0"/>
        <w:rPr>
          <w:i/>
          <w:sz w:val="20"/>
        </w:rPr>
      </w:pPr>
      <w:r>
        <w:rPr/>
        <mc:AlternateContent>
          <mc:Choice Requires="wps">
            <w:drawing>
              <wp:anchor distT="0" distB="0" distL="0" distR="0" allowOverlap="1" layoutInCell="1" locked="0" behindDoc="1" simplePos="0" relativeHeight="487645696">
                <wp:simplePos x="0" y="0"/>
                <wp:positionH relativeFrom="page">
                  <wp:posOffset>1262481</wp:posOffset>
                </wp:positionH>
                <wp:positionV relativeFrom="paragraph">
                  <wp:posOffset>247549</wp:posOffset>
                </wp:positionV>
                <wp:extent cx="1829435" cy="9525"/>
                <wp:effectExtent l="0" t="0" r="0" b="0"/>
                <wp:wrapTopAndBottom/>
                <wp:docPr id="126" name="Graphic 126"/>
                <wp:cNvGraphicFramePr>
                  <a:graphicFrameLocks/>
                </wp:cNvGraphicFramePr>
                <a:graphic>
                  <a:graphicData uri="http://schemas.microsoft.com/office/word/2010/wordprocessingShape">
                    <wps:wsp>
                      <wps:cNvPr id="126" name="Graphic 12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492119pt;width:144.050pt;height:.72003pt;mso-position-horizontal-relative:page;mso-position-vertical-relative:paragraph;z-index:-15670784;mso-wrap-distance-left:0;mso-wrap-distance-right:0" id="docshape81" filled="true" fillcolor="#000000" stroked="false">
                <v:fill type="solid"/>
                <w10:wrap type="topAndBottom"/>
              </v:rect>
            </w:pict>
          </mc:Fallback>
        </mc:AlternateContent>
      </w:r>
    </w:p>
    <w:p>
      <w:pPr>
        <w:spacing w:before="103"/>
        <w:ind w:left="308" w:right="0" w:firstLine="0"/>
        <w:jc w:val="both"/>
        <w:rPr>
          <w:rFonts w:ascii="Calibri"/>
          <w:sz w:val="20"/>
        </w:rPr>
      </w:pPr>
      <w:r>
        <w:rPr>
          <w:rFonts w:ascii="Calibri"/>
          <w:sz w:val="20"/>
          <w:vertAlign w:val="superscript"/>
        </w:rPr>
        <w:t>84</w:t>
      </w:r>
      <w:r>
        <w:rPr>
          <w:rFonts w:ascii="Calibri"/>
          <w:sz w:val="20"/>
          <w:vertAlign w:val="baseline"/>
        </w:rPr>
        <w:t>Act</w:t>
      </w:r>
      <w:r>
        <w:rPr>
          <w:rFonts w:ascii="Calibri"/>
          <w:spacing w:val="-2"/>
          <w:sz w:val="20"/>
          <w:vertAlign w:val="baseline"/>
        </w:rPr>
        <w:t> </w:t>
      </w:r>
      <w:r>
        <w:rPr>
          <w:rFonts w:ascii="Calibri"/>
          <w:sz w:val="20"/>
          <w:vertAlign w:val="baseline"/>
        </w:rPr>
        <w:t>No. 29,</w:t>
      </w:r>
      <w:r>
        <w:rPr>
          <w:rFonts w:ascii="Calibri"/>
          <w:spacing w:val="-4"/>
          <w:sz w:val="20"/>
          <w:vertAlign w:val="baseline"/>
        </w:rPr>
        <w:t> </w:t>
      </w:r>
      <w:r>
        <w:rPr>
          <w:rFonts w:ascii="Calibri"/>
          <w:spacing w:val="-2"/>
          <w:sz w:val="20"/>
          <w:vertAlign w:val="baseline"/>
        </w:rPr>
        <w:t>2007.</w:t>
      </w:r>
    </w:p>
    <w:p>
      <w:pPr>
        <w:spacing w:before="0"/>
        <w:ind w:left="308" w:right="3651" w:firstLine="0"/>
        <w:jc w:val="both"/>
        <w:rPr>
          <w:rFonts w:ascii="Calibri"/>
          <w:sz w:val="20"/>
        </w:rPr>
      </w:pPr>
      <w:r>
        <w:rPr>
          <w:rFonts w:ascii="Calibri"/>
          <w:sz w:val="20"/>
          <w:vertAlign w:val="superscript"/>
        </w:rPr>
        <w:t>85</w:t>
      </w:r>
      <w:r>
        <w:rPr>
          <w:rFonts w:ascii="Calibri"/>
          <w:sz w:val="20"/>
          <w:vertAlign w:val="baseline"/>
        </w:rPr>
        <w:t>Encarta</w:t>
      </w:r>
      <w:r>
        <w:rPr>
          <w:rFonts w:ascii="Calibri"/>
          <w:spacing w:val="-6"/>
          <w:sz w:val="20"/>
          <w:vertAlign w:val="baseline"/>
        </w:rPr>
        <w:t> </w:t>
      </w:r>
      <w:r>
        <w:rPr>
          <w:rFonts w:ascii="Calibri"/>
          <w:sz w:val="20"/>
          <w:vertAlign w:val="baseline"/>
        </w:rPr>
        <w:t>Dictionaries</w:t>
      </w:r>
      <w:r>
        <w:rPr>
          <w:rFonts w:ascii="Calibri"/>
          <w:spacing w:val="-6"/>
          <w:sz w:val="20"/>
          <w:vertAlign w:val="baseline"/>
        </w:rPr>
        <w:t> </w:t>
      </w:r>
      <w:r>
        <w:rPr>
          <w:rFonts w:ascii="Calibri"/>
          <w:sz w:val="20"/>
          <w:vertAlign w:val="baseline"/>
        </w:rPr>
        <w:t>(2009).Microsoft</w:t>
      </w:r>
      <w:r>
        <w:rPr>
          <w:rFonts w:ascii="Calibri"/>
          <w:spacing w:val="-6"/>
          <w:sz w:val="20"/>
          <w:vertAlign w:val="baseline"/>
        </w:rPr>
        <w:t> </w:t>
      </w:r>
      <w:r>
        <w:rPr>
          <w:rFonts w:ascii="Calibri"/>
          <w:sz w:val="20"/>
          <w:vertAlign w:val="baseline"/>
        </w:rPr>
        <w:t>Encarta</w:t>
      </w:r>
      <w:r>
        <w:rPr>
          <w:rFonts w:ascii="Calibri"/>
          <w:spacing w:val="-5"/>
          <w:sz w:val="20"/>
          <w:vertAlign w:val="baseline"/>
        </w:rPr>
        <w:t> </w:t>
      </w:r>
      <w:r>
        <w:rPr>
          <w:rFonts w:ascii="Calibri"/>
          <w:sz w:val="20"/>
          <w:vertAlign w:val="baseline"/>
        </w:rPr>
        <w:t>Premium</w:t>
      </w:r>
      <w:r>
        <w:rPr>
          <w:rFonts w:ascii="Calibri"/>
          <w:spacing w:val="-4"/>
          <w:sz w:val="20"/>
          <w:vertAlign w:val="baseline"/>
        </w:rPr>
        <w:t> </w:t>
      </w:r>
      <w:r>
        <w:rPr>
          <w:rFonts w:ascii="Calibri"/>
          <w:sz w:val="20"/>
          <w:vertAlign w:val="baseline"/>
        </w:rPr>
        <w:t>DVD. </w:t>
      </w:r>
      <w:r>
        <w:rPr>
          <w:rFonts w:ascii="Calibri"/>
          <w:sz w:val="20"/>
          <w:vertAlign w:val="superscript"/>
        </w:rPr>
        <w:t>86</w:t>
      </w:r>
      <w:r>
        <w:rPr>
          <w:rFonts w:ascii="Calibri"/>
          <w:sz w:val="20"/>
          <w:vertAlign w:val="baseline"/>
        </w:rPr>
        <w:t>Longman</w:t>
      </w:r>
      <w:r>
        <w:rPr>
          <w:rFonts w:ascii="Calibri"/>
          <w:spacing w:val="-8"/>
          <w:sz w:val="20"/>
          <w:vertAlign w:val="baseline"/>
        </w:rPr>
        <w:t> </w:t>
      </w:r>
      <w:r>
        <w:rPr>
          <w:rFonts w:ascii="Calibri"/>
          <w:sz w:val="20"/>
          <w:vertAlign w:val="baseline"/>
        </w:rPr>
        <w:t>Dictionary</w:t>
      </w:r>
      <w:r>
        <w:rPr>
          <w:rFonts w:ascii="Calibri"/>
          <w:spacing w:val="-8"/>
          <w:sz w:val="20"/>
          <w:vertAlign w:val="baseline"/>
        </w:rPr>
        <w:t> </w:t>
      </w:r>
      <w:r>
        <w:rPr>
          <w:rFonts w:ascii="Calibri"/>
          <w:sz w:val="20"/>
          <w:vertAlign w:val="baseline"/>
        </w:rPr>
        <w:t>of</w:t>
      </w:r>
      <w:r>
        <w:rPr>
          <w:rFonts w:ascii="Calibri"/>
          <w:spacing w:val="-2"/>
          <w:sz w:val="20"/>
          <w:vertAlign w:val="baseline"/>
        </w:rPr>
        <w:t> </w:t>
      </w:r>
      <w:r>
        <w:rPr>
          <w:rFonts w:ascii="Calibri"/>
          <w:sz w:val="20"/>
          <w:vertAlign w:val="baseline"/>
        </w:rPr>
        <w:t>Contemporary</w:t>
      </w:r>
      <w:r>
        <w:rPr>
          <w:rFonts w:ascii="Calibri"/>
          <w:spacing w:val="-7"/>
          <w:sz w:val="20"/>
          <w:vertAlign w:val="baseline"/>
        </w:rPr>
        <w:t> </w:t>
      </w:r>
      <w:r>
        <w:rPr>
          <w:rFonts w:ascii="Calibri"/>
          <w:sz w:val="20"/>
          <w:vertAlign w:val="baseline"/>
        </w:rPr>
        <w:t>English,</w:t>
      </w:r>
      <w:r>
        <w:rPr>
          <w:rFonts w:ascii="Calibri"/>
          <w:spacing w:val="-2"/>
          <w:sz w:val="20"/>
          <w:vertAlign w:val="baseline"/>
        </w:rPr>
        <w:t> </w:t>
      </w:r>
      <w:r>
        <w:rPr>
          <w:rFonts w:ascii="Calibri"/>
          <w:sz w:val="20"/>
          <w:vertAlign w:val="baseline"/>
        </w:rPr>
        <w:t>op.cit.at</w:t>
      </w:r>
      <w:r>
        <w:rPr>
          <w:rFonts w:ascii="Calibri"/>
          <w:spacing w:val="-8"/>
          <w:sz w:val="20"/>
          <w:vertAlign w:val="baseline"/>
        </w:rPr>
        <w:t> </w:t>
      </w:r>
      <w:r>
        <w:rPr>
          <w:rFonts w:ascii="Calibri"/>
          <w:sz w:val="20"/>
          <w:vertAlign w:val="baseline"/>
        </w:rPr>
        <w:t>1380. </w:t>
      </w:r>
      <w:r>
        <w:rPr>
          <w:rFonts w:ascii="Calibri"/>
          <w:sz w:val="20"/>
          <w:vertAlign w:val="superscript"/>
        </w:rPr>
        <w:t>87</w:t>
      </w:r>
      <w:r>
        <w:rPr>
          <w:rFonts w:ascii="Calibri"/>
          <w:i/>
          <w:sz w:val="20"/>
          <w:vertAlign w:val="baseline"/>
        </w:rPr>
        <w:t>Salomon vs. Salomon &amp; Co. Ltd. </w:t>
      </w:r>
      <w:r>
        <w:rPr>
          <w:rFonts w:ascii="Calibri"/>
          <w:sz w:val="20"/>
          <w:vertAlign w:val="baseline"/>
        </w:rPr>
        <w:t>(1897) A.C. 22.</w:t>
      </w:r>
    </w:p>
    <w:p>
      <w:pPr>
        <w:spacing w:before="2"/>
        <w:ind w:left="308" w:right="0" w:firstLine="0"/>
        <w:jc w:val="both"/>
        <w:rPr>
          <w:rFonts w:ascii="Calibri"/>
          <w:sz w:val="20"/>
        </w:rPr>
      </w:pPr>
      <w:r>
        <w:rPr>
          <w:rFonts w:ascii="Calibri"/>
          <w:sz w:val="20"/>
          <w:vertAlign w:val="superscript"/>
        </w:rPr>
        <w:t>88</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Section</w:t>
      </w:r>
      <w:r>
        <w:rPr>
          <w:rFonts w:ascii="Calibri"/>
          <w:spacing w:val="-2"/>
          <w:sz w:val="20"/>
          <w:vertAlign w:val="baseline"/>
        </w:rPr>
        <w:t> </w:t>
      </w:r>
      <w:r>
        <w:rPr>
          <w:rFonts w:ascii="Calibri"/>
          <w:spacing w:val="-5"/>
          <w:sz w:val="20"/>
          <w:vertAlign w:val="baseline"/>
        </w:rPr>
        <w:t>37.</w:t>
      </w:r>
    </w:p>
    <w:p>
      <w:pPr>
        <w:spacing w:after="0"/>
        <w:jc w:val="both"/>
        <w:rPr>
          <w:rFonts w:ascii="Calibri"/>
          <w:sz w:val="20"/>
        </w:rPr>
        <w:sectPr>
          <w:pgSz w:w="11910" w:h="16840"/>
          <w:pgMar w:header="0" w:footer="1003" w:top="1280" w:bottom="1200" w:left="1680" w:right="1180"/>
        </w:sectPr>
      </w:pPr>
    </w:p>
    <w:p>
      <w:pPr>
        <w:spacing w:line="242" w:lineRule="auto" w:before="70"/>
        <w:ind w:left="2007" w:right="1891" w:firstLine="0"/>
        <w:jc w:val="both"/>
        <w:rPr>
          <w:i/>
          <w:sz w:val="24"/>
        </w:rPr>
      </w:pPr>
      <w:r>
        <w:rPr>
          <w:i/>
          <w:sz w:val="24"/>
        </w:rPr>
        <w:t>another. To do so would be to violate every intendment of the whole corporate situation.</w:t>
      </w:r>
      <w:r>
        <w:rPr>
          <w:i/>
          <w:sz w:val="24"/>
          <w:vertAlign w:val="superscript"/>
        </w:rPr>
        <w:t>89</w:t>
      </w:r>
    </w:p>
    <w:p>
      <w:pPr>
        <w:pStyle w:val="BodyText"/>
        <w:spacing w:line="480" w:lineRule="auto" w:before="196"/>
        <w:ind w:right="181" w:firstLine="720"/>
        <w:jc w:val="both"/>
      </w:pPr>
      <w:r>
        <w:rPr/>
        <w:t>This</w:t>
      </w:r>
      <w:r>
        <w:rPr>
          <w:spacing w:val="-3"/>
        </w:rPr>
        <w:t> </w:t>
      </w:r>
      <w:r>
        <w:rPr/>
        <w:t>argument can further be buttressed</w:t>
      </w:r>
      <w:r>
        <w:rPr>
          <w:spacing w:val="-1"/>
        </w:rPr>
        <w:t> </w:t>
      </w:r>
      <w:r>
        <w:rPr/>
        <w:t>by</w:t>
      </w:r>
      <w:r>
        <w:rPr>
          <w:spacing w:val="-6"/>
        </w:rPr>
        <w:t> </w:t>
      </w:r>
      <w:r>
        <w:rPr/>
        <w:t>the fact</w:t>
      </w:r>
      <w:r>
        <w:rPr>
          <w:spacing w:val="-1"/>
        </w:rPr>
        <w:t> </w:t>
      </w:r>
      <w:r>
        <w:rPr/>
        <w:t>that</w:t>
      </w:r>
      <w:r>
        <w:rPr>
          <w:spacing w:val="-1"/>
        </w:rPr>
        <w:t> </w:t>
      </w:r>
      <w:r>
        <w:rPr/>
        <w:t>the members in</w:t>
      </w:r>
      <w:r>
        <w:rPr>
          <w:spacing w:val="-1"/>
        </w:rPr>
        <w:t> </w:t>
      </w:r>
      <w:r>
        <w:rPr/>
        <w:t>a</w:t>
      </w:r>
      <w:r>
        <w:rPr>
          <w:spacing w:val="-2"/>
        </w:rPr>
        <w:t> </w:t>
      </w:r>
      <w:r>
        <w:rPr/>
        <w:t>general meeting can set the motion for the company</w:t>
      </w:r>
      <w:r>
        <w:rPr>
          <w:spacing w:val="-4"/>
        </w:rPr>
        <w:t> </w:t>
      </w:r>
      <w:r>
        <w:rPr/>
        <w:t>to enforce</w:t>
      </w:r>
      <w:r>
        <w:rPr>
          <w:spacing w:val="-5"/>
        </w:rPr>
        <w:t> </w:t>
      </w:r>
      <w:r>
        <w:rPr/>
        <w:t>the director‘s</w:t>
      </w:r>
      <w:r>
        <w:rPr>
          <w:spacing w:val="-2"/>
        </w:rPr>
        <w:t> </w:t>
      </w:r>
      <w:r>
        <w:rPr/>
        <w:t>duties.</w:t>
      </w:r>
      <w:r>
        <w:rPr>
          <w:vertAlign w:val="superscript"/>
        </w:rPr>
        <w:t>90</w:t>
      </w:r>
      <w:r>
        <w:rPr>
          <w:vertAlign w:val="baseline"/>
        </w:rPr>
        <w:t> Therefore, the law to the extent of juxtaposing ―employees‖ and ―members‖ here as having comparable rights in the director‘s duty to have regard, is misleading, although, as will be discussed presently in this work, there are strong opinions outside of company law that tend to suggest otherwise.</w:t>
      </w:r>
    </w:p>
    <w:p>
      <w:pPr>
        <w:pStyle w:val="Heading2"/>
        <w:numPr>
          <w:ilvl w:val="2"/>
          <w:numId w:val="12"/>
        </w:numPr>
        <w:tabs>
          <w:tab w:pos="1027" w:val="left" w:leader="none"/>
        </w:tabs>
        <w:spacing w:line="360" w:lineRule="auto" w:before="6" w:after="0"/>
        <w:ind w:left="308" w:right="182" w:firstLine="0"/>
        <w:jc w:val="both"/>
      </w:pPr>
      <w:bookmarkStart w:name="_TOC_250028" w:id="24"/>
      <w:r>
        <w:rPr/>
        <w:t>In Whose Interests and for whose Benefit Should Directors Manage the </w:t>
      </w:r>
      <w:bookmarkEnd w:id="24"/>
      <w:r>
        <w:rPr>
          <w:spacing w:val="-2"/>
        </w:rPr>
        <w:t>Company?</w:t>
      </w:r>
    </w:p>
    <w:p>
      <w:pPr>
        <w:pStyle w:val="BodyText"/>
        <w:spacing w:line="480" w:lineRule="auto"/>
        <w:ind w:right="181"/>
        <w:jc w:val="both"/>
      </w:pPr>
      <w:r>
        <w:rPr/>
        <w:t>The fact of the company being asked to have regard to the interests of employees</w:t>
      </w:r>
      <w:r>
        <w:rPr>
          <w:spacing w:val="40"/>
        </w:rPr>
        <w:t> </w:t>
      </w:r>
      <w:r>
        <w:rPr/>
        <w:t>through its directors, revives the rather ancient debate between Berle</w:t>
      </w:r>
      <w:r>
        <w:rPr>
          <w:vertAlign w:val="superscript"/>
        </w:rPr>
        <w:t>91</w:t>
      </w:r>
      <w:r>
        <w:rPr>
          <w:vertAlign w:val="baseline"/>
        </w:rPr>
        <w:t> and Dodd</w:t>
      </w:r>
      <w:r>
        <w:rPr>
          <w:vertAlign w:val="superscript"/>
        </w:rPr>
        <w:t>92</w:t>
      </w:r>
      <w:r>
        <w:rPr>
          <w:vertAlign w:val="baseline"/>
        </w:rPr>
        <w:t> regarding the ultimate objective of the company: in whose interests and for whose benefit is it to be managed?</w:t>
      </w:r>
      <w:r>
        <w:rPr>
          <w:vertAlign w:val="superscript"/>
        </w:rPr>
        <w:t>93</w:t>
      </w:r>
      <w:r>
        <w:rPr>
          <w:vertAlign w:val="baseline"/>
        </w:rPr>
        <w:t> The</w:t>
      </w:r>
      <w:r>
        <w:rPr>
          <w:spacing w:val="-3"/>
          <w:vertAlign w:val="baseline"/>
        </w:rPr>
        <w:t> </w:t>
      </w:r>
      <w:r>
        <w:rPr>
          <w:vertAlign w:val="baseline"/>
        </w:rPr>
        <w:t>ancient and</w:t>
      </w:r>
      <w:r>
        <w:rPr>
          <w:spacing w:val="-2"/>
          <w:vertAlign w:val="baseline"/>
        </w:rPr>
        <w:t> </w:t>
      </w:r>
      <w:r>
        <w:rPr>
          <w:vertAlign w:val="baseline"/>
        </w:rPr>
        <w:t>prevailing</w:t>
      </w:r>
      <w:r>
        <w:rPr>
          <w:spacing w:val="-2"/>
          <w:vertAlign w:val="baseline"/>
        </w:rPr>
        <w:t> </w:t>
      </w:r>
      <w:r>
        <w:rPr>
          <w:vertAlign w:val="baseline"/>
        </w:rPr>
        <w:t>objective</w:t>
      </w:r>
      <w:r>
        <w:rPr>
          <w:spacing w:val="-3"/>
          <w:vertAlign w:val="baseline"/>
        </w:rPr>
        <w:t> </w:t>
      </w:r>
      <w:r>
        <w:rPr>
          <w:vertAlign w:val="baseline"/>
        </w:rPr>
        <w:t>of</w:t>
      </w:r>
      <w:r>
        <w:rPr>
          <w:spacing w:val="-5"/>
          <w:vertAlign w:val="baseline"/>
        </w:rPr>
        <w:t> </w:t>
      </w:r>
      <w:r>
        <w:rPr>
          <w:vertAlign w:val="baseline"/>
        </w:rPr>
        <w:t>business</w:t>
      </w:r>
      <w:r>
        <w:rPr>
          <w:spacing w:val="-4"/>
          <w:vertAlign w:val="baseline"/>
        </w:rPr>
        <w:t> </w:t>
      </w:r>
      <w:r>
        <w:rPr>
          <w:vertAlign w:val="baseline"/>
        </w:rPr>
        <w:t>obviously is</w:t>
      </w:r>
      <w:r>
        <w:rPr>
          <w:spacing w:val="-3"/>
          <w:vertAlign w:val="baseline"/>
        </w:rPr>
        <w:t> </w:t>
      </w:r>
      <w:r>
        <w:rPr>
          <w:vertAlign w:val="baseline"/>
        </w:rPr>
        <w:t>to</w:t>
      </w:r>
      <w:r>
        <w:rPr>
          <w:spacing w:val="-1"/>
          <w:vertAlign w:val="baseline"/>
        </w:rPr>
        <w:t> </w:t>
      </w:r>
      <w:r>
        <w:rPr>
          <w:vertAlign w:val="baseline"/>
        </w:rPr>
        <w:t>create</w:t>
      </w:r>
      <w:r>
        <w:rPr>
          <w:spacing w:val="-7"/>
          <w:vertAlign w:val="baseline"/>
        </w:rPr>
        <w:t> </w:t>
      </w:r>
      <w:r>
        <w:rPr>
          <w:vertAlign w:val="baseline"/>
        </w:rPr>
        <w:t>the most value for</w:t>
      </w:r>
      <w:r>
        <w:rPr>
          <w:spacing w:val="-4"/>
          <w:vertAlign w:val="baseline"/>
        </w:rPr>
        <w:t> </w:t>
      </w:r>
      <w:r>
        <w:rPr>
          <w:vertAlign w:val="baseline"/>
        </w:rPr>
        <w:t>the</w:t>
      </w:r>
      <w:r>
        <w:rPr>
          <w:spacing w:val="-2"/>
          <w:vertAlign w:val="baseline"/>
        </w:rPr>
        <w:t> </w:t>
      </w:r>
      <w:r>
        <w:rPr>
          <w:vertAlign w:val="baseline"/>
        </w:rPr>
        <w:t>business</w:t>
      </w:r>
      <w:r>
        <w:rPr>
          <w:spacing w:val="-3"/>
          <w:vertAlign w:val="baseline"/>
        </w:rPr>
        <w:t> </w:t>
      </w:r>
      <w:r>
        <w:rPr>
          <w:vertAlign w:val="baseline"/>
        </w:rPr>
        <w:t>owner. But</w:t>
      </w:r>
      <w:r>
        <w:rPr>
          <w:spacing w:val="-1"/>
          <w:vertAlign w:val="baseline"/>
        </w:rPr>
        <w:t> </w:t>
      </w:r>
      <w:r>
        <w:rPr>
          <w:vertAlign w:val="baseline"/>
        </w:rPr>
        <w:t>the</w:t>
      </w:r>
      <w:r>
        <w:rPr>
          <w:spacing w:val="-2"/>
          <w:vertAlign w:val="baseline"/>
        </w:rPr>
        <w:t> </w:t>
      </w:r>
      <w:r>
        <w:rPr>
          <w:vertAlign w:val="baseline"/>
        </w:rPr>
        <w:t>company</w:t>
      </w:r>
      <w:r>
        <w:rPr>
          <w:spacing w:val="-6"/>
          <w:vertAlign w:val="baseline"/>
        </w:rPr>
        <w:t> </w:t>
      </w:r>
      <w:r>
        <w:rPr>
          <w:vertAlign w:val="baseline"/>
        </w:rPr>
        <w:t>has</w:t>
      </w:r>
      <w:r>
        <w:rPr>
          <w:spacing w:val="-3"/>
          <w:vertAlign w:val="baseline"/>
        </w:rPr>
        <w:t> </w:t>
      </w:r>
      <w:r>
        <w:rPr>
          <w:vertAlign w:val="baseline"/>
        </w:rPr>
        <w:t>special</w:t>
      </w:r>
      <w:r>
        <w:rPr>
          <w:spacing w:val="-6"/>
          <w:vertAlign w:val="baseline"/>
        </w:rPr>
        <w:t> </w:t>
      </w:r>
      <w:r>
        <w:rPr>
          <w:vertAlign w:val="baseline"/>
        </w:rPr>
        <w:t>attributes that set it apart from any other type of business arrangement. The decision in </w:t>
      </w:r>
      <w:r>
        <w:rPr>
          <w:b/>
          <w:vertAlign w:val="baseline"/>
        </w:rPr>
        <w:t>Salomon vs. Salomon &amp; Co. Ltd.</w:t>
      </w:r>
      <w:r>
        <w:rPr>
          <w:vertAlign w:val="superscript"/>
        </w:rPr>
        <w:t>94</w:t>
      </w:r>
      <w:r>
        <w:rPr>
          <w:vertAlign w:val="baseline"/>
        </w:rPr>
        <w:t> has already established the distinctive identity of the</w:t>
      </w:r>
      <w:r>
        <w:rPr>
          <w:spacing w:val="40"/>
          <w:vertAlign w:val="baseline"/>
        </w:rPr>
        <w:t> </w:t>
      </w:r>
      <w:r>
        <w:rPr>
          <w:vertAlign w:val="baseline"/>
        </w:rPr>
        <w:t>company as being separate from those of its members or shareholders or any person associated</w:t>
      </w:r>
      <w:r>
        <w:rPr>
          <w:spacing w:val="20"/>
          <w:vertAlign w:val="baseline"/>
        </w:rPr>
        <w:t> </w:t>
      </w:r>
      <w:r>
        <w:rPr>
          <w:vertAlign w:val="baseline"/>
        </w:rPr>
        <w:t>with</w:t>
      </w:r>
      <w:r>
        <w:rPr>
          <w:spacing w:val="20"/>
          <w:vertAlign w:val="baseline"/>
        </w:rPr>
        <w:t> </w:t>
      </w:r>
      <w:r>
        <w:rPr>
          <w:vertAlign w:val="baseline"/>
        </w:rPr>
        <w:t>it</w:t>
      </w:r>
      <w:r>
        <w:rPr>
          <w:spacing w:val="30"/>
          <w:vertAlign w:val="baseline"/>
        </w:rPr>
        <w:t> </w:t>
      </w:r>
      <w:r>
        <w:rPr>
          <w:vertAlign w:val="baseline"/>
        </w:rPr>
        <w:t>for</w:t>
      </w:r>
      <w:r>
        <w:rPr>
          <w:spacing w:val="18"/>
          <w:vertAlign w:val="baseline"/>
        </w:rPr>
        <w:t> </w:t>
      </w:r>
      <w:r>
        <w:rPr>
          <w:vertAlign w:val="baseline"/>
        </w:rPr>
        <w:t>that</w:t>
      </w:r>
      <w:r>
        <w:rPr>
          <w:spacing w:val="26"/>
          <w:vertAlign w:val="baseline"/>
        </w:rPr>
        <w:t> </w:t>
      </w:r>
      <w:r>
        <w:rPr>
          <w:vertAlign w:val="baseline"/>
        </w:rPr>
        <w:t>matter.</w:t>
      </w:r>
      <w:r>
        <w:rPr>
          <w:spacing w:val="18"/>
          <w:vertAlign w:val="baseline"/>
        </w:rPr>
        <w:t> </w:t>
      </w:r>
      <w:r>
        <w:rPr>
          <w:vertAlign w:val="baseline"/>
        </w:rPr>
        <w:t>The</w:t>
      </w:r>
      <w:r>
        <w:rPr>
          <w:spacing w:val="21"/>
          <w:vertAlign w:val="baseline"/>
        </w:rPr>
        <w:t> </w:t>
      </w:r>
      <w:r>
        <w:rPr>
          <w:vertAlign w:val="baseline"/>
        </w:rPr>
        <w:t>question</w:t>
      </w:r>
      <w:r>
        <w:rPr>
          <w:spacing w:val="27"/>
          <w:vertAlign w:val="baseline"/>
        </w:rPr>
        <w:t> </w:t>
      </w:r>
      <w:r>
        <w:rPr>
          <w:vertAlign w:val="baseline"/>
        </w:rPr>
        <w:t>is:</w:t>
      </w:r>
      <w:r>
        <w:rPr>
          <w:spacing w:val="22"/>
          <w:vertAlign w:val="baseline"/>
        </w:rPr>
        <w:t> </w:t>
      </w:r>
      <w:r>
        <w:rPr>
          <w:vertAlign w:val="baseline"/>
        </w:rPr>
        <w:t>who,</w:t>
      </w:r>
      <w:r>
        <w:rPr>
          <w:spacing w:val="23"/>
          <w:vertAlign w:val="baseline"/>
        </w:rPr>
        <w:t> </w:t>
      </w:r>
      <w:r>
        <w:rPr>
          <w:vertAlign w:val="baseline"/>
        </w:rPr>
        <w:t>in</w:t>
      </w:r>
      <w:r>
        <w:rPr>
          <w:spacing w:val="21"/>
          <w:vertAlign w:val="baseline"/>
        </w:rPr>
        <w:t> </w:t>
      </w:r>
      <w:r>
        <w:rPr>
          <w:vertAlign w:val="baseline"/>
        </w:rPr>
        <w:t>fact,</w:t>
      </w:r>
      <w:r>
        <w:rPr>
          <w:spacing w:val="23"/>
          <w:vertAlign w:val="baseline"/>
        </w:rPr>
        <w:t> </w:t>
      </w:r>
      <w:r>
        <w:rPr>
          <w:vertAlign w:val="baseline"/>
        </w:rPr>
        <w:t>is</w:t>
      </w:r>
      <w:r>
        <w:rPr>
          <w:spacing w:val="18"/>
          <w:vertAlign w:val="baseline"/>
        </w:rPr>
        <w:t> </w:t>
      </w:r>
      <w:r>
        <w:rPr>
          <w:vertAlign w:val="baseline"/>
        </w:rPr>
        <w:t>the</w:t>
      </w:r>
      <w:r>
        <w:rPr>
          <w:spacing w:val="24"/>
          <w:vertAlign w:val="baseline"/>
        </w:rPr>
        <w:t> </w:t>
      </w:r>
      <w:r>
        <w:rPr>
          <w:vertAlign w:val="baseline"/>
        </w:rPr>
        <w:t>―owner‖</w:t>
      </w:r>
      <w:r>
        <w:rPr>
          <w:spacing w:val="21"/>
          <w:vertAlign w:val="baseline"/>
        </w:rPr>
        <w:t> </w:t>
      </w:r>
      <w:r>
        <w:rPr>
          <w:vertAlign w:val="baseline"/>
        </w:rPr>
        <w:t>of</w:t>
      </w:r>
      <w:r>
        <w:rPr>
          <w:spacing w:val="14"/>
          <w:vertAlign w:val="baseline"/>
        </w:rPr>
        <w:t> </w:t>
      </w:r>
      <w:r>
        <w:rPr>
          <w:spacing w:val="-5"/>
          <w:vertAlign w:val="baseline"/>
        </w:rPr>
        <w:t>the</w:t>
      </w:r>
    </w:p>
    <w:p>
      <w:pPr>
        <w:pStyle w:val="BodyText"/>
        <w:ind w:left="0"/>
        <w:rPr>
          <w:sz w:val="20"/>
        </w:rPr>
      </w:pPr>
    </w:p>
    <w:p>
      <w:pPr>
        <w:pStyle w:val="BodyText"/>
        <w:ind w:left="0"/>
        <w:rPr>
          <w:sz w:val="20"/>
        </w:rPr>
      </w:pPr>
    </w:p>
    <w:p>
      <w:pPr>
        <w:pStyle w:val="BodyText"/>
        <w:spacing w:before="139"/>
        <w:ind w:left="0"/>
        <w:rPr>
          <w:sz w:val="20"/>
        </w:rPr>
      </w:pPr>
      <w:r>
        <w:rPr/>
        <mc:AlternateContent>
          <mc:Choice Requires="wps">
            <w:drawing>
              <wp:anchor distT="0" distB="0" distL="0" distR="0" allowOverlap="1" layoutInCell="1" locked="0" behindDoc="1" simplePos="0" relativeHeight="487646208">
                <wp:simplePos x="0" y="0"/>
                <wp:positionH relativeFrom="page">
                  <wp:posOffset>1262481</wp:posOffset>
                </wp:positionH>
                <wp:positionV relativeFrom="paragraph">
                  <wp:posOffset>249644</wp:posOffset>
                </wp:positionV>
                <wp:extent cx="1829435" cy="9525"/>
                <wp:effectExtent l="0" t="0" r="0" b="0"/>
                <wp:wrapTopAndBottom/>
                <wp:docPr id="127" name="Graphic 127"/>
                <wp:cNvGraphicFramePr>
                  <a:graphicFrameLocks/>
                </wp:cNvGraphicFramePr>
                <a:graphic>
                  <a:graphicData uri="http://schemas.microsoft.com/office/word/2010/wordprocessingShape">
                    <wps:wsp>
                      <wps:cNvPr id="127" name="Graphic 12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657022pt;width:144.050pt;height:.71997pt;mso-position-horizontal-relative:page;mso-position-vertical-relative:paragraph;z-index:-15670272;mso-wrap-distance-left:0;mso-wrap-distance-right:0" id="docshape82" filled="true" fillcolor="#000000" stroked="false">
                <v:fill type="solid"/>
                <w10:wrap type="topAndBottom"/>
              </v:rect>
            </w:pict>
          </mc:Fallback>
        </mc:AlternateContent>
      </w:r>
    </w:p>
    <w:p>
      <w:pPr>
        <w:spacing w:before="102"/>
        <w:ind w:left="308" w:right="225" w:firstLine="0"/>
        <w:jc w:val="both"/>
        <w:rPr>
          <w:rFonts w:ascii="Calibri"/>
          <w:sz w:val="20"/>
        </w:rPr>
      </w:pPr>
      <w:r>
        <w:rPr>
          <w:rFonts w:ascii="Calibri"/>
          <w:sz w:val="20"/>
          <w:vertAlign w:val="superscript"/>
        </w:rPr>
        <w:t>89</w:t>
      </w:r>
      <w:r>
        <w:rPr>
          <w:rFonts w:ascii="Calibri"/>
          <w:sz w:val="20"/>
          <w:vertAlign w:val="baseline"/>
        </w:rPr>
        <w:t>Berle, A.A., and Means C.G. (1932).</w:t>
      </w:r>
      <w:r>
        <w:rPr>
          <w:rFonts w:ascii="Calibri"/>
          <w:i/>
          <w:sz w:val="20"/>
          <w:vertAlign w:val="baseline"/>
        </w:rPr>
        <w:t>The Modern Corporation and Private Property</w:t>
      </w:r>
      <w:r>
        <w:rPr>
          <w:rFonts w:ascii="Calibri"/>
          <w:sz w:val="20"/>
          <w:vertAlign w:val="baseline"/>
        </w:rPr>
        <w:t>. The Macmillan Company, New York, p. 274.</w:t>
      </w:r>
    </w:p>
    <w:p>
      <w:pPr>
        <w:spacing w:before="2"/>
        <w:ind w:left="308" w:right="231" w:firstLine="0"/>
        <w:jc w:val="both"/>
        <w:rPr>
          <w:rFonts w:ascii="Calibri" w:hAnsi="Calibri"/>
          <w:sz w:val="20"/>
        </w:rPr>
      </w:pPr>
      <w:r>
        <w:rPr>
          <w:rFonts w:ascii="Calibri" w:hAnsi="Calibri"/>
          <w:sz w:val="20"/>
          <w:vertAlign w:val="superscript"/>
        </w:rPr>
        <w:t>90</w:t>
      </w:r>
      <w:r>
        <w:rPr>
          <w:rFonts w:ascii="Calibri" w:hAnsi="Calibri"/>
          <w:sz w:val="20"/>
          <w:vertAlign w:val="baseline"/>
        </w:rPr>
        <w:t>Aside from the fact that a single member can also indirectly enforce directors’ duties through the medium of derivative action provided in Sections 301, 303 and 311.</w:t>
      </w:r>
    </w:p>
    <w:p>
      <w:pPr>
        <w:spacing w:line="237" w:lineRule="auto" w:before="3"/>
        <w:ind w:left="308" w:right="229" w:firstLine="0"/>
        <w:jc w:val="both"/>
        <w:rPr>
          <w:rFonts w:ascii="Calibri"/>
          <w:sz w:val="20"/>
        </w:rPr>
      </w:pPr>
      <w:r>
        <w:rPr>
          <w:rFonts w:ascii="Calibri"/>
          <w:sz w:val="20"/>
          <w:vertAlign w:val="superscript"/>
        </w:rPr>
        <w:t>91</w:t>
      </w:r>
      <w:r>
        <w:rPr>
          <w:rFonts w:ascii="Calibri"/>
          <w:sz w:val="20"/>
          <w:vertAlign w:val="baseline"/>
        </w:rPr>
        <w:t>Berle, A.A. (1931). Corporate Powers as Powers in Trust.</w:t>
      </w:r>
      <w:r>
        <w:rPr>
          <w:rFonts w:ascii="Calibri"/>
          <w:i/>
          <w:sz w:val="20"/>
          <w:vertAlign w:val="baseline"/>
        </w:rPr>
        <w:t>Harvard Law Review, </w:t>
      </w:r>
      <w:r>
        <w:rPr>
          <w:rFonts w:ascii="Calibri"/>
          <w:sz w:val="20"/>
          <w:vertAlign w:val="baseline"/>
        </w:rPr>
        <w:t>44: 1049; Berle, A.A. (1932).For Whom Managers are Trustees: A Note. </w:t>
      </w:r>
      <w:r>
        <w:rPr>
          <w:rFonts w:ascii="Calibri"/>
          <w:i/>
          <w:sz w:val="20"/>
          <w:vertAlign w:val="baseline"/>
        </w:rPr>
        <w:t>Harvard Law Review</w:t>
      </w:r>
      <w:r>
        <w:rPr>
          <w:rFonts w:ascii="Calibri"/>
          <w:sz w:val="20"/>
          <w:vertAlign w:val="baseline"/>
        </w:rPr>
        <w:t>, 45: 1365; Berle, A.A., and</w:t>
      </w:r>
      <w:r>
        <w:rPr>
          <w:rFonts w:ascii="Calibri"/>
          <w:spacing w:val="80"/>
          <w:sz w:val="20"/>
          <w:vertAlign w:val="baseline"/>
        </w:rPr>
        <w:t> </w:t>
      </w:r>
      <w:r>
        <w:rPr>
          <w:rFonts w:ascii="Calibri"/>
          <w:sz w:val="20"/>
          <w:vertAlign w:val="baseline"/>
        </w:rPr>
        <w:t>Means C.G., op.cit.</w:t>
      </w:r>
    </w:p>
    <w:p>
      <w:pPr>
        <w:spacing w:before="3"/>
        <w:ind w:left="308" w:right="0" w:firstLine="0"/>
        <w:jc w:val="both"/>
        <w:rPr>
          <w:rFonts w:ascii="Calibri"/>
          <w:sz w:val="20"/>
        </w:rPr>
      </w:pPr>
      <w:r>
        <w:rPr>
          <w:rFonts w:ascii="Calibri"/>
          <w:sz w:val="20"/>
          <w:vertAlign w:val="superscript"/>
        </w:rPr>
        <w:t>92</w:t>
      </w:r>
      <w:r>
        <w:rPr>
          <w:rFonts w:ascii="Calibri"/>
          <w:spacing w:val="4"/>
          <w:sz w:val="20"/>
          <w:vertAlign w:val="baseline"/>
        </w:rPr>
        <w:t> </w:t>
      </w:r>
      <w:r>
        <w:rPr>
          <w:rFonts w:ascii="Calibri"/>
          <w:sz w:val="20"/>
          <w:vertAlign w:val="baseline"/>
        </w:rPr>
        <w:t>Dodd,</w:t>
      </w:r>
      <w:r>
        <w:rPr>
          <w:rFonts w:ascii="Calibri"/>
          <w:spacing w:val="-5"/>
          <w:sz w:val="20"/>
          <w:vertAlign w:val="baseline"/>
        </w:rPr>
        <w:t> </w:t>
      </w:r>
      <w:r>
        <w:rPr>
          <w:rFonts w:ascii="Calibri"/>
          <w:sz w:val="20"/>
          <w:vertAlign w:val="baseline"/>
        </w:rPr>
        <w:t>E.M. (1932).For Whom</w:t>
      </w:r>
      <w:r>
        <w:rPr>
          <w:rFonts w:ascii="Calibri"/>
          <w:spacing w:val="-1"/>
          <w:sz w:val="20"/>
          <w:vertAlign w:val="baseline"/>
        </w:rPr>
        <w:t> </w:t>
      </w:r>
      <w:r>
        <w:rPr>
          <w:rFonts w:ascii="Calibri"/>
          <w:sz w:val="20"/>
          <w:vertAlign w:val="baseline"/>
        </w:rPr>
        <w:t>are</w:t>
      </w:r>
      <w:r>
        <w:rPr>
          <w:rFonts w:ascii="Calibri"/>
          <w:spacing w:val="-1"/>
          <w:sz w:val="20"/>
          <w:vertAlign w:val="baseline"/>
        </w:rPr>
        <w:t> </w:t>
      </w:r>
      <w:r>
        <w:rPr>
          <w:rFonts w:ascii="Calibri"/>
          <w:sz w:val="20"/>
          <w:vertAlign w:val="baseline"/>
        </w:rPr>
        <w:t>Corporate</w:t>
      </w:r>
      <w:r>
        <w:rPr>
          <w:rFonts w:ascii="Calibri"/>
          <w:spacing w:val="-2"/>
          <w:sz w:val="20"/>
          <w:vertAlign w:val="baseline"/>
        </w:rPr>
        <w:t> </w:t>
      </w:r>
      <w:r>
        <w:rPr>
          <w:rFonts w:ascii="Calibri"/>
          <w:sz w:val="20"/>
          <w:vertAlign w:val="baseline"/>
        </w:rPr>
        <w:t>Managers</w:t>
      </w:r>
      <w:r>
        <w:rPr>
          <w:rFonts w:ascii="Calibri"/>
          <w:spacing w:val="1"/>
          <w:sz w:val="20"/>
          <w:vertAlign w:val="baseline"/>
        </w:rPr>
        <w:t> </w:t>
      </w:r>
      <w:r>
        <w:rPr>
          <w:rFonts w:ascii="Calibri"/>
          <w:sz w:val="20"/>
          <w:vertAlign w:val="baseline"/>
        </w:rPr>
        <w:t>Trusties?</w:t>
      </w:r>
      <w:r>
        <w:rPr>
          <w:rFonts w:ascii="Calibri"/>
          <w:i/>
          <w:sz w:val="20"/>
          <w:vertAlign w:val="baseline"/>
        </w:rPr>
        <w:t>Harvard</w:t>
      </w:r>
      <w:r>
        <w:rPr>
          <w:rFonts w:ascii="Calibri"/>
          <w:i/>
          <w:spacing w:val="-1"/>
          <w:sz w:val="20"/>
          <w:vertAlign w:val="baseline"/>
        </w:rPr>
        <w:t> </w:t>
      </w:r>
      <w:r>
        <w:rPr>
          <w:rFonts w:ascii="Calibri"/>
          <w:i/>
          <w:sz w:val="20"/>
          <w:vertAlign w:val="baseline"/>
        </w:rPr>
        <w:t>Law</w:t>
      </w:r>
      <w:r>
        <w:rPr>
          <w:rFonts w:ascii="Calibri"/>
          <w:i/>
          <w:spacing w:val="-2"/>
          <w:sz w:val="20"/>
          <w:vertAlign w:val="baseline"/>
        </w:rPr>
        <w:t> </w:t>
      </w:r>
      <w:r>
        <w:rPr>
          <w:rFonts w:ascii="Calibri"/>
          <w:i/>
          <w:sz w:val="20"/>
          <w:vertAlign w:val="baseline"/>
        </w:rPr>
        <w:t>Review</w:t>
      </w:r>
      <w:r>
        <w:rPr>
          <w:rFonts w:ascii="Calibri"/>
          <w:sz w:val="20"/>
          <w:vertAlign w:val="baseline"/>
        </w:rPr>
        <w:t>, 45:</w:t>
      </w:r>
      <w:r>
        <w:rPr>
          <w:rFonts w:ascii="Calibri"/>
          <w:spacing w:val="2"/>
          <w:sz w:val="20"/>
          <w:vertAlign w:val="baseline"/>
        </w:rPr>
        <w:t> </w:t>
      </w:r>
      <w:r>
        <w:rPr>
          <w:rFonts w:ascii="Calibri"/>
          <w:sz w:val="20"/>
          <w:vertAlign w:val="baseline"/>
        </w:rPr>
        <w:t>1145;</w:t>
      </w:r>
      <w:r>
        <w:rPr>
          <w:rFonts w:ascii="Calibri"/>
          <w:spacing w:val="1"/>
          <w:sz w:val="20"/>
          <w:vertAlign w:val="baseline"/>
        </w:rPr>
        <w:t> </w:t>
      </w:r>
      <w:r>
        <w:rPr>
          <w:rFonts w:ascii="Calibri"/>
          <w:spacing w:val="-2"/>
          <w:sz w:val="20"/>
          <w:vertAlign w:val="baseline"/>
        </w:rPr>
        <w:t>Dodd,</w:t>
      </w:r>
    </w:p>
    <w:p>
      <w:pPr>
        <w:tabs>
          <w:tab w:pos="898" w:val="left" w:leader="none"/>
          <w:tab w:pos="1820" w:val="left" w:leader="none"/>
          <w:tab w:pos="2740" w:val="left" w:leader="none"/>
          <w:tab w:pos="4016" w:val="left" w:leader="none"/>
          <w:tab w:pos="4400" w:val="left" w:leader="none"/>
          <w:tab w:pos="4890" w:val="left" w:leader="none"/>
          <w:tab w:pos="5839" w:val="left" w:leader="none"/>
          <w:tab w:pos="6573" w:val="left" w:leader="none"/>
          <w:tab w:pos="6957" w:val="left" w:leader="none"/>
          <w:tab w:pos="8010" w:val="left" w:leader="none"/>
        </w:tabs>
        <w:spacing w:before="1"/>
        <w:ind w:left="308" w:right="223" w:firstLine="0"/>
        <w:jc w:val="left"/>
        <w:rPr>
          <w:rFonts w:ascii="Calibri"/>
          <w:sz w:val="20"/>
        </w:rPr>
      </w:pPr>
      <w:r>
        <w:rPr>
          <w:rFonts w:ascii="Calibri"/>
          <w:spacing w:val="-4"/>
          <w:sz w:val="20"/>
        </w:rPr>
        <w:t>E.M.</w:t>
      </w:r>
      <w:r>
        <w:rPr>
          <w:rFonts w:ascii="Calibri"/>
          <w:sz w:val="20"/>
        </w:rPr>
        <w:tab/>
      </w:r>
      <w:r>
        <w:rPr>
          <w:rFonts w:ascii="Calibri"/>
          <w:spacing w:val="-2"/>
          <w:sz w:val="20"/>
        </w:rPr>
        <w:t>(1935).Is</w:t>
      </w:r>
      <w:r>
        <w:rPr>
          <w:rFonts w:ascii="Calibri"/>
          <w:sz w:val="20"/>
        </w:rPr>
        <w:tab/>
      </w:r>
      <w:r>
        <w:rPr>
          <w:rFonts w:ascii="Calibri"/>
          <w:spacing w:val="-2"/>
          <w:sz w:val="20"/>
        </w:rPr>
        <w:t>Effective</w:t>
      </w:r>
      <w:r>
        <w:rPr>
          <w:rFonts w:ascii="Calibri"/>
          <w:sz w:val="20"/>
        </w:rPr>
        <w:tab/>
      </w:r>
      <w:r>
        <w:rPr>
          <w:rFonts w:ascii="Calibri"/>
          <w:spacing w:val="-2"/>
          <w:sz w:val="20"/>
        </w:rPr>
        <w:t>Enforcement</w:t>
      </w:r>
      <w:r>
        <w:rPr>
          <w:rFonts w:ascii="Calibri"/>
          <w:sz w:val="20"/>
        </w:rPr>
        <w:tab/>
      </w:r>
      <w:r>
        <w:rPr>
          <w:rFonts w:ascii="Calibri"/>
          <w:spacing w:val="-6"/>
          <w:sz w:val="20"/>
        </w:rPr>
        <w:t>of</w:t>
      </w:r>
      <w:r>
        <w:rPr>
          <w:rFonts w:ascii="Calibri"/>
          <w:sz w:val="20"/>
        </w:rPr>
        <w:tab/>
      </w:r>
      <w:r>
        <w:rPr>
          <w:rFonts w:ascii="Calibri"/>
          <w:spacing w:val="-4"/>
          <w:sz w:val="20"/>
        </w:rPr>
        <w:t>the</w:t>
      </w:r>
      <w:r>
        <w:rPr>
          <w:rFonts w:ascii="Calibri"/>
          <w:sz w:val="20"/>
        </w:rPr>
        <w:tab/>
      </w:r>
      <w:r>
        <w:rPr>
          <w:rFonts w:ascii="Calibri"/>
          <w:spacing w:val="-2"/>
          <w:sz w:val="20"/>
        </w:rPr>
        <w:t>Fiduciary</w:t>
      </w:r>
      <w:r>
        <w:rPr>
          <w:rFonts w:ascii="Calibri"/>
          <w:sz w:val="20"/>
        </w:rPr>
        <w:tab/>
      </w:r>
      <w:r>
        <w:rPr>
          <w:rFonts w:ascii="Calibri"/>
          <w:spacing w:val="-2"/>
          <w:sz w:val="20"/>
        </w:rPr>
        <w:t>Duties</w:t>
      </w:r>
      <w:r>
        <w:rPr>
          <w:rFonts w:ascii="Calibri"/>
          <w:sz w:val="20"/>
        </w:rPr>
        <w:tab/>
      </w:r>
      <w:r>
        <w:rPr>
          <w:rFonts w:ascii="Calibri"/>
          <w:spacing w:val="-6"/>
          <w:sz w:val="20"/>
        </w:rPr>
        <w:t>of</w:t>
      </w:r>
      <w:r>
        <w:rPr>
          <w:rFonts w:ascii="Calibri"/>
          <w:sz w:val="20"/>
        </w:rPr>
        <w:tab/>
      </w:r>
      <w:r>
        <w:rPr>
          <w:rFonts w:ascii="Calibri"/>
          <w:spacing w:val="-2"/>
          <w:sz w:val="20"/>
        </w:rPr>
        <w:t>Corporate</w:t>
      </w:r>
      <w:r>
        <w:rPr>
          <w:rFonts w:ascii="Calibri"/>
          <w:sz w:val="20"/>
        </w:rPr>
        <w:tab/>
      </w:r>
      <w:r>
        <w:rPr>
          <w:rFonts w:ascii="Calibri"/>
          <w:spacing w:val="-2"/>
          <w:sz w:val="20"/>
        </w:rPr>
        <w:t>Manager</w:t>
      </w:r>
      <w:r>
        <w:rPr>
          <w:rFonts w:ascii="Calibri"/>
          <w:spacing w:val="-2"/>
          <w:sz w:val="20"/>
        </w:rPr>
        <w:t>s</w:t>
      </w:r>
      <w:r>
        <w:rPr>
          <w:rFonts w:ascii="Calibri"/>
          <w:spacing w:val="-2"/>
          <w:sz w:val="20"/>
        </w:rPr>
        <w:t> </w:t>
      </w:r>
      <w:r>
        <w:rPr>
          <w:rFonts w:ascii="Calibri"/>
          <w:sz w:val="20"/>
        </w:rPr>
        <w:t>Practicable?</w:t>
      </w:r>
      <w:r>
        <w:rPr>
          <w:rFonts w:ascii="Calibri"/>
          <w:i/>
          <w:sz w:val="20"/>
        </w:rPr>
        <w:t>University of Chicago Law Review</w:t>
      </w:r>
      <w:r>
        <w:rPr>
          <w:rFonts w:ascii="Calibri"/>
          <w:sz w:val="20"/>
        </w:rPr>
        <w:t>, 2: 194.</w:t>
      </w:r>
    </w:p>
    <w:p>
      <w:pPr>
        <w:spacing w:before="1"/>
        <w:ind w:left="308" w:right="255" w:firstLine="0"/>
        <w:jc w:val="left"/>
        <w:rPr>
          <w:rFonts w:ascii="Calibri" w:hAnsi="Calibri"/>
          <w:sz w:val="20"/>
        </w:rPr>
      </w:pPr>
      <w:r>
        <w:rPr>
          <w:rFonts w:ascii="Calibri" w:hAnsi="Calibri"/>
          <w:sz w:val="20"/>
          <w:vertAlign w:val="superscript"/>
        </w:rPr>
        <w:t>93</w:t>
      </w:r>
      <w:r>
        <w:rPr>
          <w:rFonts w:ascii="Calibri" w:hAnsi="Calibri"/>
          <w:sz w:val="20"/>
          <w:vertAlign w:val="baseline"/>
        </w:rPr>
        <w:t>Berle</w:t>
      </w:r>
      <w:r>
        <w:rPr>
          <w:rFonts w:ascii="Calibri" w:hAnsi="Calibri"/>
          <w:spacing w:val="67"/>
          <w:sz w:val="20"/>
          <w:vertAlign w:val="baseline"/>
        </w:rPr>
        <w:t> </w:t>
      </w:r>
      <w:r>
        <w:rPr>
          <w:rFonts w:ascii="Calibri" w:hAnsi="Calibri"/>
          <w:sz w:val="20"/>
          <w:vertAlign w:val="baseline"/>
        </w:rPr>
        <w:t>and</w:t>
      </w:r>
      <w:r>
        <w:rPr>
          <w:rFonts w:ascii="Calibri" w:hAnsi="Calibri"/>
          <w:spacing w:val="66"/>
          <w:sz w:val="20"/>
          <w:vertAlign w:val="baseline"/>
        </w:rPr>
        <w:t> </w:t>
      </w:r>
      <w:r>
        <w:rPr>
          <w:rFonts w:ascii="Calibri" w:hAnsi="Calibri"/>
          <w:sz w:val="20"/>
          <w:vertAlign w:val="baseline"/>
        </w:rPr>
        <w:t>Means</w:t>
      </w:r>
      <w:r>
        <w:rPr>
          <w:rFonts w:ascii="Calibri" w:hAnsi="Calibri"/>
          <w:spacing w:val="65"/>
          <w:sz w:val="20"/>
          <w:vertAlign w:val="baseline"/>
        </w:rPr>
        <w:t> </w:t>
      </w:r>
      <w:r>
        <w:rPr>
          <w:rFonts w:ascii="Calibri" w:hAnsi="Calibri"/>
          <w:sz w:val="20"/>
          <w:vertAlign w:val="baseline"/>
        </w:rPr>
        <w:t>considered</w:t>
      </w:r>
      <w:r>
        <w:rPr>
          <w:rFonts w:ascii="Calibri" w:hAnsi="Calibri"/>
          <w:spacing w:val="67"/>
          <w:sz w:val="20"/>
          <w:vertAlign w:val="baseline"/>
        </w:rPr>
        <w:t> </w:t>
      </w:r>
      <w:r>
        <w:rPr>
          <w:rFonts w:ascii="Calibri" w:hAnsi="Calibri"/>
          <w:sz w:val="20"/>
          <w:vertAlign w:val="baseline"/>
        </w:rPr>
        <w:t>this</w:t>
      </w:r>
      <w:r>
        <w:rPr>
          <w:rFonts w:ascii="Calibri" w:hAnsi="Calibri"/>
          <w:spacing w:val="65"/>
          <w:sz w:val="20"/>
          <w:vertAlign w:val="baseline"/>
        </w:rPr>
        <w:t> </w:t>
      </w:r>
      <w:r>
        <w:rPr>
          <w:rFonts w:ascii="Calibri" w:hAnsi="Calibri"/>
          <w:sz w:val="20"/>
          <w:vertAlign w:val="baseline"/>
        </w:rPr>
        <w:t>essentially</w:t>
      </w:r>
      <w:r>
        <w:rPr>
          <w:rFonts w:ascii="Calibri" w:hAnsi="Calibri"/>
          <w:spacing w:val="67"/>
          <w:sz w:val="20"/>
          <w:vertAlign w:val="baseline"/>
        </w:rPr>
        <w:t> </w:t>
      </w:r>
      <w:r>
        <w:rPr>
          <w:rFonts w:ascii="Calibri" w:hAnsi="Calibri"/>
          <w:sz w:val="20"/>
          <w:vertAlign w:val="baseline"/>
        </w:rPr>
        <w:t>the</w:t>
      </w:r>
      <w:r>
        <w:rPr>
          <w:rFonts w:ascii="Calibri" w:hAnsi="Calibri"/>
          <w:spacing w:val="67"/>
          <w:sz w:val="20"/>
          <w:vertAlign w:val="baseline"/>
        </w:rPr>
        <w:t> </w:t>
      </w:r>
      <w:r>
        <w:rPr>
          <w:rFonts w:ascii="Calibri" w:hAnsi="Calibri"/>
          <w:sz w:val="20"/>
          <w:vertAlign w:val="baseline"/>
        </w:rPr>
        <w:t>question:</w:t>
      </w:r>
      <w:r>
        <w:rPr>
          <w:rFonts w:ascii="Calibri" w:hAnsi="Calibri"/>
          <w:spacing w:val="65"/>
          <w:sz w:val="20"/>
          <w:vertAlign w:val="baseline"/>
        </w:rPr>
        <w:t> </w:t>
      </w:r>
      <w:r>
        <w:rPr>
          <w:rFonts w:ascii="Calibri" w:hAnsi="Calibri"/>
          <w:sz w:val="20"/>
          <w:vertAlign w:val="baseline"/>
        </w:rPr>
        <w:t>“who</w:t>
      </w:r>
      <w:r>
        <w:rPr>
          <w:rFonts w:ascii="Calibri" w:hAnsi="Calibri"/>
          <w:spacing w:val="40"/>
          <w:sz w:val="20"/>
          <w:vertAlign w:val="baseline"/>
        </w:rPr>
        <w:t> </w:t>
      </w:r>
      <w:r>
        <w:rPr>
          <w:rFonts w:ascii="Calibri" w:hAnsi="Calibri"/>
          <w:sz w:val="20"/>
          <w:vertAlign w:val="baseline"/>
        </w:rPr>
        <w:t>should</w:t>
      </w:r>
      <w:r>
        <w:rPr>
          <w:rFonts w:ascii="Calibri" w:hAnsi="Calibri"/>
          <w:spacing w:val="40"/>
          <w:sz w:val="20"/>
          <w:vertAlign w:val="baseline"/>
        </w:rPr>
        <w:t> </w:t>
      </w:r>
      <w:r>
        <w:rPr>
          <w:rFonts w:ascii="Calibri" w:hAnsi="Calibri"/>
          <w:sz w:val="20"/>
          <w:vertAlign w:val="baseline"/>
        </w:rPr>
        <w:t>receive</w:t>
      </w:r>
      <w:r>
        <w:rPr>
          <w:rFonts w:ascii="Calibri" w:hAnsi="Calibri"/>
          <w:spacing w:val="40"/>
          <w:sz w:val="20"/>
          <w:vertAlign w:val="baseline"/>
        </w:rPr>
        <w:t> </w:t>
      </w:r>
      <w:r>
        <w:rPr>
          <w:rFonts w:ascii="Calibri" w:hAnsi="Calibri"/>
          <w:sz w:val="20"/>
          <w:vertAlign w:val="baseline"/>
        </w:rPr>
        <w:t>the</w:t>
      </w:r>
      <w:r>
        <w:rPr>
          <w:rFonts w:ascii="Calibri" w:hAnsi="Calibri"/>
          <w:spacing w:val="40"/>
          <w:sz w:val="20"/>
          <w:vertAlign w:val="baseline"/>
        </w:rPr>
        <w:t> </w:t>
      </w:r>
      <w:r>
        <w:rPr>
          <w:rFonts w:ascii="Calibri" w:hAnsi="Calibri"/>
          <w:sz w:val="20"/>
          <w:vertAlign w:val="baseline"/>
        </w:rPr>
        <w:t>profits</w:t>
      </w:r>
      <w:r>
        <w:rPr>
          <w:rFonts w:ascii="Calibri" w:hAnsi="Calibri"/>
          <w:spacing w:val="65"/>
          <w:sz w:val="20"/>
          <w:vertAlign w:val="baseline"/>
        </w:rPr>
        <w:t> </w:t>
      </w:r>
      <w:r>
        <w:rPr>
          <w:rFonts w:ascii="Calibri" w:hAnsi="Calibri"/>
          <w:sz w:val="20"/>
          <w:vertAlign w:val="baseline"/>
        </w:rPr>
        <w:t>of industry?” See Berle, A.A., and Means C.G.,op.cit. at 333.</w:t>
      </w:r>
    </w:p>
    <w:p>
      <w:pPr>
        <w:spacing w:before="1"/>
        <w:ind w:left="308" w:right="0" w:firstLine="0"/>
        <w:jc w:val="left"/>
        <w:rPr>
          <w:rFonts w:ascii="Calibri"/>
          <w:sz w:val="20"/>
        </w:rPr>
      </w:pPr>
      <w:r>
        <w:rPr>
          <w:rFonts w:ascii="Calibri"/>
          <w:sz w:val="20"/>
          <w:vertAlign w:val="superscript"/>
        </w:rPr>
        <w:t>94</w:t>
      </w:r>
      <w:r>
        <w:rPr>
          <w:rFonts w:ascii="Calibri"/>
          <w:sz w:val="20"/>
          <w:vertAlign w:val="baseline"/>
        </w:rPr>
        <w:t>(1897)</w:t>
      </w:r>
      <w:r>
        <w:rPr>
          <w:rFonts w:ascii="Calibri"/>
          <w:spacing w:val="-4"/>
          <w:sz w:val="20"/>
          <w:vertAlign w:val="baseline"/>
        </w:rPr>
        <w:t> </w:t>
      </w:r>
      <w:r>
        <w:rPr>
          <w:rFonts w:ascii="Calibri"/>
          <w:sz w:val="20"/>
          <w:vertAlign w:val="baseline"/>
        </w:rPr>
        <w:t>A.C.,</w:t>
      </w:r>
      <w:r>
        <w:rPr>
          <w:rFonts w:ascii="Calibri"/>
          <w:spacing w:val="-7"/>
          <w:sz w:val="20"/>
          <w:vertAlign w:val="baseline"/>
        </w:rPr>
        <w:t> </w:t>
      </w:r>
      <w:r>
        <w:rPr>
          <w:rFonts w:ascii="Calibri"/>
          <w:spacing w:val="-5"/>
          <w:sz w:val="20"/>
          <w:vertAlign w:val="baseline"/>
        </w:rPr>
        <w:t>22.</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182"/>
        <w:jc w:val="both"/>
      </w:pPr>
      <w:r>
        <w:rPr/>
        <w:t>corporation?</w:t>
      </w:r>
      <w:r>
        <w:rPr>
          <w:spacing w:val="-15"/>
        </w:rPr>
        <w:t> </w:t>
      </w:r>
      <w:r>
        <w:rPr/>
        <w:t>It</w:t>
      </w:r>
      <w:r>
        <w:rPr>
          <w:spacing w:val="-15"/>
        </w:rPr>
        <w:t> </w:t>
      </w:r>
      <w:r>
        <w:rPr/>
        <w:t>was</w:t>
      </w:r>
      <w:r>
        <w:rPr>
          <w:spacing w:val="-15"/>
        </w:rPr>
        <w:t> </w:t>
      </w:r>
      <w:r>
        <w:rPr/>
        <w:t>decided</w:t>
      </w:r>
      <w:r>
        <w:rPr>
          <w:spacing w:val="-11"/>
        </w:rPr>
        <w:t> </w:t>
      </w:r>
      <w:r>
        <w:rPr/>
        <w:t>in</w:t>
      </w:r>
      <w:r>
        <w:rPr>
          <w:spacing w:val="-15"/>
        </w:rPr>
        <w:t> </w:t>
      </w:r>
      <w:r>
        <w:rPr>
          <w:b/>
        </w:rPr>
        <w:t>Macaura</w:t>
      </w:r>
      <w:r>
        <w:rPr>
          <w:b/>
          <w:spacing w:val="-14"/>
        </w:rPr>
        <w:t> </w:t>
      </w:r>
      <w:r>
        <w:rPr>
          <w:b/>
        </w:rPr>
        <w:t>vs.</w:t>
      </w:r>
      <w:r>
        <w:rPr>
          <w:b/>
          <w:spacing w:val="-13"/>
        </w:rPr>
        <w:t> </w:t>
      </w:r>
      <w:r>
        <w:rPr>
          <w:b/>
        </w:rPr>
        <w:t>Northern</w:t>
      </w:r>
      <w:r>
        <w:rPr>
          <w:b/>
          <w:spacing w:val="-14"/>
        </w:rPr>
        <w:t> </w:t>
      </w:r>
      <w:r>
        <w:rPr>
          <w:b/>
        </w:rPr>
        <w:t>Assurance</w:t>
      </w:r>
      <w:r>
        <w:rPr>
          <w:vertAlign w:val="superscript"/>
        </w:rPr>
        <w:t>95</w:t>
      </w:r>
      <w:r>
        <w:rPr>
          <w:spacing w:val="-13"/>
          <w:vertAlign w:val="baseline"/>
        </w:rPr>
        <w:t> </w:t>
      </w:r>
      <w:r>
        <w:rPr>
          <w:vertAlign w:val="baseline"/>
        </w:rPr>
        <w:t>that</w:t>
      </w:r>
      <w:r>
        <w:rPr>
          <w:spacing w:val="-14"/>
          <w:vertAlign w:val="baseline"/>
        </w:rPr>
        <w:t> </w:t>
      </w:r>
      <w:r>
        <w:rPr>
          <w:vertAlign w:val="baseline"/>
        </w:rPr>
        <w:t>―the</w:t>
      </w:r>
      <w:r>
        <w:rPr>
          <w:spacing w:val="-15"/>
          <w:vertAlign w:val="baseline"/>
        </w:rPr>
        <w:t> </w:t>
      </w:r>
      <w:r>
        <w:rPr>
          <w:vertAlign w:val="baseline"/>
        </w:rPr>
        <w:t>corporator, even if he holds all the shares, is not the corporation...‖</w:t>
      </w:r>
      <w:r>
        <w:rPr>
          <w:vertAlign w:val="superscript"/>
        </w:rPr>
        <w:t>96</w:t>
      </w:r>
      <w:r>
        <w:rPr>
          <w:vertAlign w:val="baseline"/>
        </w:rPr>
        <w:t> Conclusively, therefore, the company has no owner as even the shareholder or member, does not own the company, but at</w:t>
      </w:r>
      <w:r>
        <w:rPr>
          <w:spacing w:val="-2"/>
          <w:vertAlign w:val="baseline"/>
        </w:rPr>
        <w:t> </w:t>
      </w:r>
      <w:r>
        <w:rPr>
          <w:vertAlign w:val="baseline"/>
        </w:rPr>
        <w:t>the most,</w:t>
      </w:r>
      <w:r>
        <w:rPr>
          <w:spacing w:val="-5"/>
          <w:vertAlign w:val="baseline"/>
        </w:rPr>
        <w:t> </w:t>
      </w:r>
      <w:r>
        <w:rPr>
          <w:vertAlign w:val="baseline"/>
        </w:rPr>
        <w:t>only has a </w:t>
      </w:r>
      <w:r>
        <w:rPr>
          <w:i/>
          <w:vertAlign w:val="baseline"/>
        </w:rPr>
        <w:t>transferableinterest </w:t>
      </w:r>
      <w:r>
        <w:rPr>
          <w:vertAlign w:val="baseline"/>
        </w:rPr>
        <w:t>in it.</w:t>
      </w:r>
      <w:r>
        <w:rPr>
          <w:vertAlign w:val="superscript"/>
        </w:rPr>
        <w:t>97</w:t>
      </w:r>
      <w:r>
        <w:rPr>
          <w:vertAlign w:val="baseline"/>
        </w:rPr>
        <w:t> It is a fact that company law often requires directors to act in the best interests of the company.</w:t>
      </w:r>
      <w:r>
        <w:rPr>
          <w:vertAlign w:val="superscript"/>
        </w:rPr>
        <w:t>98</w:t>
      </w:r>
      <w:r>
        <w:rPr>
          <w:vertAlign w:val="baseline"/>
        </w:rPr>
        <w:t> But since </w:t>
      </w:r>
      <w:r>
        <w:rPr>
          <w:i/>
          <w:vertAlign w:val="baseline"/>
        </w:rPr>
        <w:t>the company </w:t>
      </w:r>
      <w:r>
        <w:rPr>
          <w:vertAlign w:val="baseline"/>
        </w:rPr>
        <w:t>is an abstract—and in order to lend some practicality to the rule—it has been held that the interests of the company is akin to the interests of all its members.</w:t>
      </w:r>
      <w:r>
        <w:rPr>
          <w:vertAlign w:val="superscript"/>
        </w:rPr>
        <w:t>99</w:t>
      </w:r>
    </w:p>
    <w:p>
      <w:pPr>
        <w:pStyle w:val="BodyText"/>
        <w:spacing w:line="480" w:lineRule="auto" w:before="1"/>
        <w:ind w:right="180" w:firstLine="720"/>
        <w:jc w:val="both"/>
      </w:pPr>
      <w:r>
        <w:rPr/>
        <w:t>Berle likened the corporation to the </w:t>
      </w:r>
      <w:r>
        <w:rPr>
          <w:i/>
        </w:rPr>
        <w:t>private property </w:t>
      </w:r>
      <w:r>
        <w:rPr/>
        <w:t>of its shareholders.</w:t>
      </w:r>
      <w:r>
        <w:rPr>
          <w:vertAlign w:val="superscript"/>
        </w:rPr>
        <w:t>100</w:t>
      </w:r>
      <w:r>
        <w:rPr>
          <w:vertAlign w:val="baseline"/>
        </w:rPr>
        <w:t> Therefore, ―all powers granted to a corporation or to the management of a corporation are necessarily and at all times exercisable only for the ratable benefit of all the shareholders as their interest appears.‖</w:t>
      </w:r>
      <w:r>
        <w:rPr>
          <w:vertAlign w:val="superscript"/>
        </w:rPr>
        <w:t>101</w:t>
      </w:r>
      <w:r>
        <w:rPr>
          <w:vertAlign w:val="baseline"/>
        </w:rPr>
        <w:t> He argued that directors should not, as managers of companies, have any responsibilities other than to the shareholders of their companies, for whom money was to be made.</w:t>
      </w:r>
      <w:r>
        <w:rPr>
          <w:vertAlign w:val="superscript"/>
        </w:rPr>
        <w:t>102</w:t>
      </w:r>
      <w:r>
        <w:rPr>
          <w:vertAlign w:val="baseline"/>
        </w:rPr>
        <w:t> In essence, shareholders are like</w:t>
      </w:r>
      <w:r>
        <w:rPr>
          <w:spacing w:val="80"/>
          <w:vertAlign w:val="baseline"/>
        </w:rPr>
        <w:t> </w:t>
      </w:r>
      <w:r>
        <w:rPr>
          <w:i/>
          <w:vertAlign w:val="baseline"/>
        </w:rPr>
        <w:t>owners </w:t>
      </w:r>
      <w:r>
        <w:rPr>
          <w:vertAlign w:val="baseline"/>
        </w:rPr>
        <w:t>of the corporation, while directors managing the corporation are </w:t>
      </w:r>
      <w:r>
        <w:rPr>
          <w:i/>
          <w:vertAlign w:val="baseline"/>
        </w:rPr>
        <w:t>trustees </w:t>
      </w:r>
      <w:r>
        <w:rPr>
          <w:vertAlign w:val="baseline"/>
        </w:rPr>
        <w:t>and </w:t>
      </w:r>
      <w:r>
        <w:rPr>
          <w:i/>
          <w:vertAlign w:val="baseline"/>
        </w:rPr>
        <w:t>agents </w:t>
      </w:r>
      <w:r>
        <w:rPr>
          <w:vertAlign w:val="baseline"/>
        </w:rPr>
        <w:t>for the owners. In the words of Berle and Means,</w:t>
      </w:r>
    </w:p>
    <w:p>
      <w:pPr>
        <w:spacing w:line="240" w:lineRule="auto" w:before="2"/>
        <w:ind w:left="2007" w:right="1889" w:firstLine="0"/>
        <w:jc w:val="both"/>
        <w:rPr>
          <w:i/>
          <w:sz w:val="24"/>
        </w:rPr>
      </w:pPr>
      <w:r>
        <w:rPr>
          <w:i/>
          <w:sz w:val="24"/>
        </w:rPr>
        <w:t>Wherever one man or a group of men entrusted another man or group with the management of property,</w:t>
      </w:r>
      <w:r>
        <w:rPr>
          <w:i/>
          <w:spacing w:val="46"/>
          <w:sz w:val="24"/>
        </w:rPr>
        <w:t> </w:t>
      </w:r>
      <w:r>
        <w:rPr>
          <w:i/>
          <w:sz w:val="24"/>
        </w:rPr>
        <w:t>the</w:t>
      </w:r>
      <w:r>
        <w:rPr>
          <w:i/>
          <w:spacing w:val="52"/>
          <w:sz w:val="24"/>
        </w:rPr>
        <w:t> </w:t>
      </w:r>
      <w:r>
        <w:rPr>
          <w:i/>
          <w:sz w:val="24"/>
        </w:rPr>
        <w:t>second</w:t>
      </w:r>
      <w:r>
        <w:rPr>
          <w:i/>
          <w:spacing w:val="48"/>
          <w:sz w:val="24"/>
        </w:rPr>
        <w:t> </w:t>
      </w:r>
      <w:r>
        <w:rPr>
          <w:i/>
          <w:sz w:val="24"/>
        </w:rPr>
        <w:t>group</w:t>
      </w:r>
      <w:r>
        <w:rPr>
          <w:i/>
          <w:spacing w:val="47"/>
          <w:sz w:val="24"/>
        </w:rPr>
        <w:t> </w:t>
      </w:r>
      <w:r>
        <w:rPr>
          <w:i/>
          <w:sz w:val="24"/>
        </w:rPr>
        <w:t>became</w:t>
      </w:r>
      <w:r>
        <w:rPr>
          <w:i/>
          <w:spacing w:val="51"/>
          <w:sz w:val="24"/>
        </w:rPr>
        <w:t> </w:t>
      </w:r>
      <w:r>
        <w:rPr>
          <w:i/>
          <w:sz w:val="24"/>
        </w:rPr>
        <w:t>fiduciaries.</w:t>
      </w:r>
      <w:r>
        <w:rPr>
          <w:i/>
          <w:spacing w:val="50"/>
          <w:sz w:val="24"/>
        </w:rPr>
        <w:t> </w:t>
      </w:r>
      <w:r>
        <w:rPr>
          <w:i/>
          <w:spacing w:val="-5"/>
          <w:sz w:val="24"/>
        </w:rPr>
        <w:t>As</w:t>
      </w:r>
    </w:p>
    <w:p>
      <w:pPr>
        <w:pStyle w:val="BodyText"/>
        <w:spacing w:before="136"/>
        <w:ind w:left="0"/>
        <w:rPr>
          <w:i/>
          <w:sz w:val="20"/>
        </w:rPr>
      </w:pPr>
      <w:r>
        <w:rPr/>
        <mc:AlternateContent>
          <mc:Choice Requires="wps">
            <w:drawing>
              <wp:anchor distT="0" distB="0" distL="0" distR="0" allowOverlap="1" layoutInCell="1" locked="0" behindDoc="1" simplePos="0" relativeHeight="487646720">
                <wp:simplePos x="0" y="0"/>
                <wp:positionH relativeFrom="page">
                  <wp:posOffset>1262481</wp:posOffset>
                </wp:positionH>
                <wp:positionV relativeFrom="paragraph">
                  <wp:posOffset>247886</wp:posOffset>
                </wp:positionV>
                <wp:extent cx="1829435" cy="9525"/>
                <wp:effectExtent l="0" t="0" r="0" b="0"/>
                <wp:wrapTopAndBottom/>
                <wp:docPr id="128" name="Graphic 128"/>
                <wp:cNvGraphicFramePr>
                  <a:graphicFrameLocks/>
                </wp:cNvGraphicFramePr>
                <a:graphic>
                  <a:graphicData uri="http://schemas.microsoft.com/office/word/2010/wordprocessingShape">
                    <wps:wsp>
                      <wps:cNvPr id="128" name="Graphic 128"/>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518642pt;width:144.050pt;height:.72003pt;mso-position-horizontal-relative:page;mso-position-vertical-relative:paragraph;z-index:-15669760;mso-wrap-distance-left:0;mso-wrap-distance-right:0" id="docshape83"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95</w:t>
      </w:r>
      <w:r>
        <w:rPr>
          <w:rFonts w:ascii="Calibri"/>
          <w:sz w:val="20"/>
          <w:vertAlign w:val="baseline"/>
        </w:rPr>
        <w:t>(1925)</w:t>
      </w:r>
      <w:r>
        <w:rPr>
          <w:rFonts w:ascii="Calibri"/>
          <w:spacing w:val="-5"/>
          <w:sz w:val="20"/>
          <w:vertAlign w:val="baseline"/>
        </w:rPr>
        <w:t> </w:t>
      </w:r>
      <w:r>
        <w:rPr>
          <w:rFonts w:ascii="Calibri"/>
          <w:sz w:val="20"/>
          <w:vertAlign w:val="baseline"/>
        </w:rPr>
        <w:t>A.C.</w:t>
      </w:r>
      <w:r>
        <w:rPr>
          <w:rFonts w:ascii="Calibri"/>
          <w:spacing w:val="-3"/>
          <w:sz w:val="20"/>
          <w:vertAlign w:val="baseline"/>
        </w:rPr>
        <w:t> </w:t>
      </w:r>
      <w:r>
        <w:rPr>
          <w:rFonts w:ascii="Calibri"/>
          <w:spacing w:val="-4"/>
          <w:sz w:val="20"/>
          <w:vertAlign w:val="baseline"/>
        </w:rPr>
        <w:t>619.</w:t>
      </w:r>
    </w:p>
    <w:p>
      <w:pPr>
        <w:spacing w:before="1"/>
        <w:ind w:left="308" w:right="0" w:firstLine="0"/>
        <w:jc w:val="left"/>
        <w:rPr>
          <w:rFonts w:ascii="Calibri"/>
          <w:sz w:val="20"/>
        </w:rPr>
      </w:pPr>
      <w:r>
        <w:rPr>
          <w:rFonts w:ascii="Calibri"/>
          <w:sz w:val="20"/>
          <w:vertAlign w:val="superscript"/>
        </w:rPr>
        <w:t>96</w:t>
      </w:r>
      <w:r>
        <w:rPr>
          <w:rFonts w:ascii="Calibri"/>
          <w:sz w:val="20"/>
          <w:vertAlign w:val="baseline"/>
        </w:rPr>
        <w:t>Per</w:t>
      </w:r>
      <w:r>
        <w:rPr>
          <w:rFonts w:ascii="Calibri"/>
          <w:spacing w:val="-5"/>
          <w:sz w:val="20"/>
          <w:vertAlign w:val="baseline"/>
        </w:rPr>
        <w:t> </w:t>
      </w:r>
      <w:r>
        <w:rPr>
          <w:rFonts w:ascii="Calibri"/>
          <w:sz w:val="20"/>
          <w:vertAlign w:val="baseline"/>
        </w:rPr>
        <w:t>Lord</w:t>
      </w:r>
      <w:r>
        <w:rPr>
          <w:rFonts w:ascii="Calibri"/>
          <w:spacing w:val="-2"/>
          <w:sz w:val="20"/>
          <w:vertAlign w:val="baseline"/>
        </w:rPr>
        <w:t> </w:t>
      </w:r>
      <w:r>
        <w:rPr>
          <w:rFonts w:ascii="Calibri"/>
          <w:sz w:val="20"/>
          <w:vertAlign w:val="baseline"/>
        </w:rPr>
        <w:t>Wrenbury,</w:t>
      </w:r>
      <w:r>
        <w:rPr>
          <w:rFonts w:ascii="Calibri"/>
          <w:spacing w:val="-4"/>
          <w:sz w:val="20"/>
          <w:vertAlign w:val="baseline"/>
        </w:rPr>
        <w:t> </w:t>
      </w:r>
      <w:r>
        <w:rPr>
          <w:rFonts w:ascii="Calibri"/>
          <w:sz w:val="20"/>
          <w:vertAlign w:val="baseline"/>
        </w:rPr>
        <w:t>at</w:t>
      </w:r>
      <w:r>
        <w:rPr>
          <w:rFonts w:ascii="Calibri"/>
          <w:spacing w:val="-7"/>
          <w:sz w:val="20"/>
          <w:vertAlign w:val="baseline"/>
        </w:rPr>
        <w:t> </w:t>
      </w:r>
      <w:r>
        <w:rPr>
          <w:rFonts w:ascii="Calibri"/>
          <w:sz w:val="20"/>
          <w:vertAlign w:val="baseline"/>
        </w:rPr>
        <w:t>page</w:t>
      </w:r>
      <w:r>
        <w:rPr>
          <w:rFonts w:ascii="Calibri"/>
          <w:spacing w:val="-2"/>
          <w:sz w:val="20"/>
          <w:vertAlign w:val="baseline"/>
        </w:rPr>
        <w:t> </w:t>
      </w:r>
      <w:r>
        <w:rPr>
          <w:rFonts w:ascii="Calibri"/>
          <w:spacing w:val="-4"/>
          <w:sz w:val="20"/>
          <w:vertAlign w:val="baseline"/>
        </w:rPr>
        <w:t>633.</w:t>
      </w:r>
    </w:p>
    <w:p>
      <w:pPr>
        <w:spacing w:before="0"/>
        <w:ind w:left="308" w:right="0" w:firstLine="0"/>
        <w:jc w:val="left"/>
        <w:rPr>
          <w:rFonts w:ascii="Calibri"/>
          <w:sz w:val="20"/>
        </w:rPr>
      </w:pPr>
      <w:r>
        <w:rPr>
          <w:rFonts w:ascii="Calibri"/>
          <w:sz w:val="20"/>
          <w:vertAlign w:val="superscript"/>
        </w:rPr>
        <w:t>97</w:t>
      </w:r>
      <w:r>
        <w:rPr>
          <w:rFonts w:ascii="Calibri"/>
          <w:spacing w:val="31"/>
          <w:sz w:val="20"/>
          <w:vertAlign w:val="baseline"/>
        </w:rPr>
        <w:t> </w:t>
      </w:r>
      <w:r>
        <w:rPr>
          <w:rFonts w:ascii="Calibri"/>
          <w:sz w:val="20"/>
          <w:vertAlign w:val="baseline"/>
        </w:rPr>
        <w:t>See</w:t>
      </w:r>
      <w:r>
        <w:rPr>
          <w:rFonts w:ascii="Calibri"/>
          <w:spacing w:val="31"/>
          <w:sz w:val="20"/>
          <w:vertAlign w:val="baseline"/>
        </w:rPr>
        <w:t> </w:t>
      </w:r>
      <w:r>
        <w:rPr>
          <w:rFonts w:ascii="Calibri"/>
          <w:i/>
          <w:sz w:val="20"/>
          <w:vertAlign w:val="baseline"/>
        </w:rPr>
        <w:t>Short</w:t>
      </w:r>
      <w:r>
        <w:rPr>
          <w:rFonts w:ascii="Calibri"/>
          <w:i/>
          <w:spacing w:val="24"/>
          <w:sz w:val="20"/>
          <w:vertAlign w:val="baseline"/>
        </w:rPr>
        <w:t> </w:t>
      </w:r>
      <w:r>
        <w:rPr>
          <w:rFonts w:ascii="Calibri"/>
          <w:i/>
          <w:sz w:val="20"/>
          <w:vertAlign w:val="baseline"/>
        </w:rPr>
        <w:t>vs.</w:t>
      </w:r>
      <w:r>
        <w:rPr>
          <w:rFonts w:ascii="Calibri"/>
          <w:i/>
          <w:spacing w:val="31"/>
          <w:sz w:val="20"/>
          <w:vertAlign w:val="baseline"/>
        </w:rPr>
        <w:t> </w:t>
      </w:r>
      <w:r>
        <w:rPr>
          <w:rFonts w:ascii="Calibri"/>
          <w:i/>
          <w:sz w:val="20"/>
          <w:vertAlign w:val="baseline"/>
        </w:rPr>
        <w:t>Treasury</w:t>
      </w:r>
      <w:r>
        <w:rPr>
          <w:rFonts w:ascii="Calibri"/>
          <w:i/>
          <w:spacing w:val="30"/>
          <w:sz w:val="20"/>
          <w:vertAlign w:val="baseline"/>
        </w:rPr>
        <w:t> </w:t>
      </w:r>
      <w:r>
        <w:rPr>
          <w:rFonts w:ascii="Calibri"/>
          <w:i/>
          <w:sz w:val="20"/>
          <w:vertAlign w:val="baseline"/>
        </w:rPr>
        <w:t>Commissioners</w:t>
      </w:r>
      <w:r>
        <w:rPr>
          <w:rFonts w:ascii="Calibri"/>
          <w:i/>
          <w:spacing w:val="26"/>
          <w:sz w:val="20"/>
          <w:vertAlign w:val="baseline"/>
        </w:rPr>
        <w:t> </w:t>
      </w:r>
      <w:r>
        <w:rPr>
          <w:rFonts w:ascii="Calibri"/>
          <w:sz w:val="20"/>
          <w:vertAlign w:val="baseline"/>
        </w:rPr>
        <w:t>(1948)</w:t>
      </w:r>
      <w:r>
        <w:rPr>
          <w:rFonts w:ascii="Calibri"/>
          <w:spacing w:val="31"/>
          <w:sz w:val="20"/>
          <w:vertAlign w:val="baseline"/>
        </w:rPr>
        <w:t> </w:t>
      </w:r>
      <w:r>
        <w:rPr>
          <w:rFonts w:ascii="Calibri"/>
          <w:sz w:val="20"/>
          <w:vertAlign w:val="baseline"/>
        </w:rPr>
        <w:t>1</w:t>
      </w:r>
      <w:r>
        <w:rPr>
          <w:rFonts w:ascii="Calibri"/>
          <w:spacing w:val="28"/>
          <w:sz w:val="20"/>
          <w:vertAlign w:val="baseline"/>
        </w:rPr>
        <w:t> </w:t>
      </w:r>
      <w:r>
        <w:rPr>
          <w:rFonts w:ascii="Calibri"/>
          <w:sz w:val="20"/>
          <w:vertAlign w:val="baseline"/>
        </w:rPr>
        <w:t>KB</w:t>
      </w:r>
      <w:r>
        <w:rPr>
          <w:rFonts w:ascii="Calibri"/>
          <w:spacing w:val="26"/>
          <w:sz w:val="20"/>
          <w:vertAlign w:val="baseline"/>
        </w:rPr>
        <w:t> </w:t>
      </w:r>
      <w:r>
        <w:rPr>
          <w:rFonts w:ascii="Calibri"/>
          <w:sz w:val="20"/>
          <w:vertAlign w:val="baseline"/>
        </w:rPr>
        <w:t>116</w:t>
      </w:r>
      <w:r>
        <w:rPr>
          <w:rFonts w:ascii="Calibri"/>
          <w:spacing w:val="28"/>
          <w:sz w:val="20"/>
          <w:vertAlign w:val="baseline"/>
        </w:rPr>
        <w:t> </w:t>
      </w:r>
      <w:r>
        <w:rPr>
          <w:rFonts w:ascii="Calibri"/>
          <w:sz w:val="20"/>
          <w:vertAlign w:val="baseline"/>
        </w:rPr>
        <w:t>at</w:t>
      </w:r>
      <w:r>
        <w:rPr>
          <w:rFonts w:ascii="Calibri"/>
          <w:spacing w:val="29"/>
          <w:sz w:val="20"/>
          <w:vertAlign w:val="baseline"/>
        </w:rPr>
        <w:t> </w:t>
      </w:r>
      <w:r>
        <w:rPr>
          <w:rFonts w:ascii="Calibri"/>
          <w:sz w:val="20"/>
          <w:vertAlign w:val="baseline"/>
        </w:rPr>
        <w:t>122</w:t>
      </w:r>
      <w:r>
        <w:rPr>
          <w:rFonts w:ascii="Calibri"/>
          <w:spacing w:val="28"/>
          <w:sz w:val="20"/>
          <w:vertAlign w:val="baseline"/>
        </w:rPr>
        <w:t> </w:t>
      </w:r>
      <w:r>
        <w:rPr>
          <w:rFonts w:ascii="Calibri"/>
          <w:sz w:val="20"/>
          <w:vertAlign w:val="baseline"/>
        </w:rPr>
        <w:t>where</w:t>
      </w:r>
      <w:r>
        <w:rPr>
          <w:rFonts w:ascii="Calibri"/>
          <w:spacing w:val="25"/>
          <w:sz w:val="20"/>
          <w:vertAlign w:val="baseline"/>
        </w:rPr>
        <w:t> </w:t>
      </w:r>
      <w:r>
        <w:rPr>
          <w:rFonts w:ascii="Calibri"/>
          <w:sz w:val="20"/>
          <w:vertAlign w:val="baseline"/>
        </w:rPr>
        <w:t>Lord</w:t>
      </w:r>
      <w:r>
        <w:rPr>
          <w:rFonts w:ascii="Calibri"/>
          <w:spacing w:val="29"/>
          <w:sz w:val="20"/>
          <w:vertAlign w:val="baseline"/>
        </w:rPr>
        <w:t> </w:t>
      </w:r>
      <w:r>
        <w:rPr>
          <w:rFonts w:ascii="Calibri"/>
          <w:sz w:val="20"/>
          <w:vertAlign w:val="baseline"/>
        </w:rPr>
        <w:t>Justice</w:t>
      </w:r>
      <w:r>
        <w:rPr>
          <w:rFonts w:ascii="Calibri"/>
          <w:spacing w:val="30"/>
          <w:sz w:val="20"/>
          <w:vertAlign w:val="baseline"/>
        </w:rPr>
        <w:t> </w:t>
      </w:r>
      <w:r>
        <w:rPr>
          <w:rFonts w:ascii="Calibri"/>
          <w:sz w:val="20"/>
          <w:vertAlign w:val="baseline"/>
        </w:rPr>
        <w:t>Evershed</w:t>
      </w:r>
      <w:r>
        <w:rPr>
          <w:rFonts w:ascii="Calibri"/>
          <w:spacing w:val="29"/>
          <w:sz w:val="20"/>
          <w:vertAlign w:val="baseline"/>
        </w:rPr>
        <w:t> </w:t>
      </w:r>
      <w:r>
        <w:rPr>
          <w:rFonts w:ascii="Calibri"/>
          <w:sz w:val="20"/>
          <w:vertAlign w:val="baseline"/>
        </w:rPr>
        <w:t>of</w:t>
      </w:r>
      <w:r>
        <w:rPr>
          <w:rFonts w:ascii="Calibri"/>
          <w:spacing w:val="30"/>
          <w:sz w:val="20"/>
          <w:vertAlign w:val="baseline"/>
        </w:rPr>
        <w:t> </w:t>
      </w:r>
      <w:r>
        <w:rPr>
          <w:rFonts w:ascii="Calibri"/>
          <w:sz w:val="20"/>
          <w:vertAlign w:val="baseline"/>
        </w:rPr>
        <w:t>the English Court of Appeal refused the supposition that shareholders were the owners of the company.</w:t>
      </w:r>
    </w:p>
    <w:p>
      <w:pPr>
        <w:spacing w:line="240" w:lineRule="auto" w:before="0"/>
        <w:ind w:left="308" w:right="229" w:firstLine="0"/>
        <w:jc w:val="both"/>
        <w:rPr>
          <w:rFonts w:ascii="Calibri"/>
          <w:sz w:val="20"/>
        </w:rPr>
      </w:pPr>
      <w:r>
        <w:rPr>
          <w:rFonts w:ascii="Calibri"/>
          <w:sz w:val="20"/>
          <w:vertAlign w:val="superscript"/>
        </w:rPr>
        <w:t>98</w:t>
      </w:r>
      <w:r>
        <w:rPr>
          <w:rFonts w:ascii="Calibri"/>
          <w:sz w:val="20"/>
          <w:vertAlign w:val="baseline"/>
        </w:rPr>
        <w:t> See for instance s. 8.30(a) of the United States Model Business Corporation Act; s. 181(1) Australian Corporations</w:t>
      </w:r>
      <w:r>
        <w:rPr>
          <w:rFonts w:ascii="Calibri"/>
          <w:spacing w:val="-3"/>
          <w:sz w:val="20"/>
          <w:vertAlign w:val="baseline"/>
        </w:rPr>
        <w:t> </w:t>
      </w:r>
      <w:r>
        <w:rPr>
          <w:rFonts w:ascii="Calibri"/>
          <w:sz w:val="20"/>
          <w:vertAlign w:val="baseline"/>
        </w:rPr>
        <w:t>Act</w:t>
      </w:r>
      <w:r>
        <w:rPr>
          <w:rFonts w:ascii="Calibri"/>
          <w:spacing w:val="-1"/>
          <w:sz w:val="20"/>
          <w:vertAlign w:val="baseline"/>
        </w:rPr>
        <w:t> </w:t>
      </w:r>
      <w:r>
        <w:rPr>
          <w:rFonts w:ascii="Calibri"/>
          <w:sz w:val="20"/>
          <w:vertAlign w:val="baseline"/>
        </w:rPr>
        <w:t>2001;</w:t>
      </w:r>
      <w:r>
        <w:rPr>
          <w:rFonts w:ascii="Calibri"/>
          <w:spacing w:val="-2"/>
          <w:sz w:val="20"/>
          <w:vertAlign w:val="baseline"/>
        </w:rPr>
        <w:t> </w:t>
      </w:r>
      <w:r>
        <w:rPr>
          <w:rFonts w:ascii="Calibri"/>
          <w:sz w:val="20"/>
          <w:vertAlign w:val="baseline"/>
        </w:rPr>
        <w:t>s. 122(1) (a) Canada</w:t>
      </w:r>
      <w:r>
        <w:rPr>
          <w:rFonts w:ascii="Calibri"/>
          <w:spacing w:val="-5"/>
          <w:sz w:val="20"/>
          <w:vertAlign w:val="baseline"/>
        </w:rPr>
        <w:t> </w:t>
      </w:r>
      <w:r>
        <w:rPr>
          <w:rFonts w:ascii="Calibri"/>
          <w:sz w:val="20"/>
          <w:vertAlign w:val="baseline"/>
        </w:rPr>
        <w:t>Business</w:t>
      </w:r>
      <w:r>
        <w:rPr>
          <w:rFonts w:ascii="Calibri"/>
          <w:spacing w:val="-3"/>
          <w:sz w:val="20"/>
          <w:vertAlign w:val="baseline"/>
        </w:rPr>
        <w:t> </w:t>
      </w:r>
      <w:r>
        <w:rPr>
          <w:rFonts w:ascii="Calibri"/>
          <w:sz w:val="20"/>
          <w:vertAlign w:val="baseline"/>
        </w:rPr>
        <w:t>Corporations</w:t>
      </w:r>
      <w:r>
        <w:rPr>
          <w:rFonts w:ascii="Calibri"/>
          <w:spacing w:val="-3"/>
          <w:sz w:val="20"/>
          <w:vertAlign w:val="baseline"/>
        </w:rPr>
        <w:t> </w:t>
      </w:r>
      <w:r>
        <w:rPr>
          <w:rFonts w:ascii="Calibri"/>
          <w:sz w:val="20"/>
          <w:vertAlign w:val="baseline"/>
        </w:rPr>
        <w:t>Act</w:t>
      </w:r>
      <w:r>
        <w:rPr>
          <w:rFonts w:ascii="Calibri"/>
          <w:spacing w:val="-1"/>
          <w:sz w:val="20"/>
          <w:vertAlign w:val="baseline"/>
        </w:rPr>
        <w:t> </w:t>
      </w:r>
      <w:r>
        <w:rPr>
          <w:rFonts w:ascii="Calibri"/>
          <w:sz w:val="20"/>
          <w:vertAlign w:val="baseline"/>
        </w:rPr>
        <w:t>1985;</w:t>
      </w:r>
      <w:r>
        <w:rPr>
          <w:rFonts w:ascii="Calibri"/>
          <w:spacing w:val="-2"/>
          <w:sz w:val="20"/>
          <w:vertAlign w:val="baseline"/>
        </w:rPr>
        <w:t> </w:t>
      </w:r>
      <w:r>
        <w:rPr>
          <w:rFonts w:ascii="Calibri"/>
          <w:sz w:val="20"/>
          <w:vertAlign w:val="baseline"/>
        </w:rPr>
        <w:t>s. 172(1) UK Companies</w:t>
      </w:r>
      <w:r>
        <w:rPr>
          <w:rFonts w:ascii="Calibri"/>
          <w:spacing w:val="-3"/>
          <w:sz w:val="20"/>
          <w:vertAlign w:val="baseline"/>
        </w:rPr>
        <w:t> </w:t>
      </w:r>
      <w:r>
        <w:rPr>
          <w:rFonts w:ascii="Calibri"/>
          <w:sz w:val="20"/>
          <w:vertAlign w:val="baseline"/>
        </w:rPr>
        <w:t>Act 2006; s. 279(3) CAMA.</w:t>
      </w:r>
    </w:p>
    <w:p>
      <w:pPr>
        <w:spacing w:before="0"/>
        <w:ind w:left="308" w:right="228" w:firstLine="0"/>
        <w:jc w:val="both"/>
        <w:rPr>
          <w:rFonts w:ascii="Calibri" w:hAnsi="Calibri"/>
          <w:sz w:val="20"/>
        </w:rPr>
      </w:pPr>
      <w:r>
        <w:rPr>
          <w:rFonts w:ascii="Calibri" w:hAnsi="Calibri"/>
          <w:sz w:val="20"/>
          <w:vertAlign w:val="superscript"/>
        </w:rPr>
        <w:t>99</w:t>
      </w:r>
      <w:r>
        <w:rPr>
          <w:rFonts w:ascii="Calibri" w:hAnsi="Calibri"/>
          <w:sz w:val="20"/>
          <w:vertAlign w:val="baseline"/>
        </w:rPr>
        <w:t> In </w:t>
      </w:r>
      <w:r>
        <w:rPr>
          <w:rFonts w:ascii="Calibri" w:hAnsi="Calibri"/>
          <w:i/>
          <w:sz w:val="20"/>
          <w:vertAlign w:val="baseline"/>
        </w:rPr>
        <w:t>Brady vs. Brady </w:t>
      </w:r>
      <w:r>
        <w:rPr>
          <w:rFonts w:ascii="Calibri" w:hAnsi="Calibri"/>
          <w:sz w:val="20"/>
          <w:vertAlign w:val="baseline"/>
        </w:rPr>
        <w:t>(1988) B.C.L.C. 20 at 40, C.A., Nourse L.J also pointed out that “the interests of a company as an artificial person cannot be distinguished from the interests of the persons who are interested in it.”See also Birds, J. </w:t>
      </w:r>
      <w:r>
        <w:rPr>
          <w:rFonts w:ascii="Calibri" w:hAnsi="Calibri"/>
          <w:i/>
          <w:sz w:val="20"/>
          <w:vertAlign w:val="baseline"/>
        </w:rPr>
        <w:t>et al. op.cit. at</w:t>
      </w:r>
      <w:r>
        <w:rPr>
          <w:rFonts w:ascii="Calibri" w:hAnsi="Calibri"/>
          <w:sz w:val="20"/>
          <w:vertAlign w:val="baseline"/>
        </w:rPr>
        <w:t>pp.634 and 636 andalso Nigerian Law Reform Commission Report (1988) Vol. 1, p.210.</w:t>
      </w:r>
    </w:p>
    <w:p>
      <w:pPr>
        <w:spacing w:line="240" w:lineRule="auto" w:before="0"/>
        <w:ind w:left="308" w:right="229" w:firstLine="0"/>
        <w:jc w:val="both"/>
        <w:rPr>
          <w:rFonts w:ascii="Calibri" w:hAnsi="Calibri"/>
          <w:sz w:val="20"/>
        </w:rPr>
      </w:pPr>
      <w:r>
        <w:rPr>
          <w:rFonts w:ascii="Calibri" w:hAnsi="Calibri"/>
          <w:sz w:val="20"/>
          <w:vertAlign w:val="superscript"/>
        </w:rPr>
        <w:t>100</w:t>
      </w:r>
      <w:r>
        <w:rPr>
          <w:rFonts w:ascii="Calibri" w:hAnsi="Calibri"/>
          <w:sz w:val="20"/>
          <w:vertAlign w:val="baseline"/>
        </w:rPr>
        <w:t> See Berle,</w:t>
      </w:r>
      <w:r>
        <w:rPr>
          <w:rFonts w:ascii="Calibri" w:hAnsi="Calibri"/>
          <w:spacing w:val="-1"/>
          <w:sz w:val="20"/>
          <w:vertAlign w:val="baseline"/>
        </w:rPr>
        <w:t> </w:t>
      </w:r>
      <w:r>
        <w:rPr>
          <w:rFonts w:ascii="Calibri" w:hAnsi="Calibri"/>
          <w:sz w:val="20"/>
          <w:vertAlign w:val="baseline"/>
        </w:rPr>
        <w:t>A.A.,</w:t>
      </w:r>
      <w:r>
        <w:rPr>
          <w:rFonts w:ascii="Calibri" w:hAnsi="Calibri"/>
          <w:spacing w:val="-1"/>
          <w:sz w:val="20"/>
          <w:vertAlign w:val="baseline"/>
        </w:rPr>
        <w:t> </w:t>
      </w:r>
      <w:r>
        <w:rPr>
          <w:rFonts w:ascii="Calibri" w:hAnsi="Calibri"/>
          <w:sz w:val="20"/>
          <w:vertAlign w:val="baseline"/>
        </w:rPr>
        <w:t>and</w:t>
      </w:r>
      <w:r>
        <w:rPr>
          <w:rFonts w:ascii="Calibri" w:hAnsi="Calibri"/>
          <w:spacing w:val="-4"/>
          <w:sz w:val="20"/>
          <w:vertAlign w:val="baseline"/>
        </w:rPr>
        <w:t> </w:t>
      </w:r>
      <w:r>
        <w:rPr>
          <w:rFonts w:ascii="Calibri" w:hAnsi="Calibri"/>
          <w:sz w:val="20"/>
          <w:vertAlign w:val="baseline"/>
        </w:rPr>
        <w:t>Means</w:t>
      </w:r>
      <w:r>
        <w:rPr>
          <w:rFonts w:ascii="Calibri" w:hAnsi="Calibri"/>
          <w:spacing w:val="-1"/>
          <w:sz w:val="20"/>
          <w:vertAlign w:val="baseline"/>
        </w:rPr>
        <w:t> </w:t>
      </w:r>
      <w:r>
        <w:rPr>
          <w:rFonts w:ascii="Calibri" w:hAnsi="Calibri"/>
          <w:sz w:val="20"/>
          <w:vertAlign w:val="baseline"/>
        </w:rPr>
        <w:t>C.G., op.cit.</w:t>
      </w:r>
      <w:r>
        <w:rPr>
          <w:rFonts w:ascii="Calibri" w:hAnsi="Calibri"/>
          <w:spacing w:val="-2"/>
          <w:sz w:val="20"/>
          <w:vertAlign w:val="baseline"/>
        </w:rPr>
        <w:t> </w:t>
      </w:r>
      <w:r>
        <w:rPr>
          <w:rFonts w:ascii="Calibri" w:hAnsi="Calibri"/>
          <w:sz w:val="20"/>
          <w:vertAlign w:val="baseline"/>
        </w:rPr>
        <w:t>at 334.He believed</w:t>
      </w:r>
      <w:r>
        <w:rPr>
          <w:rFonts w:ascii="Calibri" w:hAnsi="Calibri"/>
          <w:spacing w:val="-4"/>
          <w:sz w:val="20"/>
          <w:vertAlign w:val="baseline"/>
        </w:rPr>
        <w:t> </w:t>
      </w:r>
      <w:r>
        <w:rPr>
          <w:rFonts w:ascii="Calibri" w:hAnsi="Calibri"/>
          <w:sz w:val="20"/>
          <w:vertAlign w:val="baseline"/>
        </w:rPr>
        <w:t>that owners</w:t>
      </w:r>
      <w:r>
        <w:rPr>
          <w:rFonts w:ascii="Calibri" w:hAnsi="Calibri"/>
          <w:spacing w:val="-1"/>
          <w:sz w:val="20"/>
          <w:vertAlign w:val="baseline"/>
        </w:rPr>
        <w:t> </w:t>
      </w:r>
      <w:r>
        <w:rPr>
          <w:rFonts w:ascii="Calibri" w:hAnsi="Calibri"/>
          <w:sz w:val="20"/>
          <w:vertAlign w:val="baseline"/>
        </w:rPr>
        <w:t>ought</w:t>
      </w:r>
      <w:r>
        <w:rPr>
          <w:rFonts w:ascii="Calibri" w:hAnsi="Calibri"/>
          <w:spacing w:val="-4"/>
          <w:sz w:val="20"/>
          <w:vertAlign w:val="baseline"/>
        </w:rPr>
        <w:t> </w:t>
      </w:r>
      <w:r>
        <w:rPr>
          <w:rFonts w:ascii="Calibri" w:hAnsi="Calibri"/>
          <w:sz w:val="20"/>
          <w:vertAlign w:val="baseline"/>
        </w:rPr>
        <w:t>to</w:t>
      </w:r>
      <w:r>
        <w:rPr>
          <w:rFonts w:ascii="Calibri" w:hAnsi="Calibri"/>
          <w:spacing w:val="-5"/>
          <w:sz w:val="20"/>
          <w:vertAlign w:val="baseline"/>
        </w:rPr>
        <w:t> </w:t>
      </w:r>
      <w:r>
        <w:rPr>
          <w:rFonts w:ascii="Calibri" w:hAnsi="Calibri"/>
          <w:sz w:val="20"/>
          <w:vertAlign w:val="baseline"/>
        </w:rPr>
        <w:t>receive</w:t>
      </w:r>
      <w:r>
        <w:rPr>
          <w:rFonts w:ascii="Calibri" w:hAnsi="Calibri"/>
          <w:spacing w:val="-3"/>
          <w:sz w:val="20"/>
          <w:vertAlign w:val="baseline"/>
        </w:rPr>
        <w:t> </w:t>
      </w:r>
      <w:r>
        <w:rPr>
          <w:rFonts w:ascii="Calibri" w:hAnsi="Calibri"/>
          <w:sz w:val="20"/>
          <w:vertAlign w:val="baseline"/>
        </w:rPr>
        <w:t>the</w:t>
      </w:r>
      <w:r>
        <w:rPr>
          <w:rFonts w:ascii="Calibri" w:hAnsi="Calibri"/>
          <w:spacing w:val="-4"/>
          <w:sz w:val="20"/>
          <w:vertAlign w:val="baseline"/>
        </w:rPr>
        <w:t> </w:t>
      </w:r>
      <w:r>
        <w:rPr>
          <w:rFonts w:ascii="Calibri" w:hAnsi="Calibri"/>
          <w:sz w:val="20"/>
          <w:vertAlign w:val="baseline"/>
        </w:rPr>
        <w:t>profits</w:t>
      </w:r>
      <w:r>
        <w:rPr>
          <w:rFonts w:ascii="Calibri" w:hAnsi="Calibri"/>
          <w:spacing w:val="-1"/>
          <w:sz w:val="20"/>
          <w:vertAlign w:val="baseline"/>
        </w:rPr>
        <w:t> </w:t>
      </w:r>
      <w:r>
        <w:rPr>
          <w:rFonts w:ascii="Calibri" w:hAnsi="Calibri"/>
          <w:sz w:val="20"/>
          <w:vertAlign w:val="baseline"/>
        </w:rPr>
        <w:t>of the corporation because they acquired ownership of the corporate venture and are the rightful benefactors of all corporate economic surplus to the exclusion of all non-owners. See also Stewart, F. (2011).Berle’s Conception of Shareholder Primacy: A Forgotten Perspective for Reconsideration During the Rise of Finance</w:t>
      </w:r>
      <w:r>
        <w:rPr>
          <w:rFonts w:ascii="Calibri" w:hAnsi="Calibri"/>
          <w:i/>
          <w:sz w:val="20"/>
          <w:vertAlign w:val="baseline"/>
        </w:rPr>
        <w:t>. Seattle University Law Review,</w:t>
      </w:r>
      <w:r>
        <w:rPr>
          <w:rFonts w:ascii="Calibri" w:hAnsi="Calibri"/>
          <w:sz w:val="20"/>
          <w:vertAlign w:val="baseline"/>
        </w:rPr>
        <w:t>34:1457-1499, at 1470.</w:t>
      </w:r>
    </w:p>
    <w:p>
      <w:pPr>
        <w:spacing w:before="1"/>
        <w:ind w:left="308" w:right="0" w:firstLine="0"/>
        <w:jc w:val="both"/>
        <w:rPr>
          <w:rFonts w:ascii="Calibri"/>
          <w:sz w:val="20"/>
        </w:rPr>
      </w:pPr>
      <w:r>
        <w:rPr>
          <w:rFonts w:ascii="Calibri"/>
          <w:sz w:val="20"/>
          <w:vertAlign w:val="superscript"/>
        </w:rPr>
        <w:t>101</w:t>
      </w:r>
      <w:r>
        <w:rPr>
          <w:rFonts w:ascii="Calibri"/>
          <w:sz w:val="20"/>
          <w:vertAlign w:val="baseline"/>
        </w:rPr>
        <w:t>Berle,</w:t>
      </w:r>
      <w:r>
        <w:rPr>
          <w:rFonts w:ascii="Calibri"/>
          <w:spacing w:val="-6"/>
          <w:sz w:val="20"/>
          <w:vertAlign w:val="baseline"/>
        </w:rPr>
        <w:t> </w:t>
      </w:r>
      <w:r>
        <w:rPr>
          <w:rFonts w:ascii="Calibri"/>
          <w:sz w:val="20"/>
          <w:vertAlign w:val="baseline"/>
        </w:rPr>
        <w:t>A.A.(1931).</w:t>
      </w:r>
      <w:r>
        <w:rPr>
          <w:rFonts w:ascii="Calibri"/>
          <w:spacing w:val="-4"/>
          <w:sz w:val="20"/>
          <w:vertAlign w:val="baseline"/>
        </w:rPr>
        <w:t> </w:t>
      </w:r>
      <w:r>
        <w:rPr>
          <w:rFonts w:ascii="Calibri"/>
          <w:sz w:val="20"/>
          <w:vertAlign w:val="baseline"/>
        </w:rPr>
        <w:t>Op.cit.,at</w:t>
      </w:r>
      <w:r>
        <w:rPr>
          <w:rFonts w:ascii="Calibri"/>
          <w:spacing w:val="-9"/>
          <w:sz w:val="20"/>
          <w:vertAlign w:val="baseline"/>
        </w:rPr>
        <w:t> </w:t>
      </w:r>
      <w:r>
        <w:rPr>
          <w:rFonts w:ascii="Calibri"/>
          <w:sz w:val="20"/>
          <w:vertAlign w:val="baseline"/>
        </w:rPr>
        <w:t>p.</w:t>
      </w:r>
      <w:r>
        <w:rPr>
          <w:rFonts w:ascii="Calibri"/>
          <w:spacing w:val="-7"/>
          <w:sz w:val="20"/>
          <w:vertAlign w:val="baseline"/>
        </w:rPr>
        <w:t> </w:t>
      </w:r>
      <w:r>
        <w:rPr>
          <w:rFonts w:ascii="Calibri"/>
          <w:spacing w:val="-2"/>
          <w:sz w:val="20"/>
          <w:vertAlign w:val="baseline"/>
        </w:rPr>
        <w:t>1049.</w:t>
      </w:r>
    </w:p>
    <w:p>
      <w:pPr>
        <w:spacing w:before="1"/>
        <w:ind w:left="308" w:right="0" w:firstLine="0"/>
        <w:jc w:val="both"/>
        <w:rPr>
          <w:rFonts w:ascii="Calibri"/>
          <w:sz w:val="20"/>
        </w:rPr>
      </w:pPr>
      <w:r>
        <w:rPr>
          <w:rFonts w:ascii="Calibri"/>
          <w:sz w:val="20"/>
          <w:vertAlign w:val="superscript"/>
        </w:rPr>
        <w:t>102</w:t>
      </w:r>
      <w:r>
        <w:rPr>
          <w:rFonts w:ascii="Calibri"/>
          <w:spacing w:val="4"/>
          <w:sz w:val="20"/>
          <w:vertAlign w:val="baseline"/>
        </w:rPr>
        <w:t> </w:t>
      </w:r>
      <w:r>
        <w:rPr>
          <w:rFonts w:ascii="Calibri"/>
          <w:spacing w:val="-4"/>
          <w:sz w:val="20"/>
          <w:vertAlign w:val="baseline"/>
        </w:rPr>
        <w:t>Ibid.</w:t>
      </w:r>
    </w:p>
    <w:p>
      <w:pPr>
        <w:spacing w:after="0"/>
        <w:jc w:val="both"/>
        <w:rPr>
          <w:rFonts w:ascii="Calibri"/>
          <w:sz w:val="20"/>
        </w:rPr>
        <w:sectPr>
          <w:pgSz w:w="11910" w:h="16840"/>
          <w:pgMar w:header="0" w:footer="1003" w:top="1280" w:bottom="1200" w:left="1680" w:right="1180"/>
        </w:sectPr>
      </w:pPr>
    </w:p>
    <w:p>
      <w:pPr>
        <w:spacing w:line="240" w:lineRule="auto" w:before="70"/>
        <w:ind w:left="2007" w:right="1889" w:firstLine="0"/>
        <w:jc w:val="both"/>
        <w:rPr>
          <w:i/>
          <w:sz w:val="24"/>
        </w:rPr>
      </w:pPr>
      <w:r>
        <w:rPr>
          <w:i/>
          <w:sz w:val="24"/>
        </w:rPr>
        <w:t>such, they were obliged to act conscionably, which meant in</w:t>
      </w:r>
      <w:r>
        <w:rPr>
          <w:i/>
          <w:spacing w:val="-2"/>
          <w:sz w:val="24"/>
        </w:rPr>
        <w:t> </w:t>
      </w:r>
      <w:r>
        <w:rPr>
          <w:i/>
          <w:sz w:val="24"/>
        </w:rPr>
        <w:t>fidelity to</w:t>
      </w:r>
      <w:r>
        <w:rPr>
          <w:i/>
          <w:spacing w:val="-2"/>
          <w:sz w:val="24"/>
        </w:rPr>
        <w:t> </w:t>
      </w:r>
      <w:r>
        <w:rPr>
          <w:i/>
          <w:sz w:val="24"/>
        </w:rPr>
        <w:t>the interests of the persons whose wealth they had undertaken to handle. In </w:t>
      </w:r>
      <w:r>
        <w:rPr>
          <w:i/>
          <w:sz w:val="24"/>
        </w:rPr>
        <w:t>this</w:t>
      </w:r>
      <w:r>
        <w:rPr>
          <w:i/>
          <w:spacing w:val="40"/>
          <w:sz w:val="24"/>
        </w:rPr>
        <w:t> </w:t>
      </w:r>
      <w:r>
        <w:rPr>
          <w:i/>
          <w:sz w:val="24"/>
        </w:rPr>
        <w:t>respect, the corporation</w:t>
      </w:r>
      <w:r>
        <w:rPr>
          <w:i/>
          <w:spacing w:val="-2"/>
          <w:sz w:val="24"/>
        </w:rPr>
        <w:t> </w:t>
      </w:r>
      <w:r>
        <w:rPr>
          <w:i/>
          <w:sz w:val="24"/>
        </w:rPr>
        <w:t>stands</w:t>
      </w:r>
      <w:r>
        <w:rPr>
          <w:i/>
          <w:spacing w:val="-4"/>
          <w:sz w:val="24"/>
        </w:rPr>
        <w:t> </w:t>
      </w:r>
      <w:r>
        <w:rPr>
          <w:i/>
          <w:sz w:val="24"/>
        </w:rPr>
        <w:t>on</w:t>
      </w:r>
      <w:r>
        <w:rPr>
          <w:i/>
          <w:spacing w:val="-2"/>
          <w:sz w:val="24"/>
        </w:rPr>
        <w:t> </w:t>
      </w:r>
      <w:r>
        <w:rPr>
          <w:i/>
          <w:sz w:val="24"/>
        </w:rPr>
        <w:t>precisely</w:t>
      </w:r>
      <w:r>
        <w:rPr>
          <w:i/>
          <w:spacing w:val="-3"/>
          <w:sz w:val="24"/>
        </w:rPr>
        <w:t> </w:t>
      </w:r>
      <w:r>
        <w:rPr>
          <w:i/>
          <w:sz w:val="24"/>
        </w:rPr>
        <w:t>the same footing as the common law trust.</w:t>
      </w:r>
      <w:r>
        <w:rPr>
          <w:i/>
          <w:sz w:val="24"/>
          <w:vertAlign w:val="superscript"/>
        </w:rPr>
        <w:t>103</w:t>
      </w:r>
    </w:p>
    <w:p>
      <w:pPr>
        <w:pStyle w:val="BodyText"/>
        <w:ind w:left="0"/>
        <w:rPr>
          <w:i/>
        </w:rPr>
      </w:pPr>
    </w:p>
    <w:p>
      <w:pPr>
        <w:pStyle w:val="BodyText"/>
        <w:spacing w:line="480" w:lineRule="auto"/>
        <w:ind w:right="183" w:firstLine="720"/>
        <w:jc w:val="both"/>
      </w:pPr>
      <w:r>
        <w:rPr/>
        <w:t>Dodd, on</w:t>
      </w:r>
      <w:r>
        <w:rPr>
          <w:spacing w:val="-5"/>
        </w:rPr>
        <w:t> </w:t>
      </w:r>
      <w:r>
        <w:rPr/>
        <w:t>the other hand, argued that the managers‘ duty</w:t>
      </w:r>
      <w:r>
        <w:rPr>
          <w:spacing w:val="-5"/>
        </w:rPr>
        <w:t> </w:t>
      </w:r>
      <w:r>
        <w:rPr/>
        <w:t>ought to be extended to other stakeholders. From his perspective, managers were granted many freedoms, whether through law or factual circumstance, to conduct business in a manner that</w:t>
      </w:r>
      <w:r>
        <w:rPr>
          <w:spacing w:val="80"/>
        </w:rPr>
        <w:t> </w:t>
      </w:r>
      <w:r>
        <w:rPr/>
        <w:t>would not necessarily maximize profits.</w:t>
      </w:r>
      <w:r>
        <w:rPr>
          <w:vertAlign w:val="superscript"/>
        </w:rPr>
        <w:t>104</w:t>
      </w:r>
      <w:r>
        <w:rPr>
          <w:vertAlign w:val="baseline"/>
        </w:rPr>
        <w:t> He conceded to Berle that managers owed a fiduciary duty to the shareholders not as individuals but only to shareholders as one of many groups.</w:t>
      </w:r>
      <w:r>
        <w:rPr>
          <w:vertAlign w:val="superscript"/>
        </w:rPr>
        <w:t>105</w:t>
      </w:r>
      <w:r>
        <w:rPr>
          <w:vertAlign w:val="baseline"/>
        </w:rPr>
        <w:t> Yet, management must be seen to be serving the best interests of the corporation as a whole. Thus, although the sole function of the corporation was still profit making for its investors, managerial</w:t>
      </w:r>
      <w:r>
        <w:rPr>
          <w:spacing w:val="-2"/>
          <w:vertAlign w:val="baseline"/>
        </w:rPr>
        <w:t> </w:t>
      </w:r>
      <w:r>
        <w:rPr>
          <w:vertAlign w:val="baseline"/>
        </w:rPr>
        <w:t>discretion must be liberal enough</w:t>
      </w:r>
      <w:r>
        <w:rPr>
          <w:spacing w:val="-2"/>
          <w:vertAlign w:val="baseline"/>
        </w:rPr>
        <w:t> </w:t>
      </w:r>
      <w:r>
        <w:rPr>
          <w:vertAlign w:val="baseline"/>
        </w:rPr>
        <w:t>to take into consideration the interests of other groups such as employees, customers, creditors and others, even at the expense of maximizing profits.</w:t>
      </w:r>
      <w:r>
        <w:rPr>
          <w:vertAlign w:val="superscript"/>
        </w:rPr>
        <w:t>106</w:t>
      </w:r>
      <w:r>
        <w:rPr>
          <w:vertAlign w:val="baseline"/>
        </w:rPr>
        <w:t> He saw Berle‘s conception of the fiduciary</w:t>
      </w:r>
      <w:r>
        <w:rPr>
          <w:spacing w:val="-4"/>
          <w:vertAlign w:val="baseline"/>
        </w:rPr>
        <w:t> </w:t>
      </w:r>
      <w:r>
        <w:rPr>
          <w:vertAlign w:val="baseline"/>
        </w:rPr>
        <w:t>duty</w:t>
      </w:r>
      <w:r>
        <w:rPr>
          <w:spacing w:val="-4"/>
          <w:vertAlign w:val="baseline"/>
        </w:rPr>
        <w:t> </w:t>
      </w:r>
      <w:r>
        <w:rPr>
          <w:vertAlign w:val="baseline"/>
        </w:rPr>
        <w:t>of</w:t>
      </w:r>
      <w:r>
        <w:rPr>
          <w:spacing w:val="-2"/>
          <w:vertAlign w:val="baseline"/>
        </w:rPr>
        <w:t> </w:t>
      </w:r>
      <w:r>
        <w:rPr>
          <w:vertAlign w:val="baseline"/>
        </w:rPr>
        <w:t>the directors solely to the shareholders as having the potential to create a serious obstacle to achieving socially responsible managers.</w:t>
      </w:r>
      <w:r>
        <w:rPr>
          <w:vertAlign w:val="superscript"/>
        </w:rPr>
        <w:t>107</w:t>
      </w:r>
      <w:r>
        <w:rPr>
          <w:vertAlign w:val="baseline"/>
        </w:rPr>
        <w:t> He further argued that to promote socially</w:t>
      </w:r>
      <w:r>
        <w:rPr>
          <w:spacing w:val="-3"/>
          <w:vertAlign w:val="baseline"/>
        </w:rPr>
        <w:t> </w:t>
      </w:r>
      <w:r>
        <w:rPr>
          <w:vertAlign w:val="baseline"/>
        </w:rPr>
        <w:t>responsible behaviour, corporate managers</w:t>
      </w:r>
      <w:r>
        <w:rPr>
          <w:spacing w:val="-1"/>
          <w:vertAlign w:val="baseline"/>
        </w:rPr>
        <w:t> </w:t>
      </w:r>
      <w:r>
        <w:rPr>
          <w:vertAlign w:val="baseline"/>
        </w:rPr>
        <w:t>(directors) need to be the guardians of all interests that the corporation affected, not just those of the </w:t>
      </w:r>
      <w:r>
        <w:rPr>
          <w:spacing w:val="-2"/>
          <w:vertAlign w:val="baseline"/>
        </w:rPr>
        <w:t>shareholders.</w:t>
      </w:r>
      <w:r>
        <w:rPr>
          <w:spacing w:val="-2"/>
          <w:vertAlign w:val="superscript"/>
        </w:rPr>
        <w:t>108</w:t>
      </w:r>
    </w:p>
    <w:p>
      <w:pPr>
        <w:pStyle w:val="BodyText"/>
        <w:spacing w:line="480" w:lineRule="auto" w:before="3"/>
        <w:ind w:right="187" w:firstLine="720"/>
        <w:jc w:val="both"/>
      </w:pPr>
      <w:r>
        <w:rPr/>
        <mc:AlternateContent>
          <mc:Choice Requires="wps">
            <w:drawing>
              <wp:anchor distT="0" distB="0" distL="0" distR="0" allowOverlap="1" layoutInCell="1" locked="0" behindDoc="1" simplePos="0" relativeHeight="487647232">
                <wp:simplePos x="0" y="0"/>
                <wp:positionH relativeFrom="page">
                  <wp:posOffset>1262481</wp:posOffset>
                </wp:positionH>
                <wp:positionV relativeFrom="paragraph">
                  <wp:posOffset>1431191</wp:posOffset>
                </wp:positionV>
                <wp:extent cx="1829435" cy="9525"/>
                <wp:effectExtent l="0" t="0" r="0" b="0"/>
                <wp:wrapTopAndBottom/>
                <wp:docPr id="129" name="Graphic 129"/>
                <wp:cNvGraphicFramePr>
                  <a:graphicFrameLocks/>
                </wp:cNvGraphicFramePr>
                <a:graphic>
                  <a:graphicData uri="http://schemas.microsoft.com/office/word/2010/wordprocessingShape">
                    <wps:wsp>
                      <wps:cNvPr id="129" name="Graphic 12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2.692215pt;width:144.050pt;height:.71997pt;mso-position-horizontal-relative:page;mso-position-vertical-relative:paragraph;z-index:-15669248;mso-wrap-distance-left:0;mso-wrap-distance-right:0" id="docshape84" filled="true" fillcolor="#000000" stroked="false">
                <v:fill type="solid"/>
                <w10:wrap type="topAndBottom"/>
              </v:rect>
            </w:pict>
          </mc:Fallback>
        </mc:AlternateContent>
      </w:r>
      <w:r>
        <w:rPr/>
        <w:t>Berle later countered this corporate responsibility argument as being naively trusting of corporate managers.</w:t>
      </w:r>
      <w:r>
        <w:rPr>
          <w:vertAlign w:val="superscript"/>
        </w:rPr>
        <w:t>109</w:t>
      </w:r>
      <w:r>
        <w:rPr>
          <w:vertAlign w:val="baseline"/>
        </w:rPr>
        <w:t> He conceded to Dodd that managers did wield immense government-like power over society, but argued that they did not thereby regard</w:t>
      </w:r>
      <w:r>
        <w:rPr>
          <w:spacing w:val="40"/>
          <w:vertAlign w:val="baseline"/>
        </w:rPr>
        <w:t> </w:t>
      </w:r>
      <w:r>
        <w:rPr>
          <w:vertAlign w:val="baseline"/>
        </w:rPr>
        <w:t>themselves</w:t>
      </w:r>
      <w:r>
        <w:rPr>
          <w:spacing w:val="60"/>
          <w:vertAlign w:val="baseline"/>
        </w:rPr>
        <w:t> </w:t>
      </w:r>
      <w:r>
        <w:rPr>
          <w:vertAlign w:val="baseline"/>
        </w:rPr>
        <w:t>as</w:t>
      </w:r>
      <w:r>
        <w:rPr>
          <w:spacing w:val="60"/>
          <w:vertAlign w:val="baseline"/>
        </w:rPr>
        <w:t> </w:t>
      </w:r>
      <w:r>
        <w:rPr>
          <w:vertAlign w:val="baseline"/>
        </w:rPr>
        <w:t>stewards</w:t>
      </w:r>
      <w:r>
        <w:rPr>
          <w:spacing w:val="60"/>
          <w:vertAlign w:val="baseline"/>
        </w:rPr>
        <w:t> </w:t>
      </w:r>
      <w:r>
        <w:rPr>
          <w:vertAlign w:val="baseline"/>
        </w:rPr>
        <w:t>of</w:t>
      </w:r>
      <w:r>
        <w:rPr>
          <w:spacing w:val="40"/>
          <w:vertAlign w:val="baseline"/>
        </w:rPr>
        <w:t> </w:t>
      </w:r>
      <w:r>
        <w:rPr>
          <w:vertAlign w:val="baseline"/>
        </w:rPr>
        <w:t>society</w:t>
      </w:r>
      <w:r>
        <w:rPr>
          <w:spacing w:val="40"/>
          <w:vertAlign w:val="baseline"/>
        </w:rPr>
        <w:t> </w:t>
      </w:r>
      <w:r>
        <w:rPr>
          <w:vertAlign w:val="baseline"/>
        </w:rPr>
        <w:t>and</w:t>
      </w:r>
      <w:r>
        <w:rPr>
          <w:spacing w:val="66"/>
          <w:vertAlign w:val="baseline"/>
        </w:rPr>
        <w:t> </w:t>
      </w:r>
      <w:r>
        <w:rPr>
          <w:vertAlign w:val="baseline"/>
        </w:rPr>
        <w:t>did</w:t>
      </w:r>
      <w:r>
        <w:rPr>
          <w:spacing w:val="66"/>
          <w:vertAlign w:val="baseline"/>
        </w:rPr>
        <w:t> </w:t>
      </w:r>
      <w:r>
        <w:rPr>
          <w:vertAlign w:val="baseline"/>
        </w:rPr>
        <w:t>not</w:t>
      </w:r>
      <w:r>
        <w:rPr>
          <w:spacing w:val="66"/>
          <w:vertAlign w:val="baseline"/>
        </w:rPr>
        <w:t> </w:t>
      </w:r>
      <w:r>
        <w:rPr>
          <w:vertAlign w:val="baseline"/>
        </w:rPr>
        <w:t>assume</w:t>
      </w:r>
      <w:r>
        <w:rPr>
          <w:spacing w:val="65"/>
          <w:vertAlign w:val="baseline"/>
        </w:rPr>
        <w:t> </w:t>
      </w:r>
      <w:r>
        <w:rPr>
          <w:vertAlign w:val="baseline"/>
        </w:rPr>
        <w:t>social</w:t>
      </w:r>
      <w:r>
        <w:rPr>
          <w:spacing w:val="40"/>
          <w:vertAlign w:val="baseline"/>
        </w:rPr>
        <w:t> </w:t>
      </w:r>
      <w:r>
        <w:rPr>
          <w:vertAlign w:val="baseline"/>
        </w:rPr>
        <w:t>responsibility.</w:t>
      </w:r>
    </w:p>
    <w:p>
      <w:pPr>
        <w:spacing w:before="97"/>
        <w:ind w:left="308" w:right="0" w:firstLine="0"/>
        <w:jc w:val="left"/>
        <w:rPr>
          <w:rFonts w:ascii="Calibri"/>
          <w:sz w:val="20"/>
        </w:rPr>
      </w:pPr>
      <w:r>
        <w:rPr>
          <w:rFonts w:ascii="Calibri"/>
          <w:sz w:val="20"/>
          <w:vertAlign w:val="superscript"/>
        </w:rPr>
        <w:t>103</w:t>
      </w:r>
      <w:r>
        <w:rPr>
          <w:rFonts w:ascii="Calibri"/>
          <w:sz w:val="20"/>
          <w:vertAlign w:val="baseline"/>
        </w:rPr>
        <w:t>Berle,</w:t>
      </w:r>
      <w:r>
        <w:rPr>
          <w:rFonts w:ascii="Calibri"/>
          <w:spacing w:val="-5"/>
          <w:sz w:val="20"/>
          <w:vertAlign w:val="baseline"/>
        </w:rPr>
        <w:t> </w:t>
      </w:r>
      <w:r>
        <w:rPr>
          <w:rFonts w:ascii="Calibri"/>
          <w:sz w:val="20"/>
          <w:vertAlign w:val="baseline"/>
        </w:rPr>
        <w:t>A.A.,</w:t>
      </w:r>
      <w:r>
        <w:rPr>
          <w:rFonts w:ascii="Calibri"/>
          <w:spacing w:val="-5"/>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Means</w:t>
      </w:r>
      <w:r>
        <w:rPr>
          <w:rFonts w:ascii="Calibri"/>
          <w:spacing w:val="-5"/>
          <w:sz w:val="20"/>
          <w:vertAlign w:val="baseline"/>
        </w:rPr>
        <w:t> </w:t>
      </w:r>
      <w:r>
        <w:rPr>
          <w:rFonts w:ascii="Calibri"/>
          <w:sz w:val="20"/>
          <w:vertAlign w:val="baseline"/>
        </w:rPr>
        <w:t>C.G.,</w:t>
      </w:r>
      <w:r>
        <w:rPr>
          <w:rFonts w:ascii="Calibri"/>
          <w:spacing w:val="-7"/>
          <w:sz w:val="20"/>
          <w:vertAlign w:val="baseline"/>
        </w:rPr>
        <w:t> </w:t>
      </w:r>
      <w:r>
        <w:rPr>
          <w:rFonts w:ascii="Calibri"/>
          <w:sz w:val="20"/>
          <w:vertAlign w:val="baseline"/>
        </w:rPr>
        <w:t>op.cit.at</w:t>
      </w:r>
      <w:r>
        <w:rPr>
          <w:rFonts w:ascii="Calibri"/>
          <w:spacing w:val="-2"/>
          <w:sz w:val="20"/>
          <w:vertAlign w:val="baseline"/>
        </w:rPr>
        <w:t> </w:t>
      </w:r>
      <w:r>
        <w:rPr>
          <w:rFonts w:ascii="Calibri"/>
          <w:spacing w:val="-4"/>
          <w:sz w:val="20"/>
          <w:vertAlign w:val="baseline"/>
        </w:rPr>
        <w:t>336.</w:t>
      </w:r>
    </w:p>
    <w:p>
      <w:pPr>
        <w:spacing w:before="1"/>
        <w:ind w:left="308" w:right="0" w:firstLine="0"/>
        <w:jc w:val="left"/>
        <w:rPr>
          <w:rFonts w:ascii="Calibri"/>
          <w:sz w:val="20"/>
        </w:rPr>
      </w:pPr>
      <w:r>
        <w:rPr>
          <w:rFonts w:ascii="Calibri"/>
          <w:sz w:val="20"/>
          <w:vertAlign w:val="superscript"/>
        </w:rPr>
        <w:t>104</w:t>
      </w:r>
      <w:r>
        <w:rPr>
          <w:rFonts w:ascii="Calibri"/>
          <w:spacing w:val="-1"/>
          <w:sz w:val="20"/>
          <w:vertAlign w:val="baseline"/>
        </w:rPr>
        <w:t> </w:t>
      </w:r>
      <w:r>
        <w:rPr>
          <w:rFonts w:ascii="Calibri"/>
          <w:sz w:val="20"/>
          <w:vertAlign w:val="baseline"/>
        </w:rPr>
        <w:t>Dodd,</w:t>
      </w:r>
      <w:r>
        <w:rPr>
          <w:rFonts w:ascii="Calibri"/>
          <w:spacing w:val="-9"/>
          <w:sz w:val="20"/>
          <w:vertAlign w:val="baseline"/>
        </w:rPr>
        <w:t> </w:t>
      </w:r>
      <w:r>
        <w:rPr>
          <w:rFonts w:ascii="Calibri"/>
          <w:sz w:val="20"/>
          <w:vertAlign w:val="baseline"/>
        </w:rPr>
        <w:t>E.M.</w:t>
      </w:r>
      <w:r>
        <w:rPr>
          <w:rFonts w:ascii="Calibri"/>
          <w:spacing w:val="-5"/>
          <w:sz w:val="20"/>
          <w:vertAlign w:val="baseline"/>
        </w:rPr>
        <w:t> </w:t>
      </w:r>
      <w:r>
        <w:rPr>
          <w:rFonts w:ascii="Calibri"/>
          <w:sz w:val="20"/>
          <w:vertAlign w:val="baseline"/>
        </w:rPr>
        <w:t>(1932)</w:t>
      </w:r>
      <w:r>
        <w:rPr>
          <w:rFonts w:ascii="Calibri"/>
          <w:spacing w:val="-5"/>
          <w:sz w:val="20"/>
          <w:vertAlign w:val="baseline"/>
        </w:rPr>
        <w:t> </w:t>
      </w:r>
      <w:r>
        <w:rPr>
          <w:rFonts w:ascii="Calibri"/>
          <w:sz w:val="20"/>
          <w:vertAlign w:val="baseline"/>
        </w:rPr>
        <w:t>op.cit.,at</w:t>
      </w:r>
      <w:r>
        <w:rPr>
          <w:rFonts w:ascii="Calibri"/>
          <w:spacing w:val="-2"/>
          <w:sz w:val="20"/>
          <w:vertAlign w:val="baseline"/>
        </w:rPr>
        <w:t> p.1147.</w:t>
      </w:r>
    </w:p>
    <w:p>
      <w:pPr>
        <w:spacing w:before="1"/>
        <w:ind w:left="308" w:right="0" w:firstLine="0"/>
        <w:jc w:val="left"/>
        <w:rPr>
          <w:rFonts w:ascii="Calibri"/>
          <w:sz w:val="20"/>
        </w:rPr>
      </w:pPr>
      <w:r>
        <w:rPr>
          <w:rFonts w:ascii="Calibri"/>
          <w:sz w:val="20"/>
          <w:vertAlign w:val="superscript"/>
        </w:rPr>
        <w:t>105</w:t>
      </w:r>
      <w:r>
        <w:rPr>
          <w:rFonts w:ascii="Calibri"/>
          <w:sz w:val="20"/>
          <w:vertAlign w:val="baseline"/>
        </w:rPr>
        <w:t>Ibid.,</w:t>
      </w:r>
      <w:r>
        <w:rPr>
          <w:rFonts w:ascii="Calibri"/>
          <w:spacing w:val="-3"/>
          <w:sz w:val="20"/>
          <w:vertAlign w:val="baseline"/>
        </w:rPr>
        <w:t> </w:t>
      </w:r>
      <w:r>
        <w:rPr>
          <w:rFonts w:ascii="Calibri"/>
          <w:sz w:val="20"/>
          <w:vertAlign w:val="baseline"/>
        </w:rPr>
        <w:t>note</w:t>
      </w:r>
      <w:r>
        <w:rPr>
          <w:rFonts w:ascii="Calibri"/>
          <w:spacing w:val="-3"/>
          <w:sz w:val="20"/>
          <w:vertAlign w:val="baseline"/>
        </w:rPr>
        <w:t> </w:t>
      </w:r>
      <w:r>
        <w:rPr>
          <w:rFonts w:ascii="Calibri"/>
          <w:sz w:val="20"/>
          <w:vertAlign w:val="baseline"/>
        </w:rPr>
        <w:t>139</w:t>
      </w:r>
      <w:r>
        <w:rPr>
          <w:rFonts w:ascii="Calibri"/>
          <w:spacing w:val="-2"/>
          <w:sz w:val="20"/>
          <w:vertAlign w:val="baseline"/>
        </w:rPr>
        <w:t> </w:t>
      </w:r>
      <w:r>
        <w:rPr>
          <w:rFonts w:ascii="Calibri"/>
          <w:sz w:val="20"/>
          <w:vertAlign w:val="baseline"/>
        </w:rPr>
        <w:t>at</w:t>
      </w:r>
      <w:r>
        <w:rPr>
          <w:rFonts w:ascii="Calibri"/>
          <w:spacing w:val="-3"/>
          <w:sz w:val="20"/>
          <w:vertAlign w:val="baseline"/>
        </w:rPr>
        <w:t> </w:t>
      </w:r>
      <w:r>
        <w:rPr>
          <w:rFonts w:ascii="Calibri"/>
          <w:spacing w:val="-2"/>
          <w:sz w:val="20"/>
          <w:vertAlign w:val="baseline"/>
        </w:rPr>
        <w:t>p.1146.</w:t>
      </w:r>
    </w:p>
    <w:p>
      <w:pPr>
        <w:spacing w:before="1"/>
        <w:ind w:left="308" w:right="0" w:firstLine="0"/>
        <w:jc w:val="left"/>
        <w:rPr>
          <w:rFonts w:ascii="Calibri"/>
          <w:sz w:val="20"/>
        </w:rPr>
      </w:pPr>
      <w:r>
        <w:rPr>
          <w:rFonts w:ascii="Calibri"/>
          <w:sz w:val="20"/>
          <w:vertAlign w:val="superscript"/>
        </w:rPr>
        <w:t>106</w:t>
      </w:r>
      <w:r>
        <w:rPr>
          <w:rFonts w:ascii="Calibri"/>
          <w:spacing w:val="-1"/>
          <w:sz w:val="20"/>
          <w:vertAlign w:val="baseline"/>
        </w:rPr>
        <w:t> </w:t>
      </w:r>
      <w:r>
        <w:rPr>
          <w:rFonts w:ascii="Calibri"/>
          <w:sz w:val="20"/>
          <w:vertAlign w:val="baseline"/>
        </w:rPr>
        <w:t>Ibid.</w:t>
      </w:r>
      <w:r>
        <w:rPr>
          <w:rFonts w:ascii="Calibri"/>
          <w:spacing w:val="-5"/>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1147-</w:t>
      </w:r>
      <w:r>
        <w:rPr>
          <w:rFonts w:ascii="Calibri"/>
          <w:spacing w:val="-2"/>
          <w:sz w:val="20"/>
          <w:vertAlign w:val="baseline"/>
        </w:rPr>
        <w:t>1148.</w:t>
      </w:r>
    </w:p>
    <w:p>
      <w:pPr>
        <w:spacing w:before="0"/>
        <w:ind w:left="308" w:right="0" w:firstLine="0"/>
        <w:jc w:val="left"/>
        <w:rPr>
          <w:rFonts w:ascii="Calibri"/>
          <w:sz w:val="20"/>
        </w:rPr>
      </w:pPr>
      <w:r>
        <w:rPr>
          <w:rFonts w:ascii="Calibri"/>
          <w:sz w:val="20"/>
          <w:vertAlign w:val="superscript"/>
        </w:rPr>
        <w:t>107</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pacing w:val="-2"/>
          <w:sz w:val="20"/>
          <w:vertAlign w:val="baseline"/>
        </w:rPr>
        <w:t>1162.</w:t>
      </w:r>
    </w:p>
    <w:p>
      <w:pPr>
        <w:spacing w:before="1"/>
        <w:ind w:left="308" w:right="0" w:firstLine="0"/>
        <w:jc w:val="left"/>
        <w:rPr>
          <w:rFonts w:ascii="Calibri"/>
          <w:sz w:val="20"/>
        </w:rPr>
      </w:pPr>
      <w:r>
        <w:rPr>
          <w:rFonts w:ascii="Calibri"/>
          <w:sz w:val="20"/>
          <w:vertAlign w:val="superscript"/>
        </w:rPr>
        <w:t>108</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pacing w:val="-2"/>
          <w:sz w:val="20"/>
          <w:vertAlign w:val="baseline"/>
        </w:rPr>
        <w:t>1161.</w:t>
      </w:r>
    </w:p>
    <w:p>
      <w:pPr>
        <w:spacing w:before="1"/>
        <w:ind w:left="308" w:right="0" w:firstLine="0"/>
        <w:jc w:val="left"/>
        <w:rPr>
          <w:rFonts w:ascii="Calibri"/>
          <w:sz w:val="20"/>
        </w:rPr>
      </w:pPr>
      <w:r>
        <w:rPr>
          <w:rFonts w:ascii="Calibri"/>
          <w:sz w:val="20"/>
          <w:vertAlign w:val="superscript"/>
        </w:rPr>
        <w:t>109</w:t>
      </w:r>
      <w:r>
        <w:rPr>
          <w:rFonts w:ascii="Calibri"/>
          <w:sz w:val="20"/>
          <w:vertAlign w:val="baseline"/>
        </w:rPr>
        <w:t>Stewart,</w:t>
      </w:r>
      <w:r>
        <w:rPr>
          <w:rFonts w:ascii="Calibri"/>
          <w:spacing w:val="-7"/>
          <w:sz w:val="20"/>
          <w:vertAlign w:val="baseline"/>
        </w:rPr>
        <w:t> </w:t>
      </w:r>
      <w:r>
        <w:rPr>
          <w:rFonts w:ascii="Calibri"/>
          <w:sz w:val="20"/>
          <w:vertAlign w:val="baseline"/>
        </w:rPr>
        <w:t>F.</w:t>
      </w:r>
      <w:r>
        <w:rPr>
          <w:rFonts w:ascii="Calibri"/>
          <w:spacing w:val="-6"/>
          <w:sz w:val="20"/>
          <w:vertAlign w:val="baseline"/>
        </w:rPr>
        <w:t> </w:t>
      </w:r>
      <w:r>
        <w:rPr>
          <w:rFonts w:ascii="Calibri"/>
          <w:sz w:val="20"/>
          <w:vertAlign w:val="baseline"/>
        </w:rPr>
        <w:t>op.cit.at</w:t>
      </w:r>
      <w:r>
        <w:rPr>
          <w:rFonts w:ascii="Calibri"/>
          <w:spacing w:val="-10"/>
          <w:sz w:val="20"/>
          <w:vertAlign w:val="baseline"/>
        </w:rPr>
        <w:t> </w:t>
      </w:r>
      <w:r>
        <w:rPr>
          <w:rFonts w:ascii="Calibri"/>
          <w:sz w:val="20"/>
          <w:vertAlign w:val="baseline"/>
        </w:rPr>
        <w:t>1482,</w:t>
      </w:r>
      <w:r>
        <w:rPr>
          <w:rFonts w:ascii="Calibri"/>
          <w:spacing w:val="-6"/>
          <w:sz w:val="20"/>
          <w:vertAlign w:val="baseline"/>
        </w:rPr>
        <w:t> </w:t>
      </w:r>
      <w:r>
        <w:rPr>
          <w:rFonts w:ascii="Calibri"/>
          <w:sz w:val="20"/>
          <w:vertAlign w:val="baseline"/>
        </w:rPr>
        <w:t>citing</w:t>
      </w:r>
      <w:r>
        <w:rPr>
          <w:rFonts w:ascii="Calibri"/>
          <w:spacing w:val="-7"/>
          <w:sz w:val="20"/>
          <w:vertAlign w:val="baseline"/>
        </w:rPr>
        <w:t> </w:t>
      </w:r>
      <w:r>
        <w:rPr>
          <w:rFonts w:ascii="Calibri"/>
          <w:sz w:val="20"/>
          <w:vertAlign w:val="baseline"/>
        </w:rPr>
        <w:t>Berle,</w:t>
      </w:r>
      <w:r>
        <w:rPr>
          <w:rFonts w:ascii="Calibri"/>
          <w:spacing w:val="-6"/>
          <w:sz w:val="20"/>
          <w:vertAlign w:val="baseline"/>
        </w:rPr>
        <w:t> </w:t>
      </w:r>
      <w:r>
        <w:rPr>
          <w:rFonts w:ascii="Calibri"/>
          <w:sz w:val="20"/>
          <w:vertAlign w:val="baseline"/>
        </w:rPr>
        <w:t>A.A.</w:t>
      </w:r>
      <w:r>
        <w:rPr>
          <w:rFonts w:ascii="Calibri"/>
          <w:spacing w:val="-4"/>
          <w:sz w:val="20"/>
          <w:vertAlign w:val="baseline"/>
        </w:rPr>
        <w:t> </w:t>
      </w:r>
      <w:r>
        <w:rPr>
          <w:rFonts w:ascii="Calibri"/>
          <w:sz w:val="20"/>
          <w:vertAlign w:val="baseline"/>
        </w:rPr>
        <w:t>(1932).</w:t>
      </w:r>
      <w:r>
        <w:rPr>
          <w:rFonts w:ascii="Calibri"/>
          <w:spacing w:val="-7"/>
          <w:sz w:val="20"/>
          <w:vertAlign w:val="baseline"/>
        </w:rPr>
        <w:t> </w:t>
      </w:r>
      <w:r>
        <w:rPr>
          <w:rFonts w:ascii="Calibri"/>
          <w:sz w:val="20"/>
          <w:vertAlign w:val="baseline"/>
        </w:rPr>
        <w:t>Op.cit.</w:t>
      </w:r>
      <w:r>
        <w:rPr>
          <w:rFonts w:ascii="Calibri"/>
          <w:spacing w:val="-1"/>
          <w:sz w:val="20"/>
          <w:vertAlign w:val="baseline"/>
        </w:rPr>
        <w:t> </w:t>
      </w:r>
      <w:r>
        <w:rPr>
          <w:rFonts w:ascii="Calibri"/>
          <w:sz w:val="20"/>
          <w:vertAlign w:val="baseline"/>
        </w:rPr>
        <w:t>at</w:t>
      </w:r>
      <w:r>
        <w:rPr>
          <w:rFonts w:ascii="Calibri"/>
          <w:spacing w:val="-8"/>
          <w:sz w:val="20"/>
          <w:vertAlign w:val="baseline"/>
        </w:rPr>
        <w:t> </w:t>
      </w:r>
      <w:r>
        <w:rPr>
          <w:rFonts w:ascii="Calibri"/>
          <w:spacing w:val="-2"/>
          <w:sz w:val="20"/>
          <w:vertAlign w:val="baseline"/>
        </w:rPr>
        <w:t>p.1367.</w:t>
      </w:r>
    </w:p>
    <w:p>
      <w:pPr>
        <w:spacing w:after="0"/>
        <w:jc w:val="left"/>
        <w:rPr>
          <w:rFonts w:ascii="Calibri"/>
          <w:sz w:val="20"/>
        </w:rPr>
        <w:sectPr>
          <w:pgSz w:w="11910" w:h="16840"/>
          <w:pgMar w:header="0" w:footer="1003" w:top="1320" w:bottom="1200" w:left="1680" w:right="1180"/>
        </w:sectPr>
      </w:pPr>
    </w:p>
    <w:p>
      <w:pPr>
        <w:pStyle w:val="BodyText"/>
        <w:spacing w:before="70"/>
        <w:jc w:val="both"/>
      </w:pPr>
      <w:r>
        <w:rPr/>
        <w:t>Besides,</w:t>
      </w:r>
      <w:r>
        <w:rPr>
          <w:spacing w:val="36"/>
        </w:rPr>
        <w:t> </w:t>
      </w:r>
      <w:r>
        <w:rPr/>
        <w:t>no</w:t>
      </w:r>
      <w:r>
        <w:rPr>
          <w:spacing w:val="42"/>
        </w:rPr>
        <w:t> </w:t>
      </w:r>
      <w:r>
        <w:rPr/>
        <w:t>mechanism</w:t>
      </w:r>
      <w:r>
        <w:rPr>
          <w:spacing w:val="33"/>
        </w:rPr>
        <w:t> </w:t>
      </w:r>
      <w:r>
        <w:rPr/>
        <w:t>existed</w:t>
      </w:r>
      <w:r>
        <w:rPr>
          <w:spacing w:val="37"/>
        </w:rPr>
        <w:t> </w:t>
      </w:r>
      <w:r>
        <w:rPr/>
        <w:t>to</w:t>
      </w:r>
      <w:r>
        <w:rPr>
          <w:spacing w:val="42"/>
        </w:rPr>
        <w:t> </w:t>
      </w:r>
      <w:r>
        <w:rPr/>
        <w:t>enforce</w:t>
      </w:r>
      <w:r>
        <w:rPr>
          <w:spacing w:val="36"/>
        </w:rPr>
        <w:t> </w:t>
      </w:r>
      <w:r>
        <w:rPr/>
        <w:t>the</w:t>
      </w:r>
      <w:r>
        <w:rPr>
          <w:spacing w:val="36"/>
        </w:rPr>
        <w:t> </w:t>
      </w:r>
      <w:r>
        <w:rPr/>
        <w:t>applications</w:t>
      </w:r>
      <w:r>
        <w:rPr>
          <w:spacing w:val="35"/>
        </w:rPr>
        <w:t> </w:t>
      </w:r>
      <w:r>
        <w:rPr/>
        <w:t>of</w:t>
      </w:r>
      <w:r>
        <w:rPr>
          <w:spacing w:val="29"/>
        </w:rPr>
        <w:t> </w:t>
      </w:r>
      <w:r>
        <w:rPr/>
        <w:t>what</w:t>
      </w:r>
      <w:r>
        <w:rPr>
          <w:spacing w:val="42"/>
        </w:rPr>
        <w:t> </w:t>
      </w:r>
      <w:r>
        <w:rPr/>
        <w:t>he</w:t>
      </w:r>
      <w:r>
        <w:rPr>
          <w:spacing w:val="36"/>
        </w:rPr>
        <w:t> </w:t>
      </w:r>
      <w:r>
        <w:rPr/>
        <w:t>called</w:t>
      </w:r>
      <w:r>
        <w:rPr>
          <w:spacing w:val="37"/>
        </w:rPr>
        <w:t> </w:t>
      </w:r>
      <w:r>
        <w:rPr>
          <w:spacing w:val="-2"/>
        </w:rPr>
        <w:t>Dodd‘s</w:t>
      </w:r>
    </w:p>
    <w:p>
      <w:pPr>
        <w:pStyle w:val="BodyText"/>
        <w:spacing w:line="480" w:lineRule="auto" w:before="276"/>
        <w:ind w:right="184"/>
        <w:jc w:val="both"/>
      </w:pPr>
      <w:r>
        <w:rPr/>
        <w:t>―pseudo-theory of the corporation.‖</w:t>
      </w:r>
      <w:r>
        <w:rPr>
          <w:vertAlign w:val="superscript"/>
        </w:rPr>
        <w:t>110</w:t>
      </w:r>
      <w:r>
        <w:rPr>
          <w:vertAlign w:val="baseline"/>
        </w:rPr>
        <w:t> He further countered that if the exclusive fiduciary obligation of mangers to shareholders were to be ignored, then the</w:t>
      </w:r>
      <w:r>
        <w:rPr>
          <w:spacing w:val="40"/>
          <w:vertAlign w:val="baseline"/>
        </w:rPr>
        <w:t> </w:t>
      </w:r>
      <w:r>
        <w:rPr>
          <w:vertAlign w:val="baseline"/>
        </w:rPr>
        <w:t>management and</w:t>
      </w:r>
      <w:r>
        <w:rPr>
          <w:spacing w:val="-1"/>
          <w:vertAlign w:val="baseline"/>
        </w:rPr>
        <w:t> </w:t>
      </w:r>
      <w:r>
        <w:rPr>
          <w:i/>
          <w:vertAlign w:val="baseline"/>
        </w:rPr>
        <w:t>control</w:t>
      </w:r>
      <w:r>
        <w:rPr>
          <w:i/>
          <w:spacing w:val="-2"/>
          <w:vertAlign w:val="baseline"/>
        </w:rPr>
        <w:t> </w:t>
      </w:r>
      <w:r>
        <w:rPr>
          <w:vertAlign w:val="baseline"/>
        </w:rPr>
        <w:t>would become</w:t>
      </w:r>
      <w:r>
        <w:rPr>
          <w:spacing w:val="-1"/>
          <w:vertAlign w:val="baseline"/>
        </w:rPr>
        <w:t> </w:t>
      </w:r>
      <w:r>
        <w:rPr>
          <w:vertAlign w:val="baseline"/>
        </w:rPr>
        <w:t>―for</w:t>
      </w:r>
      <w:r>
        <w:rPr>
          <w:spacing w:val="-2"/>
          <w:vertAlign w:val="baseline"/>
        </w:rPr>
        <w:t> </w:t>
      </w:r>
      <w:r>
        <w:rPr>
          <w:vertAlign w:val="baseline"/>
        </w:rPr>
        <w:t>all</w:t>
      </w:r>
      <w:r>
        <w:rPr>
          <w:spacing w:val="-7"/>
          <w:vertAlign w:val="baseline"/>
        </w:rPr>
        <w:t> </w:t>
      </w:r>
      <w:r>
        <w:rPr>
          <w:vertAlign w:val="baseline"/>
        </w:rPr>
        <w:t>practical</w:t>
      </w:r>
      <w:r>
        <w:rPr>
          <w:spacing w:val="-7"/>
          <w:vertAlign w:val="baseline"/>
        </w:rPr>
        <w:t> </w:t>
      </w:r>
      <w:r>
        <w:rPr>
          <w:vertAlign w:val="baseline"/>
        </w:rPr>
        <w:t>purposes</w:t>
      </w:r>
      <w:r>
        <w:rPr>
          <w:spacing w:val="-5"/>
          <w:vertAlign w:val="baseline"/>
        </w:rPr>
        <w:t> </w:t>
      </w:r>
      <w:r>
        <w:rPr>
          <w:vertAlign w:val="baseline"/>
        </w:rPr>
        <w:t>absolute‖—resulting in greater </w:t>
      </w:r>
      <w:r>
        <w:rPr>
          <w:i/>
          <w:vertAlign w:val="baseline"/>
        </w:rPr>
        <w:t>corporate irresponsibility</w:t>
      </w:r>
      <w:r>
        <w:rPr>
          <w:vertAlign w:val="baseline"/>
        </w:rPr>
        <w:t>. Therefore, until such time as Dodd (or any others who</w:t>
      </w:r>
      <w:r>
        <w:rPr>
          <w:spacing w:val="-4"/>
          <w:vertAlign w:val="baseline"/>
        </w:rPr>
        <w:t> </w:t>
      </w:r>
      <w:r>
        <w:rPr>
          <w:vertAlign w:val="baseline"/>
        </w:rPr>
        <w:t>sympathized</w:t>
      </w:r>
      <w:r>
        <w:rPr>
          <w:spacing w:val="-8"/>
          <w:vertAlign w:val="baseline"/>
        </w:rPr>
        <w:t> </w:t>
      </w:r>
      <w:r>
        <w:rPr>
          <w:vertAlign w:val="baseline"/>
        </w:rPr>
        <w:t>with</w:t>
      </w:r>
      <w:r>
        <w:rPr>
          <w:spacing w:val="-12"/>
          <w:vertAlign w:val="baseline"/>
        </w:rPr>
        <w:t> </w:t>
      </w:r>
      <w:r>
        <w:rPr>
          <w:vertAlign w:val="baseline"/>
        </w:rPr>
        <w:t>the</w:t>
      </w:r>
      <w:r>
        <w:rPr>
          <w:spacing w:val="-8"/>
          <w:vertAlign w:val="baseline"/>
        </w:rPr>
        <w:t> </w:t>
      </w:r>
      <w:r>
        <w:rPr>
          <w:vertAlign w:val="baseline"/>
        </w:rPr>
        <w:t>noble</w:t>
      </w:r>
      <w:r>
        <w:rPr>
          <w:spacing w:val="-5"/>
          <w:vertAlign w:val="baseline"/>
        </w:rPr>
        <w:t> </w:t>
      </w:r>
      <w:r>
        <w:rPr>
          <w:vertAlign w:val="baseline"/>
        </w:rPr>
        <w:t>manager)</w:t>
      </w:r>
      <w:r>
        <w:rPr>
          <w:spacing w:val="-7"/>
          <w:vertAlign w:val="baseline"/>
        </w:rPr>
        <w:t> </w:t>
      </w:r>
      <w:r>
        <w:rPr>
          <w:vertAlign w:val="baseline"/>
        </w:rPr>
        <w:t>was</w:t>
      </w:r>
      <w:r>
        <w:rPr>
          <w:spacing w:val="-10"/>
          <w:vertAlign w:val="baseline"/>
        </w:rPr>
        <w:t> </w:t>
      </w:r>
      <w:r>
        <w:rPr>
          <w:vertAlign w:val="baseline"/>
        </w:rPr>
        <w:t>prepared</w:t>
      </w:r>
      <w:r>
        <w:rPr>
          <w:spacing w:val="-8"/>
          <w:vertAlign w:val="baseline"/>
        </w:rPr>
        <w:t> </w:t>
      </w:r>
      <w:r>
        <w:rPr>
          <w:vertAlign w:val="baseline"/>
        </w:rPr>
        <w:t>to</w:t>
      </w:r>
      <w:r>
        <w:rPr>
          <w:spacing w:val="-12"/>
          <w:vertAlign w:val="baseline"/>
        </w:rPr>
        <w:t> </w:t>
      </w:r>
      <w:r>
        <w:rPr>
          <w:vertAlign w:val="baseline"/>
        </w:rPr>
        <w:t>offer</w:t>
      </w:r>
      <w:r>
        <w:rPr>
          <w:spacing w:val="-7"/>
          <w:vertAlign w:val="baseline"/>
        </w:rPr>
        <w:t> </w:t>
      </w:r>
      <w:r>
        <w:rPr>
          <w:vertAlign w:val="baseline"/>
        </w:rPr>
        <w:t>a</w:t>
      </w:r>
      <w:r>
        <w:rPr>
          <w:spacing w:val="-8"/>
          <w:vertAlign w:val="baseline"/>
        </w:rPr>
        <w:t> </w:t>
      </w:r>
      <w:r>
        <w:rPr>
          <w:vertAlign w:val="baseline"/>
        </w:rPr>
        <w:t>―clear</w:t>
      </w:r>
      <w:r>
        <w:rPr>
          <w:spacing w:val="-7"/>
          <w:vertAlign w:val="baseline"/>
        </w:rPr>
        <w:t> </w:t>
      </w:r>
      <w:r>
        <w:rPr>
          <w:vertAlign w:val="baseline"/>
        </w:rPr>
        <w:t>and</w:t>
      </w:r>
      <w:r>
        <w:rPr>
          <w:spacing w:val="-8"/>
          <w:vertAlign w:val="baseline"/>
        </w:rPr>
        <w:t> </w:t>
      </w:r>
      <w:r>
        <w:rPr>
          <w:vertAlign w:val="baseline"/>
        </w:rPr>
        <w:t>reasonable enforcement scheme of responsibilities,‖ emphasis would have to be placed on the fact that the corporation‘s sole purpose was to make profit for its shareholders because there existed no other legal control over corporate power, however imperfect it may be.</w:t>
      </w:r>
      <w:r>
        <w:rPr>
          <w:vertAlign w:val="superscript"/>
        </w:rPr>
        <w:t>111</w:t>
      </w:r>
    </w:p>
    <w:p>
      <w:pPr>
        <w:pStyle w:val="BodyText"/>
        <w:spacing w:before="2"/>
        <w:ind w:left="1028"/>
        <w:jc w:val="both"/>
      </w:pPr>
      <w:r>
        <w:rPr/>
        <w:t>In</w:t>
      </w:r>
      <w:r>
        <w:rPr>
          <w:spacing w:val="-6"/>
        </w:rPr>
        <w:t> </w:t>
      </w:r>
      <w:r>
        <w:rPr/>
        <w:t>the</w:t>
      </w:r>
      <w:r>
        <w:rPr>
          <w:spacing w:val="-1"/>
        </w:rPr>
        <w:t> </w:t>
      </w:r>
      <w:r>
        <w:rPr/>
        <w:t>end,</w:t>
      </w:r>
      <w:r>
        <w:rPr>
          <w:spacing w:val="2"/>
        </w:rPr>
        <w:t> </w:t>
      </w:r>
      <w:r>
        <w:rPr/>
        <w:t>Dodd</w:t>
      </w:r>
      <w:r>
        <w:rPr>
          <w:spacing w:val="-6"/>
        </w:rPr>
        <w:t> </w:t>
      </w:r>
      <w:r>
        <w:rPr/>
        <w:t>conceded the</w:t>
      </w:r>
      <w:r>
        <w:rPr>
          <w:spacing w:val="-1"/>
        </w:rPr>
        <w:t> </w:t>
      </w:r>
      <w:r>
        <w:rPr/>
        <w:t>debate</w:t>
      </w:r>
      <w:r>
        <w:rPr>
          <w:spacing w:val="-6"/>
        </w:rPr>
        <w:t> </w:t>
      </w:r>
      <w:r>
        <w:rPr/>
        <w:t>to</w:t>
      </w:r>
      <w:r>
        <w:rPr>
          <w:spacing w:val="4"/>
        </w:rPr>
        <w:t> </w:t>
      </w:r>
      <w:r>
        <w:rPr/>
        <w:t>Berle,</w:t>
      </w:r>
      <w:r>
        <w:rPr>
          <w:spacing w:val="2"/>
        </w:rPr>
        <w:t> </w:t>
      </w:r>
      <w:r>
        <w:rPr>
          <w:spacing w:val="-2"/>
        </w:rPr>
        <w:t>admitting</w:t>
      </w:r>
    </w:p>
    <w:p>
      <w:pPr>
        <w:spacing w:line="240" w:lineRule="auto" w:before="276"/>
        <w:ind w:left="2007" w:right="1887" w:firstLine="0"/>
        <w:jc w:val="both"/>
        <w:rPr>
          <w:i/>
          <w:sz w:val="24"/>
        </w:rPr>
      </w:pPr>
      <w:r>
        <w:rPr>
          <w:i/>
          <w:sz w:val="24"/>
        </w:rPr>
        <w:t>I</w:t>
      </w:r>
      <w:r>
        <w:rPr>
          <w:i/>
          <w:spacing w:val="-1"/>
          <w:sz w:val="24"/>
        </w:rPr>
        <w:t> </w:t>
      </w:r>
      <w:r>
        <w:rPr>
          <w:i/>
          <w:sz w:val="24"/>
        </w:rPr>
        <w:t>was</w:t>
      </w:r>
      <w:r>
        <w:rPr>
          <w:i/>
          <w:spacing w:val="-4"/>
          <w:sz w:val="24"/>
        </w:rPr>
        <w:t> </w:t>
      </w:r>
      <w:r>
        <w:rPr>
          <w:i/>
          <w:sz w:val="24"/>
        </w:rPr>
        <w:t>rash</w:t>
      </w:r>
      <w:r>
        <w:rPr>
          <w:i/>
          <w:spacing w:val="-2"/>
          <w:sz w:val="24"/>
        </w:rPr>
        <w:t> </w:t>
      </w:r>
      <w:r>
        <w:rPr>
          <w:i/>
          <w:sz w:val="24"/>
        </w:rPr>
        <w:t>enough</w:t>
      </w:r>
      <w:r>
        <w:rPr>
          <w:i/>
          <w:spacing w:val="-2"/>
          <w:sz w:val="24"/>
        </w:rPr>
        <w:t> </w:t>
      </w:r>
      <w:r>
        <w:rPr>
          <w:i/>
          <w:sz w:val="24"/>
        </w:rPr>
        <w:t>to</w:t>
      </w:r>
      <w:r>
        <w:rPr>
          <w:i/>
          <w:spacing w:val="-5"/>
          <w:sz w:val="24"/>
        </w:rPr>
        <w:t> </w:t>
      </w:r>
      <w:r>
        <w:rPr>
          <w:i/>
          <w:sz w:val="24"/>
        </w:rPr>
        <w:t>suggest</w:t>
      </w:r>
      <w:r>
        <w:rPr>
          <w:i/>
          <w:spacing w:val="-5"/>
          <w:sz w:val="24"/>
        </w:rPr>
        <w:t> </w:t>
      </w:r>
      <w:r>
        <w:rPr>
          <w:i/>
          <w:sz w:val="24"/>
        </w:rPr>
        <w:t>that</w:t>
      </w:r>
      <w:r>
        <w:rPr>
          <w:i/>
          <w:spacing w:val="-1"/>
          <w:sz w:val="24"/>
        </w:rPr>
        <w:t> </w:t>
      </w:r>
      <w:r>
        <w:rPr>
          <w:i/>
          <w:sz w:val="24"/>
        </w:rPr>
        <w:t>our</w:t>
      </w:r>
      <w:r>
        <w:rPr>
          <w:i/>
          <w:spacing w:val="-4"/>
          <w:sz w:val="24"/>
        </w:rPr>
        <w:t> </w:t>
      </w:r>
      <w:r>
        <w:rPr>
          <w:i/>
          <w:sz w:val="24"/>
        </w:rPr>
        <w:t>law</w:t>
      </w:r>
      <w:r>
        <w:rPr>
          <w:i/>
          <w:spacing w:val="-12"/>
          <w:sz w:val="24"/>
        </w:rPr>
        <w:t> </w:t>
      </w:r>
      <w:r>
        <w:rPr>
          <w:i/>
          <w:sz w:val="24"/>
        </w:rPr>
        <w:t>of</w:t>
      </w:r>
      <w:r>
        <w:rPr>
          <w:i/>
          <w:spacing w:val="-2"/>
          <w:sz w:val="24"/>
        </w:rPr>
        <w:t> </w:t>
      </w:r>
      <w:r>
        <w:rPr>
          <w:i/>
          <w:sz w:val="24"/>
        </w:rPr>
        <w:t>business corporations. . . might develop a broader</w:t>
      </w:r>
      <w:r>
        <w:rPr>
          <w:i/>
          <w:spacing w:val="-1"/>
          <w:sz w:val="24"/>
        </w:rPr>
        <w:t> </w:t>
      </w:r>
      <w:r>
        <w:rPr>
          <w:i/>
          <w:sz w:val="24"/>
        </w:rPr>
        <w:t>view</w:t>
      </w:r>
      <w:r>
        <w:rPr>
          <w:i/>
          <w:spacing w:val="-4"/>
          <w:sz w:val="24"/>
        </w:rPr>
        <w:t> </w:t>
      </w:r>
      <w:r>
        <w:rPr>
          <w:i/>
          <w:sz w:val="24"/>
        </w:rPr>
        <w:t>which would make</w:t>
      </w:r>
      <w:r>
        <w:rPr>
          <w:i/>
          <w:spacing w:val="-1"/>
          <w:sz w:val="24"/>
        </w:rPr>
        <w:t> </w:t>
      </w:r>
      <w:r>
        <w:rPr>
          <w:i/>
          <w:sz w:val="24"/>
        </w:rPr>
        <w:t>the</w:t>
      </w:r>
      <w:r>
        <w:rPr>
          <w:i/>
          <w:spacing w:val="-5"/>
          <w:sz w:val="24"/>
        </w:rPr>
        <w:t> </w:t>
      </w:r>
      <w:r>
        <w:rPr>
          <w:i/>
          <w:sz w:val="24"/>
        </w:rPr>
        <w:t>proposition</w:t>
      </w:r>
      <w:r>
        <w:rPr>
          <w:i/>
          <w:spacing w:val="-4"/>
          <w:sz w:val="24"/>
        </w:rPr>
        <w:t> </w:t>
      </w:r>
      <w:r>
        <w:rPr>
          <w:i/>
          <w:sz w:val="24"/>
        </w:rPr>
        <w:t>that corporate managers are, to some extent, trustees for labour and for the consumer more than meaningless rhetoric. The legal difficulties which were involved were clear enough, as Mr. A. A. Berle was quick to point out.</w:t>
      </w:r>
      <w:r>
        <w:rPr>
          <w:i/>
          <w:sz w:val="24"/>
          <w:vertAlign w:val="superscript"/>
        </w:rPr>
        <w:t>112</w:t>
      </w:r>
    </w:p>
    <w:p>
      <w:pPr>
        <w:pStyle w:val="BodyText"/>
        <w:ind w:left="0"/>
        <w:rPr>
          <w:i/>
        </w:rPr>
      </w:pPr>
    </w:p>
    <w:p>
      <w:pPr>
        <w:pStyle w:val="BodyText"/>
        <w:spacing w:line="480" w:lineRule="auto" w:before="1"/>
        <w:ind w:right="177" w:firstLine="720"/>
        <w:jc w:val="both"/>
      </w:pPr>
      <w:r>
        <w:rPr/>
        <w:t>Two prominent competing management ideas later emerged from the foregoing discourses: the shareholder primacy theory and the stakeholder theory. Shareholder primacy refers to the idea of putting the interests of the shareholders first before any other group or factors, so that the corporation served no public purpose, unless such purposes furthered the financial interests of the shareholders.</w:t>
      </w:r>
      <w:r>
        <w:rPr>
          <w:vertAlign w:val="superscript"/>
        </w:rPr>
        <w:t>113</w:t>
      </w:r>
      <w:r>
        <w:rPr>
          <w:vertAlign w:val="baseline"/>
        </w:rPr>
        <w:t> According to the proponents of this theory, the social responsibility of business is ―to use its resources and</w:t>
      </w:r>
      <w:r>
        <w:rPr>
          <w:spacing w:val="18"/>
          <w:vertAlign w:val="baseline"/>
        </w:rPr>
        <w:t> </w:t>
      </w:r>
      <w:r>
        <w:rPr>
          <w:vertAlign w:val="baseline"/>
        </w:rPr>
        <w:t>engage</w:t>
      </w:r>
      <w:r>
        <w:rPr>
          <w:spacing w:val="22"/>
          <w:vertAlign w:val="baseline"/>
        </w:rPr>
        <w:t> </w:t>
      </w:r>
      <w:r>
        <w:rPr>
          <w:vertAlign w:val="baseline"/>
        </w:rPr>
        <w:t>in</w:t>
      </w:r>
      <w:r>
        <w:rPr>
          <w:spacing w:val="18"/>
          <w:vertAlign w:val="baseline"/>
        </w:rPr>
        <w:t> </w:t>
      </w:r>
      <w:r>
        <w:rPr>
          <w:vertAlign w:val="baseline"/>
        </w:rPr>
        <w:t>activities</w:t>
      </w:r>
      <w:r>
        <w:rPr>
          <w:spacing w:val="20"/>
          <w:vertAlign w:val="baseline"/>
        </w:rPr>
        <w:t> </w:t>
      </w:r>
      <w:r>
        <w:rPr>
          <w:vertAlign w:val="baseline"/>
        </w:rPr>
        <w:t>designed</w:t>
      </w:r>
      <w:r>
        <w:rPr>
          <w:spacing w:val="18"/>
          <w:vertAlign w:val="baseline"/>
        </w:rPr>
        <w:t> </w:t>
      </w:r>
      <w:r>
        <w:rPr>
          <w:vertAlign w:val="baseline"/>
        </w:rPr>
        <w:t>to</w:t>
      </w:r>
      <w:r>
        <w:rPr>
          <w:spacing w:val="22"/>
          <w:vertAlign w:val="baseline"/>
        </w:rPr>
        <w:t> </w:t>
      </w:r>
      <w:r>
        <w:rPr>
          <w:vertAlign w:val="baseline"/>
        </w:rPr>
        <w:t>increase</w:t>
      </w:r>
      <w:r>
        <w:rPr>
          <w:spacing w:val="22"/>
          <w:vertAlign w:val="baseline"/>
        </w:rPr>
        <w:t> </w:t>
      </w:r>
      <w:r>
        <w:rPr>
          <w:vertAlign w:val="baseline"/>
        </w:rPr>
        <w:t>its</w:t>
      </w:r>
      <w:r>
        <w:rPr>
          <w:spacing w:val="16"/>
          <w:vertAlign w:val="baseline"/>
        </w:rPr>
        <w:t> </w:t>
      </w:r>
      <w:r>
        <w:rPr>
          <w:vertAlign w:val="baseline"/>
        </w:rPr>
        <w:t>profits,</w:t>
      </w:r>
      <w:r>
        <w:rPr>
          <w:spacing w:val="20"/>
          <w:vertAlign w:val="baseline"/>
        </w:rPr>
        <w:t> </w:t>
      </w:r>
      <w:r>
        <w:rPr>
          <w:vertAlign w:val="baseline"/>
        </w:rPr>
        <w:t>so</w:t>
      </w:r>
      <w:r>
        <w:rPr>
          <w:spacing w:val="27"/>
          <w:vertAlign w:val="baseline"/>
        </w:rPr>
        <w:t> </w:t>
      </w:r>
      <w:r>
        <w:rPr>
          <w:vertAlign w:val="baseline"/>
        </w:rPr>
        <w:t>long</w:t>
      </w:r>
      <w:r>
        <w:rPr>
          <w:spacing w:val="18"/>
          <w:vertAlign w:val="baseline"/>
        </w:rPr>
        <w:t> </w:t>
      </w:r>
      <w:r>
        <w:rPr>
          <w:vertAlign w:val="baseline"/>
        </w:rPr>
        <w:t>as</w:t>
      </w:r>
      <w:r>
        <w:rPr>
          <w:spacing w:val="21"/>
          <w:vertAlign w:val="baseline"/>
        </w:rPr>
        <w:t> </w:t>
      </w:r>
      <w:r>
        <w:rPr>
          <w:vertAlign w:val="baseline"/>
        </w:rPr>
        <w:t>it...engages</w:t>
      </w:r>
      <w:r>
        <w:rPr>
          <w:spacing w:val="21"/>
          <w:vertAlign w:val="baseline"/>
        </w:rPr>
        <w:t> </w:t>
      </w:r>
      <w:r>
        <w:rPr>
          <w:vertAlign w:val="baseline"/>
        </w:rPr>
        <w:t>in</w:t>
      </w:r>
      <w:r>
        <w:rPr>
          <w:spacing w:val="18"/>
          <w:vertAlign w:val="baseline"/>
        </w:rPr>
        <w:t> </w:t>
      </w:r>
      <w:r>
        <w:rPr>
          <w:vertAlign w:val="baseline"/>
        </w:rPr>
        <w:t>open</w:t>
      </w:r>
    </w:p>
    <w:p>
      <w:pPr>
        <w:pStyle w:val="BodyText"/>
        <w:ind w:left="0"/>
        <w:rPr>
          <w:sz w:val="20"/>
        </w:rPr>
      </w:pPr>
    </w:p>
    <w:p>
      <w:pPr>
        <w:pStyle w:val="BodyText"/>
        <w:spacing w:before="110"/>
        <w:ind w:left="0"/>
        <w:rPr>
          <w:sz w:val="20"/>
        </w:rPr>
      </w:pPr>
      <w:r>
        <w:rPr/>
        <mc:AlternateContent>
          <mc:Choice Requires="wps">
            <w:drawing>
              <wp:anchor distT="0" distB="0" distL="0" distR="0" allowOverlap="1" layoutInCell="1" locked="0" behindDoc="1" simplePos="0" relativeHeight="487647744">
                <wp:simplePos x="0" y="0"/>
                <wp:positionH relativeFrom="page">
                  <wp:posOffset>1262481</wp:posOffset>
                </wp:positionH>
                <wp:positionV relativeFrom="paragraph">
                  <wp:posOffset>231748</wp:posOffset>
                </wp:positionV>
                <wp:extent cx="1829435" cy="9525"/>
                <wp:effectExtent l="0" t="0" r="0" b="0"/>
                <wp:wrapTopAndBottom/>
                <wp:docPr id="130" name="Graphic 130"/>
                <wp:cNvGraphicFramePr>
                  <a:graphicFrameLocks/>
                </wp:cNvGraphicFramePr>
                <a:graphic>
                  <a:graphicData uri="http://schemas.microsoft.com/office/word/2010/wordprocessingShape">
                    <wps:wsp>
                      <wps:cNvPr id="130" name="Graphic 13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247881pt;width:144.050pt;height:.71997pt;mso-position-horizontal-relative:page;mso-position-vertical-relative:paragraph;z-index:-15668736;mso-wrap-distance-left:0;mso-wrap-distance-right:0" id="docshape85" filled="true" fillcolor="#000000" stroked="false">
                <v:fill type="solid"/>
                <w10:wrap type="topAndBottom"/>
              </v:rect>
            </w:pict>
          </mc:Fallback>
        </mc:AlternateContent>
      </w:r>
    </w:p>
    <w:p>
      <w:pPr>
        <w:spacing w:before="97"/>
        <w:ind w:left="308" w:right="0" w:firstLine="0"/>
        <w:jc w:val="both"/>
        <w:rPr>
          <w:rFonts w:ascii="Calibri"/>
          <w:sz w:val="20"/>
        </w:rPr>
      </w:pPr>
      <w:r>
        <w:rPr>
          <w:rFonts w:ascii="Calibri"/>
          <w:sz w:val="20"/>
          <w:vertAlign w:val="superscript"/>
        </w:rPr>
        <w:t>110</w:t>
      </w:r>
      <w:r>
        <w:rPr>
          <w:rFonts w:ascii="Calibri"/>
          <w:sz w:val="20"/>
          <w:vertAlign w:val="baseline"/>
        </w:rPr>
        <w:t>Berle,</w:t>
      </w:r>
      <w:r>
        <w:rPr>
          <w:rFonts w:ascii="Calibri"/>
          <w:spacing w:val="-5"/>
          <w:sz w:val="20"/>
          <w:vertAlign w:val="baseline"/>
        </w:rPr>
        <w:t> </w:t>
      </w:r>
      <w:r>
        <w:rPr>
          <w:rFonts w:ascii="Calibri"/>
          <w:sz w:val="20"/>
          <w:vertAlign w:val="baseline"/>
        </w:rPr>
        <w:t>A.A.</w:t>
      </w:r>
      <w:r>
        <w:rPr>
          <w:rFonts w:ascii="Calibri"/>
          <w:spacing w:val="-7"/>
          <w:sz w:val="20"/>
          <w:vertAlign w:val="baseline"/>
        </w:rPr>
        <w:t> </w:t>
      </w:r>
      <w:r>
        <w:rPr>
          <w:rFonts w:ascii="Calibri"/>
          <w:sz w:val="20"/>
          <w:vertAlign w:val="baseline"/>
        </w:rPr>
        <w:t>(1932)</w:t>
      </w:r>
      <w:r>
        <w:rPr>
          <w:rFonts w:ascii="Calibri"/>
          <w:spacing w:val="-3"/>
          <w:sz w:val="20"/>
          <w:vertAlign w:val="baseline"/>
        </w:rPr>
        <w:t> </w:t>
      </w:r>
      <w:r>
        <w:rPr>
          <w:rFonts w:ascii="Calibri"/>
          <w:sz w:val="20"/>
          <w:vertAlign w:val="baseline"/>
        </w:rPr>
        <w:t>op.cit.at</w:t>
      </w:r>
      <w:r>
        <w:rPr>
          <w:rFonts w:ascii="Calibri"/>
          <w:spacing w:val="-9"/>
          <w:sz w:val="20"/>
          <w:vertAlign w:val="baseline"/>
        </w:rPr>
        <w:t> </w:t>
      </w:r>
      <w:r>
        <w:rPr>
          <w:rFonts w:ascii="Calibri"/>
          <w:spacing w:val="-2"/>
          <w:sz w:val="20"/>
          <w:vertAlign w:val="baseline"/>
        </w:rPr>
        <w:t>1367.</w:t>
      </w:r>
    </w:p>
    <w:p>
      <w:pPr>
        <w:spacing w:before="1"/>
        <w:ind w:left="308" w:right="0" w:firstLine="0"/>
        <w:jc w:val="both"/>
        <w:rPr>
          <w:rFonts w:ascii="Calibri"/>
          <w:sz w:val="20"/>
        </w:rPr>
      </w:pPr>
      <w:r>
        <w:rPr>
          <w:rFonts w:ascii="Calibri"/>
          <w:sz w:val="20"/>
          <w:vertAlign w:val="superscript"/>
        </w:rPr>
        <w:t>111</w:t>
      </w:r>
      <w:r>
        <w:rPr>
          <w:rFonts w:ascii="Calibri"/>
          <w:sz w:val="20"/>
          <w:vertAlign w:val="baseline"/>
        </w:rPr>
        <w:t>Stewart,</w:t>
      </w:r>
      <w:r>
        <w:rPr>
          <w:rFonts w:ascii="Calibri"/>
          <w:spacing w:val="-8"/>
          <w:sz w:val="20"/>
          <w:vertAlign w:val="baseline"/>
        </w:rPr>
        <w:t> </w:t>
      </w:r>
      <w:r>
        <w:rPr>
          <w:rFonts w:ascii="Calibri"/>
          <w:sz w:val="20"/>
          <w:vertAlign w:val="baseline"/>
        </w:rPr>
        <w:t>F.</w:t>
      </w:r>
      <w:r>
        <w:rPr>
          <w:rFonts w:ascii="Calibri"/>
          <w:spacing w:val="-6"/>
          <w:sz w:val="20"/>
          <w:vertAlign w:val="baseline"/>
        </w:rPr>
        <w:t> </w:t>
      </w:r>
      <w:r>
        <w:rPr>
          <w:rFonts w:ascii="Calibri"/>
          <w:sz w:val="20"/>
          <w:vertAlign w:val="baseline"/>
        </w:rPr>
        <w:t>op.cit.at</w:t>
      </w:r>
      <w:r>
        <w:rPr>
          <w:rFonts w:ascii="Calibri"/>
          <w:spacing w:val="-10"/>
          <w:sz w:val="20"/>
          <w:vertAlign w:val="baseline"/>
        </w:rPr>
        <w:t> </w:t>
      </w:r>
      <w:r>
        <w:rPr>
          <w:rFonts w:ascii="Calibri"/>
          <w:sz w:val="20"/>
          <w:vertAlign w:val="baseline"/>
        </w:rPr>
        <w:t>1483,</w:t>
      </w:r>
      <w:r>
        <w:rPr>
          <w:rFonts w:ascii="Calibri"/>
          <w:spacing w:val="-6"/>
          <w:sz w:val="20"/>
          <w:vertAlign w:val="baseline"/>
        </w:rPr>
        <w:t> </w:t>
      </w:r>
      <w:r>
        <w:rPr>
          <w:rFonts w:ascii="Calibri"/>
          <w:sz w:val="20"/>
          <w:vertAlign w:val="baseline"/>
        </w:rPr>
        <w:t>citing</w:t>
      </w:r>
      <w:r>
        <w:rPr>
          <w:rFonts w:ascii="Calibri"/>
          <w:spacing w:val="-8"/>
          <w:sz w:val="20"/>
          <w:vertAlign w:val="baseline"/>
        </w:rPr>
        <w:t> </w:t>
      </w:r>
      <w:r>
        <w:rPr>
          <w:rFonts w:ascii="Calibri"/>
          <w:sz w:val="20"/>
          <w:vertAlign w:val="baseline"/>
        </w:rPr>
        <w:t>Berle,</w:t>
      </w:r>
      <w:r>
        <w:rPr>
          <w:rFonts w:ascii="Calibri"/>
          <w:spacing w:val="-7"/>
          <w:sz w:val="20"/>
          <w:vertAlign w:val="baseline"/>
        </w:rPr>
        <w:t> </w:t>
      </w:r>
      <w:r>
        <w:rPr>
          <w:rFonts w:ascii="Calibri"/>
          <w:sz w:val="20"/>
          <w:vertAlign w:val="baseline"/>
        </w:rPr>
        <w:t>A.A.</w:t>
      </w:r>
      <w:r>
        <w:rPr>
          <w:rFonts w:ascii="Calibri"/>
          <w:spacing w:val="-5"/>
          <w:sz w:val="20"/>
          <w:vertAlign w:val="baseline"/>
        </w:rPr>
        <w:t> </w:t>
      </w:r>
      <w:r>
        <w:rPr>
          <w:rFonts w:ascii="Calibri"/>
          <w:sz w:val="20"/>
          <w:vertAlign w:val="baseline"/>
        </w:rPr>
        <w:t>(1932).Op.cit.,</w:t>
      </w:r>
      <w:r>
        <w:rPr>
          <w:rFonts w:ascii="Calibri"/>
          <w:spacing w:val="-10"/>
          <w:sz w:val="20"/>
          <w:vertAlign w:val="baseline"/>
        </w:rPr>
        <w:t> </w:t>
      </w:r>
      <w:r>
        <w:rPr>
          <w:rFonts w:ascii="Calibri"/>
          <w:sz w:val="20"/>
          <w:vertAlign w:val="baseline"/>
        </w:rPr>
        <w:t>note</w:t>
      </w:r>
      <w:r>
        <w:rPr>
          <w:rFonts w:ascii="Calibri"/>
          <w:spacing w:val="-5"/>
          <w:sz w:val="20"/>
          <w:vertAlign w:val="baseline"/>
        </w:rPr>
        <w:t> </w:t>
      </w:r>
      <w:r>
        <w:rPr>
          <w:rFonts w:ascii="Calibri"/>
          <w:sz w:val="20"/>
          <w:vertAlign w:val="baseline"/>
        </w:rPr>
        <w:t>164at</w:t>
      </w:r>
      <w:r>
        <w:rPr>
          <w:rFonts w:ascii="Calibri"/>
          <w:spacing w:val="-5"/>
          <w:sz w:val="20"/>
          <w:vertAlign w:val="baseline"/>
        </w:rPr>
        <w:t> </w:t>
      </w:r>
      <w:r>
        <w:rPr>
          <w:rFonts w:ascii="Calibri"/>
          <w:spacing w:val="-2"/>
          <w:sz w:val="20"/>
          <w:vertAlign w:val="baseline"/>
        </w:rPr>
        <w:t>1367.</w:t>
      </w:r>
    </w:p>
    <w:p>
      <w:pPr>
        <w:spacing w:before="1"/>
        <w:ind w:left="308" w:right="179" w:firstLine="0"/>
        <w:jc w:val="both"/>
        <w:rPr>
          <w:rFonts w:ascii="Calibri"/>
          <w:sz w:val="20"/>
        </w:rPr>
      </w:pPr>
      <w:r>
        <w:rPr>
          <w:rFonts w:ascii="Calibri"/>
          <w:sz w:val="20"/>
          <w:vertAlign w:val="superscript"/>
        </w:rPr>
        <w:t>112</w:t>
      </w:r>
      <w:r>
        <w:rPr>
          <w:rFonts w:ascii="Calibri"/>
          <w:sz w:val="20"/>
          <w:vertAlign w:val="baseline"/>
        </w:rPr>
        <w:t>Stewart, F. op.cit.at 1490, citing Dodd in a book review inDodd, E.M., (1942). Book Review, </w:t>
      </w:r>
      <w:r>
        <w:rPr>
          <w:rFonts w:ascii="Calibri"/>
          <w:i/>
          <w:sz w:val="20"/>
          <w:vertAlign w:val="baseline"/>
        </w:rPr>
        <w:t>University of Chicago Law Review,</w:t>
      </w:r>
      <w:r>
        <w:rPr>
          <w:rFonts w:ascii="Calibri"/>
          <w:sz w:val="20"/>
          <w:vertAlign w:val="baseline"/>
        </w:rPr>
        <w:t>9: 538at 546 (1942) (reviewingDimock, M.E.and Hyde, K.H. (1940).</w:t>
      </w:r>
      <w:r>
        <w:rPr>
          <w:rFonts w:ascii="Calibri"/>
          <w:i/>
          <w:sz w:val="20"/>
          <w:vertAlign w:val="baseline"/>
        </w:rPr>
        <w:t>Bureaucracy and Trusteeship in LargeCorporations</w:t>
      </w:r>
      <w:r>
        <w:rPr>
          <w:rFonts w:ascii="Calibri"/>
          <w:sz w:val="20"/>
          <w:vertAlign w:val="baseline"/>
        </w:rPr>
        <w:t>.</w:t>
      </w:r>
    </w:p>
    <w:p>
      <w:pPr>
        <w:spacing w:before="2"/>
        <w:ind w:left="308" w:right="226" w:firstLine="0"/>
        <w:jc w:val="both"/>
        <w:rPr>
          <w:rFonts w:ascii="Calibri" w:hAnsi="Calibri"/>
          <w:sz w:val="20"/>
        </w:rPr>
      </w:pPr>
      <w:r>
        <w:rPr>
          <w:rFonts w:ascii="Calibri" w:hAnsi="Calibri"/>
          <w:sz w:val="20"/>
          <w:vertAlign w:val="superscript"/>
        </w:rPr>
        <w:t>113</w:t>
      </w:r>
      <w:r>
        <w:rPr>
          <w:rFonts w:ascii="Calibri" w:hAnsi="Calibri"/>
          <w:sz w:val="20"/>
          <w:vertAlign w:val="baseline"/>
        </w:rPr>
        <w:t> Byrne, P.T. (2010). False Profits: Reviving the Corporation’s Public Purpose</w:t>
      </w:r>
      <w:r>
        <w:rPr>
          <w:rFonts w:ascii="Calibri" w:hAnsi="Calibri"/>
          <w:i/>
          <w:sz w:val="20"/>
          <w:vertAlign w:val="baseline"/>
        </w:rPr>
        <w:t>.UCLA Law Review Discourse</w:t>
      </w:r>
      <w:r>
        <w:rPr>
          <w:rFonts w:ascii="Calibri" w:hAnsi="Calibri"/>
          <w:sz w:val="20"/>
          <w:vertAlign w:val="baseline"/>
        </w:rPr>
        <w:t>, 57: 25-49, at 36.</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110"/>
        <w:ind w:right="178"/>
        <w:jc w:val="both"/>
      </w:pPr>
      <w:r>
        <w:rPr/>
        <w:t>and free competition without deception or fraud.‖</w:t>
      </w:r>
      <w:r>
        <w:rPr>
          <w:vertAlign w:val="superscript"/>
        </w:rPr>
        <w:t>114</w:t>
      </w:r>
      <w:r>
        <w:rPr>
          <w:vertAlign w:val="baseline"/>
        </w:rPr>
        <w:t> The view that managers should focus primarily</w:t>
      </w:r>
      <w:r>
        <w:rPr>
          <w:spacing w:val="-5"/>
          <w:vertAlign w:val="baseline"/>
        </w:rPr>
        <w:t> </w:t>
      </w:r>
      <w:r>
        <w:rPr>
          <w:vertAlign w:val="baseline"/>
        </w:rPr>
        <w:t>on</w:t>
      </w:r>
      <w:r>
        <w:rPr>
          <w:spacing w:val="-1"/>
          <w:vertAlign w:val="baseline"/>
        </w:rPr>
        <w:t> </w:t>
      </w:r>
      <w:r>
        <w:rPr>
          <w:vertAlign w:val="baseline"/>
        </w:rPr>
        <w:t>shareholder interests has been</w:t>
      </w:r>
      <w:r>
        <w:rPr>
          <w:spacing w:val="-1"/>
          <w:vertAlign w:val="baseline"/>
        </w:rPr>
        <w:t> </w:t>
      </w:r>
      <w:r>
        <w:rPr>
          <w:vertAlign w:val="baseline"/>
        </w:rPr>
        <w:t>closely</w:t>
      </w:r>
      <w:r>
        <w:rPr>
          <w:spacing w:val="-1"/>
          <w:vertAlign w:val="baseline"/>
        </w:rPr>
        <w:t> </w:t>
      </w:r>
      <w:r>
        <w:rPr>
          <w:vertAlign w:val="baseline"/>
        </w:rPr>
        <w:t>tied to the shareholder primacy norm (SPN), which is the part of the manager‘s legal fiduciary duty that requires managers to make decisions on behalf of the corporation that furthers the interests of shareholders.</w:t>
      </w:r>
      <w:r>
        <w:rPr>
          <w:vertAlign w:val="superscript"/>
        </w:rPr>
        <w:t>115</w:t>
      </w:r>
      <w:r>
        <w:rPr>
          <w:vertAlign w:val="baseline"/>
        </w:rPr>
        <w:t> Since the interest of shareholders is to maximize return on investment, SPN would result in shareholder value maximization (SVM).</w:t>
      </w:r>
      <w:r>
        <w:rPr>
          <w:vertAlign w:val="superscript"/>
        </w:rPr>
        <w:t>116</w:t>
      </w:r>
    </w:p>
    <w:p>
      <w:pPr>
        <w:pStyle w:val="BodyText"/>
        <w:spacing w:line="480" w:lineRule="auto" w:before="1"/>
        <w:ind w:right="176" w:firstLine="720"/>
        <w:jc w:val="both"/>
      </w:pPr>
      <w:r>
        <w:rPr/>
        <w:t>Early in 1919, in the case of </w:t>
      </w:r>
      <w:r>
        <w:rPr>
          <w:b/>
        </w:rPr>
        <w:t>Dodge vs. Ford Motor Co</w:t>
      </w:r>
      <w:r>
        <w:rPr/>
        <w:t>.,</w:t>
      </w:r>
      <w:r>
        <w:rPr>
          <w:vertAlign w:val="superscript"/>
        </w:rPr>
        <w:t>117</w:t>
      </w:r>
      <w:r>
        <w:rPr>
          <w:vertAlign w:val="baseline"/>
        </w:rPr>
        <w:t> Justice Orlander of the Supreme Court of the United States state of Michigan gave what to date is</w:t>
      </w:r>
      <w:r>
        <w:rPr>
          <w:spacing w:val="40"/>
          <w:vertAlign w:val="baseline"/>
        </w:rPr>
        <w:t> </w:t>
      </w:r>
      <w:r>
        <w:rPr>
          <w:vertAlign w:val="baseline"/>
        </w:rPr>
        <w:t>considered the most direct and explicit endorsement of shareholder primacy in legal </w:t>
      </w:r>
      <w:r>
        <w:rPr>
          <w:spacing w:val="-2"/>
          <w:vertAlign w:val="baseline"/>
        </w:rPr>
        <w:t>records:</w:t>
      </w:r>
      <w:r>
        <w:rPr>
          <w:spacing w:val="-2"/>
          <w:vertAlign w:val="superscript"/>
        </w:rPr>
        <w:t>118</w:t>
      </w:r>
    </w:p>
    <w:p>
      <w:pPr>
        <w:spacing w:line="240" w:lineRule="auto" w:before="1"/>
        <w:ind w:left="2007" w:right="1888" w:firstLine="0"/>
        <w:jc w:val="both"/>
        <w:rPr>
          <w:i/>
          <w:sz w:val="24"/>
        </w:rPr>
      </w:pPr>
      <w:r>
        <w:rPr>
          <w:i/>
          <w:sz w:val="24"/>
        </w:rPr>
        <w:t>A business corporation is organized and carried on primarily for the profit of the stockholders. The powers of the directors are to be employed for that end. The discretion of directors is to be exercised in the choice of means to attain that end and does not extend to a change in the end itself, to the reduction of profits or to the non-distribution of profits among shareholders in order to devote them to other </w:t>
      </w:r>
      <w:r>
        <w:rPr>
          <w:i/>
          <w:spacing w:val="-2"/>
          <w:sz w:val="24"/>
        </w:rPr>
        <w:t>purposes.</w:t>
      </w:r>
      <w:r>
        <w:rPr>
          <w:i/>
          <w:spacing w:val="-2"/>
          <w:sz w:val="24"/>
          <w:vertAlign w:val="superscript"/>
        </w:rPr>
        <w:t>119</w:t>
      </w:r>
    </w:p>
    <w:p>
      <w:pPr>
        <w:pStyle w:val="BodyText"/>
        <w:spacing w:before="1"/>
        <w:ind w:left="0"/>
        <w:rPr>
          <w:i/>
        </w:rPr>
      </w:pPr>
    </w:p>
    <w:p>
      <w:pPr>
        <w:pStyle w:val="BodyText"/>
        <w:spacing w:line="480" w:lineRule="auto"/>
        <w:ind w:right="193" w:firstLine="720"/>
        <w:jc w:val="both"/>
      </w:pPr>
      <w:r>
        <w:rPr/>
        <w:t>Evidently, courts</w:t>
      </w:r>
      <w:r>
        <w:rPr>
          <w:spacing w:val="-3"/>
        </w:rPr>
        <w:t> </w:t>
      </w:r>
      <w:r>
        <w:rPr/>
        <w:t>in</w:t>
      </w:r>
      <w:r>
        <w:rPr>
          <w:spacing w:val="-6"/>
        </w:rPr>
        <w:t> </w:t>
      </w:r>
      <w:r>
        <w:rPr/>
        <w:t>the</w:t>
      </w:r>
      <w:r>
        <w:rPr>
          <w:spacing w:val="-2"/>
        </w:rPr>
        <w:t> </w:t>
      </w:r>
      <w:r>
        <w:rPr/>
        <w:t>past had</w:t>
      </w:r>
      <w:r>
        <w:rPr>
          <w:spacing w:val="-1"/>
        </w:rPr>
        <w:t> </w:t>
      </w:r>
      <w:r>
        <w:rPr/>
        <w:t>a</w:t>
      </w:r>
      <w:r>
        <w:rPr>
          <w:spacing w:val="-2"/>
        </w:rPr>
        <w:t> </w:t>
      </w:r>
      <w:r>
        <w:rPr/>
        <w:t>somewhat narrow idea</w:t>
      </w:r>
      <w:r>
        <w:rPr>
          <w:spacing w:val="-2"/>
        </w:rPr>
        <w:t> </w:t>
      </w:r>
      <w:r>
        <w:rPr/>
        <w:t>of</w:t>
      </w:r>
      <w:r>
        <w:rPr>
          <w:spacing w:val="-9"/>
        </w:rPr>
        <w:t> </w:t>
      </w:r>
      <w:r>
        <w:rPr/>
        <w:t>what the</w:t>
      </w:r>
      <w:r>
        <w:rPr>
          <w:spacing w:val="-2"/>
        </w:rPr>
        <w:t> </w:t>
      </w:r>
      <w:r>
        <w:rPr/>
        <w:t>corporation was set to achieve and how it was to achieve it. It would seem that even today, the Anglo-American jurisdiction, comprising the UK, USA, Canada, New Zealand,</w:t>
      </w:r>
      <w:r>
        <w:rPr>
          <w:spacing w:val="40"/>
        </w:rPr>
        <w:t> </w:t>
      </w:r>
      <w:r>
        <w:rPr/>
        <w:t>Australia</w:t>
      </w:r>
      <w:r>
        <w:rPr>
          <w:spacing w:val="76"/>
        </w:rPr>
        <w:t> </w:t>
      </w:r>
      <w:r>
        <w:rPr/>
        <w:t>and</w:t>
      </w:r>
      <w:r>
        <w:rPr>
          <w:spacing w:val="75"/>
        </w:rPr>
        <w:t> </w:t>
      </w:r>
      <w:r>
        <w:rPr/>
        <w:t>a</w:t>
      </w:r>
      <w:r>
        <w:rPr>
          <w:spacing w:val="74"/>
        </w:rPr>
        <w:t> </w:t>
      </w:r>
      <w:r>
        <w:rPr/>
        <w:t>great</w:t>
      </w:r>
      <w:r>
        <w:rPr>
          <w:spacing w:val="55"/>
          <w:w w:val="150"/>
        </w:rPr>
        <w:t> </w:t>
      </w:r>
      <w:r>
        <w:rPr/>
        <w:t>number</w:t>
      </w:r>
      <w:r>
        <w:rPr>
          <w:spacing w:val="51"/>
          <w:w w:val="150"/>
        </w:rPr>
        <w:t> </w:t>
      </w:r>
      <w:r>
        <w:rPr/>
        <w:t>from</w:t>
      </w:r>
      <w:r>
        <w:rPr>
          <w:spacing w:val="66"/>
        </w:rPr>
        <w:t> </w:t>
      </w:r>
      <w:r>
        <w:rPr/>
        <w:t>the</w:t>
      </w:r>
      <w:r>
        <w:rPr>
          <w:spacing w:val="78"/>
        </w:rPr>
        <w:t> </w:t>
      </w:r>
      <w:r>
        <w:rPr/>
        <w:t>British</w:t>
      </w:r>
      <w:r>
        <w:rPr>
          <w:spacing w:val="75"/>
        </w:rPr>
        <w:t> </w:t>
      </w:r>
      <w:r>
        <w:rPr/>
        <w:t>Commonwealth,</w:t>
      </w:r>
      <w:r>
        <w:rPr>
          <w:spacing w:val="77"/>
        </w:rPr>
        <w:t> </w:t>
      </w:r>
      <w:r>
        <w:rPr/>
        <w:t>has</w:t>
      </w:r>
      <w:r>
        <w:rPr>
          <w:spacing w:val="78"/>
        </w:rPr>
        <w:t> </w:t>
      </w:r>
      <w:r>
        <w:rPr/>
        <w:t>its</w:t>
      </w:r>
      <w:r>
        <w:rPr>
          <w:spacing w:val="78"/>
        </w:rPr>
        <w:t> </w:t>
      </w:r>
      <w:r>
        <w:rPr>
          <w:spacing w:val="-2"/>
        </w:rPr>
        <w:t>corporate</w:t>
      </w:r>
    </w:p>
    <w:p>
      <w:pPr>
        <w:pStyle w:val="BodyText"/>
        <w:spacing w:line="20" w:lineRule="exact"/>
        <w:rPr>
          <w:sz w:val="2"/>
        </w:rPr>
      </w:pPr>
      <w:r>
        <w:rPr>
          <w:sz w:val="2"/>
        </w:rPr>
        <mc:AlternateContent>
          <mc:Choice Requires="wps">
            <w:drawing>
              <wp:inline distT="0" distB="0" distL="0" distR="0">
                <wp:extent cx="1829435" cy="9525"/>
                <wp:effectExtent l="0" t="0" r="0" b="0"/>
                <wp:docPr id="131" name="Group 131"/>
                <wp:cNvGraphicFramePr>
                  <a:graphicFrameLocks/>
                </wp:cNvGraphicFramePr>
                <a:graphic>
                  <a:graphicData uri="http://schemas.microsoft.com/office/word/2010/wordprocessingGroup">
                    <wpg:wgp>
                      <wpg:cNvPr id="131" name="Group 131"/>
                      <wpg:cNvGrpSpPr/>
                      <wpg:grpSpPr>
                        <a:xfrm>
                          <a:off x="0" y="0"/>
                          <a:ext cx="1829435" cy="9525"/>
                          <a:chExt cx="1829435" cy="9525"/>
                        </a:xfrm>
                      </wpg:grpSpPr>
                      <wps:wsp>
                        <wps:cNvPr id="132" name="Graphic 13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86" coordorigin="0,0" coordsize="2881,15">
                <v:rect style="position:absolute;left:0;top:0;width:2881;height:15" id="docshape87" filled="true" fillcolor="#000000" stroked="false">
                  <v:fill type="solid"/>
                </v:rect>
              </v:group>
            </w:pict>
          </mc:Fallback>
        </mc:AlternateContent>
      </w:r>
      <w:r>
        <w:rPr>
          <w:sz w:val="2"/>
        </w:rPr>
      </w:r>
    </w:p>
    <w:p>
      <w:pPr>
        <w:spacing w:before="81"/>
        <w:ind w:left="308" w:right="0" w:firstLine="0"/>
        <w:jc w:val="both"/>
        <w:rPr>
          <w:rFonts w:ascii="Calibri"/>
          <w:sz w:val="20"/>
        </w:rPr>
      </w:pPr>
      <w:r>
        <w:rPr>
          <w:rFonts w:ascii="Calibri"/>
          <w:sz w:val="20"/>
          <w:vertAlign w:val="superscript"/>
        </w:rPr>
        <w:t>114</w:t>
      </w:r>
      <w:r>
        <w:rPr>
          <w:rFonts w:ascii="Calibri"/>
          <w:sz w:val="20"/>
          <w:vertAlign w:val="baseline"/>
        </w:rPr>
        <w:t>Friedman,</w:t>
      </w:r>
      <w:r>
        <w:rPr>
          <w:rFonts w:ascii="Calibri"/>
          <w:spacing w:val="3"/>
          <w:sz w:val="20"/>
          <w:vertAlign w:val="baseline"/>
        </w:rPr>
        <w:t> </w:t>
      </w:r>
      <w:r>
        <w:rPr>
          <w:rFonts w:ascii="Calibri"/>
          <w:sz w:val="20"/>
          <w:vertAlign w:val="baseline"/>
        </w:rPr>
        <w:t>M.</w:t>
      </w:r>
      <w:r>
        <w:rPr>
          <w:rFonts w:ascii="Calibri"/>
          <w:spacing w:val="10"/>
          <w:sz w:val="20"/>
          <w:vertAlign w:val="baseline"/>
        </w:rPr>
        <w:t> </w:t>
      </w:r>
      <w:r>
        <w:rPr>
          <w:rFonts w:ascii="Calibri"/>
          <w:sz w:val="20"/>
          <w:vertAlign w:val="baseline"/>
        </w:rPr>
        <w:t>(1962).</w:t>
      </w:r>
      <w:r>
        <w:rPr>
          <w:rFonts w:ascii="Calibri"/>
          <w:i/>
          <w:sz w:val="20"/>
          <w:vertAlign w:val="baseline"/>
        </w:rPr>
        <w:t>Capitalism</w:t>
      </w:r>
      <w:r>
        <w:rPr>
          <w:rFonts w:ascii="Calibri"/>
          <w:i/>
          <w:spacing w:val="5"/>
          <w:sz w:val="20"/>
          <w:vertAlign w:val="baseline"/>
        </w:rPr>
        <w:t> </w:t>
      </w:r>
      <w:r>
        <w:rPr>
          <w:rFonts w:ascii="Calibri"/>
          <w:i/>
          <w:sz w:val="20"/>
          <w:vertAlign w:val="baseline"/>
        </w:rPr>
        <w:t>and</w:t>
      </w:r>
      <w:r>
        <w:rPr>
          <w:rFonts w:ascii="Calibri"/>
          <w:i/>
          <w:spacing w:val="8"/>
          <w:sz w:val="20"/>
          <w:vertAlign w:val="baseline"/>
        </w:rPr>
        <w:t> </w:t>
      </w:r>
      <w:r>
        <w:rPr>
          <w:rFonts w:ascii="Calibri"/>
          <w:i/>
          <w:sz w:val="20"/>
          <w:vertAlign w:val="baseline"/>
        </w:rPr>
        <w:t>Freedom.</w:t>
      </w:r>
      <w:r>
        <w:rPr>
          <w:rFonts w:ascii="Calibri"/>
          <w:sz w:val="20"/>
          <w:vertAlign w:val="baseline"/>
        </w:rPr>
        <w:t>University</w:t>
      </w:r>
      <w:r>
        <w:rPr>
          <w:rFonts w:ascii="Calibri"/>
          <w:spacing w:val="5"/>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Chicago</w:t>
      </w:r>
      <w:r>
        <w:rPr>
          <w:rFonts w:ascii="Calibri"/>
          <w:spacing w:val="5"/>
          <w:sz w:val="20"/>
          <w:vertAlign w:val="baseline"/>
        </w:rPr>
        <w:t> </w:t>
      </w:r>
      <w:r>
        <w:rPr>
          <w:rFonts w:ascii="Calibri"/>
          <w:sz w:val="20"/>
          <w:vertAlign w:val="baseline"/>
        </w:rPr>
        <w:t>Press,</w:t>
      </w:r>
      <w:r>
        <w:rPr>
          <w:rFonts w:ascii="Calibri"/>
          <w:spacing w:val="3"/>
          <w:sz w:val="20"/>
          <w:vertAlign w:val="baseline"/>
        </w:rPr>
        <w:t> </w:t>
      </w:r>
      <w:r>
        <w:rPr>
          <w:rFonts w:ascii="Calibri"/>
          <w:sz w:val="20"/>
          <w:vertAlign w:val="baseline"/>
        </w:rPr>
        <w:t>p.</w:t>
      </w:r>
      <w:r>
        <w:rPr>
          <w:rFonts w:ascii="Calibri"/>
          <w:spacing w:val="7"/>
          <w:sz w:val="20"/>
          <w:vertAlign w:val="baseline"/>
        </w:rPr>
        <w:t> </w:t>
      </w:r>
      <w:r>
        <w:rPr>
          <w:rFonts w:ascii="Calibri"/>
          <w:sz w:val="20"/>
          <w:vertAlign w:val="baseline"/>
        </w:rPr>
        <w:t>133.</w:t>
      </w:r>
      <w:r>
        <w:rPr>
          <w:rFonts w:ascii="Calibri"/>
          <w:spacing w:val="8"/>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also</w:t>
      </w:r>
      <w:r>
        <w:rPr>
          <w:rFonts w:ascii="Calibri"/>
          <w:spacing w:val="6"/>
          <w:sz w:val="20"/>
          <w:vertAlign w:val="baseline"/>
        </w:rPr>
        <w:t> </w:t>
      </w:r>
      <w:r>
        <w:rPr>
          <w:rFonts w:ascii="Calibri"/>
          <w:spacing w:val="-2"/>
          <w:sz w:val="20"/>
          <w:vertAlign w:val="baseline"/>
        </w:rPr>
        <w:t>Friedman,</w:t>
      </w:r>
    </w:p>
    <w:p>
      <w:pPr>
        <w:spacing w:before="1"/>
        <w:ind w:left="308" w:right="224" w:firstLine="0"/>
        <w:jc w:val="both"/>
        <w:rPr>
          <w:rFonts w:ascii="Calibri"/>
          <w:sz w:val="20"/>
        </w:rPr>
      </w:pPr>
      <w:r>
        <w:rPr>
          <w:rFonts w:ascii="Calibri"/>
          <w:sz w:val="20"/>
        </w:rPr>
        <w:t>M. (1970, September 13). The Social Responsibility of Business is to Increase Its Profits. </w:t>
      </w:r>
      <w:r>
        <w:rPr>
          <w:rFonts w:ascii="Calibri"/>
          <w:i/>
          <w:sz w:val="20"/>
        </w:rPr>
        <w:t>The New York Times Magazine.</w:t>
      </w:r>
      <w:r>
        <w:rPr>
          <w:rFonts w:ascii="Calibri"/>
          <w:sz w:val="20"/>
        </w:rPr>
        <w:t>Retrieved May 24, 2014 from </w:t>
      </w:r>
      <w:hyperlink r:id="rId31">
        <w:r>
          <w:rPr>
            <w:rFonts w:ascii="Calibri"/>
            <w:color w:val="0000FF"/>
            <w:sz w:val="20"/>
            <w:u w:val="single" w:color="0000FF"/>
          </w:rPr>
          <w:t>http://www.umich.edu/~thecore/doc/Friedman.pdf</w:t>
        </w:r>
        <w:r>
          <w:rPr>
            <w:rFonts w:ascii="Calibri"/>
            <w:sz w:val="20"/>
          </w:rPr>
          <w:t>.</w:t>
        </w:r>
      </w:hyperlink>
      <w:r>
        <w:rPr>
          <w:rFonts w:ascii="Calibri"/>
          <w:sz w:val="20"/>
        </w:rPr>
        <w:t>The popular U.S. court decision in </w:t>
      </w:r>
      <w:r>
        <w:rPr>
          <w:rFonts w:ascii="Calibri"/>
          <w:i/>
          <w:sz w:val="20"/>
        </w:rPr>
        <w:t>Dodge vs. Ford Motor Co</w:t>
      </w:r>
      <w:r>
        <w:rPr>
          <w:rFonts w:ascii="Calibri"/>
          <w:sz w:val="20"/>
        </w:rPr>
        <w:t>. (1919) 170 N.W. 668 clearly supported this </w:t>
      </w:r>
      <w:r>
        <w:rPr>
          <w:rFonts w:ascii="Calibri"/>
          <w:spacing w:val="-2"/>
          <w:sz w:val="20"/>
        </w:rPr>
        <w:t>ideology.</w:t>
      </w:r>
    </w:p>
    <w:p>
      <w:pPr>
        <w:spacing w:line="237" w:lineRule="auto" w:before="5"/>
        <w:ind w:left="308" w:right="226" w:firstLine="0"/>
        <w:jc w:val="both"/>
        <w:rPr>
          <w:rFonts w:ascii="Calibri"/>
          <w:sz w:val="20"/>
        </w:rPr>
      </w:pPr>
      <w:r>
        <w:rPr>
          <w:rFonts w:ascii="Calibri"/>
          <w:sz w:val="20"/>
          <w:vertAlign w:val="superscript"/>
        </w:rPr>
        <w:t>115</w:t>
      </w:r>
      <w:r>
        <w:rPr>
          <w:rFonts w:ascii="Calibri"/>
          <w:sz w:val="20"/>
          <w:vertAlign w:val="baseline"/>
        </w:rPr>
        <w:t>Ronnegard, D. and Smith, N.C. (2011).</w:t>
      </w:r>
      <w:r>
        <w:rPr>
          <w:rFonts w:ascii="Calibri"/>
          <w:i/>
          <w:sz w:val="20"/>
          <w:vertAlign w:val="baseline"/>
        </w:rPr>
        <w:t>Shareholders vs. Stakeholders: How Liberal and Libertarian Political Philosophy Frames the Basic Debate in Business Ethics.</w:t>
      </w:r>
      <w:r>
        <w:rPr>
          <w:rFonts w:ascii="Calibri"/>
          <w:sz w:val="20"/>
          <w:vertAlign w:val="baseline"/>
        </w:rPr>
        <w:t>Faculty and Research Working Paper, Insead Social Innovation Centre, France, p. 3.</w:t>
      </w:r>
    </w:p>
    <w:p>
      <w:pPr>
        <w:spacing w:before="3"/>
        <w:ind w:left="308" w:right="0" w:firstLine="0"/>
        <w:jc w:val="both"/>
        <w:rPr>
          <w:rFonts w:ascii="Calibri"/>
          <w:sz w:val="20"/>
        </w:rPr>
      </w:pPr>
      <w:r>
        <w:rPr>
          <w:rFonts w:ascii="Calibri"/>
          <w:sz w:val="20"/>
          <w:vertAlign w:val="superscript"/>
        </w:rPr>
        <w:t>116</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w:t>
      </w:r>
      <w:r>
        <w:rPr>
          <w:rFonts w:ascii="Calibri"/>
          <w:spacing w:val="-5"/>
          <w:sz w:val="20"/>
          <w:vertAlign w:val="baseline"/>
        </w:rPr>
        <w:t>4.</w:t>
      </w:r>
    </w:p>
    <w:p>
      <w:pPr>
        <w:spacing w:before="1"/>
        <w:ind w:left="308" w:right="0" w:firstLine="0"/>
        <w:jc w:val="both"/>
        <w:rPr>
          <w:rFonts w:ascii="Calibri"/>
          <w:sz w:val="20"/>
        </w:rPr>
      </w:pPr>
      <w:r>
        <w:rPr>
          <w:rFonts w:ascii="Calibri"/>
          <w:sz w:val="20"/>
          <w:vertAlign w:val="superscript"/>
        </w:rPr>
        <w:t>117</w:t>
      </w:r>
      <w:r>
        <w:rPr>
          <w:rFonts w:ascii="Calibri"/>
          <w:spacing w:val="-1"/>
          <w:sz w:val="20"/>
          <w:vertAlign w:val="baseline"/>
        </w:rPr>
        <w:t> </w:t>
      </w:r>
      <w:r>
        <w:rPr>
          <w:rFonts w:ascii="Calibri"/>
          <w:sz w:val="20"/>
          <w:vertAlign w:val="baseline"/>
        </w:rPr>
        <w:t>(1919)</w:t>
      </w:r>
      <w:r>
        <w:rPr>
          <w:rFonts w:ascii="Calibri"/>
          <w:spacing w:val="-2"/>
          <w:sz w:val="20"/>
          <w:vertAlign w:val="baseline"/>
        </w:rPr>
        <w:t> </w:t>
      </w:r>
      <w:r>
        <w:rPr>
          <w:rFonts w:ascii="Calibri"/>
          <w:sz w:val="20"/>
          <w:vertAlign w:val="baseline"/>
        </w:rPr>
        <w:t>170</w:t>
      </w:r>
      <w:r>
        <w:rPr>
          <w:rFonts w:ascii="Calibri"/>
          <w:spacing w:val="-8"/>
          <w:sz w:val="20"/>
          <w:vertAlign w:val="baseline"/>
        </w:rPr>
        <w:t> </w:t>
      </w:r>
      <w:r>
        <w:rPr>
          <w:rFonts w:ascii="Calibri"/>
          <w:sz w:val="20"/>
          <w:vertAlign w:val="baseline"/>
        </w:rPr>
        <w:t>N.W. </w:t>
      </w:r>
      <w:r>
        <w:rPr>
          <w:rFonts w:ascii="Calibri"/>
          <w:spacing w:val="-5"/>
          <w:sz w:val="20"/>
          <w:vertAlign w:val="baseline"/>
        </w:rPr>
        <w:t>668</w:t>
      </w:r>
    </w:p>
    <w:p>
      <w:pPr>
        <w:spacing w:before="0"/>
        <w:ind w:left="308" w:right="225" w:firstLine="0"/>
        <w:jc w:val="both"/>
        <w:rPr>
          <w:rFonts w:ascii="Calibri"/>
          <w:sz w:val="20"/>
        </w:rPr>
      </w:pPr>
      <w:r>
        <w:rPr>
          <w:rFonts w:ascii="Calibri"/>
          <w:sz w:val="20"/>
          <w:vertAlign w:val="superscript"/>
        </w:rPr>
        <w:t>118</w:t>
      </w:r>
      <w:r>
        <w:rPr>
          <w:rFonts w:ascii="Calibri"/>
          <w:sz w:val="20"/>
          <w:vertAlign w:val="baseline"/>
        </w:rPr>
        <w:t> Ralph, G. (2012).</w:t>
      </w:r>
      <w:r>
        <w:rPr>
          <w:rFonts w:ascii="Calibri"/>
          <w:i/>
          <w:sz w:val="20"/>
          <w:vertAlign w:val="baseline"/>
        </w:rPr>
        <w:t>BCE and the Shareholder Primacy Paradox: A Theory at War with Itself.</w:t>
      </w:r>
      <w:r>
        <w:rPr>
          <w:rFonts w:ascii="Calibri"/>
          <w:sz w:val="20"/>
          <w:vertAlign w:val="baseline"/>
        </w:rPr>
        <w:t>(LL.M. thesis University of Toronto, Canada) p. 15.Retrieved September 23, 2013 from </w:t>
      </w:r>
      <w:hyperlink r:id="rId32">
        <w:r>
          <w:rPr>
            <w:rFonts w:ascii="Calibri"/>
            <w:color w:val="0000FF"/>
            <w:spacing w:val="-2"/>
            <w:sz w:val="20"/>
            <w:u w:val="single" w:color="0000FF"/>
            <w:vertAlign w:val="baseline"/>
          </w:rPr>
          <w:t>https://tspace.library.utoronto.ca/bitstream/1807/33219/1/gill_ralph_201211_LLM_thesis.pdf</w:t>
        </w:r>
        <w:r>
          <w:rPr>
            <w:rFonts w:ascii="Calibri"/>
            <w:spacing w:val="-2"/>
            <w:sz w:val="20"/>
            <w:vertAlign w:val="baseline"/>
          </w:rPr>
          <w:t>.</w:t>
        </w:r>
      </w:hyperlink>
    </w:p>
    <w:p>
      <w:pPr>
        <w:spacing w:before="2"/>
        <w:ind w:left="308" w:right="0" w:firstLine="0"/>
        <w:jc w:val="both"/>
        <w:rPr>
          <w:rFonts w:ascii="Calibri"/>
          <w:sz w:val="20"/>
        </w:rPr>
      </w:pPr>
      <w:r>
        <w:rPr>
          <w:rFonts w:ascii="Calibri"/>
          <w:sz w:val="20"/>
          <w:vertAlign w:val="superscript"/>
        </w:rPr>
        <w:t>119</w:t>
      </w:r>
      <w:r>
        <w:rPr>
          <w:rFonts w:ascii="Calibri"/>
          <w:i/>
          <w:sz w:val="20"/>
          <w:vertAlign w:val="baseline"/>
        </w:rPr>
        <w:t>Dodge</w:t>
      </w:r>
      <w:r>
        <w:rPr>
          <w:rFonts w:ascii="Calibri"/>
          <w:i/>
          <w:spacing w:val="-7"/>
          <w:sz w:val="20"/>
          <w:vertAlign w:val="baseline"/>
        </w:rPr>
        <w:t> </w:t>
      </w:r>
      <w:r>
        <w:rPr>
          <w:rFonts w:ascii="Calibri"/>
          <w:i/>
          <w:sz w:val="20"/>
          <w:vertAlign w:val="baseline"/>
        </w:rPr>
        <w:t>vs.</w:t>
      </w:r>
      <w:r>
        <w:rPr>
          <w:rFonts w:ascii="Calibri"/>
          <w:i/>
          <w:spacing w:val="-1"/>
          <w:sz w:val="20"/>
          <w:vertAlign w:val="baseline"/>
        </w:rPr>
        <w:t> </w:t>
      </w:r>
      <w:r>
        <w:rPr>
          <w:rFonts w:ascii="Calibri"/>
          <w:i/>
          <w:sz w:val="20"/>
          <w:vertAlign w:val="baseline"/>
        </w:rPr>
        <w:t>Ford</w:t>
      </w:r>
      <w:r>
        <w:rPr>
          <w:rFonts w:ascii="Calibri"/>
          <w:i/>
          <w:spacing w:val="-5"/>
          <w:sz w:val="20"/>
          <w:vertAlign w:val="baseline"/>
        </w:rPr>
        <w:t> </w:t>
      </w:r>
      <w:r>
        <w:rPr>
          <w:rFonts w:ascii="Calibri"/>
          <w:i/>
          <w:sz w:val="20"/>
          <w:vertAlign w:val="baseline"/>
        </w:rPr>
        <w:t>Motor</w:t>
      </w:r>
      <w:r>
        <w:rPr>
          <w:rFonts w:ascii="Calibri"/>
          <w:i/>
          <w:spacing w:val="-8"/>
          <w:sz w:val="20"/>
          <w:vertAlign w:val="baseline"/>
        </w:rPr>
        <w:t> </w:t>
      </w:r>
      <w:r>
        <w:rPr>
          <w:rFonts w:ascii="Calibri"/>
          <w:i/>
          <w:sz w:val="20"/>
          <w:vertAlign w:val="baseline"/>
        </w:rPr>
        <w:t>Co</w:t>
      </w:r>
      <w:r>
        <w:rPr>
          <w:rFonts w:ascii="Calibri"/>
          <w:sz w:val="20"/>
          <w:vertAlign w:val="baseline"/>
        </w:rPr>
        <w:t>.</w:t>
      </w:r>
      <w:r>
        <w:rPr>
          <w:rFonts w:ascii="Calibri"/>
          <w:spacing w:val="-1"/>
          <w:sz w:val="20"/>
          <w:vertAlign w:val="baseline"/>
        </w:rPr>
        <w:t> </w:t>
      </w:r>
      <w:r>
        <w:rPr>
          <w:rFonts w:ascii="Calibri"/>
          <w:sz w:val="20"/>
          <w:vertAlign w:val="baseline"/>
        </w:rPr>
        <w:t>supra</w:t>
      </w:r>
      <w:r>
        <w:rPr>
          <w:rFonts w:ascii="Calibri"/>
          <w:spacing w:val="-3"/>
          <w:sz w:val="20"/>
          <w:vertAlign w:val="baseline"/>
        </w:rPr>
        <w:t> </w:t>
      </w:r>
      <w:r>
        <w:rPr>
          <w:rFonts w:ascii="Calibri"/>
          <w:sz w:val="20"/>
          <w:vertAlign w:val="baseline"/>
        </w:rPr>
        <w:t>at</w:t>
      </w:r>
      <w:r>
        <w:rPr>
          <w:rFonts w:ascii="Calibri"/>
          <w:spacing w:val="-7"/>
          <w:sz w:val="20"/>
          <w:vertAlign w:val="baseline"/>
        </w:rPr>
        <w:t> </w:t>
      </w:r>
      <w:r>
        <w:rPr>
          <w:rFonts w:ascii="Calibri"/>
          <w:spacing w:val="-4"/>
          <w:sz w:val="20"/>
          <w:vertAlign w:val="baseline"/>
        </w:rPr>
        <w:t>685.</w:t>
      </w:r>
    </w:p>
    <w:p>
      <w:pPr>
        <w:spacing w:after="0"/>
        <w:jc w:val="both"/>
        <w:rPr>
          <w:rFonts w:ascii="Calibri"/>
          <w:sz w:val="20"/>
        </w:rPr>
        <w:sectPr>
          <w:pgSz w:w="11910" w:h="16840"/>
          <w:pgMar w:header="0" w:footer="1003" w:top="1280" w:bottom="1200" w:left="1680" w:right="1180"/>
        </w:sectPr>
      </w:pPr>
    </w:p>
    <w:p>
      <w:pPr>
        <w:pStyle w:val="BodyText"/>
        <w:spacing w:line="480" w:lineRule="auto" w:before="70"/>
        <w:ind w:right="179"/>
        <w:jc w:val="both"/>
      </w:pPr>
      <w:r>
        <w:rPr/>
        <w:t>structure designed to ensure that corporations work primarily in the interest of shareholders.</w:t>
      </w:r>
      <w:r>
        <w:rPr>
          <w:vertAlign w:val="superscript"/>
        </w:rPr>
        <w:t>120</w:t>
      </w:r>
      <w:r>
        <w:rPr>
          <w:vertAlign w:val="baseline"/>
        </w:rPr>
        <w:t> However, it is pertinent to note that in none of the company laws of these jurisdictions are directors tasked to specifically consider </w:t>
      </w:r>
      <w:r>
        <w:rPr>
          <w:i/>
          <w:vertAlign w:val="baseline"/>
        </w:rPr>
        <w:t>only </w:t>
      </w:r>
      <w:r>
        <w:rPr>
          <w:vertAlign w:val="baseline"/>
        </w:rPr>
        <w:t>the interests of the shareholders:</w:t>
      </w:r>
      <w:r>
        <w:rPr>
          <w:vertAlign w:val="superscript"/>
        </w:rPr>
        <w:t>121</w:t>
      </w:r>
      <w:r>
        <w:rPr>
          <w:vertAlign w:val="baseline"/>
        </w:rPr>
        <w:t> instead, it is the allocation of</w:t>
      </w:r>
      <w:r>
        <w:rPr>
          <w:spacing w:val="-3"/>
          <w:vertAlign w:val="baseline"/>
        </w:rPr>
        <w:t> </w:t>
      </w:r>
      <w:r>
        <w:rPr>
          <w:vertAlign w:val="baseline"/>
        </w:rPr>
        <w:t>corporate power and legal and proprietary rights that results in a situation amounting to shareholder primacy. This is obvious from the fact that the shareholders in the general meeting have the statutory power to appoint and remove directors; decide their remuneration and withdraw their funds from the enterprise, thereby having the potential to influence directors in their decision making. Thus, although directors are not </w:t>
      </w:r>
      <w:r>
        <w:rPr>
          <w:i/>
          <w:vertAlign w:val="baseline"/>
        </w:rPr>
        <w:t>legally </w:t>
      </w:r>
      <w:r>
        <w:rPr>
          <w:vertAlign w:val="baseline"/>
        </w:rPr>
        <w:t>mandated to consider </w:t>
      </w:r>
      <w:r>
        <w:rPr>
          <w:i/>
          <w:vertAlign w:val="baseline"/>
        </w:rPr>
        <w:t>only </w:t>
      </w:r>
      <w:r>
        <w:rPr>
          <w:vertAlign w:val="baseline"/>
        </w:rPr>
        <w:t>the interests of shareholders, the latter group has been statutorily armed to ensure that the directors do just that. Conclusively, the legal power of</w:t>
      </w:r>
      <w:r>
        <w:rPr>
          <w:spacing w:val="-3"/>
          <w:vertAlign w:val="baseline"/>
        </w:rPr>
        <w:t> </w:t>
      </w:r>
      <w:r>
        <w:rPr>
          <w:vertAlign w:val="baseline"/>
        </w:rPr>
        <w:t>shareholders to vote</w:t>
      </w:r>
      <w:r>
        <w:rPr>
          <w:spacing w:val="-1"/>
          <w:vertAlign w:val="baseline"/>
        </w:rPr>
        <w:t> </w:t>
      </w:r>
      <w:r>
        <w:rPr>
          <w:vertAlign w:val="baseline"/>
        </w:rPr>
        <w:t>for the board of</w:t>
      </w:r>
      <w:r>
        <w:rPr>
          <w:spacing w:val="-3"/>
          <w:vertAlign w:val="baseline"/>
        </w:rPr>
        <w:t> </w:t>
      </w:r>
      <w:r>
        <w:rPr>
          <w:vertAlign w:val="baseline"/>
        </w:rPr>
        <w:t>directors and their remuneration helps</w:t>
      </w:r>
      <w:r>
        <w:rPr>
          <w:spacing w:val="-2"/>
          <w:vertAlign w:val="baseline"/>
        </w:rPr>
        <w:t> </w:t>
      </w:r>
      <w:r>
        <w:rPr>
          <w:vertAlign w:val="baseline"/>
        </w:rPr>
        <w:t>to perpetuate</w:t>
      </w:r>
      <w:r>
        <w:rPr>
          <w:spacing w:val="-1"/>
          <w:vertAlign w:val="baseline"/>
        </w:rPr>
        <w:t> </w:t>
      </w:r>
      <w:r>
        <w:rPr>
          <w:vertAlign w:val="baseline"/>
        </w:rPr>
        <w:t>the</w:t>
      </w:r>
      <w:r>
        <w:rPr>
          <w:spacing w:val="-1"/>
          <w:vertAlign w:val="baseline"/>
        </w:rPr>
        <w:t> </w:t>
      </w:r>
      <w:r>
        <w:rPr>
          <w:vertAlign w:val="baseline"/>
        </w:rPr>
        <w:t>SPN</w:t>
      </w:r>
      <w:r>
        <w:rPr>
          <w:spacing w:val="-1"/>
          <w:vertAlign w:val="baseline"/>
        </w:rPr>
        <w:t> </w:t>
      </w:r>
      <w:r>
        <w:rPr>
          <w:vertAlign w:val="baseline"/>
        </w:rPr>
        <w:t>as</w:t>
      </w:r>
      <w:r>
        <w:rPr>
          <w:spacing w:val="-2"/>
          <w:vertAlign w:val="baseline"/>
        </w:rPr>
        <w:t> </w:t>
      </w:r>
      <w:r>
        <w:rPr>
          <w:vertAlign w:val="baseline"/>
        </w:rPr>
        <w:t>a social norm, not necessarily as a principle of law likely to be upheld in court.</w:t>
      </w:r>
      <w:r>
        <w:rPr>
          <w:vertAlign w:val="superscript"/>
        </w:rPr>
        <w:t>122</w:t>
      </w:r>
    </w:p>
    <w:p>
      <w:pPr>
        <w:pStyle w:val="BodyText"/>
        <w:spacing w:line="480" w:lineRule="auto" w:before="2"/>
        <w:ind w:right="175" w:firstLine="720"/>
        <w:jc w:val="both"/>
      </w:pPr>
      <w:r>
        <w:rPr/>
        <w:t>While the SPN has enjoyed the advantage of corporate law,</w:t>
      </w:r>
      <w:r>
        <w:rPr>
          <w:vertAlign w:val="superscript"/>
        </w:rPr>
        <w:t>123</w:t>
      </w:r>
      <w:r>
        <w:rPr>
          <w:vertAlign w:val="baseline"/>
        </w:rPr>
        <w:t> its advocates</w:t>
      </w:r>
      <w:r>
        <w:rPr>
          <w:spacing w:val="80"/>
          <w:vertAlign w:val="baseline"/>
        </w:rPr>
        <w:t> </w:t>
      </w:r>
      <w:r>
        <w:rPr>
          <w:vertAlign w:val="baseline"/>
        </w:rPr>
        <w:t>argue that this is because management is thereby more focused in achieving the main objective of the company. It is believed that it is much more difficult for directors to make</w:t>
      </w:r>
      <w:r>
        <w:rPr>
          <w:spacing w:val="73"/>
          <w:w w:val="150"/>
          <w:vertAlign w:val="baseline"/>
        </w:rPr>
        <w:t> </w:t>
      </w:r>
      <w:r>
        <w:rPr>
          <w:vertAlign w:val="baseline"/>
        </w:rPr>
        <w:t>excuses</w:t>
      </w:r>
      <w:r>
        <w:rPr>
          <w:spacing w:val="77"/>
          <w:w w:val="150"/>
          <w:vertAlign w:val="baseline"/>
        </w:rPr>
        <w:t> </w:t>
      </w:r>
      <w:r>
        <w:rPr>
          <w:vertAlign w:val="baseline"/>
        </w:rPr>
        <w:t>for</w:t>
      </w:r>
      <w:r>
        <w:rPr>
          <w:spacing w:val="76"/>
          <w:w w:val="150"/>
          <w:vertAlign w:val="baseline"/>
        </w:rPr>
        <w:t> </w:t>
      </w:r>
      <w:r>
        <w:rPr>
          <w:vertAlign w:val="baseline"/>
        </w:rPr>
        <w:t>poor</w:t>
      </w:r>
      <w:r>
        <w:rPr>
          <w:spacing w:val="76"/>
          <w:w w:val="150"/>
          <w:vertAlign w:val="baseline"/>
        </w:rPr>
        <w:t> </w:t>
      </w:r>
      <w:r>
        <w:rPr>
          <w:vertAlign w:val="baseline"/>
        </w:rPr>
        <w:t>performance</w:t>
      </w:r>
      <w:r>
        <w:rPr>
          <w:spacing w:val="73"/>
          <w:w w:val="150"/>
          <w:vertAlign w:val="baseline"/>
        </w:rPr>
        <w:t> </w:t>
      </w:r>
      <w:r>
        <w:rPr>
          <w:vertAlign w:val="baseline"/>
        </w:rPr>
        <w:t>when</w:t>
      </w:r>
      <w:r>
        <w:rPr>
          <w:spacing w:val="69"/>
          <w:w w:val="150"/>
          <w:vertAlign w:val="baseline"/>
        </w:rPr>
        <w:t> </w:t>
      </w:r>
      <w:r>
        <w:rPr>
          <w:vertAlign w:val="baseline"/>
        </w:rPr>
        <w:t>they</w:t>
      </w:r>
      <w:r>
        <w:rPr>
          <w:spacing w:val="80"/>
          <w:vertAlign w:val="baseline"/>
        </w:rPr>
        <w:t> </w:t>
      </w:r>
      <w:r>
        <w:rPr>
          <w:vertAlign w:val="baseline"/>
        </w:rPr>
        <w:t>are</w:t>
      </w:r>
      <w:r>
        <w:rPr>
          <w:spacing w:val="78"/>
          <w:w w:val="150"/>
          <w:vertAlign w:val="baseline"/>
        </w:rPr>
        <w:t> </w:t>
      </w:r>
      <w:r>
        <w:rPr>
          <w:vertAlign w:val="baseline"/>
        </w:rPr>
        <w:t>being</w:t>
      </w:r>
      <w:r>
        <w:rPr>
          <w:spacing w:val="79"/>
          <w:w w:val="150"/>
          <w:vertAlign w:val="baseline"/>
        </w:rPr>
        <w:t> </w:t>
      </w:r>
      <w:r>
        <w:rPr>
          <w:vertAlign w:val="baseline"/>
        </w:rPr>
        <w:t>held</w:t>
      </w:r>
      <w:r>
        <w:rPr>
          <w:spacing w:val="74"/>
          <w:w w:val="150"/>
          <w:vertAlign w:val="baseline"/>
        </w:rPr>
        <w:t> </w:t>
      </w:r>
      <w:r>
        <w:rPr>
          <w:vertAlign w:val="baseline"/>
        </w:rPr>
        <w:t>to</w:t>
      </w:r>
      <w:r>
        <w:rPr>
          <w:spacing w:val="79"/>
          <w:w w:val="150"/>
          <w:vertAlign w:val="baseline"/>
        </w:rPr>
        <w:t> </w:t>
      </w:r>
      <w:r>
        <w:rPr>
          <w:vertAlign w:val="baseline"/>
        </w:rPr>
        <w:t>account</w:t>
      </w:r>
      <w:r>
        <w:rPr>
          <w:spacing w:val="79"/>
          <w:w w:val="150"/>
          <w:vertAlign w:val="baseline"/>
        </w:rPr>
        <w:t> </w:t>
      </w:r>
      <w:r>
        <w:rPr>
          <w:vertAlign w:val="baseline"/>
        </w:rPr>
        <w:t>by</w:t>
      </w:r>
    </w:p>
    <w:p>
      <w:pPr>
        <w:pStyle w:val="BodyText"/>
        <w:ind w:left="0"/>
        <w:rPr>
          <w:sz w:val="20"/>
        </w:rPr>
      </w:pPr>
    </w:p>
    <w:p>
      <w:pPr>
        <w:pStyle w:val="BodyText"/>
        <w:spacing w:before="121"/>
        <w:ind w:left="0"/>
        <w:rPr>
          <w:sz w:val="20"/>
        </w:rPr>
      </w:pPr>
      <w:r>
        <w:rPr/>
        <mc:AlternateContent>
          <mc:Choice Requires="wps">
            <w:drawing>
              <wp:anchor distT="0" distB="0" distL="0" distR="0" allowOverlap="1" layoutInCell="1" locked="0" behindDoc="1" simplePos="0" relativeHeight="487648768">
                <wp:simplePos x="0" y="0"/>
                <wp:positionH relativeFrom="page">
                  <wp:posOffset>1262481</wp:posOffset>
                </wp:positionH>
                <wp:positionV relativeFrom="paragraph">
                  <wp:posOffset>238135</wp:posOffset>
                </wp:positionV>
                <wp:extent cx="1829435" cy="9525"/>
                <wp:effectExtent l="0" t="0" r="0" b="0"/>
                <wp:wrapTopAndBottom/>
                <wp:docPr id="133" name="Graphic 133"/>
                <wp:cNvGraphicFramePr>
                  <a:graphicFrameLocks/>
                </wp:cNvGraphicFramePr>
                <a:graphic>
                  <a:graphicData uri="http://schemas.microsoft.com/office/word/2010/wordprocessingShape">
                    <wps:wsp>
                      <wps:cNvPr id="133" name="Graphic 133"/>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750790pt;width:144.050pt;height:.72003pt;mso-position-horizontal-relative:page;mso-position-vertical-relative:paragraph;z-index:-15667712;mso-wrap-distance-left:0;mso-wrap-distance-right:0" id="docshape88" filled="true" fillcolor="#000000" stroked="false">
                <v:fill type="solid"/>
                <w10:wrap type="topAndBottom"/>
              </v:rect>
            </w:pict>
          </mc:Fallback>
        </mc:AlternateContent>
      </w:r>
    </w:p>
    <w:p>
      <w:pPr>
        <w:tabs>
          <w:tab w:pos="1589" w:val="left" w:leader="none"/>
          <w:tab w:pos="2208" w:val="left" w:leader="none"/>
          <w:tab w:pos="3217" w:val="left" w:leader="none"/>
          <w:tab w:pos="3621" w:val="left" w:leader="none"/>
          <w:tab w:pos="4849" w:val="left" w:leader="none"/>
          <w:tab w:pos="5458" w:val="left" w:leader="none"/>
          <w:tab w:pos="6067" w:val="left" w:leader="none"/>
          <w:tab w:pos="7310" w:val="left" w:leader="none"/>
          <w:tab w:pos="8663" w:val="left" w:leader="none"/>
        </w:tabs>
        <w:spacing w:line="240" w:lineRule="auto" w:before="102"/>
        <w:ind w:left="308" w:right="226" w:firstLine="0"/>
        <w:jc w:val="left"/>
        <w:rPr>
          <w:rFonts w:ascii="Calibri"/>
          <w:sz w:val="20"/>
        </w:rPr>
      </w:pPr>
      <w:r>
        <w:rPr>
          <w:rFonts w:ascii="Calibri"/>
          <w:sz w:val="20"/>
          <w:vertAlign w:val="superscript"/>
        </w:rPr>
        <w:t>120</w:t>
      </w:r>
      <w:r>
        <w:rPr>
          <w:rFonts w:ascii="Calibri"/>
          <w:sz w:val="20"/>
          <w:vertAlign w:val="baseline"/>
        </w:rPr>
        <w:t>Anderson,</w:t>
      </w:r>
      <w:r>
        <w:rPr>
          <w:rFonts w:ascii="Calibri"/>
          <w:spacing w:val="31"/>
          <w:sz w:val="20"/>
          <w:vertAlign w:val="baseline"/>
        </w:rPr>
        <w:t> </w:t>
      </w:r>
      <w:r>
        <w:rPr>
          <w:rFonts w:ascii="Calibri"/>
          <w:sz w:val="20"/>
          <w:vertAlign w:val="baseline"/>
        </w:rPr>
        <w:t>M.</w:t>
      </w:r>
      <w:r>
        <w:rPr>
          <w:rFonts w:ascii="Calibri"/>
          <w:spacing w:val="36"/>
          <w:sz w:val="20"/>
          <w:vertAlign w:val="baseline"/>
        </w:rPr>
        <w:t> </w:t>
      </w:r>
      <w:r>
        <w:rPr>
          <w:rFonts w:ascii="Calibri"/>
          <w:i/>
          <w:sz w:val="20"/>
          <w:vertAlign w:val="baseline"/>
        </w:rPr>
        <w:t>et</w:t>
      </w:r>
      <w:r>
        <w:rPr>
          <w:rFonts w:ascii="Calibri"/>
          <w:i/>
          <w:spacing w:val="28"/>
          <w:sz w:val="20"/>
          <w:vertAlign w:val="baseline"/>
        </w:rPr>
        <w:t> </w:t>
      </w:r>
      <w:r>
        <w:rPr>
          <w:rFonts w:ascii="Calibri"/>
          <w:i/>
          <w:sz w:val="20"/>
          <w:vertAlign w:val="baseline"/>
        </w:rPr>
        <w:t>al.</w:t>
      </w:r>
      <w:r>
        <w:rPr>
          <w:rFonts w:ascii="Calibri"/>
          <w:i/>
          <w:spacing w:val="31"/>
          <w:sz w:val="20"/>
          <w:vertAlign w:val="baseline"/>
        </w:rPr>
        <w:t> </w:t>
      </w:r>
      <w:r>
        <w:rPr>
          <w:rFonts w:ascii="Calibri"/>
          <w:sz w:val="20"/>
          <w:vertAlign w:val="baseline"/>
        </w:rPr>
        <w:t>(2011).</w:t>
      </w:r>
      <w:r>
        <w:rPr>
          <w:rFonts w:ascii="Calibri"/>
          <w:i/>
          <w:sz w:val="20"/>
          <w:vertAlign w:val="baseline"/>
        </w:rPr>
        <w:t>Evaluating</w:t>
      </w:r>
      <w:r>
        <w:rPr>
          <w:rFonts w:ascii="Calibri"/>
          <w:i/>
          <w:spacing w:val="35"/>
          <w:sz w:val="20"/>
          <w:vertAlign w:val="baseline"/>
        </w:rPr>
        <w:t> </w:t>
      </w:r>
      <w:r>
        <w:rPr>
          <w:rFonts w:ascii="Calibri"/>
          <w:i/>
          <w:sz w:val="20"/>
          <w:vertAlign w:val="baseline"/>
        </w:rPr>
        <w:t>the</w:t>
      </w:r>
      <w:r>
        <w:rPr>
          <w:rFonts w:ascii="Calibri"/>
          <w:i/>
          <w:spacing w:val="33"/>
          <w:sz w:val="20"/>
          <w:vertAlign w:val="baseline"/>
        </w:rPr>
        <w:t> </w:t>
      </w:r>
      <w:r>
        <w:rPr>
          <w:rFonts w:ascii="Calibri"/>
          <w:i/>
          <w:sz w:val="20"/>
          <w:vertAlign w:val="baseline"/>
        </w:rPr>
        <w:t>Shareholder</w:t>
      </w:r>
      <w:r>
        <w:rPr>
          <w:rFonts w:ascii="Calibri"/>
          <w:i/>
          <w:spacing w:val="31"/>
          <w:sz w:val="20"/>
          <w:vertAlign w:val="baseline"/>
        </w:rPr>
        <w:t> </w:t>
      </w:r>
      <w:r>
        <w:rPr>
          <w:rFonts w:ascii="Calibri"/>
          <w:i/>
          <w:sz w:val="20"/>
          <w:vertAlign w:val="baseline"/>
        </w:rPr>
        <w:t>Primacy</w:t>
      </w:r>
      <w:r>
        <w:rPr>
          <w:rFonts w:ascii="Calibri"/>
          <w:i/>
          <w:spacing w:val="34"/>
          <w:sz w:val="20"/>
          <w:vertAlign w:val="baseline"/>
        </w:rPr>
        <w:t> </w:t>
      </w:r>
      <w:r>
        <w:rPr>
          <w:rFonts w:ascii="Calibri"/>
          <w:i/>
          <w:sz w:val="20"/>
          <w:vertAlign w:val="baseline"/>
        </w:rPr>
        <w:t>Theory:</w:t>
      </w:r>
      <w:r>
        <w:rPr>
          <w:rFonts w:ascii="Calibri"/>
          <w:i/>
          <w:spacing w:val="28"/>
          <w:sz w:val="20"/>
          <w:vertAlign w:val="baseline"/>
        </w:rPr>
        <w:t> </w:t>
      </w:r>
      <w:r>
        <w:rPr>
          <w:rFonts w:ascii="Calibri"/>
          <w:i/>
          <w:sz w:val="20"/>
          <w:vertAlign w:val="baseline"/>
        </w:rPr>
        <w:t>Evidence</w:t>
      </w:r>
      <w:r>
        <w:rPr>
          <w:rFonts w:ascii="Calibri"/>
          <w:i/>
          <w:spacing w:val="33"/>
          <w:sz w:val="20"/>
          <w:vertAlign w:val="baseline"/>
        </w:rPr>
        <w:t> </w:t>
      </w:r>
      <w:r>
        <w:rPr>
          <w:rFonts w:ascii="Calibri"/>
          <w:i/>
          <w:sz w:val="20"/>
          <w:vertAlign w:val="baseline"/>
        </w:rPr>
        <w:t>from</w:t>
      </w:r>
      <w:r>
        <w:rPr>
          <w:rFonts w:ascii="Calibri"/>
          <w:i/>
          <w:spacing w:val="28"/>
          <w:sz w:val="20"/>
          <w:vertAlign w:val="baseline"/>
        </w:rPr>
        <w:t> </w:t>
      </w:r>
      <w:r>
        <w:rPr>
          <w:rFonts w:ascii="Calibri"/>
          <w:i/>
          <w:sz w:val="20"/>
          <w:vertAlign w:val="baseline"/>
        </w:rPr>
        <w:t>a</w:t>
      </w:r>
      <w:r>
        <w:rPr>
          <w:rFonts w:ascii="Calibri"/>
          <w:i/>
          <w:spacing w:val="40"/>
          <w:sz w:val="20"/>
          <w:vertAlign w:val="baseline"/>
        </w:rPr>
        <w:t> </w:t>
      </w:r>
      <w:r>
        <w:rPr>
          <w:rFonts w:ascii="Calibri"/>
          <w:i/>
          <w:sz w:val="20"/>
          <w:vertAlign w:val="baseline"/>
        </w:rPr>
        <w:t>Survey</w:t>
      </w:r>
      <w:r>
        <w:rPr>
          <w:rFonts w:ascii="Calibri"/>
          <w:i/>
          <w:spacing w:val="25"/>
          <w:sz w:val="20"/>
          <w:vertAlign w:val="baseline"/>
        </w:rPr>
        <w:t> </w:t>
      </w:r>
      <w:r>
        <w:rPr>
          <w:rFonts w:ascii="Calibri"/>
          <w:i/>
          <w:sz w:val="20"/>
          <w:vertAlign w:val="baseline"/>
        </w:rPr>
        <w:t>of Australian</w:t>
      </w:r>
      <w:r>
        <w:rPr>
          <w:rFonts w:ascii="Calibri"/>
          <w:i/>
          <w:spacing w:val="80"/>
          <w:sz w:val="20"/>
          <w:vertAlign w:val="baseline"/>
        </w:rPr>
        <w:t> </w:t>
      </w:r>
      <w:r>
        <w:rPr>
          <w:rFonts w:ascii="Calibri"/>
          <w:i/>
          <w:sz w:val="20"/>
          <w:vertAlign w:val="baseline"/>
        </w:rPr>
        <w:t>Directors.</w:t>
      </w:r>
      <w:r>
        <w:rPr>
          <w:rFonts w:ascii="Calibri"/>
          <w:sz w:val="20"/>
          <w:vertAlign w:val="baseline"/>
        </w:rPr>
        <w:t>Corporate</w:t>
      </w:r>
      <w:r>
        <w:rPr>
          <w:rFonts w:ascii="Calibri"/>
          <w:spacing w:val="80"/>
          <w:sz w:val="20"/>
          <w:vertAlign w:val="baseline"/>
        </w:rPr>
        <w:t> </w:t>
      </w:r>
      <w:r>
        <w:rPr>
          <w:rFonts w:ascii="Calibri"/>
          <w:sz w:val="20"/>
          <w:vertAlign w:val="baseline"/>
        </w:rPr>
        <w:t>Governance</w:t>
      </w:r>
      <w:r>
        <w:rPr>
          <w:rFonts w:ascii="Calibri"/>
          <w:spacing w:val="80"/>
          <w:sz w:val="20"/>
          <w:vertAlign w:val="baseline"/>
        </w:rPr>
        <w:t> </w:t>
      </w:r>
      <w:r>
        <w:rPr>
          <w:rFonts w:ascii="Calibri"/>
          <w:sz w:val="20"/>
          <w:vertAlign w:val="baseline"/>
        </w:rPr>
        <w:t>and</w:t>
      </w:r>
      <w:r>
        <w:rPr>
          <w:rFonts w:ascii="Calibri"/>
          <w:spacing w:val="80"/>
          <w:sz w:val="20"/>
          <w:vertAlign w:val="baseline"/>
        </w:rPr>
        <w:t> </w:t>
      </w:r>
      <w:r>
        <w:rPr>
          <w:rFonts w:ascii="Calibri"/>
          <w:sz w:val="20"/>
          <w:vertAlign w:val="baseline"/>
        </w:rPr>
        <w:t>Workplace</w:t>
      </w:r>
      <w:r>
        <w:rPr>
          <w:rFonts w:ascii="Calibri"/>
          <w:spacing w:val="80"/>
          <w:sz w:val="20"/>
          <w:vertAlign w:val="baseline"/>
        </w:rPr>
        <w:t> </w:t>
      </w:r>
      <w:r>
        <w:rPr>
          <w:rFonts w:ascii="Calibri"/>
          <w:sz w:val="20"/>
          <w:vertAlign w:val="baseline"/>
        </w:rPr>
        <w:t>Partnership</w:t>
      </w:r>
      <w:r>
        <w:rPr>
          <w:rFonts w:ascii="Calibri"/>
          <w:spacing w:val="80"/>
          <w:sz w:val="20"/>
          <w:vertAlign w:val="baseline"/>
        </w:rPr>
        <w:t> </w:t>
      </w:r>
      <w:r>
        <w:rPr>
          <w:rFonts w:ascii="Calibri"/>
          <w:sz w:val="20"/>
          <w:vertAlign w:val="baseline"/>
        </w:rPr>
        <w:t>Project,</w:t>
      </w:r>
      <w:r>
        <w:rPr>
          <w:rFonts w:ascii="Calibri"/>
          <w:spacing w:val="80"/>
          <w:sz w:val="20"/>
          <w:vertAlign w:val="baseline"/>
        </w:rPr>
        <w:t> </w:t>
      </w:r>
      <w:r>
        <w:rPr>
          <w:rFonts w:ascii="Calibri"/>
          <w:sz w:val="20"/>
          <w:vertAlign w:val="baseline"/>
        </w:rPr>
        <w:t>Faculty</w:t>
      </w:r>
      <w:r>
        <w:rPr>
          <w:rFonts w:ascii="Calibri"/>
          <w:spacing w:val="80"/>
          <w:sz w:val="20"/>
          <w:vertAlign w:val="baseline"/>
        </w:rPr>
        <w:t> </w:t>
      </w:r>
      <w:r>
        <w:rPr>
          <w:rFonts w:ascii="Calibri"/>
          <w:sz w:val="20"/>
          <w:vertAlign w:val="baseline"/>
        </w:rPr>
        <w:t>of</w:t>
      </w:r>
      <w:r>
        <w:rPr>
          <w:rFonts w:ascii="Calibri"/>
          <w:spacing w:val="80"/>
          <w:sz w:val="20"/>
          <w:vertAlign w:val="baseline"/>
        </w:rPr>
        <w:t> </w:t>
      </w:r>
      <w:r>
        <w:rPr>
          <w:rFonts w:ascii="Calibri"/>
          <w:sz w:val="20"/>
          <w:vertAlign w:val="baseline"/>
        </w:rPr>
        <w:t>Law, </w:t>
      </w:r>
      <w:r>
        <w:rPr>
          <w:rFonts w:ascii="Calibri"/>
          <w:spacing w:val="-2"/>
          <w:sz w:val="20"/>
          <w:vertAlign w:val="baseline"/>
        </w:rPr>
        <w:t>University</w:t>
      </w:r>
      <w:r>
        <w:rPr>
          <w:rFonts w:ascii="Calibri"/>
          <w:sz w:val="20"/>
          <w:vertAlign w:val="baseline"/>
        </w:rPr>
        <w:tab/>
      </w:r>
      <w:r>
        <w:rPr>
          <w:rFonts w:ascii="Calibri"/>
          <w:spacing w:val="-6"/>
          <w:sz w:val="20"/>
          <w:vertAlign w:val="baseline"/>
        </w:rPr>
        <w:t>of</w:t>
      </w:r>
      <w:r>
        <w:rPr>
          <w:rFonts w:ascii="Calibri"/>
          <w:sz w:val="20"/>
          <w:vertAlign w:val="baseline"/>
        </w:rPr>
        <w:tab/>
      </w:r>
      <w:r>
        <w:rPr>
          <w:rFonts w:ascii="Calibri"/>
          <w:spacing w:val="-2"/>
          <w:sz w:val="20"/>
          <w:vertAlign w:val="baseline"/>
        </w:rPr>
        <w:t>Melbourne,</w:t>
      </w:r>
      <w:r>
        <w:rPr>
          <w:rFonts w:ascii="Calibri"/>
          <w:sz w:val="20"/>
          <w:vertAlign w:val="baseline"/>
        </w:rPr>
        <w:tab/>
        <w:tab/>
      </w:r>
      <w:r>
        <w:rPr>
          <w:rFonts w:ascii="Calibri"/>
          <w:spacing w:val="-2"/>
          <w:sz w:val="20"/>
          <w:vertAlign w:val="baseline"/>
        </w:rPr>
        <w:t>Australia,</w:t>
      </w:r>
      <w:r>
        <w:rPr>
          <w:rFonts w:ascii="Calibri"/>
          <w:sz w:val="20"/>
          <w:vertAlign w:val="baseline"/>
        </w:rPr>
        <w:tab/>
      </w:r>
      <w:r>
        <w:rPr>
          <w:rFonts w:ascii="Calibri"/>
          <w:spacing w:val="-6"/>
          <w:sz w:val="20"/>
          <w:vertAlign w:val="baseline"/>
        </w:rPr>
        <w:t>p.</w:t>
      </w:r>
      <w:r>
        <w:rPr>
          <w:rFonts w:ascii="Calibri"/>
          <w:sz w:val="20"/>
          <w:vertAlign w:val="baseline"/>
        </w:rPr>
        <w:tab/>
      </w:r>
      <w:r>
        <w:rPr>
          <w:rFonts w:ascii="Calibri"/>
          <w:spacing w:val="-6"/>
          <w:sz w:val="20"/>
          <w:vertAlign w:val="baseline"/>
        </w:rPr>
        <w:t>1.</w:t>
      </w:r>
      <w:r>
        <w:rPr>
          <w:rFonts w:ascii="Calibri"/>
          <w:sz w:val="20"/>
          <w:vertAlign w:val="baseline"/>
        </w:rPr>
        <w:tab/>
      </w:r>
      <w:r>
        <w:rPr>
          <w:rFonts w:ascii="Calibri"/>
          <w:spacing w:val="-2"/>
          <w:sz w:val="20"/>
          <w:vertAlign w:val="baseline"/>
        </w:rPr>
        <w:t>Retrieved</w:t>
      </w:r>
      <w:r>
        <w:rPr>
          <w:rFonts w:ascii="Calibri"/>
          <w:sz w:val="20"/>
          <w:vertAlign w:val="baseline"/>
        </w:rPr>
        <w:tab/>
      </w:r>
      <w:r>
        <w:rPr>
          <w:rFonts w:ascii="Calibri"/>
          <w:spacing w:val="-2"/>
          <w:sz w:val="20"/>
          <w:vertAlign w:val="baseline"/>
        </w:rPr>
        <w:t>September</w:t>
      </w:r>
      <w:r>
        <w:rPr>
          <w:rFonts w:ascii="Calibri"/>
          <w:sz w:val="20"/>
          <w:vertAlign w:val="baseline"/>
        </w:rPr>
        <w:tab/>
      </w:r>
      <w:r>
        <w:rPr>
          <w:rFonts w:ascii="Calibri"/>
          <w:spacing w:val="-6"/>
          <w:sz w:val="20"/>
          <w:vertAlign w:val="baseline"/>
        </w:rPr>
        <w:t>6,</w:t>
      </w:r>
      <w:r>
        <w:rPr>
          <w:rFonts w:ascii="Calibri"/>
          <w:spacing w:val="-2"/>
          <w:sz w:val="20"/>
          <w:vertAlign w:val="baseline"/>
        </w:rPr>
        <w:t> from</w:t>
      </w:r>
      <w:hyperlink r:id="rId33">
        <w:r>
          <w:rPr>
            <w:rFonts w:ascii="Calibri"/>
            <w:color w:val="0000FF"/>
            <w:spacing w:val="-2"/>
            <w:sz w:val="20"/>
            <w:u w:val="single" w:color="0000FF"/>
            <w:vertAlign w:val="baseline"/>
          </w:rPr>
          <w:t>http://www.law.unimelb.edu.au/files/dmfile/Evaluatingtheshareholderprimacytheoryevidencefro</w:t>
        </w:r>
      </w:hyperlink>
      <w:r>
        <w:rPr>
          <w:rFonts w:ascii="Calibri"/>
          <w:color w:val="0000FF"/>
          <w:spacing w:val="-2"/>
          <w:sz w:val="20"/>
          <w:vertAlign w:val="baseline"/>
        </w:rPr>
        <w:t> </w:t>
      </w:r>
      <w:hyperlink r:id="rId33">
        <w:r>
          <w:rPr>
            <w:rFonts w:ascii="Calibri"/>
            <w:color w:val="0000FF"/>
            <w:spacing w:val="-2"/>
            <w:sz w:val="20"/>
            <w:u w:val="single" w:color="0000FF"/>
            <w:vertAlign w:val="baseline"/>
          </w:rPr>
          <w:t>masurveyof_Australian_directors</w:t>
        </w:r>
        <w:r>
          <w:rPr>
            <w:rFonts w:ascii="Calibri"/>
            <w:color w:val="0000FF"/>
            <w:sz w:val="20"/>
            <w:u w:val="single" w:color="0000FF"/>
            <w:vertAlign w:val="baseline"/>
          </w:rPr>
          <w:tab/>
          <w:t>20_11_07_2.pdf</w:t>
        </w:r>
        <w:r>
          <w:rPr>
            <w:rFonts w:ascii="Calibri"/>
            <w:sz w:val="20"/>
            <w:vertAlign w:val="baseline"/>
          </w:rPr>
          <w:t>.</w:t>
        </w:r>
      </w:hyperlink>
      <w:r>
        <w:rPr>
          <w:rFonts w:ascii="Calibri"/>
          <w:spacing w:val="40"/>
          <w:sz w:val="20"/>
          <w:vertAlign w:val="baseline"/>
        </w:rPr>
        <w:t> </w:t>
      </w:r>
      <w:r>
        <w:rPr>
          <w:rFonts w:ascii="Calibri"/>
          <w:sz w:val="20"/>
          <w:vertAlign w:val="baseline"/>
        </w:rPr>
        <w:t>See</w:t>
      </w:r>
      <w:r>
        <w:rPr>
          <w:rFonts w:ascii="Calibri"/>
          <w:spacing w:val="40"/>
          <w:sz w:val="20"/>
          <w:vertAlign w:val="baseline"/>
        </w:rPr>
        <w:t> </w:t>
      </w:r>
      <w:r>
        <w:rPr>
          <w:rFonts w:ascii="Calibri"/>
          <w:sz w:val="20"/>
          <w:vertAlign w:val="baseline"/>
        </w:rPr>
        <w:t>also</w:t>
      </w:r>
      <w:r>
        <w:rPr>
          <w:rFonts w:ascii="Calibri"/>
          <w:spacing w:val="40"/>
          <w:sz w:val="20"/>
          <w:vertAlign w:val="baseline"/>
        </w:rPr>
        <w:t> </w:t>
      </w:r>
      <w:r>
        <w:rPr>
          <w:rFonts w:ascii="Calibri"/>
          <w:sz w:val="20"/>
          <w:vertAlign w:val="baseline"/>
        </w:rPr>
        <w:t>Ronnegard,</w:t>
      </w:r>
      <w:r>
        <w:rPr>
          <w:rFonts w:ascii="Calibri"/>
          <w:spacing w:val="40"/>
          <w:sz w:val="20"/>
          <w:vertAlign w:val="baseline"/>
        </w:rPr>
        <w:t> </w:t>
      </w:r>
      <w:r>
        <w:rPr>
          <w:rFonts w:ascii="Calibri"/>
          <w:sz w:val="20"/>
          <w:vertAlign w:val="baseline"/>
        </w:rPr>
        <w:t>D.</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Smith,</w:t>
      </w:r>
      <w:r>
        <w:rPr>
          <w:rFonts w:ascii="Calibri"/>
          <w:spacing w:val="40"/>
          <w:sz w:val="20"/>
          <w:vertAlign w:val="baseline"/>
        </w:rPr>
        <w:t> </w:t>
      </w:r>
      <w:r>
        <w:rPr>
          <w:rFonts w:ascii="Calibri"/>
          <w:sz w:val="20"/>
          <w:vertAlign w:val="baseline"/>
        </w:rPr>
        <w:t>N.C.</w:t>
      </w:r>
      <w:r>
        <w:rPr>
          <w:rFonts w:ascii="Calibri"/>
          <w:spacing w:val="40"/>
          <w:sz w:val="20"/>
          <w:vertAlign w:val="baseline"/>
        </w:rPr>
        <w:t> </w:t>
      </w:r>
      <w:r>
        <w:rPr>
          <w:rFonts w:ascii="Calibri"/>
          <w:sz w:val="20"/>
          <w:vertAlign w:val="baseline"/>
        </w:rPr>
        <w:t>op.cit., </w:t>
      </w:r>
      <w:r>
        <w:rPr>
          <w:rFonts w:ascii="Calibri"/>
          <w:spacing w:val="-2"/>
          <w:sz w:val="20"/>
          <w:vertAlign w:val="baseline"/>
        </w:rPr>
        <w:t>atpp.6-7.</w:t>
      </w:r>
    </w:p>
    <w:p>
      <w:pPr>
        <w:spacing w:line="240" w:lineRule="auto" w:before="0"/>
        <w:ind w:left="308" w:right="226" w:firstLine="0"/>
        <w:jc w:val="both"/>
        <w:rPr>
          <w:rFonts w:ascii="Calibri" w:hAnsi="Calibri"/>
          <w:sz w:val="20"/>
        </w:rPr>
      </w:pPr>
      <w:r>
        <w:rPr>
          <w:rFonts w:ascii="Calibri" w:hAnsi="Calibri"/>
          <w:sz w:val="20"/>
          <w:vertAlign w:val="superscript"/>
        </w:rPr>
        <w:t>121</w:t>
      </w:r>
      <w:r>
        <w:rPr>
          <w:rFonts w:ascii="Calibri" w:hAnsi="Calibri"/>
          <w:sz w:val="20"/>
          <w:vertAlign w:val="baseline"/>
        </w:rPr>
        <w:t>On the contrary, in most of the company laws following the Anglo-American corporate regulatory system, directors are usually required simply to act “in good faith in the best interests of the company”. See for example s. 8.30(a) of the United States Model Business Corporation Act; s. 181(1) Australian Corporations</w:t>
      </w:r>
      <w:r>
        <w:rPr>
          <w:rFonts w:ascii="Calibri" w:hAnsi="Calibri"/>
          <w:spacing w:val="-2"/>
          <w:sz w:val="20"/>
          <w:vertAlign w:val="baseline"/>
        </w:rPr>
        <w:t> </w:t>
      </w:r>
      <w:r>
        <w:rPr>
          <w:rFonts w:ascii="Calibri" w:hAnsi="Calibri"/>
          <w:sz w:val="20"/>
          <w:vertAlign w:val="baseline"/>
        </w:rPr>
        <w:t>Act 2001;</w:t>
      </w:r>
      <w:r>
        <w:rPr>
          <w:rFonts w:ascii="Calibri" w:hAnsi="Calibri"/>
          <w:spacing w:val="-1"/>
          <w:sz w:val="20"/>
          <w:vertAlign w:val="baseline"/>
        </w:rPr>
        <w:t> </w:t>
      </w:r>
      <w:r>
        <w:rPr>
          <w:rFonts w:ascii="Calibri" w:hAnsi="Calibri"/>
          <w:sz w:val="20"/>
          <w:vertAlign w:val="baseline"/>
        </w:rPr>
        <w:t>s. 122(1) (a) Canada</w:t>
      </w:r>
      <w:r>
        <w:rPr>
          <w:rFonts w:ascii="Calibri" w:hAnsi="Calibri"/>
          <w:spacing w:val="-5"/>
          <w:sz w:val="20"/>
          <w:vertAlign w:val="baseline"/>
        </w:rPr>
        <w:t> </w:t>
      </w:r>
      <w:r>
        <w:rPr>
          <w:rFonts w:ascii="Calibri" w:hAnsi="Calibri"/>
          <w:sz w:val="20"/>
          <w:vertAlign w:val="baseline"/>
        </w:rPr>
        <w:t>Business</w:t>
      </w:r>
      <w:r>
        <w:rPr>
          <w:rFonts w:ascii="Calibri" w:hAnsi="Calibri"/>
          <w:spacing w:val="-2"/>
          <w:sz w:val="20"/>
          <w:vertAlign w:val="baseline"/>
        </w:rPr>
        <w:t> </w:t>
      </w:r>
      <w:r>
        <w:rPr>
          <w:rFonts w:ascii="Calibri" w:hAnsi="Calibri"/>
          <w:sz w:val="20"/>
          <w:vertAlign w:val="baseline"/>
        </w:rPr>
        <w:t>Corporations</w:t>
      </w:r>
      <w:r>
        <w:rPr>
          <w:rFonts w:ascii="Calibri" w:hAnsi="Calibri"/>
          <w:spacing w:val="-2"/>
          <w:sz w:val="20"/>
          <w:vertAlign w:val="baseline"/>
        </w:rPr>
        <w:t> </w:t>
      </w:r>
      <w:r>
        <w:rPr>
          <w:rFonts w:ascii="Calibri" w:hAnsi="Calibri"/>
          <w:sz w:val="20"/>
          <w:vertAlign w:val="baseline"/>
        </w:rPr>
        <w:t>Act 1985;</w:t>
      </w:r>
      <w:r>
        <w:rPr>
          <w:rFonts w:ascii="Calibri" w:hAnsi="Calibri"/>
          <w:spacing w:val="-1"/>
          <w:sz w:val="20"/>
          <w:vertAlign w:val="baseline"/>
        </w:rPr>
        <w:t> </w:t>
      </w:r>
      <w:r>
        <w:rPr>
          <w:rFonts w:ascii="Calibri" w:hAnsi="Calibri"/>
          <w:sz w:val="20"/>
          <w:vertAlign w:val="baseline"/>
        </w:rPr>
        <w:t>s. 172(1) UK Companies</w:t>
      </w:r>
      <w:r>
        <w:rPr>
          <w:rFonts w:ascii="Calibri" w:hAnsi="Calibri"/>
          <w:spacing w:val="-2"/>
          <w:sz w:val="20"/>
          <w:vertAlign w:val="baseline"/>
        </w:rPr>
        <w:t> </w:t>
      </w:r>
      <w:r>
        <w:rPr>
          <w:rFonts w:ascii="Calibri" w:hAnsi="Calibri"/>
          <w:sz w:val="20"/>
          <w:vertAlign w:val="baseline"/>
        </w:rPr>
        <w:t>Act 2006; s. 279(3) CAMA.</w:t>
      </w:r>
    </w:p>
    <w:p>
      <w:pPr>
        <w:spacing w:before="0"/>
        <w:ind w:left="308" w:right="230" w:firstLine="0"/>
        <w:jc w:val="both"/>
        <w:rPr>
          <w:rFonts w:ascii="Calibri"/>
          <w:sz w:val="20"/>
        </w:rPr>
      </w:pPr>
      <w:r>
        <w:rPr>
          <w:rFonts w:ascii="Calibri"/>
          <w:sz w:val="20"/>
          <w:vertAlign w:val="superscript"/>
        </w:rPr>
        <w:t>122</w:t>
      </w:r>
      <w:r>
        <w:rPr>
          <w:rFonts w:ascii="Calibri"/>
          <w:sz w:val="20"/>
          <w:vertAlign w:val="baseline"/>
        </w:rPr>
        <w:t>Ronnegard, D. and Smith, N.C., op.cit., atp.8. The court would most likely let the directors get away with any business judgment exercised in good faith in the interests of the company, regardless of the outcome, unless discovered to have been arrived at mala fide.</w:t>
      </w:r>
    </w:p>
    <w:p>
      <w:pPr>
        <w:spacing w:before="1"/>
        <w:ind w:left="308" w:right="226" w:firstLine="0"/>
        <w:jc w:val="both"/>
        <w:rPr>
          <w:rFonts w:ascii="Calibri"/>
          <w:sz w:val="20"/>
        </w:rPr>
      </w:pPr>
      <w:r>
        <w:rPr>
          <w:rFonts w:ascii="Calibri"/>
          <w:sz w:val="20"/>
          <w:vertAlign w:val="superscript"/>
        </w:rPr>
        <w:t>123</w:t>
      </w:r>
      <w:r>
        <w:rPr>
          <w:rFonts w:ascii="Calibri"/>
          <w:sz w:val="20"/>
          <w:vertAlign w:val="baseline"/>
        </w:rPr>
        <w:t>Owing to the fact of the critical powers and rights usually available to shareholders under corporate </w:t>
      </w:r>
      <w:r>
        <w:rPr>
          <w:rFonts w:ascii="Calibri"/>
          <w:spacing w:val="-4"/>
          <w:sz w:val="20"/>
          <w:vertAlign w:val="baseline"/>
        </w:rPr>
        <w:t>law.</w:t>
      </w:r>
    </w:p>
    <w:p>
      <w:pPr>
        <w:spacing w:after="0"/>
        <w:jc w:val="both"/>
        <w:rPr>
          <w:rFonts w:ascii="Calibri"/>
          <w:sz w:val="20"/>
        </w:rPr>
        <w:sectPr>
          <w:pgSz w:w="11910" w:h="16840"/>
          <w:pgMar w:header="0" w:footer="1003" w:top="1320" w:bottom="1200" w:left="1680" w:right="1180"/>
        </w:sectPr>
      </w:pPr>
    </w:p>
    <w:p>
      <w:pPr>
        <w:pStyle w:val="BodyText"/>
        <w:spacing w:line="480" w:lineRule="auto" w:before="110"/>
        <w:ind w:right="183"/>
        <w:jc w:val="both"/>
      </w:pPr>
      <w:r>
        <w:rPr/>
        <w:t>shareholders.</w:t>
      </w:r>
      <w:r>
        <w:rPr>
          <w:vertAlign w:val="superscript"/>
        </w:rPr>
        <w:t>124</w:t>
      </w:r>
      <w:r>
        <w:rPr>
          <w:vertAlign w:val="baseline"/>
        </w:rPr>
        <w:t> However, the SPN has been criticized as resulting in directors focusing mostly on share price maximization, often leading to short-term</w:t>
      </w:r>
      <w:r>
        <w:rPr>
          <w:vertAlign w:val="superscript"/>
        </w:rPr>
        <w:t>125</w:t>
      </w:r>
      <w:r>
        <w:rPr>
          <w:vertAlign w:val="baseline"/>
        </w:rPr>
        <w:t>—rather than long- term—success, by neglecting the contributions of groups vital to the overall success of the company (stakeholders) and employing business practices that are often unethical, immoral or even illegal, thereby ignoring the duties the company owes to society as a corporate citizen. In other words, the avid pursuit of share price maximization may lead managers to grossly violate stakeholder interests.</w:t>
      </w:r>
      <w:r>
        <w:rPr>
          <w:vertAlign w:val="superscript"/>
        </w:rPr>
        <w:t>126</w:t>
      </w:r>
    </w:p>
    <w:p>
      <w:pPr>
        <w:pStyle w:val="BodyText"/>
        <w:spacing w:line="480" w:lineRule="auto" w:before="1"/>
        <w:ind w:right="185" w:firstLine="720"/>
        <w:jc w:val="both"/>
      </w:pPr>
      <w:r>
        <w:rPr/>
        <w:t>But Jensen,</w:t>
      </w:r>
      <w:r>
        <w:rPr>
          <w:vertAlign w:val="superscript"/>
        </w:rPr>
        <w:t>127</w:t>
      </w:r>
      <w:r>
        <w:rPr>
          <w:vertAlign w:val="baseline"/>
        </w:rPr>
        <w:t> an avid shareholder primacy advocate explains that wealth maximization does not mean that firms should completely neglect stakeholders. Rather than</w:t>
      </w:r>
      <w:r>
        <w:rPr>
          <w:spacing w:val="-2"/>
          <w:vertAlign w:val="baseline"/>
        </w:rPr>
        <w:t> </w:t>
      </w:r>
      <w:r>
        <w:rPr>
          <w:vertAlign w:val="baseline"/>
        </w:rPr>
        <w:t>ignore its</w:t>
      </w:r>
      <w:r>
        <w:rPr>
          <w:spacing w:val="-3"/>
          <w:vertAlign w:val="baseline"/>
        </w:rPr>
        <w:t> </w:t>
      </w:r>
      <w:r>
        <w:rPr>
          <w:vertAlign w:val="baseline"/>
        </w:rPr>
        <w:t>stakeholders, what a</w:t>
      </w:r>
      <w:r>
        <w:rPr>
          <w:spacing w:val="-3"/>
          <w:vertAlign w:val="baseline"/>
        </w:rPr>
        <w:t> </w:t>
      </w:r>
      <w:r>
        <w:rPr>
          <w:vertAlign w:val="baseline"/>
        </w:rPr>
        <w:t>shareholder-driven</w:t>
      </w:r>
      <w:r>
        <w:rPr>
          <w:spacing w:val="-6"/>
          <w:vertAlign w:val="baseline"/>
        </w:rPr>
        <w:t> </w:t>
      </w:r>
      <w:r>
        <w:rPr>
          <w:vertAlign w:val="baseline"/>
        </w:rPr>
        <w:t>company</w:t>
      </w:r>
      <w:r>
        <w:rPr>
          <w:spacing w:val="-2"/>
          <w:vertAlign w:val="baseline"/>
        </w:rPr>
        <w:t> </w:t>
      </w:r>
      <w:r>
        <w:rPr>
          <w:vertAlign w:val="baseline"/>
        </w:rPr>
        <w:t>does is invest resources to benefit each stakeholder to a point where the additional benefits to the company exceed the additional cost.</w:t>
      </w:r>
      <w:r>
        <w:rPr>
          <w:vertAlign w:val="superscript"/>
        </w:rPr>
        <w:t>128</w:t>
      </w:r>
    </w:p>
    <w:p>
      <w:pPr>
        <w:pStyle w:val="BodyText"/>
        <w:spacing w:line="480" w:lineRule="auto" w:before="1"/>
        <w:ind w:right="180" w:firstLine="720"/>
        <w:jc w:val="both"/>
      </w:pPr>
      <w:r>
        <w:rPr/>
        <w:t>On the other hand, stakeholder theory proposes the</w:t>
      </w:r>
      <w:r>
        <w:rPr>
          <w:spacing w:val="28"/>
        </w:rPr>
        <w:t> </w:t>
      </w:r>
      <w:r>
        <w:rPr/>
        <w:t>idea that the corporation as</w:t>
      </w:r>
      <w:r>
        <w:rPr>
          <w:spacing w:val="40"/>
        </w:rPr>
        <w:t> </w:t>
      </w:r>
      <w:r>
        <w:rPr/>
        <w:t>an entity, acting through its directors, owes a duty to consider the interests of all its stakeholders. ―Stakeholder‖ has been broadly</w:t>
      </w:r>
      <w:r>
        <w:rPr>
          <w:spacing w:val="-4"/>
        </w:rPr>
        <w:t> </w:t>
      </w:r>
      <w:r>
        <w:rPr/>
        <w:t>defined as any</w:t>
      </w:r>
      <w:r>
        <w:rPr>
          <w:spacing w:val="-4"/>
        </w:rPr>
        <w:t> </w:t>
      </w:r>
      <w:r>
        <w:rPr/>
        <w:t>group, individual</w:t>
      </w:r>
      <w:r>
        <w:rPr>
          <w:spacing w:val="-3"/>
        </w:rPr>
        <w:t> </w:t>
      </w:r>
      <w:r>
        <w:rPr/>
        <w:t>or factor that can affect or be affected by the realization of an organization‘s purpose.</w:t>
      </w:r>
      <w:r>
        <w:rPr>
          <w:vertAlign w:val="superscript"/>
        </w:rPr>
        <w:t>129</w:t>
      </w:r>
      <w:r>
        <w:rPr>
          <w:vertAlign w:val="baseline"/>
        </w:rPr>
        <w:t> By this definition, therefore, shareholders, the company, employees, customers, suppliers, creditors, the community, the environment, and even the country, all make the list. The theorists</w:t>
      </w:r>
      <w:r>
        <w:rPr>
          <w:spacing w:val="15"/>
          <w:vertAlign w:val="baseline"/>
        </w:rPr>
        <w:t> </w:t>
      </w:r>
      <w:r>
        <w:rPr>
          <w:vertAlign w:val="baseline"/>
        </w:rPr>
        <w:t>of</w:t>
      </w:r>
      <w:r>
        <w:rPr>
          <w:spacing w:val="9"/>
          <w:vertAlign w:val="baseline"/>
        </w:rPr>
        <w:t> </w:t>
      </w:r>
      <w:r>
        <w:rPr>
          <w:vertAlign w:val="baseline"/>
        </w:rPr>
        <w:t>this</w:t>
      </w:r>
      <w:r>
        <w:rPr>
          <w:spacing w:val="17"/>
          <w:vertAlign w:val="baseline"/>
        </w:rPr>
        <w:t> </w:t>
      </w:r>
      <w:r>
        <w:rPr>
          <w:i/>
          <w:vertAlign w:val="baseline"/>
        </w:rPr>
        <w:t>pluralist</w:t>
      </w:r>
      <w:r>
        <w:rPr>
          <w:i/>
          <w:spacing w:val="22"/>
          <w:vertAlign w:val="baseline"/>
        </w:rPr>
        <w:t> </w:t>
      </w:r>
      <w:r>
        <w:rPr>
          <w:vertAlign w:val="baseline"/>
        </w:rPr>
        <w:t>business</w:t>
      </w:r>
      <w:r>
        <w:rPr>
          <w:spacing w:val="20"/>
          <w:vertAlign w:val="baseline"/>
        </w:rPr>
        <w:t> </w:t>
      </w:r>
      <w:r>
        <w:rPr>
          <w:vertAlign w:val="baseline"/>
        </w:rPr>
        <w:t>ideology</w:t>
      </w:r>
      <w:r>
        <w:rPr>
          <w:spacing w:val="8"/>
          <w:vertAlign w:val="baseline"/>
        </w:rPr>
        <w:t> </w:t>
      </w:r>
      <w:r>
        <w:rPr>
          <w:vertAlign w:val="baseline"/>
        </w:rPr>
        <w:t>believe</w:t>
      </w:r>
      <w:r>
        <w:rPr>
          <w:spacing w:val="15"/>
          <w:vertAlign w:val="baseline"/>
        </w:rPr>
        <w:t> </w:t>
      </w:r>
      <w:r>
        <w:rPr>
          <w:vertAlign w:val="baseline"/>
        </w:rPr>
        <w:t>that</w:t>
      </w:r>
      <w:r>
        <w:rPr>
          <w:spacing w:val="17"/>
          <w:vertAlign w:val="baseline"/>
        </w:rPr>
        <w:t> </w:t>
      </w:r>
      <w:r>
        <w:rPr>
          <w:vertAlign w:val="baseline"/>
        </w:rPr>
        <w:t>any</w:t>
      </w:r>
      <w:r>
        <w:rPr>
          <w:spacing w:val="13"/>
          <w:vertAlign w:val="baseline"/>
        </w:rPr>
        <w:t> </w:t>
      </w:r>
      <w:r>
        <w:rPr>
          <w:vertAlign w:val="baseline"/>
        </w:rPr>
        <w:t>business,</w:t>
      </w:r>
      <w:r>
        <w:rPr>
          <w:spacing w:val="23"/>
          <w:vertAlign w:val="baseline"/>
        </w:rPr>
        <w:t> </w:t>
      </w:r>
      <w:r>
        <w:rPr>
          <w:vertAlign w:val="baseline"/>
        </w:rPr>
        <w:t>large</w:t>
      </w:r>
      <w:r>
        <w:rPr>
          <w:spacing w:val="16"/>
          <w:vertAlign w:val="baseline"/>
        </w:rPr>
        <w:t> </w:t>
      </w:r>
      <w:r>
        <w:rPr>
          <w:vertAlign w:val="baseline"/>
        </w:rPr>
        <w:t>or</w:t>
      </w:r>
      <w:r>
        <w:rPr>
          <w:spacing w:val="18"/>
          <w:vertAlign w:val="baseline"/>
        </w:rPr>
        <w:t> </w:t>
      </w:r>
      <w:r>
        <w:rPr>
          <w:vertAlign w:val="baseline"/>
        </w:rPr>
        <w:t>small,</w:t>
      </w:r>
      <w:r>
        <w:rPr>
          <w:spacing w:val="24"/>
          <w:vertAlign w:val="baseline"/>
        </w:rPr>
        <w:t> </w:t>
      </w:r>
      <w:r>
        <w:rPr>
          <w:spacing w:val="-5"/>
          <w:vertAlign w:val="baseline"/>
        </w:rPr>
        <w:t>is</w:t>
      </w:r>
    </w:p>
    <w:p>
      <w:pPr>
        <w:pStyle w:val="BodyText"/>
        <w:spacing w:line="20" w:lineRule="exact"/>
        <w:rPr>
          <w:sz w:val="2"/>
        </w:rPr>
      </w:pPr>
      <w:r>
        <w:rPr>
          <w:sz w:val="2"/>
        </w:rPr>
        <mc:AlternateContent>
          <mc:Choice Requires="wps">
            <w:drawing>
              <wp:inline distT="0" distB="0" distL="0" distR="0">
                <wp:extent cx="1829435" cy="9525"/>
                <wp:effectExtent l="0" t="0" r="0" b="0"/>
                <wp:docPr id="134" name="Group 134"/>
                <wp:cNvGraphicFramePr>
                  <a:graphicFrameLocks/>
                </wp:cNvGraphicFramePr>
                <a:graphic>
                  <a:graphicData uri="http://schemas.microsoft.com/office/word/2010/wordprocessingGroup">
                    <wpg:wgp>
                      <wpg:cNvPr id="134" name="Group 134"/>
                      <wpg:cNvGrpSpPr/>
                      <wpg:grpSpPr>
                        <a:xfrm>
                          <a:off x="0" y="0"/>
                          <a:ext cx="1829435" cy="9525"/>
                          <a:chExt cx="1829435" cy="9525"/>
                        </a:xfrm>
                      </wpg:grpSpPr>
                      <wps:wsp>
                        <wps:cNvPr id="135" name="Graphic 13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89" coordorigin="0,0" coordsize="2881,15">
                <v:rect style="position:absolute;left:0;top:0;width:2881;height:15" id="docshape90" filled="true" fillcolor="#000000" stroked="false">
                  <v:fill type="solid"/>
                </v:rect>
              </v:group>
            </w:pict>
          </mc:Fallback>
        </mc:AlternateContent>
      </w:r>
      <w:r>
        <w:rPr>
          <w:sz w:val="2"/>
        </w:rPr>
      </w:r>
    </w:p>
    <w:p>
      <w:pPr>
        <w:spacing w:before="82"/>
        <w:ind w:left="308" w:right="232" w:firstLine="0"/>
        <w:jc w:val="both"/>
        <w:rPr>
          <w:rFonts w:ascii="Calibri"/>
          <w:sz w:val="20"/>
        </w:rPr>
      </w:pPr>
      <w:r>
        <w:rPr>
          <w:rFonts w:ascii="Calibri"/>
          <w:sz w:val="20"/>
          <w:vertAlign w:val="superscript"/>
        </w:rPr>
        <w:t>124</w:t>
      </w:r>
      <w:r>
        <w:rPr>
          <w:rFonts w:ascii="Calibri"/>
          <w:sz w:val="20"/>
          <w:vertAlign w:val="baseline"/>
        </w:rPr>
        <w:t> Jensen, M.C. (2002).Value Maximization, Stakeholder Theory and the Corporate Objective Function</w:t>
      </w:r>
      <w:r>
        <w:rPr>
          <w:rFonts w:ascii="Calibri"/>
          <w:i/>
          <w:sz w:val="20"/>
          <w:vertAlign w:val="baseline"/>
        </w:rPr>
        <w:t>.Business Ethics Quarterly,</w:t>
      </w:r>
      <w:r>
        <w:rPr>
          <w:rFonts w:ascii="Calibri"/>
          <w:sz w:val="20"/>
          <w:vertAlign w:val="baseline"/>
        </w:rPr>
        <w:t>12: 235-256. Retrieved September 10, 2013, from </w:t>
      </w:r>
      <w:hyperlink r:id="rId34">
        <w:r>
          <w:rPr>
            <w:rFonts w:ascii="Calibri"/>
            <w:color w:val="0000FF"/>
            <w:spacing w:val="-2"/>
            <w:sz w:val="20"/>
            <w:u w:val="single" w:color="0000FF"/>
            <w:vertAlign w:val="baseline"/>
          </w:rPr>
          <w:t>www.hbs.edu/faculty/Pages/download.aspx?name=00-058.pdf</w:t>
        </w:r>
        <w:r>
          <w:rPr>
            <w:rFonts w:ascii="Calibri"/>
            <w:color w:val="006620"/>
            <w:spacing w:val="-2"/>
            <w:sz w:val="20"/>
            <w:vertAlign w:val="baseline"/>
          </w:rPr>
          <w:t>.</w:t>
        </w:r>
      </w:hyperlink>
    </w:p>
    <w:p>
      <w:pPr>
        <w:spacing w:line="240" w:lineRule="auto" w:before="3"/>
        <w:ind w:left="308" w:right="226" w:firstLine="0"/>
        <w:jc w:val="both"/>
        <w:rPr>
          <w:rFonts w:ascii="Calibri" w:hAnsi="Calibri"/>
          <w:sz w:val="20"/>
        </w:rPr>
      </w:pPr>
      <w:r>
        <w:rPr>
          <w:rFonts w:ascii="Calibri" w:hAnsi="Calibri"/>
          <w:sz w:val="20"/>
          <w:vertAlign w:val="superscript"/>
        </w:rPr>
        <w:t>125</w:t>
      </w:r>
      <w:r>
        <w:rPr>
          <w:rFonts w:ascii="Calibri" w:hAnsi="Calibri"/>
          <w:sz w:val="20"/>
          <w:vertAlign w:val="baseline"/>
        </w:rPr>
        <w:t> Or “short-termism,” variously defined as “seeking short-term gain to the exclusion of long-term achievement.” See Mullins, D. In: Jacobs, M. (1991).Short-Term America.</w:t>
      </w:r>
      <w:r>
        <w:rPr>
          <w:rFonts w:ascii="Calibri" w:hAnsi="Calibri"/>
          <w:i/>
          <w:sz w:val="20"/>
          <w:vertAlign w:val="baseline"/>
        </w:rPr>
        <w:t>Harvard Business School Press</w:t>
      </w:r>
      <w:r>
        <w:rPr>
          <w:rFonts w:ascii="Calibri" w:hAnsi="Calibri"/>
          <w:sz w:val="20"/>
          <w:vertAlign w:val="baseline"/>
        </w:rPr>
        <w:t>, Boston; and “foregoing economically worthwhile investments with longer-term benefits in order to increase reported earnings for the current period.” See Grinyer et al. (1998).Evidence of Managerial Short-Termism in the UK.</w:t>
      </w:r>
      <w:r>
        <w:rPr>
          <w:rFonts w:ascii="Calibri" w:hAnsi="Calibri"/>
          <w:i/>
          <w:sz w:val="20"/>
          <w:vertAlign w:val="baseline"/>
        </w:rPr>
        <w:t>British Journal of Management, 12:</w:t>
      </w:r>
      <w:r>
        <w:rPr>
          <w:rFonts w:ascii="Calibri" w:hAnsi="Calibri"/>
          <w:sz w:val="20"/>
          <w:vertAlign w:val="baseline"/>
        </w:rPr>
        <w:t>13 at p.15.</w:t>
      </w:r>
    </w:p>
    <w:p>
      <w:pPr>
        <w:spacing w:line="243" w:lineRule="exact" w:before="0"/>
        <w:ind w:left="308" w:right="0" w:firstLine="0"/>
        <w:jc w:val="left"/>
        <w:rPr>
          <w:rFonts w:ascii="Calibri"/>
          <w:sz w:val="20"/>
        </w:rPr>
      </w:pPr>
      <w:r>
        <w:rPr>
          <w:rFonts w:ascii="Calibri"/>
          <w:sz w:val="20"/>
          <w:vertAlign w:val="superscript"/>
        </w:rPr>
        <w:t>126</w:t>
      </w:r>
      <w:r>
        <w:rPr>
          <w:rFonts w:ascii="Calibri"/>
          <w:sz w:val="20"/>
          <w:vertAlign w:val="baseline"/>
        </w:rPr>
        <w:t>Colinger,</w:t>
      </w:r>
      <w:r>
        <w:rPr>
          <w:rFonts w:ascii="Calibri"/>
          <w:spacing w:val="-12"/>
          <w:sz w:val="20"/>
          <w:vertAlign w:val="baseline"/>
        </w:rPr>
        <w:t> </w:t>
      </w:r>
      <w:r>
        <w:rPr>
          <w:rFonts w:ascii="Calibri"/>
          <w:sz w:val="20"/>
          <w:vertAlign w:val="baseline"/>
        </w:rPr>
        <w:t>D.O.</w:t>
      </w:r>
      <w:r>
        <w:rPr>
          <w:rFonts w:ascii="Calibri"/>
          <w:spacing w:val="-7"/>
          <w:sz w:val="20"/>
          <w:vertAlign w:val="baseline"/>
        </w:rPr>
        <w:t> </w:t>
      </w:r>
      <w:r>
        <w:rPr>
          <w:rFonts w:ascii="Calibri"/>
          <w:sz w:val="20"/>
          <w:vertAlign w:val="baseline"/>
        </w:rPr>
        <w:t>(1995).Managerial</w:t>
      </w:r>
      <w:r>
        <w:rPr>
          <w:rFonts w:ascii="Calibri"/>
          <w:spacing w:val="-9"/>
          <w:sz w:val="20"/>
          <w:vertAlign w:val="baseline"/>
        </w:rPr>
        <w:t> </w:t>
      </w:r>
      <w:r>
        <w:rPr>
          <w:rFonts w:ascii="Calibri"/>
          <w:sz w:val="20"/>
          <w:vertAlign w:val="baseline"/>
        </w:rPr>
        <w:t>Roles</w:t>
      </w:r>
      <w:r>
        <w:rPr>
          <w:rFonts w:ascii="Calibri"/>
          <w:spacing w:val="-7"/>
          <w:sz w:val="20"/>
          <w:vertAlign w:val="baseline"/>
        </w:rPr>
        <w:t> </w:t>
      </w:r>
      <w:r>
        <w:rPr>
          <w:rFonts w:ascii="Calibri"/>
          <w:sz w:val="20"/>
          <w:vertAlign w:val="baseline"/>
        </w:rPr>
        <w:t>and</w:t>
      </w:r>
      <w:r>
        <w:rPr>
          <w:rFonts w:ascii="Calibri"/>
          <w:spacing w:val="-10"/>
          <w:sz w:val="20"/>
          <w:vertAlign w:val="baseline"/>
        </w:rPr>
        <w:t> </w:t>
      </w:r>
      <w:r>
        <w:rPr>
          <w:rFonts w:ascii="Calibri"/>
          <w:sz w:val="20"/>
          <w:vertAlign w:val="baseline"/>
        </w:rPr>
        <w:t>Ethical</w:t>
      </w:r>
      <w:r>
        <w:rPr>
          <w:rFonts w:ascii="Calibri"/>
          <w:spacing w:val="-9"/>
          <w:sz w:val="20"/>
          <w:vertAlign w:val="baseline"/>
        </w:rPr>
        <w:t> </w:t>
      </w:r>
      <w:r>
        <w:rPr>
          <w:rFonts w:ascii="Calibri"/>
          <w:sz w:val="20"/>
          <w:vertAlign w:val="baseline"/>
        </w:rPr>
        <w:t>Behaviour</w:t>
      </w:r>
      <w:r>
        <w:rPr>
          <w:rFonts w:ascii="Calibri"/>
          <w:i/>
          <w:sz w:val="20"/>
          <w:vertAlign w:val="baseline"/>
        </w:rPr>
        <w:t>.Financial</w:t>
      </w:r>
      <w:r>
        <w:rPr>
          <w:rFonts w:ascii="Calibri"/>
          <w:i/>
          <w:spacing w:val="-8"/>
          <w:sz w:val="20"/>
          <w:vertAlign w:val="baseline"/>
        </w:rPr>
        <w:t> </w:t>
      </w:r>
      <w:r>
        <w:rPr>
          <w:rFonts w:ascii="Calibri"/>
          <w:i/>
          <w:sz w:val="20"/>
          <w:vertAlign w:val="baseline"/>
        </w:rPr>
        <w:t>Practice</w:t>
      </w:r>
      <w:r>
        <w:rPr>
          <w:rFonts w:ascii="Calibri"/>
          <w:i/>
          <w:spacing w:val="-10"/>
          <w:sz w:val="20"/>
          <w:vertAlign w:val="baseline"/>
        </w:rPr>
        <w:t> </w:t>
      </w:r>
      <w:r>
        <w:rPr>
          <w:rFonts w:ascii="Calibri"/>
          <w:i/>
          <w:sz w:val="20"/>
          <w:vertAlign w:val="baseline"/>
        </w:rPr>
        <w:t>and</w:t>
      </w:r>
      <w:r>
        <w:rPr>
          <w:rFonts w:ascii="Calibri"/>
          <w:i/>
          <w:spacing w:val="-9"/>
          <w:sz w:val="20"/>
          <w:vertAlign w:val="baseline"/>
        </w:rPr>
        <w:t> </w:t>
      </w:r>
      <w:r>
        <w:rPr>
          <w:rFonts w:ascii="Calibri"/>
          <w:i/>
          <w:sz w:val="20"/>
          <w:vertAlign w:val="baseline"/>
        </w:rPr>
        <w:t>Education</w:t>
      </w:r>
      <w:r>
        <w:rPr>
          <w:rFonts w:ascii="Calibri"/>
          <w:sz w:val="20"/>
          <w:vertAlign w:val="baseline"/>
        </w:rPr>
        <w:t>,</w:t>
      </w:r>
      <w:r>
        <w:rPr>
          <w:rFonts w:ascii="Calibri"/>
          <w:spacing w:val="-7"/>
          <w:sz w:val="20"/>
          <w:vertAlign w:val="baseline"/>
        </w:rPr>
        <w:t> </w:t>
      </w:r>
      <w:r>
        <w:rPr>
          <w:rFonts w:ascii="Calibri"/>
          <w:sz w:val="20"/>
          <w:vertAlign w:val="baseline"/>
        </w:rPr>
        <w:t>5:</w:t>
      </w:r>
      <w:r>
        <w:rPr>
          <w:rFonts w:ascii="Calibri"/>
          <w:spacing w:val="-10"/>
          <w:sz w:val="20"/>
          <w:vertAlign w:val="baseline"/>
        </w:rPr>
        <w:t> </w:t>
      </w:r>
      <w:r>
        <w:rPr>
          <w:rFonts w:ascii="Calibri"/>
          <w:spacing w:val="-5"/>
          <w:sz w:val="20"/>
          <w:vertAlign w:val="baseline"/>
        </w:rPr>
        <w:t>50.</w:t>
      </w:r>
    </w:p>
    <w:p>
      <w:pPr>
        <w:spacing w:before="1"/>
        <w:ind w:left="308" w:right="0" w:firstLine="0"/>
        <w:jc w:val="left"/>
        <w:rPr>
          <w:rFonts w:ascii="Calibri"/>
          <w:sz w:val="20"/>
        </w:rPr>
      </w:pPr>
      <w:r>
        <w:rPr>
          <w:rFonts w:ascii="Calibri"/>
          <w:sz w:val="20"/>
          <w:vertAlign w:val="superscript"/>
        </w:rPr>
        <w:t>127</w:t>
      </w:r>
      <w:r>
        <w:rPr>
          <w:rFonts w:ascii="Calibri"/>
          <w:sz w:val="20"/>
          <w:vertAlign w:val="baseline"/>
        </w:rPr>
        <w:t>Jensen,</w:t>
      </w:r>
      <w:r>
        <w:rPr>
          <w:rFonts w:ascii="Calibri"/>
          <w:spacing w:val="-6"/>
          <w:sz w:val="20"/>
          <w:vertAlign w:val="baseline"/>
        </w:rPr>
        <w:t> </w:t>
      </w:r>
      <w:r>
        <w:rPr>
          <w:rFonts w:ascii="Calibri"/>
          <w:sz w:val="20"/>
          <w:vertAlign w:val="baseline"/>
        </w:rPr>
        <w:t>M.C.</w:t>
      </w:r>
      <w:r>
        <w:rPr>
          <w:rFonts w:ascii="Calibri"/>
          <w:spacing w:val="-3"/>
          <w:sz w:val="20"/>
          <w:vertAlign w:val="baseline"/>
        </w:rPr>
        <w:t> </w:t>
      </w:r>
      <w:r>
        <w:rPr>
          <w:rFonts w:ascii="Calibri"/>
          <w:sz w:val="20"/>
          <w:vertAlign w:val="baseline"/>
        </w:rPr>
        <w:t>(2002)</w:t>
      </w:r>
      <w:r>
        <w:rPr>
          <w:rFonts w:ascii="Calibri"/>
          <w:spacing w:val="-6"/>
          <w:sz w:val="20"/>
          <w:vertAlign w:val="baseline"/>
        </w:rPr>
        <w:t> </w:t>
      </w:r>
      <w:r>
        <w:rPr>
          <w:rFonts w:ascii="Calibri"/>
          <w:spacing w:val="-2"/>
          <w:sz w:val="20"/>
          <w:vertAlign w:val="baseline"/>
        </w:rPr>
        <w:t>op.cit.</w:t>
      </w:r>
    </w:p>
    <w:p>
      <w:pPr>
        <w:spacing w:before="1"/>
        <w:ind w:left="308" w:right="255" w:firstLine="0"/>
        <w:jc w:val="left"/>
        <w:rPr>
          <w:rFonts w:ascii="Calibri"/>
          <w:sz w:val="20"/>
        </w:rPr>
      </w:pPr>
      <w:r>
        <w:rPr>
          <w:rFonts w:ascii="Calibri"/>
          <w:sz w:val="20"/>
          <w:vertAlign w:val="superscript"/>
        </w:rPr>
        <w:t>128</w:t>
      </w:r>
      <w:r>
        <w:rPr>
          <w:rFonts w:ascii="Calibri"/>
          <w:sz w:val="20"/>
          <w:vertAlign w:val="baseline"/>
        </w:rPr>
        <w:t> Jensen, M.C. (1989). </w:t>
      </w:r>
      <w:r>
        <w:rPr>
          <w:rFonts w:ascii="Calibri"/>
          <w:i/>
          <w:sz w:val="20"/>
          <w:vertAlign w:val="baseline"/>
        </w:rPr>
        <w:t>The Evidence Speaks Loud and Clear, </w:t>
      </w:r>
      <w:r>
        <w:rPr>
          <w:rFonts w:ascii="Calibri"/>
          <w:sz w:val="20"/>
          <w:vertAlign w:val="baseline"/>
        </w:rPr>
        <w:t>vol. 67(6) Harvard Business Review, 186-</w:t>
      </w:r>
      <w:r>
        <w:rPr>
          <w:rFonts w:ascii="Calibri"/>
          <w:spacing w:val="40"/>
          <w:sz w:val="20"/>
          <w:vertAlign w:val="baseline"/>
        </w:rPr>
        <w:t> </w:t>
      </w:r>
      <w:r>
        <w:rPr>
          <w:rFonts w:ascii="Calibri"/>
          <w:sz w:val="20"/>
          <w:vertAlign w:val="baseline"/>
        </w:rPr>
        <w:t>188, at 186.</w:t>
      </w:r>
    </w:p>
    <w:p>
      <w:pPr>
        <w:spacing w:before="1"/>
        <w:ind w:left="308" w:right="0" w:firstLine="0"/>
        <w:jc w:val="left"/>
        <w:rPr>
          <w:rFonts w:ascii="Calibri"/>
          <w:sz w:val="20"/>
        </w:rPr>
      </w:pPr>
      <w:r>
        <w:rPr>
          <w:rFonts w:ascii="Calibri"/>
          <w:sz w:val="20"/>
          <w:vertAlign w:val="superscript"/>
        </w:rPr>
        <w:t>129</w:t>
      </w:r>
      <w:r>
        <w:rPr>
          <w:rFonts w:ascii="Calibri"/>
          <w:sz w:val="20"/>
          <w:vertAlign w:val="baseline"/>
        </w:rPr>
        <w:t>Freeman, R.E. </w:t>
      </w:r>
      <w:r>
        <w:rPr>
          <w:rFonts w:ascii="Calibri"/>
          <w:i/>
          <w:sz w:val="20"/>
          <w:vertAlign w:val="baseline"/>
        </w:rPr>
        <w:t>et al. </w:t>
      </w:r>
      <w:r>
        <w:rPr>
          <w:rFonts w:ascii="Calibri"/>
          <w:sz w:val="20"/>
          <w:vertAlign w:val="baseline"/>
        </w:rPr>
        <w:t>(2010). </w:t>
      </w:r>
      <w:r>
        <w:rPr>
          <w:rFonts w:ascii="Calibri"/>
          <w:i/>
          <w:sz w:val="20"/>
          <w:vertAlign w:val="baseline"/>
        </w:rPr>
        <w:t>Stakeholder Theory: The State of the Art</w:t>
      </w:r>
      <w:r>
        <w:rPr>
          <w:rFonts w:ascii="Calibri"/>
          <w:sz w:val="20"/>
          <w:vertAlign w:val="baseline"/>
        </w:rPr>
        <w:t>.Cambridge University Press, New York, p. 26.</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186"/>
        <w:jc w:val="both"/>
      </w:pPr>
      <w:r>
        <w:rPr/>
        <w:t>about creating value for ―those</w:t>
      </w:r>
      <w:r>
        <w:rPr>
          <w:spacing w:val="-4"/>
        </w:rPr>
        <w:t> </w:t>
      </w:r>
      <w:r>
        <w:rPr/>
        <w:t>groups</w:t>
      </w:r>
      <w:r>
        <w:rPr>
          <w:spacing w:val="-5"/>
        </w:rPr>
        <w:t> </w:t>
      </w:r>
      <w:r>
        <w:rPr/>
        <w:t>without whose</w:t>
      </w:r>
      <w:r>
        <w:rPr>
          <w:spacing w:val="-4"/>
        </w:rPr>
        <w:t> </w:t>
      </w:r>
      <w:r>
        <w:rPr/>
        <w:t>support</w:t>
      </w:r>
      <w:r>
        <w:rPr>
          <w:spacing w:val="-3"/>
        </w:rPr>
        <w:t> </w:t>
      </w:r>
      <w:r>
        <w:rPr/>
        <w:t>the business</w:t>
      </w:r>
      <w:r>
        <w:rPr>
          <w:spacing w:val="-1"/>
        </w:rPr>
        <w:t> </w:t>
      </w:r>
      <w:r>
        <w:rPr/>
        <w:t>would cease to be viable and since every business is concerned at some level with relationships between financiers (including shareholders), customers, suppliers, employees and communities, these groups can be considered the ―primary‖ or ―definitional‖ </w:t>
      </w:r>
      <w:r>
        <w:rPr>
          <w:spacing w:val="-2"/>
        </w:rPr>
        <w:t>stakeholders.</w:t>
      </w:r>
      <w:r>
        <w:rPr>
          <w:spacing w:val="-2"/>
          <w:vertAlign w:val="superscript"/>
        </w:rPr>
        <w:t>130</w:t>
      </w:r>
    </w:p>
    <w:p>
      <w:pPr>
        <w:pStyle w:val="BodyText"/>
        <w:spacing w:line="480" w:lineRule="auto" w:before="1"/>
        <w:ind w:right="182" w:firstLine="720"/>
        <w:jc w:val="both"/>
      </w:pPr>
      <w:r>
        <w:rPr/>
        <w:t>Each of the stakeholder groups has a special ―stake‖ in the company: shareholders and financiers undoubtedly have a financial stake in the form of stocks, bonds, etc. upon which they expect favourable financial returns; employees have their jobs and usually, livelihood at stake: in return for their labour, they expect security, wages, benefits and meaningful work and in return for their loyalty, the company is expected to provide for them and carry them through difficult times; supplies made by suppliers determine the products‘ final quality and in return, the company becomes a customer to the suppliers and so, vital to the suppliers success and survival; customers exchange resources in return for benefit in the form of products and services; and communities, for allowing companies to build facilities in their domain, thereby exposing themselves to many</w:t>
      </w:r>
      <w:r>
        <w:rPr>
          <w:spacing w:val="-4"/>
        </w:rPr>
        <w:t> </w:t>
      </w:r>
      <w:r>
        <w:rPr/>
        <w:t>kinds</w:t>
      </w:r>
      <w:r>
        <w:rPr>
          <w:spacing w:val="-2"/>
        </w:rPr>
        <w:t> </w:t>
      </w:r>
      <w:r>
        <w:rPr/>
        <w:t>of</w:t>
      </w:r>
      <w:r>
        <w:rPr>
          <w:spacing w:val="-3"/>
        </w:rPr>
        <w:t> </w:t>
      </w:r>
      <w:r>
        <w:rPr/>
        <w:t>hazards, are entitled to expect those</w:t>
      </w:r>
      <w:r>
        <w:rPr>
          <w:spacing w:val="-1"/>
        </w:rPr>
        <w:t> </w:t>
      </w:r>
      <w:r>
        <w:rPr/>
        <w:t>companies</w:t>
      </w:r>
      <w:r>
        <w:rPr>
          <w:spacing w:val="-2"/>
        </w:rPr>
        <w:t> </w:t>
      </w:r>
      <w:r>
        <w:rPr/>
        <w:t>to live up to the expectation of good corporate citizenship and in return, benefit</w:t>
      </w:r>
      <w:r>
        <w:rPr>
          <w:spacing w:val="30"/>
        </w:rPr>
        <w:t> </w:t>
      </w:r>
      <w:r>
        <w:rPr/>
        <w:t>from the tax</w:t>
      </w:r>
      <w:r>
        <w:rPr>
          <w:spacing w:val="-5"/>
        </w:rPr>
        <w:t> </w:t>
      </w:r>
      <w:r>
        <w:rPr/>
        <w:t>base</w:t>
      </w:r>
      <w:r>
        <w:rPr>
          <w:spacing w:val="-1"/>
        </w:rPr>
        <w:t> </w:t>
      </w:r>
      <w:r>
        <w:rPr/>
        <w:t>and economic</w:t>
      </w:r>
      <w:r>
        <w:rPr>
          <w:spacing w:val="-1"/>
        </w:rPr>
        <w:t> </w:t>
      </w:r>
      <w:r>
        <w:rPr/>
        <w:t>and social</w:t>
      </w:r>
      <w:r>
        <w:rPr>
          <w:spacing w:val="-5"/>
        </w:rPr>
        <w:t> </w:t>
      </w:r>
      <w:r>
        <w:rPr/>
        <w:t>contributions</w:t>
      </w:r>
      <w:r>
        <w:rPr>
          <w:spacing w:val="-2"/>
        </w:rPr>
        <w:t> </w:t>
      </w:r>
      <w:r>
        <w:rPr/>
        <w:t>of</w:t>
      </w:r>
      <w:r>
        <w:rPr>
          <w:spacing w:val="-8"/>
        </w:rPr>
        <w:t> </w:t>
      </w:r>
      <w:r>
        <w:rPr/>
        <w:t>the</w:t>
      </w:r>
      <w:r>
        <w:rPr>
          <w:spacing w:val="-1"/>
        </w:rPr>
        <w:t> </w:t>
      </w:r>
      <w:r>
        <w:rPr/>
        <w:t>company.</w:t>
      </w:r>
      <w:r>
        <w:rPr>
          <w:vertAlign w:val="superscript"/>
        </w:rPr>
        <w:t>131</w:t>
      </w:r>
      <w:r>
        <w:rPr>
          <w:vertAlign w:val="baseline"/>
        </w:rPr>
        <w:t>Indeed, the</w:t>
      </w:r>
      <w:r>
        <w:rPr>
          <w:spacing w:val="-1"/>
          <w:vertAlign w:val="baseline"/>
        </w:rPr>
        <w:t> </w:t>
      </w:r>
      <w:r>
        <w:rPr>
          <w:vertAlign w:val="baseline"/>
        </w:rPr>
        <w:t>notion</w:t>
      </w:r>
      <w:r>
        <w:rPr>
          <w:spacing w:val="-5"/>
          <w:vertAlign w:val="baseline"/>
        </w:rPr>
        <w:t> </w:t>
      </w:r>
      <w:r>
        <w:rPr>
          <w:vertAlign w:val="baseline"/>
        </w:rPr>
        <w:t>that the corporation is like a ―citizen‖ and therefore, has to conform to ―public notions of citizenship‖ was earlier put forward by Dodd.</w:t>
      </w:r>
      <w:r>
        <w:rPr>
          <w:vertAlign w:val="superscript"/>
        </w:rPr>
        <w:t>132</w:t>
      </w:r>
    </w:p>
    <w:p>
      <w:pPr>
        <w:pStyle w:val="BodyText"/>
        <w:spacing w:line="480" w:lineRule="auto" w:before="3"/>
        <w:ind w:right="190" w:firstLine="720"/>
        <w:jc w:val="both"/>
      </w:pPr>
      <w:r>
        <w:rPr/>
        <w:t>No stakeholder stands alone in the process of value creation. The stakes of each stakeholder</w:t>
      </w:r>
      <w:r>
        <w:rPr>
          <w:spacing w:val="24"/>
        </w:rPr>
        <w:t> </w:t>
      </w:r>
      <w:r>
        <w:rPr/>
        <w:t>group</w:t>
      </w:r>
      <w:r>
        <w:rPr>
          <w:spacing w:val="24"/>
        </w:rPr>
        <w:t> </w:t>
      </w:r>
      <w:r>
        <w:rPr/>
        <w:t>are</w:t>
      </w:r>
      <w:r>
        <w:rPr>
          <w:spacing w:val="28"/>
        </w:rPr>
        <w:t> </w:t>
      </w:r>
      <w:r>
        <w:rPr/>
        <w:t>multifaceted</w:t>
      </w:r>
      <w:r>
        <w:rPr>
          <w:spacing w:val="24"/>
        </w:rPr>
        <w:t> </w:t>
      </w:r>
      <w:r>
        <w:rPr/>
        <w:t>and</w:t>
      </w:r>
      <w:r>
        <w:rPr>
          <w:spacing w:val="27"/>
        </w:rPr>
        <w:t> </w:t>
      </w:r>
      <w:r>
        <w:rPr/>
        <w:t>inherently</w:t>
      </w:r>
      <w:r>
        <w:rPr>
          <w:spacing w:val="24"/>
        </w:rPr>
        <w:t> </w:t>
      </w:r>
      <w:r>
        <w:rPr/>
        <w:t>connected</w:t>
      </w:r>
      <w:r>
        <w:rPr>
          <w:spacing w:val="24"/>
        </w:rPr>
        <w:t> </w:t>
      </w:r>
      <w:r>
        <w:rPr/>
        <w:t>to</w:t>
      </w:r>
      <w:r>
        <w:rPr>
          <w:spacing w:val="28"/>
        </w:rPr>
        <w:t> </w:t>
      </w:r>
      <w:r>
        <w:rPr/>
        <w:t>each</w:t>
      </w:r>
      <w:r>
        <w:rPr>
          <w:spacing w:val="24"/>
        </w:rPr>
        <w:t> </w:t>
      </w:r>
      <w:r>
        <w:rPr/>
        <w:t>other</w:t>
      </w:r>
      <w:r>
        <w:rPr>
          <w:spacing w:val="30"/>
        </w:rPr>
        <w:t> </w:t>
      </w:r>
      <w:r>
        <w:rPr/>
        <w:t>in</w:t>
      </w:r>
      <w:r>
        <w:rPr>
          <w:spacing w:val="24"/>
        </w:rPr>
        <w:t> </w:t>
      </w:r>
      <w:r>
        <w:rPr/>
        <w:t>terms</w:t>
      </w:r>
      <w:r>
        <w:rPr>
          <w:spacing w:val="22"/>
        </w:rPr>
        <w:t> </w:t>
      </w:r>
      <w:r>
        <w:rPr>
          <w:spacing w:val="-5"/>
        </w:rPr>
        <w:t>of</w:t>
      </w:r>
    </w:p>
    <w:p>
      <w:pPr>
        <w:pStyle w:val="BodyText"/>
        <w:ind w:left="0"/>
        <w:rPr>
          <w:sz w:val="20"/>
        </w:rPr>
      </w:pPr>
    </w:p>
    <w:p>
      <w:pPr>
        <w:pStyle w:val="BodyText"/>
        <w:spacing w:before="42"/>
        <w:ind w:left="0"/>
        <w:rPr>
          <w:sz w:val="20"/>
        </w:rPr>
      </w:pPr>
      <w:r>
        <w:rPr/>
        <mc:AlternateContent>
          <mc:Choice Requires="wps">
            <w:drawing>
              <wp:anchor distT="0" distB="0" distL="0" distR="0" allowOverlap="1" layoutInCell="1" locked="0" behindDoc="1" simplePos="0" relativeHeight="487649792">
                <wp:simplePos x="0" y="0"/>
                <wp:positionH relativeFrom="page">
                  <wp:posOffset>1262481</wp:posOffset>
                </wp:positionH>
                <wp:positionV relativeFrom="paragraph">
                  <wp:posOffset>188499</wp:posOffset>
                </wp:positionV>
                <wp:extent cx="1829435" cy="9525"/>
                <wp:effectExtent l="0" t="0" r="0" b="0"/>
                <wp:wrapTopAndBottom/>
                <wp:docPr id="136" name="Graphic 136"/>
                <wp:cNvGraphicFramePr>
                  <a:graphicFrameLocks/>
                </wp:cNvGraphicFramePr>
                <a:graphic>
                  <a:graphicData uri="http://schemas.microsoft.com/office/word/2010/wordprocessingShape">
                    <wps:wsp>
                      <wps:cNvPr id="136" name="Graphic 13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42509pt;width:144.050pt;height:.72003pt;mso-position-horizontal-relative:page;mso-position-vertical-relative:paragraph;z-index:-15666688;mso-wrap-distance-left:0;mso-wrap-distance-right:0" id="docshape91"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pacing w:val="-2"/>
          <w:sz w:val="20"/>
          <w:vertAlign w:val="superscript"/>
        </w:rPr>
        <w:t>130</w:t>
      </w:r>
      <w:r>
        <w:rPr>
          <w:rFonts w:ascii="Calibri"/>
          <w:spacing w:val="-2"/>
          <w:sz w:val="20"/>
          <w:vertAlign w:val="baseline"/>
        </w:rPr>
        <w:t>Ibid.</w:t>
      </w:r>
    </w:p>
    <w:p>
      <w:pPr>
        <w:spacing w:before="0"/>
        <w:ind w:left="308" w:right="225" w:firstLine="0"/>
        <w:jc w:val="both"/>
        <w:rPr>
          <w:rFonts w:ascii="Calibri"/>
          <w:sz w:val="20"/>
        </w:rPr>
      </w:pPr>
      <w:r>
        <w:rPr>
          <w:rFonts w:ascii="Calibri"/>
          <w:sz w:val="20"/>
          <w:vertAlign w:val="superscript"/>
        </w:rPr>
        <w:t>131</w:t>
      </w:r>
      <w:r>
        <w:rPr>
          <w:rFonts w:ascii="Calibri"/>
          <w:sz w:val="20"/>
          <w:vertAlign w:val="baseline"/>
        </w:rPr>
        <w:t> Freeman, E.R. </w:t>
      </w:r>
      <w:r>
        <w:rPr>
          <w:rFonts w:ascii="Calibri"/>
          <w:i/>
          <w:sz w:val="20"/>
          <w:vertAlign w:val="baseline"/>
        </w:rPr>
        <w:t>et al, </w:t>
      </w:r>
      <w:r>
        <w:rPr>
          <w:rFonts w:ascii="Calibri"/>
          <w:sz w:val="20"/>
          <w:vertAlign w:val="baseline"/>
        </w:rPr>
        <w:t>op.cit., atpp.24-25 and Freeman E.R. (2001).Stakeholder Theory of the Modern Corporation.</w:t>
      </w:r>
      <w:r>
        <w:rPr>
          <w:rFonts w:ascii="Calibri"/>
          <w:i/>
          <w:sz w:val="20"/>
          <w:vertAlign w:val="baseline"/>
        </w:rPr>
        <w:t>General Issues in Business Ethics</w:t>
      </w:r>
      <w:r>
        <w:rPr>
          <w:rFonts w:ascii="Calibri"/>
          <w:sz w:val="20"/>
          <w:vertAlign w:val="baseline"/>
        </w:rPr>
        <w:t>, 38 at 42-43. Retrieved September 8, 2013, </w:t>
      </w:r>
      <w:r>
        <w:rPr>
          <w:rFonts w:ascii="Calibri"/>
          <w:spacing w:val="-2"/>
          <w:sz w:val="20"/>
          <w:vertAlign w:val="baseline"/>
        </w:rPr>
        <w:t>from</w:t>
      </w:r>
      <w:hyperlink r:id="rId35">
        <w:r>
          <w:rPr>
            <w:rFonts w:ascii="Calibri"/>
            <w:color w:val="0000FF"/>
            <w:spacing w:val="-2"/>
            <w:sz w:val="20"/>
            <w:u w:val="single" w:color="0000FF"/>
            <w:vertAlign w:val="baseline"/>
          </w:rPr>
          <w:t>http://academic.udayton.edu/lawrenceulrich/Stakeholder%20Theory.pdf</w:t>
        </w:r>
      </w:hyperlink>
    </w:p>
    <w:p>
      <w:pPr>
        <w:spacing w:before="2"/>
        <w:ind w:left="308" w:right="0" w:firstLine="0"/>
        <w:jc w:val="both"/>
        <w:rPr>
          <w:rFonts w:ascii="Calibri"/>
          <w:sz w:val="20"/>
        </w:rPr>
      </w:pPr>
      <w:r>
        <w:rPr>
          <w:rFonts w:ascii="Calibri"/>
          <w:sz w:val="20"/>
          <w:vertAlign w:val="superscript"/>
        </w:rPr>
        <w:t>132</w:t>
      </w:r>
      <w:r>
        <w:rPr>
          <w:rFonts w:ascii="Calibri"/>
          <w:sz w:val="20"/>
          <w:vertAlign w:val="baseline"/>
        </w:rPr>
        <w:t>Dodd,</w:t>
      </w:r>
      <w:r>
        <w:rPr>
          <w:rFonts w:ascii="Calibri"/>
          <w:spacing w:val="-6"/>
          <w:sz w:val="20"/>
          <w:vertAlign w:val="baseline"/>
        </w:rPr>
        <w:t> </w:t>
      </w:r>
      <w:r>
        <w:rPr>
          <w:rFonts w:ascii="Calibri"/>
          <w:sz w:val="20"/>
          <w:vertAlign w:val="baseline"/>
        </w:rPr>
        <w:t>E.M.</w:t>
      </w:r>
      <w:r>
        <w:rPr>
          <w:rFonts w:ascii="Calibri"/>
          <w:spacing w:val="-5"/>
          <w:sz w:val="20"/>
          <w:vertAlign w:val="baseline"/>
        </w:rPr>
        <w:t> </w:t>
      </w:r>
      <w:r>
        <w:rPr>
          <w:rFonts w:ascii="Calibri"/>
          <w:sz w:val="20"/>
          <w:vertAlign w:val="baseline"/>
        </w:rPr>
        <w:t>(1932)</w:t>
      </w:r>
      <w:r>
        <w:rPr>
          <w:rFonts w:ascii="Calibri"/>
          <w:spacing w:val="-5"/>
          <w:sz w:val="20"/>
          <w:vertAlign w:val="baseline"/>
        </w:rPr>
        <w:t> </w:t>
      </w:r>
      <w:r>
        <w:rPr>
          <w:rFonts w:ascii="Calibri"/>
          <w:sz w:val="20"/>
          <w:vertAlign w:val="baseline"/>
        </w:rPr>
        <w:t>Op.cit.</w:t>
      </w:r>
      <w:r>
        <w:rPr>
          <w:rFonts w:ascii="Calibri"/>
          <w:spacing w:val="-1"/>
          <w:sz w:val="20"/>
          <w:vertAlign w:val="baseline"/>
        </w:rPr>
        <w:t> </w:t>
      </w:r>
      <w:r>
        <w:rPr>
          <w:rFonts w:ascii="Calibri"/>
          <w:sz w:val="20"/>
          <w:vertAlign w:val="baseline"/>
        </w:rPr>
        <w:t>at</w:t>
      </w:r>
      <w:r>
        <w:rPr>
          <w:rFonts w:ascii="Calibri"/>
          <w:spacing w:val="-8"/>
          <w:sz w:val="20"/>
          <w:vertAlign w:val="baseline"/>
        </w:rPr>
        <w:t> </w:t>
      </w:r>
      <w:r>
        <w:rPr>
          <w:rFonts w:ascii="Calibri"/>
          <w:spacing w:val="-2"/>
          <w:sz w:val="20"/>
          <w:vertAlign w:val="baseline"/>
        </w:rPr>
        <w:t>p.1148.</w:t>
      </w:r>
    </w:p>
    <w:p>
      <w:pPr>
        <w:spacing w:after="0"/>
        <w:jc w:val="both"/>
        <w:rPr>
          <w:rFonts w:ascii="Calibri"/>
          <w:sz w:val="20"/>
        </w:rPr>
        <w:sectPr>
          <w:pgSz w:w="11910" w:h="16840"/>
          <w:pgMar w:header="0" w:footer="1003" w:top="1320" w:bottom="1200" w:left="1680" w:right="1180"/>
        </w:sectPr>
      </w:pPr>
    </w:p>
    <w:p>
      <w:pPr>
        <w:pStyle w:val="BodyText"/>
        <w:spacing w:line="480" w:lineRule="auto" w:before="110"/>
        <w:ind w:right="181"/>
        <w:jc w:val="both"/>
      </w:pPr>
      <w:r>
        <w:rPr/>
        <w:t>harms and benefits as well as rights and duties,</w:t>
      </w:r>
      <w:r>
        <w:rPr>
          <w:vertAlign w:val="superscript"/>
        </w:rPr>
        <w:t>133</w:t>
      </w:r>
      <w:r>
        <w:rPr>
          <w:vertAlign w:val="baseline"/>
        </w:rPr>
        <w:t> which makes balancing all the more crucial. While positing that ―stakes‖ require action of a certain sort, Freeman acknowledged</w:t>
      </w:r>
      <w:r>
        <w:rPr>
          <w:spacing w:val="-10"/>
          <w:vertAlign w:val="baseline"/>
        </w:rPr>
        <w:t> </w:t>
      </w:r>
      <w:r>
        <w:rPr>
          <w:vertAlign w:val="baseline"/>
        </w:rPr>
        <w:t>that</w:t>
      </w:r>
      <w:r>
        <w:rPr>
          <w:spacing w:val="-6"/>
          <w:vertAlign w:val="baseline"/>
        </w:rPr>
        <w:t> </w:t>
      </w:r>
      <w:r>
        <w:rPr>
          <w:vertAlign w:val="baseline"/>
        </w:rPr>
        <w:t>―competing</w:t>
      </w:r>
      <w:r>
        <w:rPr>
          <w:spacing w:val="-10"/>
          <w:vertAlign w:val="baseline"/>
        </w:rPr>
        <w:t> </w:t>
      </w:r>
      <w:r>
        <w:rPr>
          <w:vertAlign w:val="baseline"/>
        </w:rPr>
        <w:t>stakes‖</w:t>
      </w:r>
      <w:r>
        <w:rPr>
          <w:spacing w:val="-10"/>
          <w:vertAlign w:val="baseline"/>
        </w:rPr>
        <w:t> </w:t>
      </w:r>
      <w:r>
        <w:rPr>
          <w:vertAlign w:val="baseline"/>
        </w:rPr>
        <w:t>require</w:t>
      </w:r>
      <w:r>
        <w:rPr>
          <w:spacing w:val="-7"/>
          <w:vertAlign w:val="baseline"/>
        </w:rPr>
        <w:t> </w:t>
      </w:r>
      <w:r>
        <w:rPr>
          <w:vertAlign w:val="baseline"/>
        </w:rPr>
        <w:t>methods</w:t>
      </w:r>
      <w:r>
        <w:rPr>
          <w:spacing w:val="-15"/>
          <w:vertAlign w:val="baseline"/>
        </w:rPr>
        <w:t> </w:t>
      </w:r>
      <w:r>
        <w:rPr>
          <w:vertAlign w:val="baseline"/>
        </w:rPr>
        <w:t>of</w:t>
      </w:r>
      <w:r>
        <w:rPr>
          <w:spacing w:val="-15"/>
          <w:vertAlign w:val="baseline"/>
        </w:rPr>
        <w:t> </w:t>
      </w:r>
      <w:r>
        <w:rPr>
          <w:vertAlign w:val="baseline"/>
        </w:rPr>
        <w:t>resolution.</w:t>
      </w:r>
      <w:r>
        <w:rPr>
          <w:vertAlign w:val="superscript"/>
        </w:rPr>
        <w:t>134</w:t>
      </w:r>
      <w:r>
        <w:rPr>
          <w:vertAlign w:val="baseline"/>
        </w:rPr>
        <w:t>Yet,</w:t>
      </w:r>
      <w:r>
        <w:rPr>
          <w:spacing w:val="-8"/>
          <w:vertAlign w:val="baseline"/>
        </w:rPr>
        <w:t> </w:t>
      </w:r>
      <w:r>
        <w:rPr>
          <w:vertAlign w:val="baseline"/>
        </w:rPr>
        <w:t>stakeholder theory prohibits any undue attention to the interests of any single constituency,</w:t>
      </w:r>
      <w:r>
        <w:rPr>
          <w:vertAlign w:val="superscript"/>
        </w:rPr>
        <w:t>135</w:t>
      </w:r>
      <w:r>
        <w:rPr>
          <w:vertAlign w:val="baseline"/>
        </w:rPr>
        <w:t> although admits</w:t>
      </w:r>
      <w:r>
        <w:rPr>
          <w:spacing w:val="-1"/>
          <w:vertAlign w:val="baseline"/>
        </w:rPr>
        <w:t> </w:t>
      </w:r>
      <w:r>
        <w:rPr>
          <w:vertAlign w:val="baseline"/>
        </w:rPr>
        <w:t>that there would be times</w:t>
      </w:r>
      <w:r>
        <w:rPr>
          <w:spacing w:val="-1"/>
          <w:vertAlign w:val="baseline"/>
        </w:rPr>
        <w:t> </w:t>
      </w:r>
      <w:r>
        <w:rPr>
          <w:vertAlign w:val="baseline"/>
        </w:rPr>
        <w:t>when</w:t>
      </w:r>
      <w:r>
        <w:rPr>
          <w:spacing w:val="-4"/>
          <w:vertAlign w:val="baseline"/>
        </w:rPr>
        <w:t> </w:t>
      </w:r>
      <w:r>
        <w:rPr>
          <w:vertAlign w:val="baseline"/>
        </w:rPr>
        <w:t>one group benefits</w:t>
      </w:r>
      <w:r>
        <w:rPr>
          <w:spacing w:val="-1"/>
          <w:vertAlign w:val="baseline"/>
        </w:rPr>
        <w:t> </w:t>
      </w:r>
      <w:r>
        <w:rPr>
          <w:vertAlign w:val="baseline"/>
        </w:rPr>
        <w:t>at the expense of</w:t>
      </w:r>
      <w:r>
        <w:rPr>
          <w:spacing w:val="-2"/>
          <w:vertAlign w:val="baseline"/>
        </w:rPr>
        <w:t> </w:t>
      </w:r>
      <w:r>
        <w:rPr>
          <w:vertAlign w:val="baseline"/>
        </w:rPr>
        <w:t>the others.</w:t>
      </w:r>
      <w:r>
        <w:rPr>
          <w:vertAlign w:val="superscript"/>
        </w:rPr>
        <w:t>136</w:t>
      </w:r>
      <w:r>
        <w:rPr>
          <w:vertAlign w:val="baseline"/>
        </w:rPr>
        <w:t> Therefore, the notion of </w:t>
      </w:r>
      <w:r>
        <w:rPr>
          <w:i/>
          <w:vertAlign w:val="baseline"/>
        </w:rPr>
        <w:t>equality </w:t>
      </w:r>
      <w:r>
        <w:rPr>
          <w:vertAlign w:val="baseline"/>
        </w:rPr>
        <w:t>seems appropriate for a norm representing stakeholder theory because if stakeholders are not equal in the eyes of management, one group must be primary</w:t>
      </w:r>
      <w:r>
        <w:rPr>
          <w:vertAlign w:val="superscript"/>
        </w:rPr>
        <w:t>137</w:t>
      </w:r>
      <w:r>
        <w:rPr>
          <w:vertAlign w:val="baseline"/>
        </w:rPr>
        <w:t> and this would simply result in another </w:t>
      </w:r>
      <w:r>
        <w:rPr>
          <w:i/>
          <w:vertAlign w:val="baseline"/>
        </w:rPr>
        <w:t>primacynorm</w:t>
      </w:r>
      <w:r>
        <w:rPr>
          <w:vertAlign w:val="baseline"/>
        </w:rPr>
        <w:t>.</w:t>
      </w:r>
    </w:p>
    <w:p>
      <w:pPr>
        <w:pStyle w:val="BodyText"/>
        <w:spacing w:line="480" w:lineRule="auto" w:before="2"/>
        <w:ind w:right="182" w:firstLine="720"/>
        <w:jc w:val="both"/>
      </w:pPr>
      <w:r>
        <w:rPr/>
        <w:t>A closely associated concept is corporate social responsibility (CSR), which posits that the private corporation has responsibilities to society that goes beyond the production of goods and services at a profit so that the corporation has a broader constituency to serve than shareholders alone.</w:t>
      </w:r>
      <w:r>
        <w:rPr>
          <w:vertAlign w:val="superscript"/>
        </w:rPr>
        <w:t>138</w:t>
      </w:r>
      <w:r>
        <w:rPr>
          <w:vertAlign w:val="baseline"/>
        </w:rPr>
        <w:t> It is believed that there are social obligations that push the company to go beyond the requirements of the law.</w:t>
      </w:r>
      <w:r>
        <w:rPr>
          <w:vertAlign w:val="superscript"/>
        </w:rPr>
        <w:t>139</w:t>
      </w:r>
      <w:r>
        <w:rPr>
          <w:spacing w:val="40"/>
          <w:vertAlign w:val="baseline"/>
        </w:rPr>
        <w:t> </w:t>
      </w:r>
      <w:r>
        <w:rPr>
          <w:vertAlign w:val="baseline"/>
        </w:rPr>
        <w:t>However,</w:t>
      </w:r>
      <w:r>
        <w:rPr>
          <w:spacing w:val="-1"/>
          <w:vertAlign w:val="baseline"/>
        </w:rPr>
        <w:t> </w:t>
      </w:r>
      <w:r>
        <w:rPr>
          <w:vertAlign w:val="baseline"/>
        </w:rPr>
        <w:t>Friedman,</w:t>
      </w:r>
      <w:r>
        <w:rPr>
          <w:spacing w:val="-1"/>
          <w:vertAlign w:val="baseline"/>
        </w:rPr>
        <w:t> </w:t>
      </w:r>
      <w:r>
        <w:rPr>
          <w:vertAlign w:val="baseline"/>
        </w:rPr>
        <w:t>a foremost SPN</w:t>
      </w:r>
      <w:r>
        <w:rPr>
          <w:spacing w:val="-2"/>
          <w:vertAlign w:val="baseline"/>
        </w:rPr>
        <w:t> </w:t>
      </w:r>
      <w:r>
        <w:rPr>
          <w:vertAlign w:val="baseline"/>
        </w:rPr>
        <w:t>advocate,</w:t>
      </w:r>
      <w:r>
        <w:rPr>
          <w:spacing w:val="-1"/>
          <w:vertAlign w:val="baseline"/>
        </w:rPr>
        <w:t> </w:t>
      </w:r>
      <w:r>
        <w:rPr>
          <w:vertAlign w:val="baseline"/>
        </w:rPr>
        <w:t>questions how ―business‖, an</w:t>
      </w:r>
      <w:r>
        <w:rPr>
          <w:spacing w:val="-2"/>
          <w:vertAlign w:val="baseline"/>
        </w:rPr>
        <w:t> </w:t>
      </w:r>
      <w:r>
        <w:rPr>
          <w:vertAlign w:val="baseline"/>
        </w:rPr>
        <w:t>inanimate object, can be constrained by social responsibilities.</w:t>
      </w:r>
      <w:r>
        <w:rPr>
          <w:vertAlign w:val="superscript"/>
        </w:rPr>
        <w:t>140</w:t>
      </w:r>
      <w:r>
        <w:rPr>
          <w:vertAlign w:val="baseline"/>
        </w:rPr>
        <w:t> According to him, corporations possess neither the authority nor the moral right to divert shareholders‘ profits for the welfare of the general public. He argues that</w:t>
      </w:r>
    </w:p>
    <w:p>
      <w:pPr>
        <w:spacing w:line="242" w:lineRule="auto" w:before="1"/>
        <w:ind w:left="2007" w:right="1891" w:firstLine="0"/>
        <w:jc w:val="both"/>
        <w:rPr>
          <w:i/>
          <w:sz w:val="24"/>
        </w:rPr>
      </w:pPr>
      <w:r>
        <w:rPr>
          <w:i/>
          <w:sz w:val="24"/>
        </w:rPr>
        <w:t>Managers</w:t>
      </w:r>
      <w:r>
        <w:rPr>
          <w:i/>
          <w:spacing w:val="-2"/>
          <w:sz w:val="24"/>
        </w:rPr>
        <w:t> </w:t>
      </w:r>
      <w:r>
        <w:rPr>
          <w:i/>
          <w:sz w:val="24"/>
        </w:rPr>
        <w:t>are merely agents</w:t>
      </w:r>
      <w:r>
        <w:rPr>
          <w:i/>
          <w:spacing w:val="-1"/>
          <w:sz w:val="24"/>
        </w:rPr>
        <w:t> </w:t>
      </w:r>
      <w:r>
        <w:rPr>
          <w:i/>
          <w:sz w:val="24"/>
        </w:rPr>
        <w:t>of the stockholders, and thus</w:t>
      </w:r>
      <w:r>
        <w:rPr>
          <w:i/>
          <w:spacing w:val="23"/>
          <w:sz w:val="24"/>
        </w:rPr>
        <w:t> </w:t>
      </w:r>
      <w:r>
        <w:rPr>
          <w:i/>
          <w:sz w:val="24"/>
        </w:rPr>
        <w:t>have</w:t>
      </w:r>
      <w:r>
        <w:rPr>
          <w:i/>
          <w:spacing w:val="24"/>
          <w:sz w:val="24"/>
        </w:rPr>
        <w:t> </w:t>
      </w:r>
      <w:r>
        <w:rPr>
          <w:i/>
          <w:sz w:val="24"/>
        </w:rPr>
        <w:t>no</w:t>
      </w:r>
      <w:r>
        <w:rPr>
          <w:i/>
          <w:spacing w:val="25"/>
          <w:sz w:val="24"/>
        </w:rPr>
        <w:t> </w:t>
      </w:r>
      <w:r>
        <w:rPr>
          <w:i/>
          <w:sz w:val="24"/>
        </w:rPr>
        <w:t>right</w:t>
      </w:r>
      <w:r>
        <w:rPr>
          <w:i/>
          <w:spacing w:val="25"/>
          <w:sz w:val="24"/>
        </w:rPr>
        <w:t> </w:t>
      </w:r>
      <w:r>
        <w:rPr>
          <w:i/>
          <w:sz w:val="24"/>
        </w:rPr>
        <w:t>to</w:t>
      </w:r>
      <w:r>
        <w:rPr>
          <w:i/>
          <w:spacing w:val="26"/>
          <w:sz w:val="24"/>
        </w:rPr>
        <w:t> </w:t>
      </w:r>
      <w:r>
        <w:rPr>
          <w:i/>
          <w:sz w:val="24"/>
        </w:rPr>
        <w:t>spend</w:t>
      </w:r>
      <w:r>
        <w:rPr>
          <w:i/>
          <w:spacing w:val="25"/>
          <w:sz w:val="24"/>
        </w:rPr>
        <w:t> </w:t>
      </w:r>
      <w:r>
        <w:rPr>
          <w:i/>
          <w:sz w:val="24"/>
        </w:rPr>
        <w:t>or</w:t>
      </w:r>
      <w:r>
        <w:rPr>
          <w:i/>
          <w:spacing w:val="23"/>
          <w:sz w:val="24"/>
        </w:rPr>
        <w:t> </w:t>
      </w:r>
      <w:r>
        <w:rPr>
          <w:i/>
          <w:sz w:val="24"/>
        </w:rPr>
        <w:t>give</w:t>
      </w:r>
      <w:r>
        <w:rPr>
          <w:i/>
          <w:spacing w:val="24"/>
          <w:sz w:val="24"/>
        </w:rPr>
        <w:t> </w:t>
      </w:r>
      <w:r>
        <w:rPr>
          <w:i/>
          <w:sz w:val="24"/>
        </w:rPr>
        <w:t>away</w:t>
      </w:r>
      <w:r>
        <w:rPr>
          <w:i/>
          <w:spacing w:val="25"/>
          <w:sz w:val="24"/>
        </w:rPr>
        <w:t> </w:t>
      </w:r>
      <w:r>
        <w:rPr>
          <w:i/>
          <w:spacing w:val="-2"/>
          <w:sz w:val="24"/>
        </w:rPr>
        <w:t>corporate</w:t>
      </w:r>
    </w:p>
    <w:p>
      <w:pPr>
        <w:pStyle w:val="BodyText"/>
        <w:spacing w:before="37"/>
        <w:ind w:left="0"/>
        <w:rPr>
          <w:i/>
          <w:sz w:val="20"/>
        </w:rPr>
      </w:pPr>
      <w:r>
        <w:rPr/>
        <mc:AlternateContent>
          <mc:Choice Requires="wps">
            <w:drawing>
              <wp:anchor distT="0" distB="0" distL="0" distR="0" allowOverlap="1" layoutInCell="1" locked="0" behindDoc="1" simplePos="0" relativeHeight="487650304">
                <wp:simplePos x="0" y="0"/>
                <wp:positionH relativeFrom="page">
                  <wp:posOffset>1262481</wp:posOffset>
                </wp:positionH>
                <wp:positionV relativeFrom="paragraph">
                  <wp:posOffset>184991</wp:posOffset>
                </wp:positionV>
                <wp:extent cx="1829435" cy="9525"/>
                <wp:effectExtent l="0" t="0" r="0" b="0"/>
                <wp:wrapTopAndBottom/>
                <wp:docPr id="137" name="Graphic 137"/>
                <wp:cNvGraphicFramePr>
                  <a:graphicFrameLocks/>
                </wp:cNvGraphicFramePr>
                <a:graphic>
                  <a:graphicData uri="http://schemas.microsoft.com/office/word/2010/wordprocessingShape">
                    <wps:wsp>
                      <wps:cNvPr id="137" name="Graphic 13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566241pt;width:144.050pt;height:.71997pt;mso-position-horizontal-relative:page;mso-position-vertical-relative:paragraph;z-index:-15666176;mso-wrap-distance-left:0;mso-wrap-distance-right:0" id="docshape92"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133</w:t>
      </w:r>
      <w:r>
        <w:rPr>
          <w:rFonts w:ascii="Calibri"/>
          <w:sz w:val="20"/>
          <w:vertAlign w:val="baseline"/>
        </w:rPr>
        <w:t>Freeman,</w:t>
      </w:r>
      <w:r>
        <w:rPr>
          <w:rFonts w:ascii="Calibri"/>
          <w:spacing w:val="-9"/>
          <w:sz w:val="20"/>
          <w:vertAlign w:val="baseline"/>
        </w:rPr>
        <w:t> </w:t>
      </w:r>
      <w:r>
        <w:rPr>
          <w:rFonts w:ascii="Calibri"/>
          <w:sz w:val="20"/>
          <w:vertAlign w:val="baseline"/>
        </w:rPr>
        <w:t>E.R.</w:t>
      </w:r>
      <w:r>
        <w:rPr>
          <w:rFonts w:ascii="Calibri"/>
          <w:i/>
          <w:sz w:val="20"/>
          <w:vertAlign w:val="baseline"/>
        </w:rPr>
        <w:t>et</w:t>
      </w:r>
      <w:r>
        <w:rPr>
          <w:rFonts w:ascii="Calibri"/>
          <w:i/>
          <w:spacing w:val="-6"/>
          <w:sz w:val="20"/>
          <w:vertAlign w:val="baseline"/>
        </w:rPr>
        <w:t> </w:t>
      </w:r>
      <w:r>
        <w:rPr>
          <w:rFonts w:ascii="Calibri"/>
          <w:i/>
          <w:sz w:val="20"/>
          <w:vertAlign w:val="baseline"/>
        </w:rPr>
        <w:t>al</w:t>
      </w:r>
      <w:r>
        <w:rPr>
          <w:rFonts w:ascii="Calibri"/>
          <w:sz w:val="20"/>
          <w:vertAlign w:val="baseline"/>
        </w:rPr>
        <w:t>,</w:t>
      </w:r>
      <w:r>
        <w:rPr>
          <w:rFonts w:ascii="Calibri"/>
          <w:spacing w:val="-4"/>
          <w:sz w:val="20"/>
          <w:vertAlign w:val="baseline"/>
        </w:rPr>
        <w:t> </w:t>
      </w:r>
      <w:r>
        <w:rPr>
          <w:rFonts w:ascii="Calibri"/>
          <w:sz w:val="20"/>
          <w:vertAlign w:val="baseline"/>
        </w:rPr>
        <w:t>op.cit.at</w:t>
      </w:r>
      <w:r>
        <w:rPr>
          <w:rFonts w:ascii="Calibri"/>
          <w:spacing w:val="-5"/>
          <w:sz w:val="20"/>
          <w:vertAlign w:val="baseline"/>
        </w:rPr>
        <w:t> 27.</w:t>
      </w:r>
    </w:p>
    <w:p>
      <w:pPr>
        <w:spacing w:line="242" w:lineRule="exact" w:before="0"/>
        <w:ind w:left="308" w:right="0" w:firstLine="0"/>
        <w:jc w:val="left"/>
        <w:rPr>
          <w:rFonts w:ascii="Calibri"/>
          <w:sz w:val="20"/>
        </w:rPr>
      </w:pPr>
      <w:r>
        <w:rPr>
          <w:rFonts w:ascii="Calibri"/>
          <w:sz w:val="20"/>
          <w:vertAlign w:val="superscript"/>
        </w:rPr>
        <w:t>134</w:t>
      </w:r>
      <w:r>
        <w:rPr>
          <w:rFonts w:ascii="Calibri"/>
          <w:spacing w:val="1"/>
          <w:sz w:val="20"/>
          <w:vertAlign w:val="baseline"/>
        </w:rPr>
        <w:t> </w:t>
      </w:r>
      <w:r>
        <w:rPr>
          <w:rFonts w:ascii="Calibri"/>
          <w:sz w:val="20"/>
          <w:vertAlign w:val="baseline"/>
        </w:rPr>
        <w:t>Freeman,</w:t>
      </w:r>
      <w:r>
        <w:rPr>
          <w:rFonts w:ascii="Calibri"/>
          <w:spacing w:val="-8"/>
          <w:sz w:val="20"/>
          <w:vertAlign w:val="baseline"/>
        </w:rPr>
        <w:t> </w:t>
      </w:r>
      <w:r>
        <w:rPr>
          <w:rFonts w:ascii="Calibri"/>
          <w:sz w:val="20"/>
          <w:vertAlign w:val="baseline"/>
        </w:rPr>
        <w:t>E.R</w:t>
      </w:r>
      <w:r>
        <w:rPr>
          <w:rFonts w:ascii="Calibri"/>
          <w:i/>
          <w:sz w:val="20"/>
          <w:vertAlign w:val="baseline"/>
        </w:rPr>
        <w:t>.</w:t>
      </w:r>
      <w:r>
        <w:rPr>
          <w:rFonts w:ascii="Calibri"/>
          <w:i/>
          <w:spacing w:val="-3"/>
          <w:sz w:val="20"/>
          <w:vertAlign w:val="baseline"/>
        </w:rPr>
        <w:t> </w:t>
      </w:r>
      <w:r>
        <w:rPr>
          <w:rFonts w:ascii="Calibri"/>
          <w:sz w:val="20"/>
          <w:vertAlign w:val="baseline"/>
        </w:rPr>
        <w:t>Op.cit.,</w:t>
      </w:r>
      <w:r>
        <w:rPr>
          <w:rFonts w:ascii="Calibri"/>
          <w:spacing w:val="-8"/>
          <w:sz w:val="20"/>
          <w:vertAlign w:val="baseline"/>
        </w:rPr>
        <w:t> </w:t>
      </w:r>
      <w:r>
        <w:rPr>
          <w:rFonts w:ascii="Calibri"/>
          <w:sz w:val="20"/>
          <w:vertAlign w:val="baseline"/>
        </w:rPr>
        <w:t>at</w:t>
      </w:r>
      <w:r>
        <w:rPr>
          <w:rFonts w:ascii="Calibri"/>
          <w:spacing w:val="-1"/>
          <w:sz w:val="20"/>
          <w:vertAlign w:val="baseline"/>
        </w:rPr>
        <w:t> </w:t>
      </w:r>
      <w:r>
        <w:rPr>
          <w:rFonts w:ascii="Calibri"/>
          <w:spacing w:val="-2"/>
          <w:sz w:val="20"/>
          <w:vertAlign w:val="baseline"/>
        </w:rPr>
        <w:t>p.41.</w:t>
      </w:r>
    </w:p>
    <w:p>
      <w:pPr>
        <w:spacing w:before="1"/>
        <w:ind w:left="308" w:right="233" w:firstLine="0"/>
        <w:jc w:val="left"/>
        <w:rPr>
          <w:rFonts w:ascii="Calibri"/>
          <w:sz w:val="20"/>
        </w:rPr>
      </w:pPr>
      <w:r>
        <w:rPr>
          <w:rFonts w:ascii="Calibri"/>
          <w:sz w:val="20"/>
          <w:vertAlign w:val="superscript"/>
        </w:rPr>
        <w:t>135</w:t>
      </w:r>
      <w:r>
        <w:rPr>
          <w:rFonts w:ascii="Calibri"/>
          <w:sz w:val="20"/>
          <w:vertAlign w:val="baseline"/>
        </w:rPr>
        <w:t>Donaldson,</w:t>
      </w:r>
      <w:r>
        <w:rPr>
          <w:rFonts w:ascii="Calibri"/>
          <w:spacing w:val="-5"/>
          <w:sz w:val="20"/>
          <w:vertAlign w:val="baseline"/>
        </w:rPr>
        <w:t> </w:t>
      </w:r>
      <w:r>
        <w:rPr>
          <w:rFonts w:ascii="Calibri"/>
          <w:sz w:val="20"/>
          <w:vertAlign w:val="baseline"/>
        </w:rPr>
        <w:t>T.</w:t>
      </w:r>
      <w:r>
        <w:rPr>
          <w:rFonts w:ascii="Calibri"/>
          <w:spacing w:val="-1"/>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Preston,</w:t>
      </w:r>
      <w:r>
        <w:rPr>
          <w:rFonts w:ascii="Calibri"/>
          <w:spacing w:val="-5"/>
          <w:sz w:val="20"/>
          <w:vertAlign w:val="baseline"/>
        </w:rPr>
        <w:t> </w:t>
      </w:r>
      <w:r>
        <w:rPr>
          <w:rFonts w:ascii="Calibri"/>
          <w:sz w:val="20"/>
          <w:vertAlign w:val="baseline"/>
        </w:rPr>
        <w:t>L.E. (1995).The</w:t>
      </w:r>
      <w:r>
        <w:rPr>
          <w:rFonts w:ascii="Calibri"/>
          <w:spacing w:val="-2"/>
          <w:sz w:val="20"/>
          <w:vertAlign w:val="baseline"/>
        </w:rPr>
        <w:t> </w:t>
      </w:r>
      <w:r>
        <w:rPr>
          <w:rFonts w:ascii="Calibri"/>
          <w:sz w:val="20"/>
          <w:vertAlign w:val="baseline"/>
        </w:rPr>
        <w:t>Stakeholder</w:t>
      </w:r>
      <w:r>
        <w:rPr>
          <w:rFonts w:ascii="Calibri"/>
          <w:spacing w:val="-1"/>
          <w:sz w:val="20"/>
          <w:vertAlign w:val="baseline"/>
        </w:rPr>
        <w:t> </w:t>
      </w:r>
      <w:r>
        <w:rPr>
          <w:rFonts w:ascii="Calibri"/>
          <w:sz w:val="20"/>
          <w:vertAlign w:val="baseline"/>
        </w:rPr>
        <w:t>Theory</w:t>
      </w:r>
      <w:r>
        <w:rPr>
          <w:rFonts w:ascii="Calibri"/>
          <w:spacing w:val="-2"/>
          <w:sz w:val="20"/>
          <w:vertAlign w:val="baseline"/>
        </w:rPr>
        <w:t> </w:t>
      </w:r>
      <w:r>
        <w:rPr>
          <w:rFonts w:ascii="Calibri"/>
          <w:sz w:val="20"/>
          <w:vertAlign w:val="baseline"/>
        </w:rPr>
        <w:t>of</w:t>
      </w:r>
      <w:r>
        <w:rPr>
          <w:rFonts w:ascii="Calibri"/>
          <w:spacing w:val="-2"/>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Corporation:</w:t>
      </w:r>
      <w:r>
        <w:rPr>
          <w:rFonts w:ascii="Calibri"/>
          <w:spacing w:val="-4"/>
          <w:sz w:val="20"/>
          <w:vertAlign w:val="baseline"/>
        </w:rPr>
        <w:t> </w:t>
      </w:r>
      <w:r>
        <w:rPr>
          <w:rFonts w:ascii="Calibri"/>
          <w:sz w:val="20"/>
          <w:vertAlign w:val="baseline"/>
        </w:rPr>
        <w:t>Concepts,</w:t>
      </w:r>
      <w:r>
        <w:rPr>
          <w:rFonts w:ascii="Calibri"/>
          <w:spacing w:val="-5"/>
          <w:sz w:val="20"/>
          <w:vertAlign w:val="baseline"/>
        </w:rPr>
        <w:t> </w:t>
      </w:r>
      <w:r>
        <w:rPr>
          <w:rFonts w:ascii="Calibri"/>
          <w:sz w:val="20"/>
          <w:vertAlign w:val="baseline"/>
        </w:rPr>
        <w:t>Evidence and Implications</w:t>
      </w:r>
      <w:r>
        <w:rPr>
          <w:rFonts w:ascii="Calibri"/>
          <w:i/>
          <w:sz w:val="20"/>
          <w:vertAlign w:val="baseline"/>
        </w:rPr>
        <w:t>.Academy of Management Review</w:t>
      </w:r>
      <w:r>
        <w:rPr>
          <w:rFonts w:ascii="Calibri"/>
          <w:sz w:val="20"/>
          <w:vertAlign w:val="baseline"/>
        </w:rPr>
        <w:t>, 20(1): 87.</w:t>
      </w:r>
    </w:p>
    <w:p>
      <w:pPr>
        <w:spacing w:before="1"/>
        <w:ind w:left="308" w:right="0" w:firstLine="0"/>
        <w:jc w:val="left"/>
        <w:rPr>
          <w:rFonts w:ascii="Calibri"/>
          <w:sz w:val="20"/>
        </w:rPr>
      </w:pPr>
      <w:r>
        <w:rPr>
          <w:rFonts w:ascii="Calibri"/>
          <w:sz w:val="20"/>
          <w:vertAlign w:val="superscript"/>
        </w:rPr>
        <w:t>136</w:t>
      </w:r>
      <w:r>
        <w:rPr>
          <w:rFonts w:ascii="Calibri"/>
          <w:sz w:val="20"/>
          <w:vertAlign w:val="baseline"/>
        </w:rPr>
        <w:t>Freeman</w:t>
      </w:r>
      <w:r>
        <w:rPr>
          <w:rFonts w:ascii="Calibri"/>
          <w:spacing w:val="-7"/>
          <w:sz w:val="20"/>
          <w:vertAlign w:val="baseline"/>
        </w:rPr>
        <w:t> </w:t>
      </w:r>
      <w:r>
        <w:rPr>
          <w:rFonts w:ascii="Calibri"/>
          <w:sz w:val="20"/>
          <w:vertAlign w:val="baseline"/>
        </w:rPr>
        <w:t>E.R.</w:t>
      </w:r>
      <w:r>
        <w:rPr>
          <w:rFonts w:ascii="Calibri"/>
          <w:spacing w:val="-4"/>
          <w:sz w:val="20"/>
          <w:vertAlign w:val="baseline"/>
        </w:rPr>
        <w:t> </w:t>
      </w:r>
      <w:r>
        <w:rPr>
          <w:rFonts w:ascii="Calibri"/>
          <w:sz w:val="20"/>
          <w:vertAlign w:val="baseline"/>
        </w:rPr>
        <w:t>op.cit.at</w:t>
      </w:r>
      <w:r>
        <w:rPr>
          <w:rFonts w:ascii="Calibri"/>
          <w:spacing w:val="-7"/>
          <w:sz w:val="20"/>
          <w:vertAlign w:val="baseline"/>
        </w:rPr>
        <w:t> </w:t>
      </w:r>
      <w:r>
        <w:rPr>
          <w:rFonts w:ascii="Calibri"/>
          <w:spacing w:val="-5"/>
          <w:sz w:val="20"/>
          <w:vertAlign w:val="baseline"/>
        </w:rPr>
        <w:t>44.</w:t>
      </w:r>
    </w:p>
    <w:p>
      <w:pPr>
        <w:spacing w:before="1"/>
        <w:ind w:left="308" w:right="0" w:firstLine="0"/>
        <w:jc w:val="left"/>
        <w:rPr>
          <w:rFonts w:ascii="Calibri"/>
          <w:sz w:val="20"/>
        </w:rPr>
      </w:pPr>
      <w:r>
        <w:rPr>
          <w:rFonts w:ascii="Calibri"/>
          <w:sz w:val="20"/>
          <w:vertAlign w:val="superscript"/>
        </w:rPr>
        <w:t>137</w:t>
      </w:r>
      <w:r>
        <w:rPr>
          <w:rFonts w:ascii="Calibri"/>
          <w:sz w:val="20"/>
          <w:vertAlign w:val="baseline"/>
        </w:rPr>
        <w:t>Ronnegard,</w:t>
      </w:r>
      <w:r>
        <w:rPr>
          <w:rFonts w:ascii="Calibri"/>
          <w:spacing w:val="-5"/>
          <w:sz w:val="20"/>
          <w:vertAlign w:val="baseline"/>
        </w:rPr>
        <w:t> </w:t>
      </w:r>
      <w:r>
        <w:rPr>
          <w:rFonts w:ascii="Calibri"/>
          <w:sz w:val="20"/>
          <w:vertAlign w:val="baseline"/>
        </w:rPr>
        <w:t>D.</w:t>
      </w:r>
      <w:r>
        <w:rPr>
          <w:rFonts w:ascii="Calibri"/>
          <w:spacing w:val="-6"/>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Smith,</w:t>
      </w:r>
      <w:r>
        <w:rPr>
          <w:rFonts w:ascii="Calibri"/>
          <w:spacing w:val="-5"/>
          <w:sz w:val="20"/>
          <w:vertAlign w:val="baseline"/>
        </w:rPr>
        <w:t> </w:t>
      </w:r>
      <w:r>
        <w:rPr>
          <w:rFonts w:ascii="Calibri"/>
          <w:sz w:val="20"/>
          <w:vertAlign w:val="baseline"/>
        </w:rPr>
        <w:t>N.C.,</w:t>
      </w:r>
      <w:r>
        <w:rPr>
          <w:rFonts w:ascii="Calibri"/>
          <w:spacing w:val="-5"/>
          <w:sz w:val="20"/>
          <w:vertAlign w:val="baseline"/>
        </w:rPr>
        <w:t> </w:t>
      </w:r>
      <w:r>
        <w:rPr>
          <w:rFonts w:ascii="Calibri"/>
          <w:sz w:val="20"/>
          <w:vertAlign w:val="baseline"/>
        </w:rPr>
        <w:t>op.cit.</w:t>
      </w:r>
      <w:r>
        <w:rPr>
          <w:rFonts w:ascii="Calibri"/>
          <w:spacing w:val="-2"/>
          <w:sz w:val="20"/>
          <w:vertAlign w:val="baseline"/>
        </w:rPr>
        <w:t> </w:t>
      </w:r>
      <w:r>
        <w:rPr>
          <w:rFonts w:ascii="Calibri"/>
          <w:sz w:val="20"/>
          <w:vertAlign w:val="baseline"/>
        </w:rPr>
        <w:t>at</w:t>
      </w:r>
      <w:r>
        <w:rPr>
          <w:rFonts w:ascii="Calibri"/>
          <w:spacing w:val="-7"/>
          <w:sz w:val="20"/>
          <w:vertAlign w:val="baseline"/>
        </w:rPr>
        <w:t> </w:t>
      </w:r>
      <w:r>
        <w:rPr>
          <w:rFonts w:ascii="Calibri"/>
          <w:spacing w:val="-5"/>
          <w:sz w:val="20"/>
          <w:vertAlign w:val="baseline"/>
        </w:rPr>
        <w:t>16.</w:t>
      </w:r>
    </w:p>
    <w:p>
      <w:pPr>
        <w:spacing w:line="237" w:lineRule="auto" w:before="3"/>
        <w:ind w:left="308" w:right="225" w:firstLine="0"/>
        <w:jc w:val="both"/>
        <w:rPr>
          <w:rFonts w:ascii="Calibri"/>
          <w:sz w:val="20"/>
        </w:rPr>
      </w:pPr>
      <w:r>
        <w:rPr>
          <w:rFonts w:ascii="Calibri"/>
          <w:sz w:val="20"/>
          <w:vertAlign w:val="superscript"/>
        </w:rPr>
        <w:t>138</w:t>
      </w:r>
      <w:r>
        <w:rPr>
          <w:rFonts w:ascii="Calibri"/>
          <w:sz w:val="20"/>
          <w:vertAlign w:val="baseline"/>
        </w:rPr>
        <w:t>Buchholz, R.A. and Rosenthal, S.B. (2002).</w:t>
      </w:r>
      <w:r>
        <w:rPr>
          <w:rFonts w:ascii="Calibri"/>
          <w:i/>
          <w:sz w:val="20"/>
          <w:vertAlign w:val="baseline"/>
        </w:rPr>
        <w:t>Social Responsibility and Business Ethics</w:t>
      </w:r>
      <w:r>
        <w:rPr>
          <w:rFonts w:ascii="Calibri"/>
          <w:sz w:val="20"/>
          <w:vertAlign w:val="baseline"/>
        </w:rPr>
        <w:t>. In: Frederick, E.R. (Ed.) </w:t>
      </w:r>
      <w:r>
        <w:rPr>
          <w:rFonts w:ascii="Calibri"/>
          <w:sz w:val="20"/>
          <w:u w:val="single"/>
          <w:vertAlign w:val="baseline"/>
        </w:rPr>
        <w:t>A Companion to Business Ethics,</w:t>
      </w:r>
      <w:r>
        <w:rPr>
          <w:rFonts w:ascii="Calibri"/>
          <w:sz w:val="20"/>
          <w:vertAlign w:val="baseline"/>
        </w:rPr>
        <w:t> Blackwell Publishers, Massachusetts, 303-322, at 303, cited in Ronnegard, D. and Smith, N.C. op.cit. at p. 4.</w:t>
      </w:r>
    </w:p>
    <w:p>
      <w:pPr>
        <w:spacing w:before="2"/>
        <w:ind w:left="308" w:right="227" w:firstLine="0"/>
        <w:jc w:val="both"/>
        <w:rPr>
          <w:rFonts w:ascii="Calibri"/>
          <w:sz w:val="20"/>
        </w:rPr>
      </w:pPr>
      <w:r>
        <w:rPr>
          <w:rFonts w:ascii="Calibri"/>
          <w:sz w:val="20"/>
          <w:vertAlign w:val="superscript"/>
        </w:rPr>
        <w:t>139</w:t>
      </w:r>
      <w:r>
        <w:rPr>
          <w:rFonts w:ascii="Calibri"/>
          <w:sz w:val="20"/>
          <w:vertAlign w:val="baseline"/>
        </w:rPr>
        <w:t> Davis, K. (1973).The Case for and Against Business Assumption of Social Responsibilities</w:t>
      </w:r>
      <w:r>
        <w:rPr>
          <w:rFonts w:ascii="Calibri"/>
          <w:i/>
          <w:sz w:val="20"/>
          <w:vertAlign w:val="baseline"/>
        </w:rPr>
        <w:t>.Academy of Management Journal</w:t>
      </w:r>
      <w:r>
        <w:rPr>
          <w:rFonts w:ascii="Calibri"/>
          <w:sz w:val="20"/>
          <w:vertAlign w:val="baseline"/>
        </w:rPr>
        <w:t>, 16(2):</w:t>
      </w:r>
      <w:r>
        <w:rPr>
          <w:rFonts w:ascii="Calibri"/>
          <w:spacing w:val="40"/>
          <w:sz w:val="20"/>
          <w:vertAlign w:val="baseline"/>
        </w:rPr>
        <w:t> </w:t>
      </w:r>
      <w:r>
        <w:rPr>
          <w:rFonts w:ascii="Calibri"/>
          <w:sz w:val="20"/>
          <w:vertAlign w:val="baseline"/>
        </w:rPr>
        <w:t>312-322, at p.313.</w:t>
      </w:r>
    </w:p>
    <w:p>
      <w:pPr>
        <w:spacing w:before="2"/>
        <w:ind w:left="308" w:right="225" w:firstLine="0"/>
        <w:jc w:val="both"/>
        <w:rPr>
          <w:rFonts w:ascii="Calibri"/>
          <w:sz w:val="20"/>
        </w:rPr>
      </w:pPr>
      <w:r>
        <w:rPr>
          <w:rFonts w:ascii="Calibri"/>
          <w:sz w:val="20"/>
          <w:vertAlign w:val="superscript"/>
        </w:rPr>
        <w:t>140</w:t>
      </w:r>
      <w:r>
        <w:rPr>
          <w:rFonts w:ascii="Calibri"/>
          <w:sz w:val="20"/>
          <w:vertAlign w:val="baseline"/>
        </w:rPr>
        <w:t>Friedman, M. (1970).</w:t>
      </w:r>
      <w:r>
        <w:rPr>
          <w:rFonts w:ascii="Calibri"/>
          <w:i/>
          <w:sz w:val="20"/>
          <w:vertAlign w:val="baseline"/>
        </w:rPr>
        <w:t>A Friedman Doctrine: The Social Responsibility of Business is to Increase Its</w:t>
      </w:r>
      <w:r>
        <w:rPr>
          <w:rFonts w:ascii="Calibri"/>
          <w:i/>
          <w:spacing w:val="40"/>
          <w:sz w:val="20"/>
          <w:vertAlign w:val="baseline"/>
        </w:rPr>
        <w:t> </w:t>
      </w:r>
      <w:r>
        <w:rPr>
          <w:rFonts w:ascii="Calibri"/>
          <w:i/>
          <w:sz w:val="20"/>
          <w:vertAlign w:val="baseline"/>
        </w:rPr>
        <w:t>Profits. </w:t>
      </w:r>
      <w:r>
        <w:rPr>
          <w:rFonts w:ascii="Calibri"/>
          <w:sz w:val="20"/>
          <w:vertAlign w:val="baseline"/>
        </w:rPr>
        <w:t>New York Times Magazine, September 13, 1970 atp.33.Cited in Grossman, A.H. (2005).Refining the Role of the Corporation: The Impact of Corporate Social Responsibility on Shareholder Primacy Theory</w:t>
      </w:r>
      <w:r>
        <w:rPr>
          <w:rFonts w:ascii="Calibri"/>
          <w:i/>
          <w:sz w:val="20"/>
          <w:vertAlign w:val="baseline"/>
        </w:rPr>
        <w:t>.Deakin Law Review</w:t>
      </w:r>
      <w:r>
        <w:rPr>
          <w:rFonts w:ascii="Calibri"/>
          <w:sz w:val="20"/>
          <w:vertAlign w:val="baseline"/>
        </w:rPr>
        <w:t>, 10(2): 572-596, at p.574.</w:t>
      </w:r>
    </w:p>
    <w:p>
      <w:pPr>
        <w:spacing w:after="0"/>
        <w:jc w:val="both"/>
        <w:rPr>
          <w:rFonts w:ascii="Calibri"/>
          <w:sz w:val="20"/>
        </w:rPr>
        <w:sectPr>
          <w:pgSz w:w="11910" w:h="16840"/>
          <w:pgMar w:header="0" w:footer="1003" w:top="1280" w:bottom="1200" w:left="1680" w:right="1180"/>
        </w:sectPr>
      </w:pPr>
    </w:p>
    <w:p>
      <w:pPr>
        <w:spacing w:line="240" w:lineRule="auto" w:before="70"/>
        <w:ind w:left="2007" w:right="1889" w:firstLine="0"/>
        <w:jc w:val="both"/>
        <w:rPr>
          <w:i/>
          <w:sz w:val="24"/>
        </w:rPr>
      </w:pPr>
      <w:r>
        <w:rPr>
          <w:i/>
          <w:sz w:val="24"/>
        </w:rPr>
        <w:t>monies except in the interests of increasing shareholder wealth…any stockholder is free to use his dividends to support any worthy causes he may choose, but the</w:t>
      </w:r>
      <w:r>
        <w:rPr>
          <w:i/>
          <w:spacing w:val="-2"/>
          <w:sz w:val="24"/>
        </w:rPr>
        <w:t> </w:t>
      </w:r>
      <w:r>
        <w:rPr>
          <w:i/>
          <w:sz w:val="24"/>
        </w:rPr>
        <w:t>choice should</w:t>
      </w:r>
      <w:r>
        <w:rPr>
          <w:i/>
          <w:spacing w:val="-1"/>
          <w:sz w:val="24"/>
        </w:rPr>
        <w:t> </w:t>
      </w:r>
      <w:r>
        <w:rPr>
          <w:i/>
          <w:sz w:val="24"/>
        </w:rPr>
        <w:t>not</w:t>
      </w:r>
      <w:r>
        <w:rPr>
          <w:i/>
          <w:spacing w:val="-1"/>
          <w:sz w:val="24"/>
        </w:rPr>
        <w:t> </w:t>
      </w:r>
      <w:r>
        <w:rPr>
          <w:i/>
          <w:sz w:val="24"/>
        </w:rPr>
        <w:t>be made</w:t>
      </w:r>
      <w:r>
        <w:rPr>
          <w:i/>
          <w:spacing w:val="-3"/>
          <w:sz w:val="24"/>
        </w:rPr>
        <w:t> </w:t>
      </w:r>
      <w:r>
        <w:rPr>
          <w:i/>
          <w:sz w:val="24"/>
        </w:rPr>
        <w:t>for</w:t>
      </w:r>
      <w:r>
        <w:rPr>
          <w:i/>
          <w:spacing w:val="-3"/>
          <w:sz w:val="24"/>
        </w:rPr>
        <w:t> </w:t>
      </w:r>
      <w:r>
        <w:rPr>
          <w:i/>
          <w:sz w:val="24"/>
        </w:rPr>
        <w:t>him by a company president who may not share either his values or priorities.</w:t>
      </w:r>
      <w:r>
        <w:rPr>
          <w:i/>
          <w:sz w:val="24"/>
          <w:vertAlign w:val="superscript"/>
        </w:rPr>
        <w:t>141</w:t>
      </w:r>
    </w:p>
    <w:p>
      <w:pPr>
        <w:pStyle w:val="BodyText"/>
        <w:spacing w:before="3"/>
        <w:ind w:left="0"/>
        <w:rPr>
          <w:i/>
        </w:rPr>
      </w:pPr>
    </w:p>
    <w:p>
      <w:pPr>
        <w:pStyle w:val="BodyText"/>
        <w:spacing w:line="480" w:lineRule="auto"/>
        <w:ind w:right="181" w:firstLine="720"/>
        <w:jc w:val="both"/>
      </w:pPr>
      <w:r>
        <w:rPr/>
        <w:t>Proponents of CSR and stakeholder management theory, in contrast, find fault with the proposition that corporations owe no societal obligations or that shareholders should</w:t>
      </w:r>
      <w:r>
        <w:rPr>
          <w:spacing w:val="-3"/>
        </w:rPr>
        <w:t> </w:t>
      </w:r>
      <w:r>
        <w:rPr/>
        <w:t>be</w:t>
      </w:r>
      <w:r>
        <w:rPr>
          <w:spacing w:val="-7"/>
        </w:rPr>
        <w:t> </w:t>
      </w:r>
      <w:r>
        <w:rPr/>
        <w:t>given</w:t>
      </w:r>
      <w:r>
        <w:rPr>
          <w:spacing w:val="-10"/>
        </w:rPr>
        <w:t> </w:t>
      </w:r>
      <w:r>
        <w:rPr/>
        <w:t>the</w:t>
      </w:r>
      <w:r>
        <w:rPr>
          <w:spacing w:val="-4"/>
        </w:rPr>
        <w:t> </w:t>
      </w:r>
      <w:r>
        <w:rPr/>
        <w:t>most importance</w:t>
      </w:r>
      <w:r>
        <w:rPr>
          <w:spacing w:val="-4"/>
        </w:rPr>
        <w:t> </w:t>
      </w:r>
      <w:r>
        <w:rPr/>
        <w:t>in</w:t>
      </w:r>
      <w:r>
        <w:rPr>
          <w:spacing w:val="-7"/>
        </w:rPr>
        <w:t> </w:t>
      </w:r>
      <w:r>
        <w:rPr/>
        <w:t>managerial</w:t>
      </w:r>
      <w:r>
        <w:rPr>
          <w:spacing w:val="-10"/>
        </w:rPr>
        <w:t> </w:t>
      </w:r>
      <w:r>
        <w:rPr/>
        <w:t>decisions</w:t>
      </w:r>
      <w:r>
        <w:rPr>
          <w:spacing w:val="-5"/>
        </w:rPr>
        <w:t> </w:t>
      </w:r>
      <w:r>
        <w:rPr/>
        <w:t>because</w:t>
      </w:r>
      <w:r>
        <w:rPr>
          <w:spacing w:val="-7"/>
        </w:rPr>
        <w:t> </w:t>
      </w:r>
      <w:r>
        <w:rPr/>
        <w:t>they</w:t>
      </w:r>
      <w:r>
        <w:rPr>
          <w:spacing w:val="-10"/>
        </w:rPr>
        <w:t> </w:t>
      </w:r>
      <w:r>
        <w:rPr/>
        <w:t>are</w:t>
      </w:r>
      <w:r>
        <w:rPr>
          <w:spacing w:val="-4"/>
        </w:rPr>
        <w:t> </w:t>
      </w:r>
      <w:r>
        <w:rPr/>
        <w:t>―the</w:t>
      </w:r>
      <w:r>
        <w:rPr>
          <w:spacing w:val="-7"/>
        </w:rPr>
        <w:t> </w:t>
      </w:r>
      <w:r>
        <w:rPr/>
        <w:t>only constituency of the corporation with a long-term interest in its survival‖,</w:t>
      </w:r>
      <w:r>
        <w:rPr>
          <w:vertAlign w:val="superscript"/>
        </w:rPr>
        <w:t>142</w:t>
      </w:r>
      <w:r>
        <w:rPr>
          <w:vertAlign w:val="baseline"/>
        </w:rPr>
        <w:t> since shareholders can easily sell their shares at any time and reinvest in another company. In contrast, employees—particularly the ones that have acquired firm-specific skills— would find it relatively more difficult to change employers; customers could lose an essential source of supply and local communities would be varyingly adversely affected if a company ceases to exist.</w:t>
      </w:r>
      <w:r>
        <w:rPr>
          <w:vertAlign w:val="superscript"/>
        </w:rPr>
        <w:t>143</w:t>
      </w:r>
    </w:p>
    <w:p>
      <w:pPr>
        <w:pStyle w:val="BodyText"/>
        <w:spacing w:line="480" w:lineRule="auto" w:before="2"/>
        <w:ind w:right="181" w:firstLine="720"/>
        <w:jc w:val="both"/>
      </w:pPr>
      <w:r>
        <w:rPr/>
        <w:t>However, stakeholder theory has been criticised not only for tampering with the rights of the capital owner, but also for its inability to provide some guide as to</w:t>
      </w:r>
      <w:r>
        <w:rPr>
          <w:spacing w:val="40"/>
        </w:rPr>
        <w:t> </w:t>
      </w:r>
      <w:r>
        <w:rPr/>
        <w:t>balancing competing interests.</w:t>
      </w:r>
      <w:r>
        <w:rPr>
          <w:vertAlign w:val="superscript"/>
        </w:rPr>
        <w:t>144</w:t>
      </w:r>
      <w:r>
        <w:rPr>
          <w:vertAlign w:val="baseline"/>
        </w:rPr>
        <w:t> Some of its proponents suggest that where interests conflict, the executive must find a way to rethink the problems so that the various adverse interests can go together and so that as much value as possible is created for all stakeholders.</w:t>
      </w:r>
      <w:r>
        <w:rPr>
          <w:vertAlign w:val="superscript"/>
        </w:rPr>
        <w:t>145</w:t>
      </w:r>
      <w:r>
        <w:rPr>
          <w:vertAlign w:val="baseline"/>
        </w:rPr>
        <w:t> Thus, they admit that it is not always going to be easy to accommodate all stakeholder interests.</w:t>
      </w:r>
    </w:p>
    <w:p>
      <w:pPr>
        <w:pStyle w:val="BodyText"/>
        <w:spacing w:line="480" w:lineRule="auto" w:before="1" w:after="4"/>
        <w:ind w:right="188" w:firstLine="720"/>
        <w:jc w:val="both"/>
      </w:pPr>
      <w:r>
        <w:rPr/>
        <w:t>Proponents of SPN argue that corporate law does not prevent directors from considering the interests of other stakeholders apart from the shareholders. But stakeholder</w:t>
      </w:r>
      <w:r>
        <w:rPr>
          <w:spacing w:val="-1"/>
        </w:rPr>
        <w:t> </w:t>
      </w:r>
      <w:r>
        <w:rPr/>
        <w:t>advocates</w:t>
      </w:r>
      <w:r>
        <w:rPr>
          <w:spacing w:val="-1"/>
        </w:rPr>
        <w:t> </w:t>
      </w:r>
      <w:r>
        <w:rPr/>
        <w:t>believe that,</w:t>
      </w:r>
      <w:r>
        <w:rPr>
          <w:spacing w:val="3"/>
        </w:rPr>
        <w:t> </w:t>
      </w:r>
      <w:r>
        <w:rPr/>
        <w:t>although</w:t>
      </w:r>
      <w:r>
        <w:rPr>
          <w:spacing w:val="-4"/>
        </w:rPr>
        <w:t> </w:t>
      </w:r>
      <w:r>
        <w:rPr/>
        <w:t>the</w:t>
      </w:r>
      <w:r>
        <w:rPr>
          <w:spacing w:val="-1"/>
        </w:rPr>
        <w:t> </w:t>
      </w:r>
      <w:r>
        <w:rPr/>
        <w:t>discretion</w:t>
      </w:r>
      <w:r>
        <w:rPr>
          <w:spacing w:val="-4"/>
        </w:rPr>
        <w:t> </w:t>
      </w:r>
      <w:r>
        <w:rPr/>
        <w:t>of</w:t>
      </w:r>
      <w:r>
        <w:rPr>
          <w:spacing w:val="-7"/>
        </w:rPr>
        <w:t> </w:t>
      </w:r>
      <w:r>
        <w:rPr/>
        <w:t>decision-making</w:t>
      </w:r>
      <w:r>
        <w:rPr>
          <w:spacing w:val="5"/>
        </w:rPr>
        <w:t> </w:t>
      </w:r>
      <w:r>
        <w:rPr/>
        <w:t>should</w:t>
      </w:r>
      <w:r>
        <w:rPr>
          <w:spacing w:val="5"/>
        </w:rPr>
        <w:t> </w:t>
      </w:r>
      <w:r>
        <w:rPr>
          <w:spacing w:val="-5"/>
        </w:rPr>
        <w:t>lie</w:t>
      </w:r>
    </w:p>
    <w:p>
      <w:pPr>
        <w:pStyle w:val="BodyText"/>
        <w:spacing w:line="20" w:lineRule="exact"/>
        <w:rPr>
          <w:sz w:val="2"/>
        </w:rPr>
      </w:pPr>
      <w:r>
        <w:rPr>
          <w:sz w:val="2"/>
        </w:rPr>
        <mc:AlternateContent>
          <mc:Choice Requires="wps">
            <w:drawing>
              <wp:inline distT="0" distB="0" distL="0" distR="0">
                <wp:extent cx="1829435" cy="9525"/>
                <wp:effectExtent l="0" t="0" r="0" b="0"/>
                <wp:docPr id="138" name="Group 138"/>
                <wp:cNvGraphicFramePr>
                  <a:graphicFrameLocks/>
                </wp:cNvGraphicFramePr>
                <a:graphic>
                  <a:graphicData uri="http://schemas.microsoft.com/office/word/2010/wordprocessingGroup">
                    <wpg:wgp>
                      <wpg:cNvPr id="138" name="Group 138"/>
                      <wpg:cNvGrpSpPr/>
                      <wpg:grpSpPr>
                        <a:xfrm>
                          <a:off x="0" y="0"/>
                          <a:ext cx="1829435" cy="9525"/>
                          <a:chExt cx="1829435" cy="9525"/>
                        </a:xfrm>
                      </wpg:grpSpPr>
                      <wps:wsp>
                        <wps:cNvPr id="139" name="Graphic 13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93" coordorigin="0,0" coordsize="2881,15">
                <v:rect style="position:absolute;left:0;top:0;width:2881;height:15" id="docshape94" filled="true" fillcolor="#000000" stroked="false">
                  <v:fill type="solid"/>
                </v:rect>
              </v:group>
            </w:pict>
          </mc:Fallback>
        </mc:AlternateContent>
      </w:r>
      <w:r>
        <w:rPr>
          <w:sz w:val="2"/>
        </w:rPr>
      </w:r>
    </w:p>
    <w:p>
      <w:pPr>
        <w:spacing w:before="96"/>
        <w:ind w:left="308" w:right="0" w:firstLine="0"/>
        <w:jc w:val="left"/>
        <w:rPr>
          <w:rFonts w:ascii="Calibri"/>
          <w:sz w:val="20"/>
        </w:rPr>
      </w:pPr>
      <w:r>
        <w:rPr>
          <w:rFonts w:ascii="Calibri"/>
          <w:sz w:val="20"/>
          <w:vertAlign w:val="superscript"/>
        </w:rPr>
        <w:t>141</w:t>
      </w:r>
      <w:r>
        <w:rPr>
          <w:rFonts w:ascii="Calibri"/>
          <w:spacing w:val="4"/>
          <w:sz w:val="20"/>
          <w:vertAlign w:val="baseline"/>
        </w:rPr>
        <w:t> </w:t>
      </w:r>
      <w:r>
        <w:rPr>
          <w:rFonts w:ascii="Calibri"/>
          <w:spacing w:val="-4"/>
          <w:sz w:val="20"/>
          <w:vertAlign w:val="baseline"/>
        </w:rPr>
        <w:t>Ibid.</w:t>
      </w:r>
    </w:p>
    <w:p>
      <w:pPr>
        <w:spacing w:before="2"/>
        <w:ind w:left="308" w:right="0" w:firstLine="0"/>
        <w:jc w:val="left"/>
        <w:rPr>
          <w:rFonts w:ascii="Calibri"/>
          <w:sz w:val="20"/>
        </w:rPr>
      </w:pPr>
      <w:r>
        <w:rPr>
          <w:rFonts w:ascii="Calibri"/>
          <w:sz w:val="20"/>
          <w:vertAlign w:val="superscript"/>
        </w:rPr>
        <w:t>142</w:t>
      </w:r>
      <w:r>
        <w:rPr>
          <w:rFonts w:ascii="Calibri"/>
          <w:sz w:val="20"/>
          <w:vertAlign w:val="baseline"/>
        </w:rPr>
        <w:t>Jensen,</w:t>
      </w:r>
      <w:r>
        <w:rPr>
          <w:rFonts w:ascii="Calibri"/>
          <w:spacing w:val="-7"/>
          <w:sz w:val="20"/>
          <w:vertAlign w:val="baseline"/>
        </w:rPr>
        <w:t> </w:t>
      </w:r>
      <w:r>
        <w:rPr>
          <w:rFonts w:ascii="Calibri"/>
          <w:sz w:val="20"/>
          <w:vertAlign w:val="baseline"/>
        </w:rPr>
        <w:t>M.C.</w:t>
      </w:r>
      <w:r>
        <w:rPr>
          <w:rFonts w:ascii="Calibri"/>
          <w:spacing w:val="-2"/>
          <w:sz w:val="20"/>
          <w:vertAlign w:val="baseline"/>
        </w:rPr>
        <w:t> </w:t>
      </w:r>
      <w:r>
        <w:rPr>
          <w:rFonts w:ascii="Calibri"/>
          <w:sz w:val="20"/>
          <w:vertAlign w:val="baseline"/>
        </w:rPr>
        <w:t>op.cit.at</w:t>
      </w:r>
      <w:r>
        <w:rPr>
          <w:rFonts w:ascii="Calibri"/>
          <w:spacing w:val="-9"/>
          <w:sz w:val="20"/>
          <w:vertAlign w:val="baseline"/>
        </w:rPr>
        <w:t> </w:t>
      </w:r>
      <w:r>
        <w:rPr>
          <w:rFonts w:ascii="Calibri"/>
          <w:spacing w:val="-4"/>
          <w:sz w:val="20"/>
          <w:vertAlign w:val="baseline"/>
        </w:rPr>
        <w:t>187.</w:t>
      </w:r>
    </w:p>
    <w:p>
      <w:pPr>
        <w:spacing w:before="0"/>
        <w:ind w:left="308" w:right="0" w:firstLine="0"/>
        <w:jc w:val="left"/>
        <w:rPr>
          <w:rFonts w:ascii="Calibri"/>
          <w:sz w:val="20"/>
        </w:rPr>
      </w:pPr>
      <w:r>
        <w:rPr>
          <w:rFonts w:ascii="Calibri"/>
          <w:sz w:val="20"/>
          <w:vertAlign w:val="superscript"/>
        </w:rPr>
        <w:t>143</w:t>
      </w:r>
      <w:r>
        <w:rPr>
          <w:rFonts w:ascii="Calibri"/>
          <w:sz w:val="20"/>
          <w:vertAlign w:val="baseline"/>
        </w:rPr>
        <w:t> Freeman</w:t>
      </w:r>
      <w:r>
        <w:rPr>
          <w:rFonts w:ascii="Calibri"/>
          <w:spacing w:val="-7"/>
          <w:sz w:val="20"/>
          <w:vertAlign w:val="baseline"/>
        </w:rPr>
        <w:t> </w:t>
      </w:r>
      <w:r>
        <w:rPr>
          <w:rFonts w:ascii="Calibri"/>
          <w:i/>
          <w:sz w:val="20"/>
          <w:vertAlign w:val="baseline"/>
        </w:rPr>
        <w:t>et</w:t>
      </w:r>
      <w:r>
        <w:rPr>
          <w:rFonts w:ascii="Calibri"/>
          <w:i/>
          <w:spacing w:val="-6"/>
          <w:sz w:val="20"/>
          <w:vertAlign w:val="baseline"/>
        </w:rPr>
        <w:t> </w:t>
      </w:r>
      <w:r>
        <w:rPr>
          <w:rFonts w:ascii="Calibri"/>
          <w:i/>
          <w:sz w:val="20"/>
          <w:vertAlign w:val="baseline"/>
        </w:rPr>
        <w:t>al,</w:t>
      </w:r>
      <w:r>
        <w:rPr>
          <w:rFonts w:ascii="Calibri"/>
          <w:i/>
          <w:spacing w:val="-3"/>
          <w:sz w:val="20"/>
          <w:vertAlign w:val="baseline"/>
        </w:rPr>
        <w:t> </w:t>
      </w:r>
      <w:r>
        <w:rPr>
          <w:rFonts w:ascii="Calibri"/>
          <w:sz w:val="20"/>
          <w:vertAlign w:val="baseline"/>
        </w:rPr>
        <w:t>op.cit. at </w:t>
      </w:r>
      <w:r>
        <w:rPr>
          <w:rFonts w:ascii="Calibri"/>
          <w:spacing w:val="-4"/>
          <w:sz w:val="20"/>
          <w:vertAlign w:val="baseline"/>
        </w:rPr>
        <w:t>129.</w:t>
      </w:r>
    </w:p>
    <w:p>
      <w:pPr>
        <w:spacing w:before="1"/>
        <w:ind w:left="308" w:right="0" w:firstLine="0"/>
        <w:jc w:val="left"/>
        <w:rPr>
          <w:rFonts w:ascii="Calibri" w:hAnsi="Calibri"/>
          <w:sz w:val="20"/>
        </w:rPr>
      </w:pPr>
      <w:r>
        <w:rPr>
          <w:rFonts w:ascii="Calibri" w:hAnsi="Calibri"/>
          <w:sz w:val="20"/>
          <w:vertAlign w:val="superscript"/>
        </w:rPr>
        <w:t>144</w:t>
      </w:r>
      <w:r>
        <w:rPr>
          <w:rFonts w:ascii="Calibri" w:hAnsi="Calibri"/>
          <w:sz w:val="20"/>
          <w:vertAlign w:val="baseline"/>
        </w:rPr>
        <w:t>Keay,</w:t>
      </w:r>
      <w:r>
        <w:rPr>
          <w:rFonts w:ascii="Calibri" w:hAnsi="Calibri"/>
          <w:spacing w:val="22"/>
          <w:sz w:val="20"/>
          <w:vertAlign w:val="baseline"/>
        </w:rPr>
        <w:t> </w:t>
      </w:r>
      <w:r>
        <w:rPr>
          <w:rFonts w:ascii="Calibri" w:hAnsi="Calibri"/>
          <w:sz w:val="20"/>
          <w:vertAlign w:val="baseline"/>
        </w:rPr>
        <w:t>A.</w:t>
      </w:r>
      <w:r>
        <w:rPr>
          <w:rFonts w:ascii="Calibri" w:hAnsi="Calibri"/>
          <w:spacing w:val="22"/>
          <w:sz w:val="20"/>
          <w:vertAlign w:val="baseline"/>
        </w:rPr>
        <w:t> </w:t>
      </w:r>
      <w:r>
        <w:rPr>
          <w:rFonts w:ascii="Calibri" w:hAnsi="Calibri"/>
          <w:sz w:val="20"/>
          <w:vertAlign w:val="baseline"/>
        </w:rPr>
        <w:t>(2007).Tackling</w:t>
      </w:r>
      <w:r>
        <w:rPr>
          <w:rFonts w:ascii="Calibri" w:hAnsi="Calibri"/>
          <w:spacing w:val="26"/>
          <w:sz w:val="20"/>
          <w:vertAlign w:val="baseline"/>
        </w:rPr>
        <w:t> </w:t>
      </w:r>
      <w:r>
        <w:rPr>
          <w:rFonts w:ascii="Calibri" w:hAnsi="Calibri"/>
          <w:sz w:val="20"/>
          <w:vertAlign w:val="baseline"/>
        </w:rPr>
        <w:t>the Issue</w:t>
      </w:r>
      <w:r>
        <w:rPr>
          <w:rFonts w:ascii="Calibri" w:hAnsi="Calibri"/>
          <w:spacing w:val="25"/>
          <w:sz w:val="20"/>
          <w:vertAlign w:val="baseline"/>
        </w:rPr>
        <w:t> </w:t>
      </w:r>
      <w:r>
        <w:rPr>
          <w:rFonts w:ascii="Calibri" w:hAnsi="Calibri"/>
          <w:sz w:val="20"/>
          <w:vertAlign w:val="baseline"/>
        </w:rPr>
        <w:t>of the Corporate Objective:</w:t>
      </w:r>
      <w:r>
        <w:rPr>
          <w:rFonts w:ascii="Calibri" w:hAnsi="Calibri"/>
          <w:spacing w:val="24"/>
          <w:sz w:val="20"/>
          <w:vertAlign w:val="baseline"/>
        </w:rPr>
        <w:t> </w:t>
      </w:r>
      <w:r>
        <w:rPr>
          <w:rFonts w:ascii="Calibri" w:hAnsi="Calibri"/>
          <w:sz w:val="20"/>
          <w:vertAlign w:val="baseline"/>
        </w:rPr>
        <w:t>An Analysis of</w:t>
      </w:r>
      <w:r>
        <w:rPr>
          <w:rFonts w:ascii="Calibri" w:hAnsi="Calibri"/>
          <w:spacing w:val="26"/>
          <w:sz w:val="20"/>
          <w:vertAlign w:val="baseline"/>
        </w:rPr>
        <w:t> </w:t>
      </w:r>
      <w:r>
        <w:rPr>
          <w:rFonts w:ascii="Calibri" w:hAnsi="Calibri"/>
          <w:sz w:val="20"/>
          <w:vertAlign w:val="baseline"/>
        </w:rPr>
        <w:t>the</w:t>
      </w:r>
      <w:r>
        <w:rPr>
          <w:rFonts w:ascii="Calibri" w:hAnsi="Calibri"/>
          <w:spacing w:val="25"/>
          <w:sz w:val="20"/>
          <w:vertAlign w:val="baseline"/>
        </w:rPr>
        <w:t> </w:t>
      </w:r>
      <w:r>
        <w:rPr>
          <w:rFonts w:ascii="Calibri" w:hAnsi="Calibri"/>
          <w:sz w:val="20"/>
          <w:vertAlign w:val="baseline"/>
        </w:rPr>
        <w:t>United Kingdom’s ‘Enlightened Shareholder Value Approach.</w:t>
      </w:r>
      <w:r>
        <w:rPr>
          <w:rFonts w:ascii="Calibri" w:hAnsi="Calibri"/>
          <w:i/>
          <w:sz w:val="20"/>
          <w:vertAlign w:val="baseline"/>
        </w:rPr>
        <w:t>Sydney Law Review, </w:t>
      </w:r>
      <w:r>
        <w:rPr>
          <w:rFonts w:ascii="Calibri" w:hAnsi="Calibri"/>
          <w:sz w:val="20"/>
          <w:vertAlign w:val="baseline"/>
        </w:rPr>
        <w:t>29: 577-612, at p.611.</w:t>
      </w:r>
    </w:p>
    <w:p>
      <w:pPr>
        <w:spacing w:before="1"/>
        <w:ind w:left="308" w:right="0" w:firstLine="0"/>
        <w:jc w:val="left"/>
        <w:rPr>
          <w:rFonts w:ascii="Calibri"/>
          <w:sz w:val="20"/>
        </w:rPr>
      </w:pPr>
      <w:r>
        <w:rPr>
          <w:rFonts w:ascii="Calibri"/>
          <w:sz w:val="20"/>
          <w:vertAlign w:val="superscript"/>
        </w:rPr>
        <w:t>145</w:t>
      </w:r>
      <w:r>
        <w:rPr>
          <w:rFonts w:ascii="Calibri"/>
          <w:sz w:val="20"/>
          <w:vertAlign w:val="baseline"/>
        </w:rPr>
        <w:t>Freeman,</w:t>
      </w:r>
      <w:r>
        <w:rPr>
          <w:rFonts w:ascii="Calibri"/>
          <w:spacing w:val="-4"/>
          <w:sz w:val="20"/>
          <w:vertAlign w:val="baseline"/>
        </w:rPr>
        <w:t> </w:t>
      </w:r>
      <w:r>
        <w:rPr>
          <w:rFonts w:ascii="Calibri"/>
          <w:i/>
          <w:sz w:val="20"/>
          <w:vertAlign w:val="baseline"/>
        </w:rPr>
        <w:t>et</w:t>
      </w:r>
      <w:r>
        <w:rPr>
          <w:rFonts w:ascii="Calibri"/>
          <w:i/>
          <w:spacing w:val="-7"/>
          <w:sz w:val="20"/>
          <w:vertAlign w:val="baseline"/>
        </w:rPr>
        <w:t> </w:t>
      </w:r>
      <w:r>
        <w:rPr>
          <w:rFonts w:ascii="Calibri"/>
          <w:i/>
          <w:sz w:val="20"/>
          <w:vertAlign w:val="baseline"/>
        </w:rPr>
        <w:t>al</w:t>
      </w:r>
      <w:r>
        <w:rPr>
          <w:rFonts w:ascii="Calibri"/>
          <w:sz w:val="20"/>
          <w:vertAlign w:val="baseline"/>
        </w:rPr>
        <w:t>,</w:t>
      </w:r>
      <w:r>
        <w:rPr>
          <w:rFonts w:ascii="Calibri"/>
          <w:spacing w:val="-4"/>
          <w:sz w:val="20"/>
          <w:vertAlign w:val="baseline"/>
        </w:rPr>
        <w:t> </w:t>
      </w:r>
      <w:r>
        <w:rPr>
          <w:rFonts w:ascii="Calibri"/>
          <w:sz w:val="20"/>
          <w:vertAlign w:val="baseline"/>
        </w:rPr>
        <w:t>op.cit. at</w:t>
      </w:r>
      <w:r>
        <w:rPr>
          <w:rFonts w:ascii="Calibri"/>
          <w:spacing w:val="-1"/>
          <w:sz w:val="20"/>
          <w:vertAlign w:val="baseline"/>
        </w:rPr>
        <w:t> </w:t>
      </w:r>
      <w:r>
        <w:rPr>
          <w:rFonts w:ascii="Calibri"/>
          <w:spacing w:val="-5"/>
          <w:sz w:val="20"/>
          <w:vertAlign w:val="baseline"/>
        </w:rPr>
        <w:t>28</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187"/>
        <w:jc w:val="both"/>
      </w:pPr>
      <w:r>
        <w:rPr/>
        <w:t>with management together with stakeholder representatives,</w:t>
      </w:r>
      <w:r>
        <w:rPr>
          <w:vertAlign w:val="superscript"/>
        </w:rPr>
        <w:t>146</w:t>
      </w:r>
      <w:r>
        <w:rPr>
          <w:vertAlign w:val="baseline"/>
        </w:rPr>
        <w:t> unless these representatives are given real power, such as an equal right to vote, ultimately it would still result in a situation of shareholder primacy, even where the decision is informed by the different interests in a company.</w:t>
      </w:r>
      <w:r>
        <w:rPr>
          <w:vertAlign w:val="superscript"/>
        </w:rPr>
        <w:t>147</w:t>
      </w:r>
    </w:p>
    <w:p>
      <w:pPr>
        <w:pStyle w:val="BodyText"/>
        <w:spacing w:line="480" w:lineRule="auto"/>
        <w:ind w:right="185" w:firstLine="720"/>
        <w:jc w:val="both"/>
      </w:pPr>
      <w:r>
        <w:rPr/>
        <w:t>In other words, SPN theorists do not deny that a company should consider the interests of its stakeholders. However, it should consider them only to the extent that they</w:t>
      </w:r>
      <w:r>
        <w:rPr>
          <w:spacing w:val="-5"/>
        </w:rPr>
        <w:t> </w:t>
      </w:r>
      <w:r>
        <w:rPr/>
        <w:t>further its</w:t>
      </w:r>
      <w:r>
        <w:rPr>
          <w:spacing w:val="-2"/>
        </w:rPr>
        <w:t> </w:t>
      </w:r>
      <w:r>
        <w:rPr/>
        <w:t>purpose</w:t>
      </w:r>
      <w:r>
        <w:rPr>
          <w:spacing w:val="-1"/>
        </w:rPr>
        <w:t> </w:t>
      </w:r>
      <w:r>
        <w:rPr/>
        <w:t>or interests:</w:t>
      </w:r>
      <w:r>
        <w:rPr>
          <w:vertAlign w:val="superscript"/>
        </w:rPr>
        <w:t>148</w:t>
      </w:r>
      <w:r>
        <w:rPr>
          <w:vertAlign w:val="baseline"/>
        </w:rPr>
        <w:t> essentially as a means</w:t>
      </w:r>
      <w:r>
        <w:rPr>
          <w:spacing w:val="-2"/>
          <w:vertAlign w:val="baseline"/>
        </w:rPr>
        <w:t> </w:t>
      </w:r>
      <w:r>
        <w:rPr>
          <w:vertAlign w:val="baseline"/>
        </w:rPr>
        <w:t>to an</w:t>
      </w:r>
      <w:r>
        <w:rPr>
          <w:spacing w:val="-5"/>
          <w:vertAlign w:val="baseline"/>
        </w:rPr>
        <w:t> </w:t>
      </w:r>
      <w:r>
        <w:rPr>
          <w:vertAlign w:val="baseline"/>
        </w:rPr>
        <w:t>end and not an</w:t>
      </w:r>
      <w:r>
        <w:rPr>
          <w:spacing w:val="-5"/>
          <w:vertAlign w:val="baseline"/>
        </w:rPr>
        <w:t> </w:t>
      </w:r>
      <w:r>
        <w:rPr>
          <w:vertAlign w:val="baseline"/>
        </w:rPr>
        <w:t>end in itself.</w:t>
      </w:r>
      <w:r>
        <w:rPr>
          <w:spacing w:val="23"/>
          <w:vertAlign w:val="baseline"/>
        </w:rPr>
        <w:t> </w:t>
      </w:r>
      <w:r>
        <w:rPr>
          <w:vertAlign w:val="baseline"/>
        </w:rPr>
        <w:t>But</w:t>
      </w:r>
      <w:r>
        <w:rPr>
          <w:spacing w:val="16"/>
          <w:vertAlign w:val="baseline"/>
        </w:rPr>
        <w:t> </w:t>
      </w:r>
      <w:r>
        <w:rPr>
          <w:vertAlign w:val="baseline"/>
        </w:rPr>
        <w:t>this</w:t>
      </w:r>
      <w:r>
        <w:rPr>
          <w:spacing w:val="19"/>
          <w:vertAlign w:val="baseline"/>
        </w:rPr>
        <w:t> </w:t>
      </w:r>
      <w:r>
        <w:rPr>
          <w:vertAlign w:val="baseline"/>
        </w:rPr>
        <w:t>is precisely what</w:t>
      </w:r>
      <w:r>
        <w:rPr>
          <w:spacing w:val="21"/>
          <w:vertAlign w:val="baseline"/>
        </w:rPr>
        <w:t> </w:t>
      </w:r>
      <w:r>
        <w:rPr>
          <w:vertAlign w:val="baseline"/>
        </w:rPr>
        <w:t>stakeholder</w:t>
      </w:r>
      <w:r>
        <w:rPr>
          <w:spacing w:val="17"/>
          <w:vertAlign w:val="baseline"/>
        </w:rPr>
        <w:t> </w:t>
      </w:r>
      <w:r>
        <w:rPr>
          <w:vertAlign w:val="baseline"/>
        </w:rPr>
        <w:t>advocates resent.</w:t>
      </w:r>
      <w:r>
        <w:rPr>
          <w:spacing w:val="18"/>
          <w:vertAlign w:val="baseline"/>
        </w:rPr>
        <w:t> </w:t>
      </w:r>
      <w:r>
        <w:rPr>
          <w:vertAlign w:val="baseline"/>
        </w:rPr>
        <w:t>Freeman</w:t>
      </w:r>
      <w:r>
        <w:rPr>
          <w:spacing w:val="16"/>
          <w:vertAlign w:val="baseline"/>
        </w:rPr>
        <w:t> </w:t>
      </w:r>
      <w:r>
        <w:rPr>
          <w:vertAlign w:val="baseline"/>
        </w:rPr>
        <w:t>is adamant</w:t>
      </w:r>
      <w:r>
        <w:rPr>
          <w:spacing w:val="21"/>
          <w:vertAlign w:val="baseline"/>
        </w:rPr>
        <w:t> </w:t>
      </w:r>
      <w:r>
        <w:rPr>
          <w:vertAlign w:val="baseline"/>
        </w:rPr>
        <w:t>that</w:t>
      </w:r>
    </w:p>
    <w:p>
      <w:pPr>
        <w:pStyle w:val="BodyText"/>
        <w:spacing w:line="480" w:lineRule="auto" w:before="2"/>
        <w:ind w:right="186"/>
        <w:jc w:val="both"/>
      </w:pPr>
      <w:r>
        <w:rPr/>
        <w:t>―each of these stakeholder groups has a right not to be treated as a means to some end and therefore must participate in determining the future direction of the firm in which they have a stake.‖</w:t>
      </w:r>
      <w:r>
        <w:rPr>
          <w:vertAlign w:val="superscript"/>
        </w:rPr>
        <w:t>149</w:t>
      </w:r>
      <w:r>
        <w:rPr>
          <w:vertAlign w:val="baseline"/>
        </w:rPr>
        <w:t> Companies in some jurisdictions, particularly Continental Europe and Japan, have a two-tier board system comprising employees and management. However, the former is at most merely advisory.</w:t>
      </w:r>
      <w:r>
        <w:rPr>
          <w:vertAlign w:val="superscript"/>
        </w:rPr>
        <w:t>150</w:t>
      </w:r>
    </w:p>
    <w:p>
      <w:pPr>
        <w:pStyle w:val="BodyText"/>
        <w:spacing w:line="480" w:lineRule="auto"/>
        <w:ind w:right="183" w:firstLine="720"/>
        <w:jc w:val="both"/>
      </w:pPr>
      <w:r>
        <w:rPr/>
        <w:t>In</w:t>
      </w:r>
      <w:r>
        <w:rPr>
          <w:spacing w:val="-1"/>
        </w:rPr>
        <w:t> </w:t>
      </w:r>
      <w:r>
        <w:rPr/>
        <w:t>view of</w:t>
      </w:r>
      <w:r>
        <w:rPr>
          <w:spacing w:val="-4"/>
        </w:rPr>
        <w:t> </w:t>
      </w:r>
      <w:r>
        <w:rPr/>
        <w:t>the foregoing, and considering the provisions of s. 279(3), the CAMA undoubtedly belongs to the Anglo-American jurisdiction, which supports the idea that directors should act, first and foremost, in the best interests of the company. Although subsection (4) allows other possible stakeholder interests including the company‘s employees, it is clear that the latter group has no means of enforcing that provision in view of their ouster by subsection (9). Here, one would have to agree with Ogbuanya, who dubbed the section ―a mere pious declaration.‖</w:t>
      </w:r>
      <w:r>
        <w:rPr>
          <w:vertAlign w:val="superscript"/>
        </w:rPr>
        <w:t>151</w:t>
      </w:r>
      <w:r>
        <w:rPr>
          <w:vertAlign w:val="baseline"/>
        </w:rPr>
        <w:t> While discussing a similar provision</w:t>
      </w:r>
      <w:r>
        <w:rPr>
          <w:spacing w:val="-1"/>
          <w:vertAlign w:val="baseline"/>
        </w:rPr>
        <w:t> </w:t>
      </w:r>
      <w:r>
        <w:rPr>
          <w:vertAlign w:val="baseline"/>
        </w:rPr>
        <w:t>in</w:t>
      </w:r>
      <w:r>
        <w:rPr>
          <w:spacing w:val="-6"/>
          <w:vertAlign w:val="baseline"/>
        </w:rPr>
        <w:t> </w:t>
      </w:r>
      <w:r>
        <w:rPr>
          <w:vertAlign w:val="baseline"/>
        </w:rPr>
        <w:t>s.309</w:t>
      </w:r>
      <w:r>
        <w:rPr>
          <w:spacing w:val="-1"/>
          <w:vertAlign w:val="baseline"/>
        </w:rPr>
        <w:t> </w:t>
      </w:r>
      <w:r>
        <w:rPr>
          <w:vertAlign w:val="baseline"/>
        </w:rPr>
        <w:t>of</w:t>
      </w:r>
      <w:r>
        <w:rPr>
          <w:spacing w:val="-8"/>
          <w:vertAlign w:val="baseline"/>
        </w:rPr>
        <w:t> </w:t>
      </w:r>
      <w:r>
        <w:rPr>
          <w:vertAlign w:val="baseline"/>
        </w:rPr>
        <w:t>UK‘s</w:t>
      </w:r>
      <w:r>
        <w:rPr>
          <w:spacing w:val="-3"/>
          <w:vertAlign w:val="baseline"/>
        </w:rPr>
        <w:t> </w:t>
      </w:r>
      <w:r>
        <w:rPr>
          <w:vertAlign w:val="baseline"/>
        </w:rPr>
        <w:t>Companies Act of</w:t>
      </w:r>
      <w:r>
        <w:rPr>
          <w:spacing w:val="-8"/>
          <w:vertAlign w:val="baseline"/>
        </w:rPr>
        <w:t> </w:t>
      </w:r>
      <w:r>
        <w:rPr>
          <w:vertAlign w:val="baseline"/>
        </w:rPr>
        <w:t>1985, Keay</w:t>
      </w:r>
      <w:r>
        <w:rPr>
          <w:spacing w:val="-9"/>
          <w:vertAlign w:val="baseline"/>
        </w:rPr>
        <w:t> </w:t>
      </w:r>
      <w:r>
        <w:rPr>
          <w:vertAlign w:val="baseline"/>
        </w:rPr>
        <w:t>acknowledged it was</w:t>
      </w:r>
      <w:r>
        <w:rPr>
          <w:spacing w:val="-3"/>
          <w:vertAlign w:val="baseline"/>
        </w:rPr>
        <w:t> </w:t>
      </w:r>
      <w:r>
        <w:rPr>
          <w:vertAlign w:val="baseline"/>
        </w:rPr>
        <w:t>a</w:t>
      </w:r>
      <w:r>
        <w:rPr>
          <w:spacing w:val="-2"/>
          <w:vertAlign w:val="baseline"/>
        </w:rPr>
        <w:t> </w:t>
      </w:r>
      <w:r>
        <w:rPr>
          <w:vertAlign w:val="baseline"/>
        </w:rPr>
        <w:t>―lame</w:t>
      </w:r>
    </w:p>
    <w:p>
      <w:pPr>
        <w:pStyle w:val="BodyText"/>
        <w:spacing w:before="97"/>
        <w:ind w:left="0"/>
        <w:rPr>
          <w:sz w:val="20"/>
        </w:rPr>
      </w:pPr>
      <w:r>
        <w:rPr/>
        <mc:AlternateContent>
          <mc:Choice Requires="wps">
            <w:drawing>
              <wp:anchor distT="0" distB="0" distL="0" distR="0" allowOverlap="1" layoutInCell="1" locked="0" behindDoc="1" simplePos="0" relativeHeight="487651328">
                <wp:simplePos x="0" y="0"/>
                <wp:positionH relativeFrom="page">
                  <wp:posOffset>1262481</wp:posOffset>
                </wp:positionH>
                <wp:positionV relativeFrom="paragraph">
                  <wp:posOffset>223002</wp:posOffset>
                </wp:positionV>
                <wp:extent cx="1829435" cy="9525"/>
                <wp:effectExtent l="0" t="0" r="0" b="0"/>
                <wp:wrapTopAndBottom/>
                <wp:docPr id="140" name="Graphic 140"/>
                <wp:cNvGraphicFramePr>
                  <a:graphicFrameLocks/>
                </wp:cNvGraphicFramePr>
                <a:graphic>
                  <a:graphicData uri="http://schemas.microsoft.com/office/word/2010/wordprocessingShape">
                    <wps:wsp>
                      <wps:cNvPr id="140" name="Graphic 14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59248pt;width:144.050pt;height:.71997pt;mso-position-horizontal-relative:page;mso-position-vertical-relative:paragraph;z-index:-15665152;mso-wrap-distance-left:0;mso-wrap-distance-right:0" id="docshape95" filled="true" fillcolor="#000000" stroked="false">
                <v:fill type="solid"/>
                <w10:wrap type="topAndBottom"/>
              </v:rect>
            </w:pict>
          </mc:Fallback>
        </mc:AlternateContent>
      </w:r>
    </w:p>
    <w:p>
      <w:pPr>
        <w:spacing w:line="235" w:lineRule="auto" w:before="106"/>
        <w:ind w:left="308" w:right="255" w:firstLine="0"/>
        <w:jc w:val="left"/>
        <w:rPr>
          <w:rFonts w:ascii="Calibri"/>
          <w:sz w:val="20"/>
        </w:rPr>
      </w:pPr>
      <w:r>
        <w:rPr>
          <w:rFonts w:ascii="Calibri"/>
          <w:sz w:val="20"/>
          <w:vertAlign w:val="superscript"/>
        </w:rPr>
        <w:t>146</w:t>
      </w:r>
      <w:r>
        <w:rPr>
          <w:rFonts w:ascii="Calibri"/>
          <w:sz w:val="20"/>
          <w:vertAlign w:val="baseline"/>
        </w:rPr>
        <w:t>Mele, D.</w:t>
      </w:r>
      <w:r>
        <w:rPr>
          <w:rFonts w:ascii="Calibri"/>
          <w:i/>
          <w:sz w:val="20"/>
          <w:vertAlign w:val="baseline"/>
        </w:rPr>
        <w:t>Corporate Social Responsibility Theories. </w:t>
      </w:r>
      <w:r>
        <w:rPr>
          <w:rFonts w:ascii="Calibri"/>
          <w:sz w:val="20"/>
          <w:vertAlign w:val="baseline"/>
        </w:rPr>
        <w:t>In Crane A. </w:t>
      </w:r>
      <w:r>
        <w:rPr>
          <w:rFonts w:ascii="Calibri"/>
          <w:i/>
          <w:sz w:val="20"/>
          <w:vertAlign w:val="baseline"/>
        </w:rPr>
        <w:t>et al </w:t>
      </w:r>
      <w:r>
        <w:rPr>
          <w:rFonts w:ascii="Calibri"/>
          <w:sz w:val="20"/>
          <w:vertAlign w:val="baseline"/>
        </w:rPr>
        <w:t>(Eds.) (2008).</w:t>
      </w:r>
      <w:r>
        <w:rPr>
          <w:rFonts w:ascii="Calibri"/>
          <w:sz w:val="20"/>
          <w:u w:val="single"/>
          <w:vertAlign w:val="baseline"/>
        </w:rPr>
        <w:t>The Oxford Handbook</w:t>
      </w:r>
      <w:r>
        <w:rPr>
          <w:rFonts w:ascii="Calibri"/>
          <w:sz w:val="20"/>
          <w:vertAlign w:val="baseline"/>
        </w:rPr>
        <w:t> </w:t>
      </w:r>
      <w:r>
        <w:rPr>
          <w:rFonts w:ascii="Calibri"/>
          <w:sz w:val="20"/>
          <w:u w:val="single"/>
          <w:vertAlign w:val="baseline"/>
        </w:rPr>
        <w:t>of Corporate Social Responsibility</w:t>
      </w:r>
      <w:r>
        <w:rPr>
          <w:rFonts w:ascii="Calibri"/>
          <w:sz w:val="20"/>
          <w:vertAlign w:val="baseline"/>
        </w:rPr>
        <w:t>, Oxford University Press, Oxford, 47 at 48.</w:t>
      </w:r>
    </w:p>
    <w:p>
      <w:pPr>
        <w:spacing w:before="2"/>
        <w:ind w:left="308" w:right="0" w:firstLine="0"/>
        <w:jc w:val="left"/>
        <w:rPr>
          <w:rFonts w:ascii="Calibri"/>
          <w:sz w:val="20"/>
        </w:rPr>
      </w:pPr>
      <w:r>
        <w:rPr>
          <w:rFonts w:ascii="Calibri"/>
          <w:sz w:val="20"/>
          <w:vertAlign w:val="superscript"/>
        </w:rPr>
        <w:t>147</w:t>
      </w:r>
      <w:r>
        <w:rPr>
          <w:rFonts w:ascii="Calibri"/>
          <w:sz w:val="20"/>
          <w:vertAlign w:val="baseline"/>
        </w:rPr>
        <w:t>Ronnegard,</w:t>
      </w:r>
      <w:r>
        <w:rPr>
          <w:rFonts w:ascii="Calibri"/>
          <w:spacing w:val="-5"/>
          <w:sz w:val="20"/>
          <w:vertAlign w:val="baseline"/>
        </w:rPr>
        <w:t> </w:t>
      </w:r>
      <w:r>
        <w:rPr>
          <w:rFonts w:ascii="Calibri"/>
          <w:sz w:val="20"/>
          <w:vertAlign w:val="baseline"/>
        </w:rPr>
        <w:t>D.</w:t>
      </w:r>
      <w:r>
        <w:rPr>
          <w:rFonts w:ascii="Calibri"/>
          <w:spacing w:val="-6"/>
          <w:sz w:val="20"/>
          <w:vertAlign w:val="baseline"/>
        </w:rPr>
        <w:t> </w:t>
      </w:r>
      <w:r>
        <w:rPr>
          <w:rFonts w:ascii="Calibri"/>
          <w:sz w:val="20"/>
          <w:vertAlign w:val="baseline"/>
        </w:rPr>
        <w:t>and</w:t>
      </w:r>
      <w:r>
        <w:rPr>
          <w:rFonts w:ascii="Calibri"/>
          <w:spacing w:val="-4"/>
          <w:sz w:val="20"/>
          <w:vertAlign w:val="baseline"/>
        </w:rPr>
        <w:t> </w:t>
      </w:r>
      <w:r>
        <w:rPr>
          <w:rFonts w:ascii="Calibri"/>
          <w:sz w:val="20"/>
          <w:vertAlign w:val="baseline"/>
        </w:rPr>
        <w:t>Smith,</w:t>
      </w:r>
      <w:r>
        <w:rPr>
          <w:rFonts w:ascii="Calibri"/>
          <w:spacing w:val="-5"/>
          <w:sz w:val="20"/>
          <w:vertAlign w:val="baseline"/>
        </w:rPr>
        <w:t> </w:t>
      </w:r>
      <w:r>
        <w:rPr>
          <w:rFonts w:ascii="Calibri"/>
          <w:sz w:val="20"/>
          <w:vertAlign w:val="baseline"/>
        </w:rPr>
        <w:t>N.C.,</w:t>
      </w:r>
      <w:r>
        <w:rPr>
          <w:rFonts w:ascii="Calibri"/>
          <w:spacing w:val="-5"/>
          <w:sz w:val="20"/>
          <w:vertAlign w:val="baseline"/>
        </w:rPr>
        <w:t> </w:t>
      </w:r>
      <w:r>
        <w:rPr>
          <w:rFonts w:ascii="Calibri"/>
          <w:sz w:val="20"/>
          <w:vertAlign w:val="baseline"/>
        </w:rPr>
        <w:t>op.cit.</w:t>
      </w:r>
      <w:r>
        <w:rPr>
          <w:rFonts w:ascii="Calibri"/>
          <w:spacing w:val="-1"/>
          <w:sz w:val="20"/>
          <w:vertAlign w:val="baseline"/>
        </w:rPr>
        <w:t> </w:t>
      </w:r>
      <w:r>
        <w:rPr>
          <w:rFonts w:ascii="Calibri"/>
          <w:sz w:val="20"/>
          <w:vertAlign w:val="baseline"/>
        </w:rPr>
        <w:t>at</w:t>
      </w:r>
      <w:r>
        <w:rPr>
          <w:rFonts w:ascii="Calibri"/>
          <w:spacing w:val="-8"/>
          <w:sz w:val="20"/>
          <w:vertAlign w:val="baseline"/>
        </w:rPr>
        <w:t> </w:t>
      </w:r>
      <w:r>
        <w:rPr>
          <w:rFonts w:ascii="Calibri"/>
          <w:spacing w:val="-5"/>
          <w:sz w:val="20"/>
          <w:vertAlign w:val="baseline"/>
        </w:rPr>
        <w:t>16.</w:t>
      </w:r>
    </w:p>
    <w:p>
      <w:pPr>
        <w:spacing w:before="2"/>
        <w:ind w:left="308" w:right="0" w:firstLine="0"/>
        <w:jc w:val="left"/>
        <w:rPr>
          <w:rFonts w:ascii="Calibri"/>
          <w:sz w:val="20"/>
        </w:rPr>
      </w:pPr>
      <w:r>
        <w:rPr>
          <w:rFonts w:ascii="Calibri"/>
          <w:sz w:val="20"/>
          <w:vertAlign w:val="superscript"/>
        </w:rPr>
        <w:t>148</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in</w:t>
      </w:r>
      <w:r>
        <w:rPr>
          <w:rFonts w:ascii="Calibri"/>
          <w:spacing w:val="-6"/>
          <w:sz w:val="20"/>
          <w:vertAlign w:val="baseline"/>
        </w:rPr>
        <w:t> </w:t>
      </w:r>
      <w:r>
        <w:rPr>
          <w:rFonts w:ascii="Calibri"/>
          <w:sz w:val="20"/>
          <w:vertAlign w:val="baseline"/>
        </w:rPr>
        <w:t>particular</w:t>
      </w:r>
      <w:r>
        <w:rPr>
          <w:rFonts w:ascii="Calibri"/>
          <w:spacing w:val="-5"/>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decision</w:t>
      </w:r>
      <w:r>
        <w:rPr>
          <w:rFonts w:ascii="Calibri"/>
          <w:spacing w:val="-6"/>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Bowen</w:t>
      </w:r>
      <w:r>
        <w:rPr>
          <w:rFonts w:ascii="Calibri"/>
          <w:spacing w:val="-6"/>
          <w:sz w:val="20"/>
          <w:vertAlign w:val="baseline"/>
        </w:rPr>
        <w:t> </w:t>
      </w:r>
      <w:r>
        <w:rPr>
          <w:rFonts w:ascii="Calibri"/>
          <w:sz w:val="20"/>
          <w:vertAlign w:val="baseline"/>
        </w:rPr>
        <w:t>L.J.</w:t>
      </w:r>
      <w:r>
        <w:rPr>
          <w:rFonts w:ascii="Calibri"/>
          <w:spacing w:val="-5"/>
          <w:sz w:val="20"/>
          <w:vertAlign w:val="baseline"/>
        </w:rPr>
        <w:t> </w:t>
      </w:r>
      <w:r>
        <w:rPr>
          <w:rFonts w:ascii="Calibri"/>
          <w:sz w:val="20"/>
          <w:vertAlign w:val="baseline"/>
        </w:rPr>
        <w:t>in</w:t>
      </w:r>
      <w:r>
        <w:rPr>
          <w:rFonts w:ascii="Calibri"/>
          <w:spacing w:val="3"/>
          <w:sz w:val="20"/>
          <w:vertAlign w:val="baseline"/>
        </w:rPr>
        <w:t> </w:t>
      </w:r>
      <w:r>
        <w:rPr>
          <w:rFonts w:ascii="Calibri"/>
          <w:i/>
          <w:sz w:val="20"/>
          <w:vertAlign w:val="baseline"/>
        </w:rPr>
        <w:t>Hutton</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West</w:t>
      </w:r>
      <w:r>
        <w:rPr>
          <w:rFonts w:ascii="Calibri"/>
          <w:i/>
          <w:spacing w:val="-2"/>
          <w:sz w:val="20"/>
          <w:vertAlign w:val="baseline"/>
        </w:rPr>
        <w:t> </w:t>
      </w:r>
      <w:r>
        <w:rPr>
          <w:rFonts w:ascii="Calibri"/>
          <w:i/>
          <w:sz w:val="20"/>
          <w:vertAlign w:val="baseline"/>
        </w:rPr>
        <w:t>Cork</w:t>
      </w:r>
      <w:r>
        <w:rPr>
          <w:rFonts w:ascii="Calibri"/>
          <w:i/>
          <w:spacing w:val="-7"/>
          <w:sz w:val="20"/>
          <w:vertAlign w:val="baseline"/>
        </w:rPr>
        <w:t> </w:t>
      </w:r>
      <w:r>
        <w:rPr>
          <w:rFonts w:ascii="Calibri"/>
          <w:i/>
          <w:sz w:val="20"/>
          <w:vertAlign w:val="baseline"/>
        </w:rPr>
        <w:t>Railway</w:t>
      </w:r>
      <w:r>
        <w:rPr>
          <w:rFonts w:ascii="Calibri"/>
          <w:i/>
          <w:spacing w:val="-3"/>
          <w:sz w:val="20"/>
          <w:vertAlign w:val="baseline"/>
        </w:rPr>
        <w:t> </w:t>
      </w:r>
      <w:r>
        <w:rPr>
          <w:rFonts w:ascii="Calibri"/>
          <w:sz w:val="20"/>
          <w:vertAlign w:val="baseline"/>
        </w:rPr>
        <w:t>(1883)</w:t>
      </w:r>
      <w:r>
        <w:rPr>
          <w:rFonts w:ascii="Calibri"/>
          <w:spacing w:val="-1"/>
          <w:sz w:val="20"/>
          <w:vertAlign w:val="baseline"/>
        </w:rPr>
        <w:t> </w:t>
      </w:r>
      <w:r>
        <w:rPr>
          <w:rFonts w:ascii="Calibri"/>
          <w:sz w:val="20"/>
          <w:vertAlign w:val="baseline"/>
        </w:rPr>
        <w:t>23</w:t>
      </w:r>
      <w:r>
        <w:rPr>
          <w:rFonts w:ascii="Calibri"/>
          <w:spacing w:val="-3"/>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D.</w:t>
      </w:r>
      <w:r>
        <w:rPr>
          <w:rFonts w:ascii="Calibri"/>
          <w:spacing w:val="-4"/>
          <w:sz w:val="20"/>
          <w:vertAlign w:val="baseline"/>
        </w:rPr>
        <w:t> </w:t>
      </w:r>
      <w:r>
        <w:rPr>
          <w:rFonts w:ascii="Calibri"/>
          <w:sz w:val="20"/>
          <w:vertAlign w:val="baseline"/>
        </w:rPr>
        <w:t>at</w:t>
      </w:r>
      <w:r>
        <w:rPr>
          <w:rFonts w:ascii="Calibri"/>
          <w:spacing w:val="-3"/>
          <w:sz w:val="20"/>
          <w:vertAlign w:val="baseline"/>
        </w:rPr>
        <w:t> </w:t>
      </w:r>
      <w:r>
        <w:rPr>
          <w:rFonts w:ascii="Calibri"/>
          <w:spacing w:val="-5"/>
          <w:sz w:val="20"/>
          <w:vertAlign w:val="baseline"/>
        </w:rPr>
        <w:t>673</w:t>
      </w:r>
    </w:p>
    <w:p>
      <w:pPr>
        <w:spacing w:before="0"/>
        <w:ind w:left="308" w:right="0" w:firstLine="0"/>
        <w:jc w:val="left"/>
        <w:rPr>
          <w:rFonts w:ascii="Calibri"/>
          <w:sz w:val="20"/>
        </w:rPr>
      </w:pPr>
      <w:r>
        <w:rPr>
          <w:rFonts w:ascii="Calibri"/>
          <w:sz w:val="20"/>
          <w:vertAlign w:val="superscript"/>
        </w:rPr>
        <w:t>149</w:t>
      </w:r>
      <w:r>
        <w:rPr>
          <w:rFonts w:ascii="Calibri"/>
          <w:sz w:val="20"/>
          <w:vertAlign w:val="baseline"/>
        </w:rPr>
        <w:t>Freeman</w:t>
      </w:r>
      <w:r>
        <w:rPr>
          <w:rFonts w:ascii="Calibri"/>
          <w:spacing w:val="-7"/>
          <w:sz w:val="20"/>
          <w:vertAlign w:val="baseline"/>
        </w:rPr>
        <w:t> </w:t>
      </w:r>
      <w:r>
        <w:rPr>
          <w:rFonts w:ascii="Calibri"/>
          <w:sz w:val="20"/>
          <w:vertAlign w:val="baseline"/>
        </w:rPr>
        <w:t>E.R.</w:t>
      </w:r>
      <w:r>
        <w:rPr>
          <w:rFonts w:ascii="Calibri"/>
          <w:spacing w:val="-4"/>
          <w:sz w:val="20"/>
          <w:vertAlign w:val="baseline"/>
        </w:rPr>
        <w:t> </w:t>
      </w:r>
      <w:r>
        <w:rPr>
          <w:rFonts w:ascii="Calibri"/>
          <w:sz w:val="20"/>
          <w:vertAlign w:val="baseline"/>
        </w:rPr>
        <w:t>op.cit.at</w:t>
      </w:r>
      <w:r>
        <w:rPr>
          <w:rFonts w:ascii="Calibri"/>
          <w:spacing w:val="-7"/>
          <w:sz w:val="20"/>
          <w:vertAlign w:val="baseline"/>
        </w:rPr>
        <w:t> </w:t>
      </w:r>
      <w:r>
        <w:rPr>
          <w:rFonts w:ascii="Calibri"/>
          <w:spacing w:val="-5"/>
          <w:sz w:val="20"/>
          <w:vertAlign w:val="baseline"/>
        </w:rPr>
        <w:t>39.</w:t>
      </w:r>
    </w:p>
    <w:p>
      <w:pPr>
        <w:spacing w:before="1"/>
        <w:ind w:left="308" w:right="0" w:firstLine="0"/>
        <w:jc w:val="left"/>
        <w:rPr>
          <w:rFonts w:ascii="Calibri"/>
          <w:sz w:val="20"/>
        </w:rPr>
      </w:pPr>
      <w:r>
        <w:rPr>
          <w:rFonts w:ascii="Calibri"/>
          <w:sz w:val="20"/>
          <w:vertAlign w:val="superscript"/>
        </w:rPr>
        <w:t>150</w:t>
      </w:r>
      <w:r>
        <w:rPr>
          <w:rFonts w:ascii="Calibri"/>
          <w:spacing w:val="26"/>
          <w:sz w:val="20"/>
          <w:vertAlign w:val="baseline"/>
        </w:rPr>
        <w:t> </w:t>
      </w:r>
      <w:r>
        <w:rPr>
          <w:rFonts w:ascii="Calibri"/>
          <w:sz w:val="20"/>
          <w:vertAlign w:val="baseline"/>
        </w:rPr>
        <w:t>See</w:t>
      </w:r>
      <w:r>
        <w:rPr>
          <w:rFonts w:ascii="Calibri"/>
          <w:spacing w:val="25"/>
          <w:sz w:val="20"/>
          <w:vertAlign w:val="baseline"/>
        </w:rPr>
        <w:t> </w:t>
      </w:r>
      <w:r>
        <w:rPr>
          <w:rFonts w:ascii="Calibri"/>
          <w:sz w:val="20"/>
          <w:vertAlign w:val="baseline"/>
        </w:rPr>
        <w:t>Farrar, H.J.</w:t>
      </w:r>
      <w:r>
        <w:rPr>
          <w:rFonts w:ascii="Calibri"/>
          <w:spacing w:val="26"/>
          <w:sz w:val="20"/>
          <w:vertAlign w:val="baseline"/>
        </w:rPr>
        <w:t> </w:t>
      </w:r>
      <w:r>
        <w:rPr>
          <w:rFonts w:ascii="Calibri"/>
          <w:sz w:val="20"/>
          <w:vertAlign w:val="baseline"/>
        </w:rPr>
        <w:t>(2008).</w:t>
      </w:r>
      <w:r>
        <w:rPr>
          <w:rFonts w:ascii="Calibri"/>
          <w:spacing w:val="24"/>
          <w:sz w:val="20"/>
          <w:vertAlign w:val="baseline"/>
        </w:rPr>
        <w:t> </w:t>
      </w:r>
      <w:r>
        <w:rPr>
          <w:rFonts w:ascii="Calibri"/>
          <w:i/>
          <w:sz w:val="20"/>
          <w:vertAlign w:val="baseline"/>
        </w:rPr>
        <w:t>Corporate</w:t>
      </w:r>
      <w:r>
        <w:rPr>
          <w:rFonts w:ascii="Calibri"/>
          <w:i/>
          <w:spacing w:val="24"/>
          <w:sz w:val="20"/>
          <w:vertAlign w:val="baseline"/>
        </w:rPr>
        <w:t> </w:t>
      </w:r>
      <w:r>
        <w:rPr>
          <w:rFonts w:ascii="Calibri"/>
          <w:i/>
          <w:sz w:val="20"/>
          <w:vertAlign w:val="baseline"/>
        </w:rPr>
        <w:t>Governance: Theories,</w:t>
      </w:r>
      <w:r>
        <w:rPr>
          <w:rFonts w:ascii="Calibri"/>
          <w:i/>
          <w:spacing w:val="26"/>
          <w:sz w:val="20"/>
          <w:vertAlign w:val="baseline"/>
        </w:rPr>
        <w:t> </w:t>
      </w:r>
      <w:r>
        <w:rPr>
          <w:rFonts w:ascii="Calibri"/>
          <w:i/>
          <w:sz w:val="20"/>
          <w:vertAlign w:val="baseline"/>
        </w:rPr>
        <w:t>Principles and</w:t>
      </w:r>
      <w:r>
        <w:rPr>
          <w:rFonts w:ascii="Calibri"/>
          <w:i/>
          <w:spacing w:val="26"/>
          <w:sz w:val="20"/>
          <w:vertAlign w:val="baseline"/>
        </w:rPr>
        <w:t> </w:t>
      </w:r>
      <w:r>
        <w:rPr>
          <w:rFonts w:ascii="Calibri"/>
          <w:i/>
          <w:sz w:val="20"/>
          <w:vertAlign w:val="baseline"/>
        </w:rPr>
        <w:t>Practice</w:t>
      </w:r>
      <w:r>
        <w:rPr>
          <w:rFonts w:ascii="Calibri"/>
          <w:sz w:val="20"/>
          <w:vertAlign w:val="baseline"/>
        </w:rPr>
        <w:t>.</w:t>
      </w:r>
      <w:r>
        <w:rPr>
          <w:rFonts w:ascii="Calibri"/>
          <w:spacing w:val="26"/>
          <w:sz w:val="20"/>
          <w:vertAlign w:val="baseline"/>
        </w:rPr>
        <w:t> </w:t>
      </w:r>
      <w:r>
        <w:rPr>
          <w:rFonts w:ascii="Calibri"/>
          <w:sz w:val="20"/>
          <w:vertAlign w:val="baseline"/>
        </w:rPr>
        <w:t>Oxford</w:t>
      </w:r>
      <w:r>
        <w:rPr>
          <w:rFonts w:ascii="Calibri"/>
          <w:spacing w:val="24"/>
          <w:sz w:val="20"/>
          <w:vertAlign w:val="baseline"/>
        </w:rPr>
        <w:t> </w:t>
      </w:r>
      <w:r>
        <w:rPr>
          <w:rFonts w:ascii="Calibri"/>
          <w:sz w:val="20"/>
          <w:vertAlign w:val="baseline"/>
        </w:rPr>
        <w:t>University Press, England, pp.23, 34 and 35.</w:t>
      </w:r>
    </w:p>
    <w:p>
      <w:pPr>
        <w:spacing w:before="1"/>
        <w:ind w:left="308" w:right="0" w:firstLine="0"/>
        <w:jc w:val="left"/>
        <w:rPr>
          <w:rFonts w:ascii="Calibri"/>
          <w:sz w:val="20"/>
        </w:rPr>
      </w:pPr>
      <w:r>
        <w:rPr>
          <w:rFonts w:ascii="Calibri"/>
          <w:sz w:val="20"/>
          <w:vertAlign w:val="superscript"/>
        </w:rPr>
        <w:t>151</w:t>
      </w:r>
      <w:r>
        <w:rPr>
          <w:rFonts w:ascii="Calibri"/>
          <w:sz w:val="20"/>
          <w:vertAlign w:val="baseline"/>
        </w:rPr>
        <w:t>Ogbuanya,</w:t>
      </w:r>
      <w:r>
        <w:rPr>
          <w:rFonts w:ascii="Calibri"/>
          <w:spacing w:val="-10"/>
          <w:sz w:val="20"/>
          <w:vertAlign w:val="baseline"/>
        </w:rPr>
        <w:t> </w:t>
      </w:r>
      <w:r>
        <w:rPr>
          <w:rFonts w:ascii="Calibri"/>
          <w:sz w:val="20"/>
          <w:vertAlign w:val="baseline"/>
        </w:rPr>
        <w:t>N.C.S.,</w:t>
      </w:r>
      <w:r>
        <w:rPr>
          <w:rFonts w:ascii="Calibri"/>
          <w:spacing w:val="-3"/>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1"/>
          <w:sz w:val="20"/>
          <w:vertAlign w:val="baseline"/>
        </w:rPr>
        <w:t> </w:t>
      </w:r>
      <w:r>
        <w:rPr>
          <w:rFonts w:ascii="Calibri"/>
          <w:spacing w:val="-4"/>
          <w:sz w:val="20"/>
          <w:vertAlign w:val="baseline"/>
        </w:rPr>
        <w:t>337.</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176"/>
        <w:jc w:val="both"/>
      </w:pPr>
      <w:r>
        <w:rPr/>
        <w:t>duck‖ provision owing to the fact that hardly any cases had been reported regarding its breach because of the obvious difficulty employees would encounter in any such action.</w:t>
      </w:r>
      <w:r>
        <w:rPr>
          <w:vertAlign w:val="superscript"/>
        </w:rPr>
        <w:t>152</w:t>
      </w:r>
      <w:r>
        <w:rPr>
          <w:vertAlign w:val="baseline"/>
        </w:rPr>
        <w:t> The company‘s members, on the other hand, may possibly use their rights, including</w:t>
      </w:r>
      <w:r>
        <w:rPr>
          <w:spacing w:val="-2"/>
          <w:vertAlign w:val="baseline"/>
        </w:rPr>
        <w:t> </w:t>
      </w:r>
      <w:r>
        <w:rPr>
          <w:vertAlign w:val="baseline"/>
        </w:rPr>
        <w:t>the</w:t>
      </w:r>
      <w:r>
        <w:rPr>
          <w:spacing w:val="-3"/>
          <w:vertAlign w:val="baseline"/>
        </w:rPr>
        <w:t> </w:t>
      </w:r>
      <w:r>
        <w:rPr>
          <w:vertAlign w:val="baseline"/>
        </w:rPr>
        <w:t>right to attend and vote</w:t>
      </w:r>
      <w:r>
        <w:rPr>
          <w:spacing w:val="-3"/>
          <w:vertAlign w:val="baseline"/>
        </w:rPr>
        <w:t> </w:t>
      </w:r>
      <w:r>
        <w:rPr>
          <w:vertAlign w:val="baseline"/>
        </w:rPr>
        <w:t>at meetings</w:t>
      </w:r>
      <w:r>
        <w:rPr>
          <w:vertAlign w:val="superscript"/>
        </w:rPr>
        <w:t>153</w:t>
      </w:r>
      <w:r>
        <w:rPr>
          <w:vertAlign w:val="baseline"/>
        </w:rPr>
        <w:t> appoint and</w:t>
      </w:r>
      <w:r>
        <w:rPr>
          <w:spacing w:val="-2"/>
          <w:vertAlign w:val="baseline"/>
        </w:rPr>
        <w:t> </w:t>
      </w:r>
      <w:r>
        <w:rPr>
          <w:vertAlign w:val="baseline"/>
        </w:rPr>
        <w:t>remove</w:t>
      </w:r>
      <w:r>
        <w:rPr>
          <w:spacing w:val="-3"/>
          <w:vertAlign w:val="baseline"/>
        </w:rPr>
        <w:t> </w:t>
      </w:r>
      <w:r>
        <w:rPr>
          <w:vertAlign w:val="baseline"/>
        </w:rPr>
        <w:t>directors,</w:t>
      </w:r>
      <w:r>
        <w:rPr>
          <w:vertAlign w:val="superscript"/>
        </w:rPr>
        <w:t>154</w:t>
      </w:r>
      <w:r>
        <w:rPr>
          <w:vertAlign w:val="baseline"/>
        </w:rPr>
        <w:t> and institute derivative actions,</w:t>
      </w:r>
      <w:r>
        <w:rPr>
          <w:vertAlign w:val="superscript"/>
        </w:rPr>
        <w:t>155</w:t>
      </w:r>
      <w:r>
        <w:rPr>
          <w:vertAlign w:val="baseline"/>
        </w:rPr>
        <w:t> to ensure that directors in fact consider </w:t>
      </w:r>
      <w:r>
        <w:rPr>
          <w:i/>
          <w:vertAlign w:val="baseline"/>
        </w:rPr>
        <w:t>their </w:t>
      </w:r>
      <w:r>
        <w:rPr>
          <w:vertAlign w:val="baseline"/>
        </w:rPr>
        <w:t>interests as paramount. Whether or not they in fact utilize these opportunities, is a discussion for another day. Still, nothing </w:t>
      </w:r>
      <w:r>
        <w:rPr>
          <w:i/>
          <w:vertAlign w:val="baseline"/>
        </w:rPr>
        <w:t>legally </w:t>
      </w:r>
      <w:r>
        <w:rPr>
          <w:vertAlign w:val="baseline"/>
        </w:rPr>
        <w:t>stops the directors from taking into consideration a wide range of stakeholder interests. If need be, they can always</w:t>
      </w:r>
      <w:r>
        <w:rPr>
          <w:spacing w:val="40"/>
          <w:vertAlign w:val="baseline"/>
        </w:rPr>
        <w:t> </w:t>
      </w:r>
      <w:r>
        <w:rPr>
          <w:vertAlign w:val="baseline"/>
        </w:rPr>
        <w:t>justify their actions under s. 279(3),</w:t>
      </w:r>
      <w:r>
        <w:rPr>
          <w:vertAlign w:val="superscript"/>
        </w:rPr>
        <w:t>156</w:t>
      </w:r>
      <w:r>
        <w:rPr>
          <w:vertAlign w:val="baseline"/>
        </w:rPr>
        <w:t>though their actions may also be defeated if analysed under the principles in the same section.</w:t>
      </w:r>
      <w:r>
        <w:rPr>
          <w:vertAlign w:val="superscript"/>
        </w:rPr>
        <w:t>157</w:t>
      </w:r>
    </w:p>
    <w:p>
      <w:pPr>
        <w:pStyle w:val="BodyText"/>
        <w:spacing w:line="480" w:lineRule="auto" w:before="2"/>
        <w:ind w:right="177" w:firstLine="720"/>
        <w:jc w:val="both"/>
      </w:pPr>
      <w:r>
        <w:rPr/>
        <w:t>Although the CAMA has made some provision for the company‘s employees as stakeholders so that the issue of their welfare is included in the directors‘ report,</w:t>
      </w:r>
      <w:r>
        <w:rPr>
          <w:spacing w:val="40"/>
        </w:rPr>
        <w:t> </w:t>
      </w:r>
      <w:r>
        <w:rPr/>
        <w:t>and they may share in the company‘s profit and can even possibly be compensated upon cessation or transfer of the business,</w:t>
      </w:r>
      <w:r>
        <w:rPr>
          <w:vertAlign w:val="superscript"/>
        </w:rPr>
        <w:t>158</w:t>
      </w:r>
      <w:r>
        <w:rPr>
          <w:vertAlign w:val="baseline"/>
        </w:rPr>
        <w:t> these provisions nowise make them equals with members in the company because of</w:t>
      </w:r>
      <w:r>
        <w:rPr>
          <w:spacing w:val="-2"/>
          <w:vertAlign w:val="baseline"/>
        </w:rPr>
        <w:t> </w:t>
      </w:r>
      <w:r>
        <w:rPr>
          <w:vertAlign w:val="baseline"/>
        </w:rPr>
        <w:t>the critical issue of</w:t>
      </w:r>
      <w:r>
        <w:rPr>
          <w:spacing w:val="-2"/>
          <w:vertAlign w:val="baseline"/>
        </w:rPr>
        <w:t> </w:t>
      </w:r>
      <w:r>
        <w:rPr>
          <w:vertAlign w:val="baseline"/>
        </w:rPr>
        <w:t>the absence of voting power. In the absence of </w:t>
      </w:r>
      <w:r>
        <w:rPr>
          <w:i/>
          <w:vertAlign w:val="baseline"/>
        </w:rPr>
        <w:t>equality</w:t>
      </w:r>
      <w:r>
        <w:rPr>
          <w:vertAlign w:val="baseline"/>
        </w:rPr>
        <w:t>, therefore, there is </w:t>
      </w:r>
      <w:r>
        <w:rPr>
          <w:i/>
          <w:vertAlign w:val="baseline"/>
        </w:rPr>
        <w:t>primacy </w:t>
      </w:r>
      <w:r>
        <w:rPr>
          <w:vertAlign w:val="baseline"/>
        </w:rPr>
        <w:t>to the advantage of the members, under the law.</w:t>
      </w:r>
    </w:p>
    <w:p>
      <w:pPr>
        <w:pStyle w:val="BodyText"/>
        <w:spacing w:line="480" w:lineRule="auto" w:before="1"/>
        <w:ind w:right="242" w:firstLine="777"/>
        <w:jc w:val="both"/>
      </w:pPr>
      <w:r>
        <w:rPr/>
        <w:t>There appears to be some logic in the proposition that managing the company strictly</w:t>
      </w:r>
      <w:r>
        <w:rPr>
          <w:spacing w:val="8"/>
        </w:rPr>
        <w:t> </w:t>
      </w:r>
      <w:r>
        <w:rPr/>
        <w:t>on</w:t>
      </w:r>
      <w:r>
        <w:rPr>
          <w:spacing w:val="19"/>
        </w:rPr>
        <w:t> </w:t>
      </w:r>
      <w:r>
        <w:rPr/>
        <w:t>shareholder</w:t>
      </w:r>
      <w:r>
        <w:rPr>
          <w:spacing w:val="20"/>
        </w:rPr>
        <w:t> </w:t>
      </w:r>
      <w:r>
        <w:rPr/>
        <w:t>primacy</w:t>
      </w:r>
      <w:r>
        <w:rPr>
          <w:spacing w:val="9"/>
        </w:rPr>
        <w:t> </w:t>
      </w:r>
      <w:r>
        <w:rPr/>
        <w:t>principles</w:t>
      </w:r>
      <w:r>
        <w:rPr>
          <w:spacing w:val="16"/>
        </w:rPr>
        <w:t> </w:t>
      </w:r>
      <w:r>
        <w:rPr/>
        <w:t>would</w:t>
      </w:r>
      <w:r>
        <w:rPr>
          <w:spacing w:val="24"/>
        </w:rPr>
        <w:t> </w:t>
      </w:r>
      <w:r>
        <w:rPr/>
        <w:t>sooner</w:t>
      </w:r>
      <w:r>
        <w:rPr>
          <w:spacing w:val="20"/>
        </w:rPr>
        <w:t> </w:t>
      </w:r>
      <w:r>
        <w:rPr/>
        <w:t>bring</w:t>
      </w:r>
      <w:r>
        <w:rPr>
          <w:spacing w:val="18"/>
        </w:rPr>
        <w:t> </w:t>
      </w:r>
      <w:r>
        <w:rPr/>
        <w:t>the</w:t>
      </w:r>
      <w:r>
        <w:rPr>
          <w:spacing w:val="18"/>
        </w:rPr>
        <w:t> </w:t>
      </w:r>
      <w:r>
        <w:rPr/>
        <w:t>company</w:t>
      </w:r>
      <w:r>
        <w:rPr>
          <w:spacing w:val="14"/>
        </w:rPr>
        <w:t> </w:t>
      </w:r>
      <w:r>
        <w:rPr/>
        <w:t>down</w:t>
      </w:r>
      <w:r>
        <w:rPr>
          <w:spacing w:val="14"/>
        </w:rPr>
        <w:t> </w:t>
      </w:r>
      <w:r>
        <w:rPr>
          <w:spacing w:val="-4"/>
        </w:rPr>
        <w:t>than</w:t>
      </w:r>
    </w:p>
    <w:p>
      <w:pPr>
        <w:pStyle w:val="BodyText"/>
        <w:spacing w:before="1"/>
        <w:jc w:val="both"/>
      </w:pPr>
      <w:r>
        <w:rPr/>
        <w:t>assure</w:t>
      </w:r>
      <w:r>
        <w:rPr>
          <w:spacing w:val="9"/>
        </w:rPr>
        <w:t> </w:t>
      </w:r>
      <w:r>
        <w:rPr/>
        <w:t>its</w:t>
      </w:r>
      <w:r>
        <w:rPr>
          <w:spacing w:val="11"/>
        </w:rPr>
        <w:t> </w:t>
      </w:r>
      <w:r>
        <w:rPr/>
        <w:t>long-term success.</w:t>
      </w:r>
      <w:r>
        <w:rPr>
          <w:spacing w:val="10"/>
        </w:rPr>
        <w:t> </w:t>
      </w:r>
      <w:r>
        <w:rPr/>
        <w:t>This</w:t>
      </w:r>
      <w:r>
        <w:rPr>
          <w:spacing w:val="11"/>
        </w:rPr>
        <w:t> </w:t>
      </w:r>
      <w:r>
        <w:rPr/>
        <w:t>is</w:t>
      </w:r>
      <w:r>
        <w:rPr>
          <w:spacing w:val="15"/>
        </w:rPr>
        <w:t> </w:t>
      </w:r>
      <w:r>
        <w:rPr/>
        <w:t>because</w:t>
      </w:r>
      <w:r>
        <w:rPr>
          <w:spacing w:val="7"/>
        </w:rPr>
        <w:t> </w:t>
      </w:r>
      <w:r>
        <w:rPr/>
        <w:t>the</w:t>
      </w:r>
      <w:r>
        <w:rPr>
          <w:spacing w:val="12"/>
        </w:rPr>
        <w:t> </w:t>
      </w:r>
      <w:r>
        <w:rPr/>
        <w:t>most</w:t>
      </w:r>
      <w:r>
        <w:rPr>
          <w:spacing w:val="13"/>
        </w:rPr>
        <w:t> </w:t>
      </w:r>
      <w:r>
        <w:rPr/>
        <w:t>obvious</w:t>
      </w:r>
      <w:r>
        <w:rPr>
          <w:spacing w:val="11"/>
        </w:rPr>
        <w:t> </w:t>
      </w:r>
      <w:r>
        <w:rPr/>
        <w:t>interests</w:t>
      </w:r>
      <w:r>
        <w:rPr>
          <w:spacing w:val="14"/>
        </w:rPr>
        <w:t> </w:t>
      </w:r>
      <w:r>
        <w:rPr/>
        <w:t>of</w:t>
      </w:r>
      <w:r>
        <w:rPr>
          <w:spacing w:val="6"/>
        </w:rPr>
        <w:t> </w:t>
      </w:r>
      <w:r>
        <w:rPr>
          <w:spacing w:val="-2"/>
        </w:rPr>
        <w:t>shareholders</w:t>
      </w:r>
    </w:p>
    <w:p>
      <w:pPr>
        <w:pStyle w:val="BodyText"/>
        <w:spacing w:before="1"/>
        <w:ind w:left="0"/>
        <w:rPr>
          <w:sz w:val="15"/>
        </w:rPr>
      </w:pPr>
      <w:r>
        <w:rPr/>
        <mc:AlternateContent>
          <mc:Choice Requires="wps">
            <w:drawing>
              <wp:anchor distT="0" distB="0" distL="0" distR="0" allowOverlap="1" layoutInCell="1" locked="0" behindDoc="1" simplePos="0" relativeHeight="487651840">
                <wp:simplePos x="0" y="0"/>
                <wp:positionH relativeFrom="page">
                  <wp:posOffset>1262481</wp:posOffset>
                </wp:positionH>
                <wp:positionV relativeFrom="paragraph">
                  <wp:posOffset>125421</wp:posOffset>
                </wp:positionV>
                <wp:extent cx="1829435" cy="9525"/>
                <wp:effectExtent l="0" t="0" r="0" b="0"/>
                <wp:wrapTopAndBottom/>
                <wp:docPr id="141" name="Graphic 141"/>
                <wp:cNvGraphicFramePr>
                  <a:graphicFrameLocks/>
                </wp:cNvGraphicFramePr>
                <a:graphic>
                  <a:graphicData uri="http://schemas.microsoft.com/office/word/2010/wordprocessingShape">
                    <wps:wsp>
                      <wps:cNvPr id="141" name="Graphic 14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875733pt;width:144.050pt;height:.71997pt;mso-position-horizontal-relative:page;mso-position-vertical-relative:paragraph;z-index:-15664640;mso-wrap-distance-left:0;mso-wrap-distance-right:0" id="docshape9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152</w:t>
      </w:r>
      <w:r>
        <w:rPr>
          <w:rFonts w:ascii="Calibri"/>
          <w:sz w:val="20"/>
          <w:vertAlign w:val="baseline"/>
        </w:rPr>
        <w:t>Keay,</w:t>
      </w:r>
      <w:r>
        <w:rPr>
          <w:rFonts w:ascii="Calibri"/>
          <w:spacing w:val="-4"/>
          <w:sz w:val="20"/>
          <w:vertAlign w:val="baseline"/>
        </w:rPr>
        <w:t> </w:t>
      </w:r>
      <w:r>
        <w:rPr>
          <w:rFonts w:ascii="Calibri"/>
          <w:sz w:val="20"/>
          <w:vertAlign w:val="baseline"/>
        </w:rPr>
        <w:t>A.</w:t>
      </w:r>
      <w:r>
        <w:rPr>
          <w:rFonts w:ascii="Calibri"/>
          <w:spacing w:val="-3"/>
          <w:sz w:val="20"/>
          <w:vertAlign w:val="baseline"/>
        </w:rPr>
        <w:t> </w:t>
      </w:r>
      <w:r>
        <w:rPr>
          <w:rFonts w:ascii="Calibri"/>
          <w:sz w:val="20"/>
          <w:vertAlign w:val="baseline"/>
        </w:rPr>
        <w:t>op.cit.at</w:t>
      </w:r>
      <w:r>
        <w:rPr>
          <w:rFonts w:ascii="Calibri"/>
          <w:spacing w:val="-6"/>
          <w:sz w:val="20"/>
          <w:vertAlign w:val="baseline"/>
        </w:rPr>
        <w:t> </w:t>
      </w:r>
      <w:r>
        <w:rPr>
          <w:rFonts w:ascii="Calibri"/>
          <w:spacing w:val="-4"/>
          <w:sz w:val="20"/>
          <w:vertAlign w:val="baseline"/>
        </w:rPr>
        <w:t>593.</w:t>
      </w:r>
    </w:p>
    <w:p>
      <w:pPr>
        <w:spacing w:before="1"/>
        <w:ind w:left="308" w:right="0" w:firstLine="0"/>
        <w:jc w:val="left"/>
        <w:rPr>
          <w:rFonts w:ascii="Calibri"/>
          <w:sz w:val="20"/>
        </w:rPr>
      </w:pPr>
      <w:r>
        <w:rPr>
          <w:rFonts w:ascii="Calibri"/>
          <w:sz w:val="20"/>
          <w:vertAlign w:val="superscript"/>
        </w:rPr>
        <w:t>153</w:t>
      </w:r>
      <w:r>
        <w:rPr>
          <w:rFonts w:ascii="Calibri"/>
          <w:sz w:val="20"/>
          <w:vertAlign w:val="baseline"/>
        </w:rPr>
        <w:t>Ss.</w:t>
      </w:r>
      <w:r>
        <w:rPr>
          <w:rFonts w:ascii="Calibri"/>
          <w:spacing w:val="1"/>
          <w:sz w:val="20"/>
          <w:vertAlign w:val="baseline"/>
        </w:rPr>
        <w:t> </w:t>
      </w:r>
      <w:r>
        <w:rPr>
          <w:rFonts w:ascii="Calibri"/>
          <w:sz w:val="20"/>
          <w:vertAlign w:val="baseline"/>
        </w:rPr>
        <w:t>81</w:t>
      </w:r>
      <w:r>
        <w:rPr>
          <w:rFonts w:ascii="Calibri"/>
          <w:spacing w:val="-2"/>
          <w:sz w:val="20"/>
          <w:vertAlign w:val="baseline"/>
        </w:rPr>
        <w:t> </w:t>
      </w:r>
      <w:r>
        <w:rPr>
          <w:rFonts w:ascii="Calibri"/>
          <w:sz w:val="20"/>
          <w:vertAlign w:val="baseline"/>
        </w:rPr>
        <w:t>and</w:t>
      </w:r>
      <w:r>
        <w:rPr>
          <w:rFonts w:ascii="Calibri"/>
          <w:spacing w:val="-5"/>
          <w:sz w:val="20"/>
          <w:vertAlign w:val="baseline"/>
        </w:rPr>
        <w:t> </w:t>
      </w:r>
      <w:r>
        <w:rPr>
          <w:rFonts w:ascii="Calibri"/>
          <w:spacing w:val="-4"/>
          <w:sz w:val="20"/>
          <w:vertAlign w:val="baseline"/>
        </w:rPr>
        <w:t>227.</w:t>
      </w:r>
    </w:p>
    <w:p>
      <w:pPr>
        <w:spacing w:before="1"/>
        <w:ind w:left="308" w:right="0" w:firstLine="0"/>
        <w:jc w:val="left"/>
        <w:rPr>
          <w:rFonts w:ascii="Calibri"/>
          <w:sz w:val="20"/>
        </w:rPr>
      </w:pPr>
      <w:r>
        <w:rPr>
          <w:rFonts w:ascii="Calibri"/>
          <w:sz w:val="20"/>
          <w:vertAlign w:val="superscript"/>
        </w:rPr>
        <w:t>154</w:t>
      </w:r>
      <w:r>
        <w:rPr>
          <w:rFonts w:ascii="Calibri"/>
          <w:sz w:val="20"/>
          <w:vertAlign w:val="baseline"/>
        </w:rPr>
        <w:t>Ss. 248</w:t>
      </w:r>
      <w:r>
        <w:rPr>
          <w:rFonts w:ascii="Calibri"/>
          <w:spacing w:val="-2"/>
          <w:sz w:val="20"/>
          <w:vertAlign w:val="baseline"/>
        </w:rPr>
        <w:t> </w:t>
      </w:r>
      <w:r>
        <w:rPr>
          <w:rFonts w:ascii="Calibri"/>
          <w:sz w:val="20"/>
          <w:vertAlign w:val="baseline"/>
        </w:rPr>
        <w:t>and</w:t>
      </w:r>
      <w:r>
        <w:rPr>
          <w:rFonts w:ascii="Calibri"/>
          <w:spacing w:val="-6"/>
          <w:sz w:val="20"/>
          <w:vertAlign w:val="baseline"/>
        </w:rPr>
        <w:t> </w:t>
      </w:r>
      <w:r>
        <w:rPr>
          <w:rFonts w:ascii="Calibri"/>
          <w:spacing w:val="-4"/>
          <w:sz w:val="20"/>
          <w:vertAlign w:val="baseline"/>
        </w:rPr>
        <w:t>262.</w:t>
      </w:r>
    </w:p>
    <w:p>
      <w:pPr>
        <w:spacing w:before="0"/>
        <w:ind w:left="308" w:right="0" w:firstLine="0"/>
        <w:jc w:val="left"/>
        <w:rPr>
          <w:rFonts w:ascii="Calibri"/>
          <w:sz w:val="20"/>
        </w:rPr>
      </w:pPr>
      <w:r>
        <w:rPr>
          <w:rFonts w:ascii="Calibri"/>
          <w:sz w:val="20"/>
          <w:vertAlign w:val="superscript"/>
        </w:rPr>
        <w:t>155</w:t>
      </w:r>
      <w:r>
        <w:rPr>
          <w:rFonts w:ascii="Calibri"/>
          <w:sz w:val="20"/>
          <w:vertAlign w:val="baseline"/>
        </w:rPr>
        <w:t>Ss.</w:t>
      </w:r>
      <w:r>
        <w:rPr>
          <w:rFonts w:ascii="Calibri"/>
          <w:spacing w:val="-1"/>
          <w:sz w:val="20"/>
          <w:vertAlign w:val="baseline"/>
        </w:rPr>
        <w:t> </w:t>
      </w:r>
      <w:r>
        <w:rPr>
          <w:rFonts w:ascii="Calibri"/>
          <w:sz w:val="20"/>
          <w:vertAlign w:val="baseline"/>
        </w:rPr>
        <w:t>301,</w:t>
      </w:r>
      <w:r>
        <w:rPr>
          <w:rFonts w:ascii="Calibri"/>
          <w:spacing w:val="-4"/>
          <w:sz w:val="20"/>
          <w:vertAlign w:val="baseline"/>
        </w:rPr>
        <w:t> </w:t>
      </w:r>
      <w:r>
        <w:rPr>
          <w:rFonts w:ascii="Calibri"/>
          <w:sz w:val="20"/>
          <w:vertAlign w:val="baseline"/>
        </w:rPr>
        <w:t>303</w:t>
      </w:r>
      <w:r>
        <w:rPr>
          <w:rFonts w:ascii="Calibri"/>
          <w:spacing w:val="-3"/>
          <w:sz w:val="20"/>
          <w:vertAlign w:val="baseline"/>
        </w:rPr>
        <w:t> </w:t>
      </w:r>
      <w:r>
        <w:rPr>
          <w:rFonts w:ascii="Calibri"/>
          <w:sz w:val="20"/>
          <w:vertAlign w:val="baseline"/>
        </w:rPr>
        <w:t>and</w:t>
      </w:r>
      <w:r>
        <w:rPr>
          <w:rFonts w:ascii="Calibri"/>
          <w:spacing w:val="-6"/>
          <w:sz w:val="20"/>
          <w:vertAlign w:val="baseline"/>
        </w:rPr>
        <w:t> </w:t>
      </w:r>
      <w:r>
        <w:rPr>
          <w:rFonts w:ascii="Calibri"/>
          <w:spacing w:val="-4"/>
          <w:sz w:val="20"/>
          <w:vertAlign w:val="baseline"/>
        </w:rPr>
        <w:t>310.</w:t>
      </w:r>
    </w:p>
    <w:p>
      <w:pPr>
        <w:spacing w:line="240" w:lineRule="auto" w:before="1"/>
        <w:ind w:left="308" w:right="229" w:firstLine="0"/>
        <w:jc w:val="both"/>
        <w:rPr>
          <w:rFonts w:ascii="Calibri" w:hAnsi="Calibri"/>
          <w:sz w:val="20"/>
        </w:rPr>
      </w:pPr>
      <w:r>
        <w:rPr>
          <w:rFonts w:ascii="Calibri" w:hAnsi="Calibri"/>
          <w:sz w:val="20"/>
          <w:vertAlign w:val="superscript"/>
        </w:rPr>
        <w:t>156</w:t>
      </w:r>
      <w:r>
        <w:rPr>
          <w:rFonts w:ascii="Calibri" w:hAnsi="Calibri"/>
          <w:sz w:val="20"/>
          <w:vertAlign w:val="baseline"/>
        </w:rPr>
        <w:t> This is because, as earlier stated, the court would most likely let the directors get away with any business judgment exercised</w:t>
      </w:r>
      <w:r>
        <w:rPr>
          <w:rFonts w:ascii="Calibri" w:hAnsi="Calibri"/>
          <w:spacing w:val="-1"/>
          <w:sz w:val="20"/>
          <w:vertAlign w:val="baseline"/>
        </w:rPr>
        <w:t> </w:t>
      </w:r>
      <w:r>
        <w:rPr>
          <w:rFonts w:ascii="Calibri" w:hAnsi="Calibri"/>
          <w:sz w:val="20"/>
          <w:vertAlign w:val="baseline"/>
        </w:rPr>
        <w:t>in</w:t>
      </w:r>
      <w:r>
        <w:rPr>
          <w:rFonts w:ascii="Calibri" w:hAnsi="Calibri"/>
          <w:spacing w:val="-1"/>
          <w:sz w:val="20"/>
          <w:vertAlign w:val="baseline"/>
        </w:rPr>
        <w:t> </w:t>
      </w:r>
      <w:r>
        <w:rPr>
          <w:rFonts w:ascii="Calibri" w:hAnsi="Calibri"/>
          <w:sz w:val="20"/>
          <w:vertAlign w:val="baseline"/>
        </w:rPr>
        <w:t>good</w:t>
      </w:r>
      <w:r>
        <w:rPr>
          <w:rFonts w:ascii="Calibri" w:hAnsi="Calibri"/>
          <w:spacing w:val="-1"/>
          <w:sz w:val="20"/>
          <w:vertAlign w:val="baseline"/>
        </w:rPr>
        <w:t> </w:t>
      </w:r>
      <w:r>
        <w:rPr>
          <w:rFonts w:ascii="Calibri" w:hAnsi="Calibri"/>
          <w:sz w:val="20"/>
          <w:vertAlign w:val="baseline"/>
        </w:rPr>
        <w:t>faith “in the interests of the</w:t>
      </w:r>
      <w:r>
        <w:rPr>
          <w:rFonts w:ascii="Calibri" w:hAnsi="Calibri"/>
          <w:spacing w:val="-1"/>
          <w:sz w:val="20"/>
          <w:vertAlign w:val="baseline"/>
        </w:rPr>
        <w:t> </w:t>
      </w:r>
      <w:r>
        <w:rPr>
          <w:rFonts w:ascii="Calibri" w:hAnsi="Calibri"/>
          <w:sz w:val="20"/>
          <w:vertAlign w:val="baseline"/>
        </w:rPr>
        <w:t>company,” regardless of the</w:t>
      </w:r>
      <w:r>
        <w:rPr>
          <w:rFonts w:ascii="Calibri" w:hAnsi="Calibri"/>
          <w:spacing w:val="-1"/>
          <w:sz w:val="20"/>
          <w:vertAlign w:val="baseline"/>
        </w:rPr>
        <w:t> </w:t>
      </w:r>
      <w:r>
        <w:rPr>
          <w:rFonts w:ascii="Calibri" w:hAnsi="Calibri"/>
          <w:sz w:val="20"/>
          <w:vertAlign w:val="baseline"/>
        </w:rPr>
        <w:t>outcome. </w:t>
      </w:r>
      <w:r>
        <w:rPr>
          <w:rFonts w:ascii="Calibri" w:hAnsi="Calibri"/>
          <w:sz w:val="20"/>
          <w:vertAlign w:val="superscript"/>
        </w:rPr>
        <w:t>157</w:t>
      </w:r>
      <w:r>
        <w:rPr>
          <w:rFonts w:ascii="Calibri" w:hAnsi="Calibri"/>
          <w:sz w:val="20"/>
          <w:vertAlign w:val="baseline"/>
        </w:rPr>
        <w:t> See </w:t>
      </w:r>
      <w:r>
        <w:rPr>
          <w:rFonts w:ascii="Calibri" w:hAnsi="Calibri"/>
          <w:i/>
          <w:sz w:val="20"/>
          <w:vertAlign w:val="baseline"/>
        </w:rPr>
        <w:t>Re W &amp; M Roith Ltd. </w:t>
      </w:r>
      <w:r>
        <w:rPr>
          <w:rFonts w:ascii="Calibri" w:hAnsi="Calibri"/>
          <w:sz w:val="20"/>
          <w:vertAlign w:val="baseline"/>
        </w:rPr>
        <w:t>(1967) 1 W.L.R. 432., where the court ruled that making provision for the widow of a former employee was not binding on the</w:t>
      </w:r>
      <w:r>
        <w:rPr>
          <w:rFonts w:ascii="Calibri" w:hAnsi="Calibri"/>
          <w:spacing w:val="40"/>
          <w:sz w:val="20"/>
          <w:vertAlign w:val="baseline"/>
        </w:rPr>
        <w:t> </w:t>
      </w:r>
      <w:r>
        <w:rPr>
          <w:rFonts w:ascii="Calibri" w:hAnsi="Calibri"/>
          <w:sz w:val="20"/>
          <w:vertAlign w:val="baseline"/>
        </w:rPr>
        <w:t>company because it was not ultimately to the company’s benefit.</w:t>
      </w:r>
    </w:p>
    <w:p>
      <w:pPr>
        <w:spacing w:before="0"/>
        <w:ind w:left="308" w:right="227" w:firstLine="0"/>
        <w:jc w:val="both"/>
        <w:rPr>
          <w:rFonts w:ascii="Calibri"/>
          <w:sz w:val="20"/>
        </w:rPr>
      </w:pPr>
      <w:r>
        <w:rPr>
          <w:rFonts w:ascii="Calibri"/>
          <w:sz w:val="20"/>
          <w:vertAlign w:val="superscript"/>
        </w:rPr>
        <w:t>158</w:t>
      </w:r>
      <w:r>
        <w:rPr>
          <w:rFonts w:ascii="Calibri"/>
          <w:sz w:val="20"/>
          <w:vertAlign w:val="baseline"/>
        </w:rPr>
        <w:t>Ss. 342(5), 384 and 566, respectively. In particular, s.566 essentially rejects the decision in </w:t>
      </w:r>
      <w:r>
        <w:rPr>
          <w:rFonts w:ascii="Calibri"/>
          <w:i/>
          <w:sz w:val="20"/>
          <w:vertAlign w:val="baseline"/>
        </w:rPr>
        <w:t>Parke vs. Daily News Ltd. </w:t>
      </w:r>
      <w:r>
        <w:rPr>
          <w:rFonts w:ascii="Calibri"/>
          <w:sz w:val="20"/>
          <w:vertAlign w:val="baseline"/>
        </w:rPr>
        <w:t>(1962) Ch. 927, wherein the court held that the defendant company had no power to make redundancy payments to its employees.</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5"/>
        <w:jc w:val="both"/>
      </w:pPr>
      <w:r>
        <w:rPr/>
        <w:t>is profit: if the directors were to look only to achieving that, the overall business objective and long term success of the company may be jeopardised in a bid to make shareholders happy by declaring a dividend at every</w:t>
      </w:r>
      <w:r>
        <w:rPr>
          <w:spacing w:val="-4"/>
        </w:rPr>
        <w:t> </w:t>
      </w:r>
      <w:r>
        <w:rPr/>
        <w:t>turn. But then on the other hand, if directors were to be made to consider a broad picture of the various, albeit often conflicting, interests of the company‘s diverse stakeholders, including the shareholders, there is the nagging problem of deciding whose interests among all the stakeholders, should take</w:t>
      </w:r>
      <w:r>
        <w:rPr>
          <w:spacing w:val="-1"/>
        </w:rPr>
        <w:t> </w:t>
      </w:r>
      <w:r>
        <w:rPr/>
        <w:t>precedence in the event of</w:t>
      </w:r>
      <w:r>
        <w:rPr>
          <w:spacing w:val="-8"/>
        </w:rPr>
        <w:t> </w:t>
      </w:r>
      <w:r>
        <w:rPr/>
        <w:t>a clash in any</w:t>
      </w:r>
      <w:r>
        <w:rPr>
          <w:spacing w:val="-5"/>
        </w:rPr>
        <w:t> </w:t>
      </w:r>
      <w:r>
        <w:rPr/>
        <w:t>particular case? Finding a balance, when directors</w:t>
      </w:r>
      <w:r>
        <w:rPr>
          <w:spacing w:val="-2"/>
        </w:rPr>
        <w:t> </w:t>
      </w:r>
      <w:r>
        <w:rPr/>
        <w:t>are faced with</w:t>
      </w:r>
      <w:r>
        <w:rPr>
          <w:spacing w:val="-5"/>
        </w:rPr>
        <w:t> </w:t>
      </w:r>
      <w:r>
        <w:rPr/>
        <w:t>this situation, is</w:t>
      </w:r>
      <w:r>
        <w:rPr>
          <w:spacing w:val="-2"/>
        </w:rPr>
        <w:t> </w:t>
      </w:r>
      <w:r>
        <w:rPr/>
        <w:t>the one</w:t>
      </w:r>
      <w:r>
        <w:rPr>
          <w:spacing w:val="-1"/>
        </w:rPr>
        <w:t> </w:t>
      </w:r>
      <w:r>
        <w:rPr/>
        <w:t>thing that seems elusive, even for stakeholder theorists. Should stakeholders as well be armed with voting power within the corporation, this would significantly alter the whole theory of capitalism</w:t>
      </w:r>
      <w:r>
        <w:rPr>
          <w:vertAlign w:val="superscript"/>
        </w:rPr>
        <w:t>159</w:t>
      </w:r>
      <w:r>
        <w:rPr>
          <w:vertAlign w:val="baseline"/>
        </w:rPr>
        <w:t> and, by inference, the corporation, since companies</w:t>
      </w:r>
      <w:r>
        <w:rPr>
          <w:spacing w:val="-1"/>
          <w:vertAlign w:val="baseline"/>
        </w:rPr>
        <w:t> </w:t>
      </w:r>
      <w:r>
        <w:rPr>
          <w:vertAlign w:val="baseline"/>
        </w:rPr>
        <w:t>would then be obliged to play an active role in the pursuit of wider social policy goals, over and above their own business objectives.</w:t>
      </w:r>
      <w:r>
        <w:rPr>
          <w:vertAlign w:val="superscript"/>
        </w:rPr>
        <w:t>160</w:t>
      </w:r>
      <w:r>
        <w:rPr>
          <w:vertAlign w:val="baseline"/>
        </w:rPr>
        <w:t> The capital</w:t>
      </w:r>
      <w:r>
        <w:rPr>
          <w:spacing w:val="-6"/>
          <w:vertAlign w:val="baseline"/>
        </w:rPr>
        <w:t> </w:t>
      </w:r>
      <w:r>
        <w:rPr>
          <w:vertAlign w:val="baseline"/>
        </w:rPr>
        <w:t>owner would cease to be ―king‖, so to speak.</w:t>
      </w:r>
    </w:p>
    <w:p>
      <w:pPr>
        <w:pStyle w:val="BodyText"/>
        <w:spacing w:line="480" w:lineRule="auto" w:before="2"/>
        <w:ind w:right="225" w:firstLine="720"/>
        <w:jc w:val="both"/>
      </w:pPr>
      <w:r>
        <w:rPr/>
        <w:t>The fact remains that only the company can as of right legally enforce its directors‘ fiduciary duties. But then, who is </w:t>
      </w:r>
      <w:r>
        <w:rPr>
          <w:i/>
        </w:rPr>
        <w:t>the company? </w:t>
      </w:r>
      <w:r>
        <w:rPr/>
        <w:t>If the directors were to abandon</w:t>
      </w:r>
      <w:r>
        <w:rPr>
          <w:spacing w:val="-5"/>
        </w:rPr>
        <w:t> </w:t>
      </w:r>
      <w:r>
        <w:rPr/>
        <w:t>the interests</w:t>
      </w:r>
      <w:r>
        <w:rPr>
          <w:spacing w:val="-2"/>
        </w:rPr>
        <w:t> </w:t>
      </w:r>
      <w:r>
        <w:rPr/>
        <w:t>of</w:t>
      </w:r>
      <w:r>
        <w:rPr>
          <w:spacing w:val="-7"/>
        </w:rPr>
        <w:t> </w:t>
      </w:r>
      <w:r>
        <w:rPr/>
        <w:t>the</w:t>
      </w:r>
      <w:r>
        <w:rPr>
          <w:spacing w:val="-1"/>
        </w:rPr>
        <w:t> </w:t>
      </w:r>
      <w:r>
        <w:rPr/>
        <w:t>company in favour</w:t>
      </w:r>
      <w:r>
        <w:rPr>
          <w:spacing w:val="-3"/>
        </w:rPr>
        <w:t> </w:t>
      </w:r>
      <w:r>
        <w:rPr/>
        <w:t>of</w:t>
      </w:r>
      <w:r>
        <w:rPr>
          <w:spacing w:val="-7"/>
        </w:rPr>
        <w:t> </w:t>
      </w:r>
      <w:r>
        <w:rPr/>
        <w:t>the interests</w:t>
      </w:r>
      <w:r>
        <w:rPr>
          <w:spacing w:val="-2"/>
        </w:rPr>
        <w:t> </w:t>
      </w:r>
      <w:r>
        <w:rPr/>
        <w:t>of</w:t>
      </w:r>
      <w:r>
        <w:rPr>
          <w:spacing w:val="-7"/>
        </w:rPr>
        <w:t> </w:t>
      </w:r>
      <w:r>
        <w:rPr/>
        <w:t>the</w:t>
      </w:r>
      <w:r>
        <w:rPr>
          <w:spacing w:val="-1"/>
        </w:rPr>
        <w:t> </w:t>
      </w:r>
      <w:r>
        <w:rPr/>
        <w:t>shareholders—say, by declaring a dividend instead of</w:t>
      </w:r>
      <w:r>
        <w:rPr>
          <w:spacing w:val="-3"/>
        </w:rPr>
        <w:t> </w:t>
      </w:r>
      <w:r>
        <w:rPr/>
        <w:t>recapitalizing to buy</w:t>
      </w:r>
      <w:r>
        <w:rPr>
          <w:spacing w:val="-5"/>
        </w:rPr>
        <w:t> </w:t>
      </w:r>
      <w:r>
        <w:rPr/>
        <w:t>some much needed state-of-the- art machinery or employing better skilled labour—who would bring the directors to book in such a situation? Obviously, not the shareholders in whose ultimate favour the directors</w:t>
      </w:r>
      <w:r>
        <w:rPr>
          <w:spacing w:val="-3"/>
        </w:rPr>
        <w:t> </w:t>
      </w:r>
      <w:r>
        <w:rPr/>
        <w:t>might have</w:t>
      </w:r>
      <w:r>
        <w:rPr>
          <w:spacing w:val="-2"/>
        </w:rPr>
        <w:t> </w:t>
      </w:r>
      <w:r>
        <w:rPr/>
        <w:t>acted, and</w:t>
      </w:r>
      <w:r>
        <w:rPr>
          <w:spacing w:val="-1"/>
        </w:rPr>
        <w:t> </w:t>
      </w:r>
      <w:r>
        <w:rPr/>
        <w:t>definitely</w:t>
      </w:r>
      <w:r>
        <w:rPr>
          <w:spacing w:val="-1"/>
        </w:rPr>
        <w:t> </w:t>
      </w:r>
      <w:r>
        <w:rPr/>
        <w:t>not</w:t>
      </w:r>
      <w:r>
        <w:rPr>
          <w:spacing w:val="-5"/>
        </w:rPr>
        <w:t> </w:t>
      </w:r>
      <w:r>
        <w:rPr/>
        <w:t>the</w:t>
      </w:r>
      <w:r>
        <w:rPr>
          <w:spacing w:val="-2"/>
        </w:rPr>
        <w:t> </w:t>
      </w:r>
      <w:r>
        <w:rPr/>
        <w:t>directors</w:t>
      </w:r>
      <w:r>
        <w:rPr>
          <w:spacing w:val="-8"/>
        </w:rPr>
        <w:t> </w:t>
      </w:r>
      <w:r>
        <w:rPr/>
        <w:t>themselves</w:t>
      </w:r>
      <w:r>
        <w:rPr>
          <w:spacing w:val="-3"/>
        </w:rPr>
        <w:t> </w:t>
      </w:r>
      <w:r>
        <w:rPr/>
        <w:t>who may</w:t>
      </w:r>
      <w:r>
        <w:rPr>
          <w:spacing w:val="-6"/>
        </w:rPr>
        <w:t> </w:t>
      </w:r>
      <w:r>
        <w:rPr/>
        <w:t>stand</w:t>
      </w:r>
      <w:r>
        <w:rPr>
          <w:spacing w:val="-1"/>
        </w:rPr>
        <w:t> </w:t>
      </w:r>
      <w:r>
        <w:rPr/>
        <w:t>to be</w:t>
      </w:r>
      <w:r>
        <w:rPr>
          <w:spacing w:val="-4"/>
        </w:rPr>
        <w:t> </w:t>
      </w:r>
      <w:r>
        <w:rPr/>
        <w:t>indicted</w:t>
      </w:r>
      <w:r>
        <w:rPr>
          <w:spacing w:val="-8"/>
        </w:rPr>
        <w:t> </w:t>
      </w:r>
      <w:r>
        <w:rPr/>
        <w:t>for</w:t>
      </w:r>
      <w:r>
        <w:rPr>
          <w:spacing w:val="-7"/>
        </w:rPr>
        <w:t> </w:t>
      </w:r>
      <w:r>
        <w:rPr/>
        <w:t>breach</w:t>
      </w:r>
      <w:r>
        <w:rPr>
          <w:spacing w:val="-12"/>
        </w:rPr>
        <w:t> </w:t>
      </w:r>
      <w:r>
        <w:rPr/>
        <w:t>of</w:t>
      </w:r>
      <w:r>
        <w:rPr>
          <w:spacing w:val="-15"/>
        </w:rPr>
        <w:t> </w:t>
      </w:r>
      <w:r>
        <w:rPr/>
        <w:t>duty.</w:t>
      </w:r>
      <w:r>
        <w:rPr>
          <w:spacing w:val="-6"/>
        </w:rPr>
        <w:t> </w:t>
      </w:r>
      <w:r>
        <w:rPr/>
        <w:t>Unfortunately,</w:t>
      </w:r>
      <w:r>
        <w:rPr>
          <w:spacing w:val="-6"/>
        </w:rPr>
        <w:t> </w:t>
      </w:r>
      <w:r>
        <w:rPr/>
        <w:t>these</w:t>
      </w:r>
      <w:r>
        <w:rPr>
          <w:spacing w:val="-9"/>
        </w:rPr>
        <w:t> </w:t>
      </w:r>
      <w:r>
        <w:rPr/>
        <w:t>are</w:t>
      </w:r>
      <w:r>
        <w:rPr>
          <w:spacing w:val="-9"/>
        </w:rPr>
        <w:t> </w:t>
      </w:r>
      <w:r>
        <w:rPr/>
        <w:t>the</w:t>
      </w:r>
      <w:r>
        <w:rPr>
          <w:spacing w:val="-9"/>
        </w:rPr>
        <w:t> </w:t>
      </w:r>
      <w:r>
        <w:rPr/>
        <w:t>only</w:t>
      </w:r>
      <w:r>
        <w:rPr>
          <w:spacing w:val="-12"/>
        </w:rPr>
        <w:t> </w:t>
      </w:r>
      <w:r>
        <w:rPr/>
        <w:t>―organs‖ through</w:t>
      </w:r>
      <w:r>
        <w:rPr>
          <w:spacing w:val="-12"/>
        </w:rPr>
        <w:t> </w:t>
      </w:r>
      <w:r>
        <w:rPr/>
        <w:t>which the company might have acted in order to redress the ―wrong‖.</w:t>
      </w:r>
      <w:r>
        <w:rPr>
          <w:vertAlign w:val="superscript"/>
        </w:rPr>
        <w:t>161</w:t>
      </w:r>
      <w:r>
        <w:rPr>
          <w:vertAlign w:val="baseline"/>
        </w:rPr>
        <w:t> Under the circumstances, therefore, it</w:t>
      </w:r>
      <w:r>
        <w:rPr>
          <w:spacing w:val="17"/>
          <w:vertAlign w:val="baseline"/>
        </w:rPr>
        <w:t> </w:t>
      </w:r>
      <w:r>
        <w:rPr>
          <w:vertAlign w:val="baseline"/>
        </w:rPr>
        <w:t>is hardly surprising that to date, there has been no report of</w:t>
      </w:r>
    </w:p>
    <w:p>
      <w:pPr>
        <w:pStyle w:val="BodyText"/>
        <w:spacing w:before="3"/>
        <w:jc w:val="both"/>
      </w:pPr>
      <w:r>
        <w:rPr/>
        <w:t>an</w:t>
      </w:r>
      <w:r>
        <w:rPr>
          <w:spacing w:val="-7"/>
        </w:rPr>
        <w:t> </w:t>
      </w:r>
      <w:r>
        <w:rPr/>
        <w:t>action</w:t>
      </w:r>
      <w:r>
        <w:rPr>
          <w:spacing w:val="-5"/>
        </w:rPr>
        <w:t> </w:t>
      </w:r>
      <w:r>
        <w:rPr/>
        <w:t>to</w:t>
      </w:r>
      <w:r>
        <w:rPr>
          <w:spacing w:val="6"/>
        </w:rPr>
        <w:t> </w:t>
      </w:r>
      <w:r>
        <w:rPr/>
        <w:t>enforce</w:t>
      </w:r>
      <w:r>
        <w:rPr>
          <w:spacing w:val="-3"/>
        </w:rPr>
        <w:t> </w:t>
      </w:r>
      <w:r>
        <w:rPr/>
        <w:t>the</w:t>
      </w:r>
      <w:r>
        <w:rPr>
          <w:spacing w:val="-1"/>
        </w:rPr>
        <w:t> </w:t>
      </w:r>
      <w:r>
        <w:rPr/>
        <w:t>employees‘</w:t>
      </w:r>
      <w:r>
        <w:rPr>
          <w:spacing w:val="-2"/>
        </w:rPr>
        <w:t> </w:t>
      </w:r>
      <w:r>
        <w:rPr/>
        <w:t>aspect of</w:t>
      </w:r>
      <w:r>
        <w:rPr>
          <w:spacing w:val="-8"/>
        </w:rPr>
        <w:t> </w:t>
      </w:r>
      <w:r>
        <w:rPr/>
        <w:t>s.</w:t>
      </w:r>
      <w:r>
        <w:rPr>
          <w:spacing w:val="7"/>
        </w:rPr>
        <w:t> </w:t>
      </w:r>
      <w:r>
        <w:rPr>
          <w:spacing w:val="-2"/>
        </w:rPr>
        <w:t>279(4).</w:t>
      </w:r>
    </w:p>
    <w:p>
      <w:pPr>
        <w:pStyle w:val="BodyText"/>
        <w:spacing w:before="3"/>
        <w:ind w:left="0"/>
        <w:rPr>
          <w:sz w:val="14"/>
        </w:rPr>
      </w:pPr>
      <w:r>
        <w:rPr/>
        <mc:AlternateContent>
          <mc:Choice Requires="wps">
            <w:drawing>
              <wp:anchor distT="0" distB="0" distL="0" distR="0" allowOverlap="1" layoutInCell="1" locked="0" behindDoc="1" simplePos="0" relativeHeight="487652352">
                <wp:simplePos x="0" y="0"/>
                <wp:positionH relativeFrom="page">
                  <wp:posOffset>1262481</wp:posOffset>
                </wp:positionH>
                <wp:positionV relativeFrom="paragraph">
                  <wp:posOffset>119444</wp:posOffset>
                </wp:positionV>
                <wp:extent cx="1829435" cy="9525"/>
                <wp:effectExtent l="0" t="0" r="0" b="0"/>
                <wp:wrapTopAndBottom/>
                <wp:docPr id="142" name="Graphic 142"/>
                <wp:cNvGraphicFramePr>
                  <a:graphicFrameLocks/>
                </wp:cNvGraphicFramePr>
                <a:graphic>
                  <a:graphicData uri="http://schemas.microsoft.com/office/word/2010/wordprocessingShape">
                    <wps:wsp>
                      <wps:cNvPr id="142" name="Graphic 14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5108pt;width:144.050pt;height:.71997pt;mso-position-horizontal-relative:page;mso-position-vertical-relative:paragraph;z-index:-15664128;mso-wrap-distance-left:0;mso-wrap-distance-right:0" id="docshape9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159</w:t>
      </w:r>
      <w:r>
        <w:rPr>
          <w:rFonts w:ascii="Calibri"/>
          <w:sz w:val="20"/>
          <w:vertAlign w:val="baseline"/>
        </w:rPr>
        <w:t>Which</w:t>
      </w:r>
      <w:r>
        <w:rPr>
          <w:rFonts w:ascii="Calibri"/>
          <w:spacing w:val="-7"/>
          <w:sz w:val="20"/>
          <w:vertAlign w:val="baseline"/>
        </w:rPr>
        <w:t> </w:t>
      </w:r>
      <w:r>
        <w:rPr>
          <w:rFonts w:ascii="Calibri"/>
          <w:sz w:val="20"/>
          <w:vertAlign w:val="baseline"/>
        </w:rPr>
        <w:t>posits</w:t>
      </w:r>
      <w:r>
        <w:rPr>
          <w:rFonts w:ascii="Calibri"/>
          <w:spacing w:val="-4"/>
          <w:sz w:val="20"/>
          <w:vertAlign w:val="baseline"/>
        </w:rPr>
        <w:t> </w:t>
      </w:r>
      <w:r>
        <w:rPr>
          <w:rFonts w:ascii="Calibri"/>
          <w:sz w:val="20"/>
          <w:vertAlign w:val="baseline"/>
        </w:rPr>
        <w:t>that</w:t>
      </w:r>
      <w:r>
        <w:rPr>
          <w:rFonts w:ascii="Calibri"/>
          <w:spacing w:val="-7"/>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owner</w:t>
      </w:r>
      <w:r>
        <w:rPr>
          <w:rFonts w:ascii="Calibri"/>
          <w:spacing w:val="-5"/>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capital</w:t>
      </w:r>
      <w:r>
        <w:rPr>
          <w:rFonts w:ascii="Calibri"/>
          <w:spacing w:val="-4"/>
          <w:sz w:val="20"/>
          <w:vertAlign w:val="baseline"/>
        </w:rPr>
        <w:t> </w:t>
      </w:r>
      <w:r>
        <w:rPr>
          <w:rFonts w:ascii="Calibri"/>
          <w:sz w:val="20"/>
          <w:vertAlign w:val="baseline"/>
        </w:rPr>
        <w:t>has</w:t>
      </w:r>
      <w:r>
        <w:rPr>
          <w:rFonts w:ascii="Calibri"/>
          <w:spacing w:val="-4"/>
          <w:sz w:val="20"/>
          <w:vertAlign w:val="baseline"/>
        </w:rPr>
        <w:t> </w:t>
      </w:r>
      <w:r>
        <w:rPr>
          <w:rFonts w:ascii="Calibri"/>
          <w:sz w:val="20"/>
          <w:vertAlign w:val="baseline"/>
        </w:rPr>
        <w:t>the</w:t>
      </w:r>
      <w:r>
        <w:rPr>
          <w:rFonts w:ascii="Calibri"/>
          <w:spacing w:val="-1"/>
          <w:sz w:val="20"/>
          <w:vertAlign w:val="baseline"/>
        </w:rPr>
        <w:t> </w:t>
      </w:r>
      <w:r>
        <w:rPr>
          <w:rFonts w:ascii="Calibri"/>
          <w:sz w:val="20"/>
          <w:vertAlign w:val="baseline"/>
        </w:rPr>
        <w:t>sole</w:t>
      </w:r>
      <w:r>
        <w:rPr>
          <w:rFonts w:ascii="Calibri"/>
          <w:spacing w:val="-6"/>
          <w:sz w:val="20"/>
          <w:vertAlign w:val="baseline"/>
        </w:rPr>
        <w:t> </w:t>
      </w:r>
      <w:r>
        <w:rPr>
          <w:rFonts w:ascii="Calibri"/>
          <w:sz w:val="20"/>
          <w:vertAlign w:val="baseline"/>
        </w:rPr>
        <w:t>right</w:t>
      </w:r>
      <w:r>
        <w:rPr>
          <w:rFonts w:ascii="Calibri"/>
          <w:spacing w:val="-3"/>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control</w:t>
      </w:r>
      <w:r>
        <w:rPr>
          <w:rFonts w:ascii="Calibri"/>
          <w:spacing w:val="-5"/>
          <w:sz w:val="20"/>
          <w:vertAlign w:val="baseline"/>
        </w:rPr>
        <w:t> </w:t>
      </w:r>
      <w:r>
        <w:rPr>
          <w:rFonts w:ascii="Calibri"/>
          <w:sz w:val="20"/>
          <w:vertAlign w:val="baseline"/>
        </w:rPr>
        <w:t>over</w:t>
      </w:r>
      <w:r>
        <w:rPr>
          <w:rFonts w:ascii="Calibri"/>
          <w:spacing w:val="-4"/>
          <w:sz w:val="20"/>
          <w:vertAlign w:val="baseline"/>
        </w:rPr>
        <w:t> </w:t>
      </w:r>
      <w:r>
        <w:rPr>
          <w:rFonts w:ascii="Calibri"/>
          <w:sz w:val="20"/>
          <w:vertAlign w:val="baseline"/>
        </w:rPr>
        <w:t>its</w:t>
      </w:r>
      <w:r>
        <w:rPr>
          <w:rFonts w:ascii="Calibri"/>
          <w:spacing w:val="-4"/>
          <w:sz w:val="20"/>
          <w:vertAlign w:val="baseline"/>
        </w:rPr>
        <w:t> </w:t>
      </w:r>
      <w:r>
        <w:rPr>
          <w:rFonts w:ascii="Calibri"/>
          <w:sz w:val="20"/>
          <w:vertAlign w:val="baseline"/>
        </w:rPr>
        <w:t>use</w:t>
      </w:r>
      <w:r>
        <w:rPr>
          <w:rFonts w:ascii="Calibri"/>
          <w:spacing w:val="-6"/>
          <w:sz w:val="20"/>
          <w:vertAlign w:val="baseline"/>
        </w:rPr>
        <w:t> </w:t>
      </w:r>
      <w:r>
        <w:rPr>
          <w:rFonts w:ascii="Calibri"/>
          <w:sz w:val="20"/>
          <w:vertAlign w:val="baseline"/>
        </w:rPr>
        <w:t>and</w:t>
      </w:r>
      <w:r>
        <w:rPr>
          <w:rFonts w:ascii="Calibri"/>
          <w:spacing w:val="-6"/>
          <w:sz w:val="20"/>
          <w:vertAlign w:val="baseline"/>
        </w:rPr>
        <w:t> </w:t>
      </w:r>
      <w:r>
        <w:rPr>
          <w:rFonts w:ascii="Calibri"/>
          <w:spacing w:val="-2"/>
          <w:sz w:val="20"/>
          <w:vertAlign w:val="baseline"/>
        </w:rPr>
        <w:t>proceeds.</w:t>
      </w:r>
    </w:p>
    <w:p>
      <w:pPr>
        <w:spacing w:before="1"/>
        <w:ind w:left="308" w:right="0" w:firstLine="0"/>
        <w:jc w:val="left"/>
        <w:rPr>
          <w:rFonts w:ascii="Calibri"/>
          <w:sz w:val="20"/>
        </w:rPr>
      </w:pPr>
      <w:r>
        <w:rPr>
          <w:rFonts w:ascii="Calibri"/>
          <w:sz w:val="20"/>
          <w:vertAlign w:val="superscript"/>
        </w:rPr>
        <w:t>160</w:t>
      </w:r>
      <w:r>
        <w:rPr>
          <w:rFonts w:ascii="Calibri"/>
          <w:sz w:val="20"/>
          <w:vertAlign w:val="baseline"/>
        </w:rPr>
        <w:t>Davies,</w:t>
      </w:r>
      <w:r>
        <w:rPr>
          <w:rFonts w:ascii="Calibri"/>
          <w:spacing w:val="-2"/>
          <w:sz w:val="20"/>
          <w:vertAlign w:val="baseline"/>
        </w:rPr>
        <w:t> </w:t>
      </w:r>
      <w:r>
        <w:rPr>
          <w:rFonts w:ascii="Calibri"/>
          <w:sz w:val="20"/>
          <w:vertAlign w:val="baseline"/>
        </w:rPr>
        <w:t>J.</w:t>
      </w:r>
      <w:r>
        <w:rPr>
          <w:rFonts w:ascii="Calibri"/>
          <w:spacing w:val="-1"/>
          <w:sz w:val="20"/>
          <w:vertAlign w:val="baseline"/>
        </w:rPr>
        <w:t> </w:t>
      </w:r>
      <w:r>
        <w:rPr>
          <w:rFonts w:ascii="Calibri"/>
          <w:spacing w:val="-2"/>
          <w:sz w:val="20"/>
          <w:vertAlign w:val="baseline"/>
        </w:rPr>
        <w:t>op.cit.</w:t>
      </w:r>
    </w:p>
    <w:p>
      <w:pPr>
        <w:spacing w:before="0"/>
        <w:ind w:left="308" w:right="0" w:firstLine="0"/>
        <w:jc w:val="left"/>
        <w:rPr>
          <w:rFonts w:ascii="Calibri"/>
          <w:sz w:val="20"/>
        </w:rPr>
      </w:pPr>
      <w:r>
        <w:rPr>
          <w:rFonts w:ascii="Calibri"/>
          <w:sz w:val="20"/>
          <w:vertAlign w:val="superscript"/>
        </w:rPr>
        <w:t>161</w:t>
      </w:r>
      <w:r>
        <w:rPr>
          <w:rFonts w:ascii="Calibri"/>
          <w:sz w:val="20"/>
          <w:vertAlign w:val="baseline"/>
        </w:rPr>
        <w:t> See</w:t>
      </w:r>
      <w:r>
        <w:rPr>
          <w:rFonts w:ascii="Calibri"/>
          <w:spacing w:val="-5"/>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63(3)</w:t>
      </w:r>
      <w:r>
        <w:rPr>
          <w:rFonts w:ascii="Calibri"/>
          <w:spacing w:val="-4"/>
          <w:sz w:val="20"/>
          <w:vertAlign w:val="baseline"/>
        </w:rPr>
        <w:t> </w:t>
      </w:r>
      <w:r>
        <w:rPr>
          <w:rFonts w:ascii="Calibri"/>
          <w:sz w:val="20"/>
          <w:vertAlign w:val="baseline"/>
        </w:rPr>
        <w:t>&amp;</w:t>
      </w:r>
      <w:r>
        <w:rPr>
          <w:rFonts w:ascii="Calibri"/>
          <w:spacing w:val="-3"/>
          <w:sz w:val="20"/>
          <w:vertAlign w:val="baseline"/>
        </w:rPr>
        <w:t> </w:t>
      </w:r>
      <w:r>
        <w:rPr>
          <w:rFonts w:ascii="Calibri"/>
          <w:spacing w:val="-2"/>
          <w:sz w:val="20"/>
          <w:vertAlign w:val="baseline"/>
        </w:rPr>
        <w:t>(5)(b).</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7" w:firstLine="720"/>
        <w:jc w:val="both"/>
      </w:pPr>
      <w:r>
        <w:rPr/>
        <w:t>In Nigeria, outside of corporate law, there are several ways a company‘s stakeholders could possibly protect their stakes in the corporation. Apart from the all- pervading contract law, there is the Consumer Protection</w:t>
      </w:r>
      <w:r>
        <w:rPr>
          <w:spacing w:val="-1"/>
        </w:rPr>
        <w:t> </w:t>
      </w:r>
      <w:r>
        <w:rPr/>
        <w:t>Council Act</w:t>
      </w:r>
      <w:r>
        <w:rPr>
          <w:vertAlign w:val="superscript"/>
        </w:rPr>
        <w:t>162</w:t>
      </w:r>
      <w:r>
        <w:rPr>
          <w:vertAlign w:val="baseline"/>
        </w:rPr>
        <w:t> for consumers; the various labour and industrial laws for employees; and many tax and environmental laws that host communities can fall back on</w:t>
      </w:r>
      <w:r>
        <w:rPr>
          <w:spacing w:val="-1"/>
          <w:vertAlign w:val="baseline"/>
        </w:rPr>
        <w:t> </w:t>
      </w:r>
      <w:r>
        <w:rPr>
          <w:vertAlign w:val="baseline"/>
        </w:rPr>
        <w:t>to, albeit indirectly, enforce any</w:t>
      </w:r>
      <w:r>
        <w:rPr>
          <w:spacing w:val="-1"/>
          <w:vertAlign w:val="baseline"/>
        </w:rPr>
        <w:t> </w:t>
      </w:r>
      <w:r>
        <w:rPr>
          <w:vertAlign w:val="baseline"/>
        </w:rPr>
        <w:t>rights they may have against the company.</w:t>
      </w:r>
    </w:p>
    <w:p>
      <w:pPr>
        <w:pStyle w:val="BodyText"/>
        <w:spacing w:line="480" w:lineRule="auto" w:before="1"/>
        <w:ind w:right="181" w:firstLine="720"/>
        <w:jc w:val="both"/>
      </w:pPr>
      <w:r>
        <w:rPr/>
        <w:t>In</w:t>
      </w:r>
      <w:r>
        <w:rPr>
          <w:spacing w:val="-6"/>
        </w:rPr>
        <w:t> </w:t>
      </w:r>
      <w:r>
        <w:rPr/>
        <w:t>sum, it appears that, unless</w:t>
      </w:r>
      <w:r>
        <w:rPr>
          <w:spacing w:val="-3"/>
        </w:rPr>
        <w:t> </w:t>
      </w:r>
      <w:r>
        <w:rPr/>
        <w:t>company</w:t>
      </w:r>
      <w:r>
        <w:rPr>
          <w:spacing w:val="-1"/>
        </w:rPr>
        <w:t> </w:t>
      </w:r>
      <w:r>
        <w:rPr/>
        <w:t>law is prepared</w:t>
      </w:r>
      <w:r>
        <w:rPr>
          <w:spacing w:val="-1"/>
        </w:rPr>
        <w:t> </w:t>
      </w:r>
      <w:r>
        <w:rPr/>
        <w:t>to grant full voting rights to the stakeholders of the company, stakeholder theory is just that: theory. It would be very difficult to effectively put it into practice. However, the interests of the company‘s stakeholders would continue to be addressed within the existing corporate legal framework,</w:t>
      </w:r>
      <w:r>
        <w:rPr>
          <w:spacing w:val="-3"/>
        </w:rPr>
        <w:t> </w:t>
      </w:r>
      <w:r>
        <w:rPr/>
        <w:t>to</w:t>
      </w:r>
      <w:r>
        <w:rPr>
          <w:spacing w:val="-4"/>
        </w:rPr>
        <w:t> </w:t>
      </w:r>
      <w:r>
        <w:rPr/>
        <w:t>the</w:t>
      </w:r>
      <w:r>
        <w:rPr>
          <w:spacing w:val="-1"/>
        </w:rPr>
        <w:t> </w:t>
      </w:r>
      <w:r>
        <w:rPr/>
        <w:t>extent that they</w:t>
      </w:r>
      <w:r>
        <w:rPr>
          <w:spacing w:val="-10"/>
        </w:rPr>
        <w:t> </w:t>
      </w:r>
      <w:r>
        <w:rPr/>
        <w:t>have</w:t>
      </w:r>
      <w:r>
        <w:rPr>
          <w:spacing w:val="-1"/>
        </w:rPr>
        <w:t> </w:t>
      </w:r>
      <w:r>
        <w:rPr/>
        <w:t>a bearing on</w:t>
      </w:r>
      <w:r>
        <w:rPr>
          <w:spacing w:val="-5"/>
        </w:rPr>
        <w:t> </w:t>
      </w:r>
      <w:r>
        <w:rPr/>
        <w:t>the</w:t>
      </w:r>
      <w:r>
        <w:rPr>
          <w:spacing w:val="-1"/>
        </w:rPr>
        <w:t> </w:t>
      </w:r>
      <w:r>
        <w:rPr/>
        <w:t>ultimate interest of</w:t>
      </w:r>
      <w:r>
        <w:rPr>
          <w:spacing w:val="-8"/>
        </w:rPr>
        <w:t> </w:t>
      </w:r>
      <w:r>
        <w:rPr/>
        <w:t>the</w:t>
      </w:r>
      <w:r>
        <w:rPr>
          <w:spacing w:val="-1"/>
        </w:rPr>
        <w:t> </w:t>
      </w:r>
      <w:r>
        <w:rPr/>
        <w:t>company </w:t>
      </w:r>
      <w:r>
        <w:rPr>
          <w:i/>
        </w:rPr>
        <w:t>for the benefit of its members</w:t>
      </w:r>
      <w:r>
        <w:rPr/>
        <w:t>and also through a corpus of relevant statutes outside of corporate law.</w:t>
      </w:r>
    </w:p>
    <w:p>
      <w:pPr>
        <w:pStyle w:val="BodyText"/>
        <w:spacing w:line="480" w:lineRule="auto" w:before="1"/>
        <w:ind w:right="179" w:firstLine="720"/>
        <w:jc w:val="both"/>
      </w:pPr>
      <w:r>
        <w:rPr/>
        <w:t>Having addressed the preliminary questions regarding to whom directors owe their fiduciary</w:t>
      </w:r>
      <w:r>
        <w:rPr>
          <w:spacing w:val="-10"/>
        </w:rPr>
        <w:t> </w:t>
      </w:r>
      <w:r>
        <w:rPr/>
        <w:t>duties, as</w:t>
      </w:r>
      <w:r>
        <w:rPr>
          <w:spacing w:val="-3"/>
        </w:rPr>
        <w:t> </w:t>
      </w:r>
      <w:r>
        <w:rPr/>
        <w:t>well</w:t>
      </w:r>
      <w:r>
        <w:rPr>
          <w:spacing w:val="-6"/>
        </w:rPr>
        <w:t> </w:t>
      </w:r>
      <w:r>
        <w:rPr/>
        <w:t>as in</w:t>
      </w:r>
      <w:r>
        <w:rPr>
          <w:spacing w:val="-6"/>
        </w:rPr>
        <w:t> </w:t>
      </w:r>
      <w:r>
        <w:rPr/>
        <w:t>whose interests</w:t>
      </w:r>
      <w:r>
        <w:rPr>
          <w:spacing w:val="-8"/>
        </w:rPr>
        <w:t> </w:t>
      </w:r>
      <w:r>
        <w:rPr/>
        <w:t>they</w:t>
      </w:r>
      <w:r>
        <w:rPr>
          <w:spacing w:val="-6"/>
        </w:rPr>
        <w:t> </w:t>
      </w:r>
      <w:r>
        <w:rPr/>
        <w:t>in</w:t>
      </w:r>
      <w:r>
        <w:rPr>
          <w:spacing w:val="-1"/>
        </w:rPr>
        <w:t> </w:t>
      </w:r>
      <w:r>
        <w:rPr/>
        <w:t>fact manage</w:t>
      </w:r>
      <w:r>
        <w:rPr>
          <w:spacing w:val="-2"/>
        </w:rPr>
        <w:t> </w:t>
      </w:r>
      <w:r>
        <w:rPr/>
        <w:t>the</w:t>
      </w:r>
      <w:r>
        <w:rPr>
          <w:spacing w:val="-2"/>
        </w:rPr>
        <w:t> </w:t>
      </w:r>
      <w:r>
        <w:rPr/>
        <w:t>company, this work presently</w:t>
      </w:r>
      <w:r>
        <w:rPr>
          <w:spacing w:val="-4"/>
        </w:rPr>
        <w:t> </w:t>
      </w:r>
      <w:r>
        <w:rPr/>
        <w:t>considers the statutory</w:t>
      </w:r>
      <w:r>
        <w:rPr>
          <w:spacing w:val="-9"/>
        </w:rPr>
        <w:t> </w:t>
      </w:r>
      <w:r>
        <w:rPr/>
        <w:t>expression of</w:t>
      </w:r>
      <w:r>
        <w:rPr>
          <w:spacing w:val="-7"/>
        </w:rPr>
        <w:t> </w:t>
      </w:r>
      <w:r>
        <w:rPr/>
        <w:t>those duties</w:t>
      </w:r>
      <w:r>
        <w:rPr>
          <w:spacing w:val="40"/>
        </w:rPr>
        <w:t> </w:t>
      </w:r>
      <w:r>
        <w:rPr/>
        <w:t>and the court decisions expounding them.</w:t>
      </w:r>
    </w:p>
    <w:p>
      <w:pPr>
        <w:pStyle w:val="Heading2"/>
        <w:numPr>
          <w:ilvl w:val="1"/>
          <w:numId w:val="12"/>
        </w:numPr>
        <w:tabs>
          <w:tab w:pos="1441" w:val="left" w:leader="none"/>
        </w:tabs>
        <w:spacing w:line="276" w:lineRule="auto" w:before="208" w:after="0"/>
        <w:ind w:left="1441" w:right="186" w:hanging="1133"/>
        <w:jc w:val="both"/>
      </w:pPr>
      <w:r>
        <w:rPr/>
        <w:t>Duty to Act in the Best Interests of the Company and for Proper</w:t>
      </w:r>
      <w:r>
        <w:rPr>
          <w:spacing w:val="40"/>
        </w:rPr>
        <w:t> </w:t>
      </w:r>
      <w:r>
        <w:rPr>
          <w:spacing w:val="-2"/>
        </w:rPr>
        <w:t>Purpose</w:t>
      </w:r>
    </w:p>
    <w:p>
      <w:pPr>
        <w:pStyle w:val="BodyText"/>
        <w:spacing w:line="480" w:lineRule="auto"/>
        <w:ind w:right="184"/>
        <w:jc w:val="both"/>
      </w:pPr>
      <w:r>
        <w:rPr/>
        <w:t>A popular view</w:t>
      </w:r>
      <w:r>
        <w:rPr>
          <w:vertAlign w:val="superscript"/>
        </w:rPr>
        <w:t>163</w:t>
      </w:r>
      <w:r>
        <w:rPr>
          <w:vertAlign w:val="baseline"/>
        </w:rPr>
        <w:t> holds that the duty of the director is ultimately to the company because his allowances and or remuneration is paid by the company and whenever he is found wanting in his obligations, it is the company and only the company that can call him to order, through the instrumentality of the board of directors or the general</w:t>
      </w:r>
      <w:r>
        <w:rPr>
          <w:spacing w:val="40"/>
          <w:vertAlign w:val="baseline"/>
        </w:rPr>
        <w:t> </w:t>
      </w:r>
      <w:r>
        <w:rPr>
          <w:vertAlign w:val="baseline"/>
        </w:rPr>
        <w:t>meeting. It is the authority given him by the company via his appointment to office that</w:t>
      </w:r>
    </w:p>
    <w:p>
      <w:pPr>
        <w:pStyle w:val="BodyText"/>
        <w:spacing w:before="167"/>
        <w:ind w:left="0"/>
        <w:rPr>
          <w:sz w:val="20"/>
        </w:rPr>
      </w:pPr>
      <w:r>
        <w:rPr/>
        <mc:AlternateContent>
          <mc:Choice Requires="wps">
            <w:drawing>
              <wp:anchor distT="0" distB="0" distL="0" distR="0" allowOverlap="1" layoutInCell="1" locked="0" behindDoc="1" simplePos="0" relativeHeight="487652864">
                <wp:simplePos x="0" y="0"/>
                <wp:positionH relativeFrom="page">
                  <wp:posOffset>1262481</wp:posOffset>
                </wp:positionH>
                <wp:positionV relativeFrom="paragraph">
                  <wp:posOffset>267389</wp:posOffset>
                </wp:positionV>
                <wp:extent cx="1829435" cy="9525"/>
                <wp:effectExtent l="0" t="0" r="0" b="0"/>
                <wp:wrapTopAndBottom/>
                <wp:docPr id="143" name="Graphic 143"/>
                <wp:cNvGraphicFramePr>
                  <a:graphicFrameLocks/>
                </wp:cNvGraphicFramePr>
                <a:graphic>
                  <a:graphicData uri="http://schemas.microsoft.com/office/word/2010/wordprocessingShape">
                    <wps:wsp>
                      <wps:cNvPr id="143" name="Graphic 14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054287pt;width:144.050pt;height:.71997pt;mso-position-horizontal-relative:page;mso-position-vertical-relative:paragraph;z-index:-15663616;mso-wrap-distance-left:0;mso-wrap-distance-right:0" id="docshape98"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162</w:t>
      </w:r>
      <w:r>
        <w:rPr>
          <w:rFonts w:ascii="Calibri"/>
          <w:sz w:val="20"/>
          <w:vertAlign w:val="baseline"/>
        </w:rPr>
        <w:t> Cap</w:t>
      </w:r>
      <w:r>
        <w:rPr>
          <w:rFonts w:ascii="Calibri"/>
          <w:spacing w:val="-3"/>
          <w:sz w:val="20"/>
          <w:vertAlign w:val="baseline"/>
        </w:rPr>
        <w:t> </w:t>
      </w:r>
      <w:r>
        <w:rPr>
          <w:rFonts w:ascii="Calibri"/>
          <w:sz w:val="20"/>
          <w:vertAlign w:val="baseline"/>
        </w:rPr>
        <w:t>C25,</w:t>
      </w:r>
      <w:r>
        <w:rPr>
          <w:rFonts w:ascii="Calibri"/>
          <w:spacing w:val="-4"/>
          <w:sz w:val="20"/>
          <w:vertAlign w:val="baseline"/>
        </w:rPr>
        <w:t> </w:t>
      </w:r>
      <w:r>
        <w:rPr>
          <w:rFonts w:ascii="Calibri"/>
          <w:sz w:val="20"/>
          <w:vertAlign w:val="baseline"/>
        </w:rPr>
        <w:t>Laws</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Federation</w:t>
      </w:r>
      <w:r>
        <w:rPr>
          <w:rFonts w:ascii="Calibri"/>
          <w:spacing w:val="-7"/>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Nigeria</w:t>
      </w:r>
      <w:r>
        <w:rPr>
          <w:rFonts w:ascii="Calibri"/>
          <w:spacing w:val="-6"/>
          <w:sz w:val="20"/>
          <w:vertAlign w:val="baseline"/>
        </w:rPr>
        <w:t> </w:t>
      </w:r>
      <w:r>
        <w:rPr>
          <w:rFonts w:ascii="Calibri"/>
          <w:spacing w:val="-2"/>
          <w:sz w:val="20"/>
          <w:vertAlign w:val="baseline"/>
        </w:rPr>
        <w:t>2004.</w:t>
      </w:r>
    </w:p>
    <w:p>
      <w:pPr>
        <w:spacing w:before="1"/>
        <w:ind w:left="308" w:right="0" w:firstLine="0"/>
        <w:jc w:val="left"/>
        <w:rPr>
          <w:rFonts w:ascii="Calibri"/>
          <w:sz w:val="20"/>
        </w:rPr>
      </w:pPr>
      <w:r>
        <w:rPr>
          <w:rFonts w:ascii="Calibri"/>
          <w:sz w:val="20"/>
          <w:vertAlign w:val="superscript"/>
        </w:rPr>
        <w:t>163</w:t>
      </w:r>
      <w:r>
        <w:rPr>
          <w:rFonts w:ascii="Calibri"/>
          <w:sz w:val="20"/>
          <w:vertAlign w:val="baseline"/>
        </w:rPr>
        <w:t>Attributed</w:t>
      </w:r>
      <w:r>
        <w:rPr>
          <w:rFonts w:ascii="Calibri"/>
          <w:spacing w:val="-6"/>
          <w:sz w:val="20"/>
          <w:vertAlign w:val="baseline"/>
        </w:rPr>
        <w:t> </w:t>
      </w:r>
      <w:r>
        <w:rPr>
          <w:rFonts w:ascii="Calibri"/>
          <w:sz w:val="20"/>
          <w:vertAlign w:val="baseline"/>
        </w:rPr>
        <w:t>to</w:t>
      </w:r>
      <w:r>
        <w:rPr>
          <w:rFonts w:ascii="Calibri"/>
          <w:spacing w:val="-10"/>
          <w:sz w:val="20"/>
          <w:vertAlign w:val="baseline"/>
        </w:rPr>
        <w:t> </w:t>
      </w:r>
      <w:r>
        <w:rPr>
          <w:rFonts w:ascii="Calibri"/>
          <w:sz w:val="20"/>
          <w:vertAlign w:val="baseline"/>
        </w:rPr>
        <w:t>Adolf</w:t>
      </w:r>
      <w:r>
        <w:rPr>
          <w:rFonts w:ascii="Calibri"/>
          <w:spacing w:val="-5"/>
          <w:sz w:val="20"/>
          <w:vertAlign w:val="baseline"/>
        </w:rPr>
        <w:t> </w:t>
      </w:r>
      <w:r>
        <w:rPr>
          <w:rFonts w:ascii="Calibri"/>
          <w:sz w:val="20"/>
          <w:vertAlign w:val="baseline"/>
        </w:rPr>
        <w:t>Berle</w:t>
      </w:r>
      <w:r>
        <w:rPr>
          <w:rFonts w:ascii="Calibri"/>
          <w:spacing w:val="-9"/>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proponents</w:t>
      </w:r>
      <w:r>
        <w:rPr>
          <w:rFonts w:ascii="Calibri"/>
          <w:spacing w:val="-7"/>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shareholder</w:t>
      </w:r>
      <w:r>
        <w:rPr>
          <w:rFonts w:ascii="Calibri"/>
          <w:spacing w:val="-8"/>
          <w:sz w:val="20"/>
          <w:vertAlign w:val="baseline"/>
        </w:rPr>
        <w:t> </w:t>
      </w:r>
      <w:r>
        <w:rPr>
          <w:rFonts w:ascii="Calibri"/>
          <w:sz w:val="20"/>
          <w:vertAlign w:val="baseline"/>
        </w:rPr>
        <w:t>primacy</w:t>
      </w:r>
      <w:r>
        <w:rPr>
          <w:rFonts w:ascii="Calibri"/>
          <w:spacing w:val="-8"/>
          <w:sz w:val="20"/>
          <w:vertAlign w:val="baseline"/>
        </w:rPr>
        <w:t> </w:t>
      </w:r>
      <w:r>
        <w:rPr>
          <w:rFonts w:ascii="Calibri"/>
          <w:sz w:val="20"/>
          <w:vertAlign w:val="baseline"/>
        </w:rPr>
        <w:t>theory,</w:t>
      </w:r>
      <w:r>
        <w:rPr>
          <w:rFonts w:ascii="Calibri"/>
          <w:spacing w:val="-11"/>
          <w:sz w:val="20"/>
          <w:vertAlign w:val="baseline"/>
        </w:rPr>
        <w:t> </w:t>
      </w:r>
      <w:r>
        <w:rPr>
          <w:rFonts w:ascii="Calibri"/>
          <w:spacing w:val="-2"/>
          <w:sz w:val="20"/>
          <w:vertAlign w:val="baseline"/>
        </w:rPr>
        <w:t>generally.</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1"/>
        <w:jc w:val="both"/>
      </w:pPr>
      <w:r>
        <w:rPr/>
        <w:t>gives legitimacy to any of his acts. In essence, his allegiance lies with the company. Therefore, to ask him to act bona fide for the benefit, only, of the company and its purpose, seems to be in order.In order for the director to act bona fide in the best</w:t>
      </w:r>
      <w:r>
        <w:rPr>
          <w:spacing w:val="40"/>
        </w:rPr>
        <w:t> </w:t>
      </w:r>
      <w:r>
        <w:rPr/>
        <w:t>interests of</w:t>
      </w:r>
      <w:r>
        <w:rPr>
          <w:spacing w:val="-2"/>
        </w:rPr>
        <w:t> </w:t>
      </w:r>
      <w:r>
        <w:rPr/>
        <w:t>the company, he would need to use the powers at his disposal for the proper purpose and not a collateral purpose. Before considering the legal interpretation of the above principles by the courts, it is pertinent to first discover how successful or otherwise the CAMA has been in expressing this duty</w:t>
      </w:r>
      <w:r>
        <w:rPr>
          <w:spacing w:val="-1"/>
        </w:rPr>
        <w:t> </w:t>
      </w:r>
      <w:r>
        <w:rPr/>
        <w:t>and its allied principles.</w:t>
      </w:r>
    </w:p>
    <w:p>
      <w:pPr>
        <w:pStyle w:val="BodyText"/>
        <w:spacing w:line="480" w:lineRule="auto" w:before="1"/>
        <w:ind w:right="181" w:firstLine="720"/>
        <w:jc w:val="both"/>
      </w:pPr>
      <w:r>
        <w:rPr/>
        <w:t>S. 279(1) starts off by stating, inter alia, that a director ―...shall observe the utmost good faith</w:t>
      </w:r>
      <w:r>
        <w:rPr>
          <w:spacing w:val="-2"/>
        </w:rPr>
        <w:t> </w:t>
      </w:r>
      <w:r>
        <w:rPr/>
        <w:t>towards the company in any</w:t>
      </w:r>
      <w:r>
        <w:rPr>
          <w:spacing w:val="-2"/>
        </w:rPr>
        <w:t> </w:t>
      </w:r>
      <w:r>
        <w:rPr/>
        <w:t>transaction</w:t>
      </w:r>
      <w:r>
        <w:rPr>
          <w:spacing w:val="-2"/>
        </w:rPr>
        <w:t> </w:t>
      </w:r>
      <w:r>
        <w:rPr/>
        <w:t>with it or on</w:t>
      </w:r>
      <w:r>
        <w:rPr>
          <w:spacing w:val="-2"/>
        </w:rPr>
        <w:t> </w:t>
      </w:r>
      <w:r>
        <w:rPr/>
        <w:t>its behalf.‖ Good faith refers to ―a state of mind consisting in (1) honesty in belief or purpose, (2) faithfulness to one‘s duty or obligation, (3) observance of reasonable commercial standards of fair dealing..., (4) absence of intent to defraud or to seek unconscionable advantage.‖</w:t>
      </w:r>
      <w:r>
        <w:rPr>
          <w:vertAlign w:val="superscript"/>
        </w:rPr>
        <w:t>164</w:t>
      </w:r>
      <w:r>
        <w:rPr>
          <w:vertAlign w:val="baseline"/>
        </w:rPr>
        <w:t> It is especially in senses 2 to 4 that the Act seeks to bind the director. In other words, ―good faith‖ is the proper mindset of a fiduciary, which a director is and therefore, it is the first and main duty that must be considered when examining the conduct of any company director, before an analysis is undertaken of any other duty (whether statutory or otherwise).</w:t>
      </w:r>
    </w:p>
    <w:p>
      <w:pPr>
        <w:pStyle w:val="BodyText"/>
        <w:spacing w:line="480" w:lineRule="auto" w:before="2"/>
        <w:ind w:right="179" w:firstLine="720"/>
        <w:jc w:val="both"/>
      </w:pPr>
      <w:r>
        <w:rPr/>
        <w:t>In spite of</w:t>
      </w:r>
      <w:r>
        <w:rPr>
          <w:spacing w:val="-2"/>
        </w:rPr>
        <w:t> </w:t>
      </w:r>
      <w:r>
        <w:rPr/>
        <w:t>the fact that s. 283 considers directors to be trustees of</w:t>
      </w:r>
      <w:r>
        <w:rPr>
          <w:spacing w:val="-2"/>
        </w:rPr>
        <w:t> </w:t>
      </w:r>
      <w:r>
        <w:rPr/>
        <w:t>the company‘s moneys, properties</w:t>
      </w:r>
      <w:r>
        <w:rPr>
          <w:spacing w:val="-1"/>
        </w:rPr>
        <w:t> </w:t>
      </w:r>
      <w:r>
        <w:rPr/>
        <w:t>and their powers,</w:t>
      </w:r>
      <w:r>
        <w:rPr>
          <w:spacing w:val="-1"/>
        </w:rPr>
        <w:t> </w:t>
      </w:r>
      <w:r>
        <w:rPr/>
        <w:t>the phrase ―in</w:t>
      </w:r>
      <w:r>
        <w:rPr>
          <w:spacing w:val="-2"/>
        </w:rPr>
        <w:t> </w:t>
      </w:r>
      <w:r>
        <w:rPr/>
        <w:t>any</w:t>
      </w:r>
      <w:r>
        <w:rPr>
          <w:spacing w:val="-7"/>
        </w:rPr>
        <w:t> </w:t>
      </w:r>
      <w:r>
        <w:rPr/>
        <w:t>transaction</w:t>
      </w:r>
      <w:r>
        <w:rPr>
          <w:spacing w:val="-3"/>
        </w:rPr>
        <w:t> </w:t>
      </w:r>
      <w:r>
        <w:rPr/>
        <w:t>with it‖ in s. 279(1) suggests that there are instances where the director may in fact transact </w:t>
      </w:r>
      <w:r>
        <w:rPr>
          <w:i/>
        </w:rPr>
        <w:t>with, </w:t>
      </w:r>
      <w:r>
        <w:rPr/>
        <w:t>rather than </w:t>
      </w:r>
      <w:r>
        <w:rPr>
          <w:i/>
        </w:rPr>
        <w:t>for</w:t>
      </w:r>
      <w:r>
        <w:rPr>
          <w:i/>
          <w:spacing w:val="-1"/>
        </w:rPr>
        <w:t> </w:t>
      </w:r>
      <w:r>
        <w:rPr/>
        <w:t>or </w:t>
      </w:r>
      <w:r>
        <w:rPr>
          <w:i/>
        </w:rPr>
        <w:t>on behalf of</w:t>
      </w:r>
      <w:r>
        <w:rPr/>
        <w:t>,</w:t>
      </w:r>
      <w:r>
        <w:rPr>
          <w:spacing w:val="-2"/>
        </w:rPr>
        <w:t> </w:t>
      </w:r>
      <w:r>
        <w:rPr/>
        <w:t>the company, and this would be consistent with</w:t>
      </w:r>
      <w:r>
        <w:rPr>
          <w:spacing w:val="-4"/>
        </w:rPr>
        <w:t> </w:t>
      </w:r>
      <w:r>
        <w:rPr/>
        <w:t>other sections within the CAMA which allow this under certain circumstances.</w:t>
      </w:r>
      <w:r>
        <w:rPr>
          <w:vertAlign w:val="superscript"/>
        </w:rPr>
        <w:t>165</w:t>
      </w:r>
      <w:r>
        <w:rPr>
          <w:vertAlign w:val="baseline"/>
        </w:rPr>
        <w:t> However, where he does transact with the company, he does not do so in his capacity as its director but an outsider, although</w:t>
      </w:r>
      <w:r>
        <w:rPr>
          <w:spacing w:val="-5"/>
          <w:vertAlign w:val="baseline"/>
        </w:rPr>
        <w:t> </w:t>
      </w:r>
      <w:r>
        <w:rPr>
          <w:vertAlign w:val="baseline"/>
        </w:rPr>
        <w:t>certain</w:t>
      </w:r>
      <w:r>
        <w:rPr>
          <w:spacing w:val="-5"/>
          <w:vertAlign w:val="baseline"/>
        </w:rPr>
        <w:t> </w:t>
      </w:r>
      <w:r>
        <w:rPr>
          <w:vertAlign w:val="baseline"/>
        </w:rPr>
        <w:t>restrictions apply</w:t>
      </w:r>
      <w:r>
        <w:rPr>
          <w:spacing w:val="-5"/>
          <w:vertAlign w:val="baseline"/>
        </w:rPr>
        <w:t> </w:t>
      </w:r>
      <w:r>
        <w:rPr>
          <w:vertAlign w:val="baseline"/>
        </w:rPr>
        <w:t>to him because he is the</w:t>
      </w:r>
      <w:r>
        <w:rPr>
          <w:spacing w:val="-1"/>
          <w:vertAlign w:val="baseline"/>
        </w:rPr>
        <w:t> </w:t>
      </w:r>
      <w:r>
        <w:rPr>
          <w:vertAlign w:val="baseline"/>
        </w:rPr>
        <w:t>company‘s director.</w:t>
      </w:r>
    </w:p>
    <w:p>
      <w:pPr>
        <w:pStyle w:val="BodyText"/>
        <w:spacing w:before="8"/>
        <w:ind w:left="0"/>
        <w:rPr>
          <w:sz w:val="11"/>
        </w:rPr>
      </w:pPr>
      <w:r>
        <w:rPr/>
        <mc:AlternateContent>
          <mc:Choice Requires="wps">
            <w:drawing>
              <wp:anchor distT="0" distB="0" distL="0" distR="0" allowOverlap="1" layoutInCell="1" locked="0" behindDoc="1" simplePos="0" relativeHeight="487653376">
                <wp:simplePos x="0" y="0"/>
                <wp:positionH relativeFrom="page">
                  <wp:posOffset>1262481</wp:posOffset>
                </wp:positionH>
                <wp:positionV relativeFrom="paragraph">
                  <wp:posOffset>100917</wp:posOffset>
                </wp:positionV>
                <wp:extent cx="1829435" cy="9525"/>
                <wp:effectExtent l="0" t="0" r="0" b="0"/>
                <wp:wrapTopAndBottom/>
                <wp:docPr id="144" name="Graphic 144"/>
                <wp:cNvGraphicFramePr>
                  <a:graphicFrameLocks/>
                </wp:cNvGraphicFramePr>
                <a:graphic>
                  <a:graphicData uri="http://schemas.microsoft.com/office/word/2010/wordprocessingShape">
                    <wps:wsp>
                      <wps:cNvPr id="144" name="Graphic 14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7.94628pt;width:144.050pt;height:.71997pt;mso-position-horizontal-relative:page;mso-position-vertical-relative:paragraph;z-index:-15663104;mso-wrap-distance-left:0;mso-wrap-distance-right:0" id="docshape9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164</w:t>
      </w:r>
      <w:r>
        <w:rPr>
          <w:rFonts w:ascii="Calibri"/>
          <w:spacing w:val="-2"/>
          <w:sz w:val="20"/>
          <w:vertAlign w:val="baseline"/>
        </w:rPr>
        <w:t> </w:t>
      </w:r>
      <w:r>
        <w:rPr>
          <w:rFonts w:ascii="Calibri"/>
          <w:sz w:val="20"/>
          <w:vertAlign w:val="baseline"/>
        </w:rPr>
        <w:t>Garner,</w:t>
      </w:r>
      <w:r>
        <w:rPr>
          <w:rFonts w:ascii="Calibri"/>
          <w:spacing w:val="-5"/>
          <w:sz w:val="20"/>
          <w:vertAlign w:val="baseline"/>
        </w:rPr>
        <w:t> </w:t>
      </w:r>
      <w:r>
        <w:rPr>
          <w:rFonts w:ascii="Calibri"/>
          <w:sz w:val="20"/>
          <w:vertAlign w:val="baseline"/>
        </w:rPr>
        <w:t>A.B.</w:t>
      </w:r>
      <w:r>
        <w:rPr>
          <w:rFonts w:ascii="Calibri"/>
          <w:spacing w:val="-5"/>
          <w:sz w:val="20"/>
          <w:vertAlign w:val="baseline"/>
        </w:rPr>
        <w:t> </w:t>
      </w:r>
      <w:r>
        <w:rPr>
          <w:rFonts w:ascii="Calibri"/>
          <w:sz w:val="20"/>
          <w:vertAlign w:val="baseline"/>
        </w:rPr>
        <w:t>op.cit.</w:t>
      </w:r>
      <w:r>
        <w:rPr>
          <w:rFonts w:ascii="Calibri"/>
          <w:spacing w:val="-1"/>
          <w:sz w:val="20"/>
          <w:vertAlign w:val="baseline"/>
        </w:rPr>
        <w:t> </w:t>
      </w:r>
      <w:r>
        <w:rPr>
          <w:rFonts w:ascii="Calibri"/>
          <w:spacing w:val="-2"/>
          <w:sz w:val="20"/>
          <w:vertAlign w:val="baseline"/>
        </w:rPr>
        <w:t>at713.</w:t>
      </w:r>
    </w:p>
    <w:p>
      <w:pPr>
        <w:spacing w:before="1"/>
        <w:ind w:left="308" w:right="0" w:firstLine="0"/>
        <w:jc w:val="left"/>
        <w:rPr>
          <w:rFonts w:ascii="Calibri"/>
          <w:sz w:val="20"/>
        </w:rPr>
      </w:pPr>
      <w:r>
        <w:rPr>
          <w:rFonts w:ascii="Calibri"/>
          <w:sz w:val="20"/>
          <w:vertAlign w:val="superscript"/>
        </w:rPr>
        <w:t>165</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277</w:t>
      </w:r>
      <w:r>
        <w:rPr>
          <w:rFonts w:ascii="Calibri"/>
          <w:spacing w:val="-3"/>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284,</w:t>
      </w:r>
      <w:r>
        <w:rPr>
          <w:rFonts w:ascii="Calibri"/>
          <w:spacing w:val="-4"/>
          <w:sz w:val="20"/>
          <w:vertAlign w:val="baseline"/>
        </w:rPr>
        <w:t> </w:t>
      </w:r>
      <w:r>
        <w:rPr>
          <w:rFonts w:ascii="Calibri"/>
          <w:sz w:val="20"/>
          <w:vertAlign w:val="baseline"/>
        </w:rPr>
        <w:t>for</w:t>
      </w:r>
      <w:r>
        <w:rPr>
          <w:rFonts w:ascii="Calibri"/>
          <w:spacing w:val="-5"/>
          <w:sz w:val="20"/>
          <w:vertAlign w:val="baseline"/>
        </w:rPr>
        <w:t> </w:t>
      </w:r>
      <w:r>
        <w:rPr>
          <w:rFonts w:ascii="Calibri"/>
          <w:spacing w:val="-2"/>
          <w:sz w:val="20"/>
          <w:vertAlign w:val="baseline"/>
        </w:rPr>
        <w:t>example.</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6"/>
        <w:jc w:val="both"/>
      </w:pPr>
      <w:r>
        <w:rPr/>
        <w:t>In</w:t>
      </w:r>
      <w:r>
        <w:rPr>
          <w:spacing w:val="-1"/>
        </w:rPr>
        <w:t> </w:t>
      </w:r>
      <w:r>
        <w:rPr/>
        <w:t>any</w:t>
      </w:r>
      <w:r>
        <w:rPr>
          <w:spacing w:val="-1"/>
        </w:rPr>
        <w:t> </w:t>
      </w:r>
      <w:r>
        <w:rPr/>
        <w:t>case, the bulk of</w:t>
      </w:r>
      <w:r>
        <w:rPr>
          <w:spacing w:val="-4"/>
        </w:rPr>
        <w:t> </w:t>
      </w:r>
      <w:r>
        <w:rPr/>
        <w:t>the transactions a director is likely</w:t>
      </w:r>
      <w:r>
        <w:rPr>
          <w:spacing w:val="-6"/>
        </w:rPr>
        <w:t> </w:t>
      </w:r>
      <w:r>
        <w:rPr/>
        <w:t>to be involved in</w:t>
      </w:r>
      <w:r>
        <w:rPr>
          <w:spacing w:val="-1"/>
        </w:rPr>
        <w:t> </w:t>
      </w:r>
      <w:r>
        <w:rPr/>
        <w:t>would most certainly be </w:t>
      </w:r>
      <w:r>
        <w:rPr>
          <w:i/>
        </w:rPr>
        <w:t>on behalf of</w:t>
      </w:r>
      <w:r>
        <w:rPr/>
        <w:t>, rather than </w:t>
      </w:r>
      <w:r>
        <w:rPr>
          <w:i/>
        </w:rPr>
        <w:t>with</w:t>
      </w:r>
      <w:r>
        <w:rPr/>
        <w:t>, the company, though the Act demands of the director to observe good faith in both</w:t>
      </w:r>
      <w:r>
        <w:rPr>
          <w:spacing w:val="-1"/>
        </w:rPr>
        <w:t> </w:t>
      </w:r>
      <w:r>
        <w:rPr/>
        <w:t>situations, difficult as that might seem</w:t>
      </w:r>
      <w:r>
        <w:rPr>
          <w:spacing w:val="-1"/>
        </w:rPr>
        <w:t> </w:t>
      </w:r>
      <w:r>
        <w:rPr/>
        <w:t>in the latter </w:t>
      </w:r>
      <w:r>
        <w:rPr>
          <w:spacing w:val="-2"/>
        </w:rPr>
        <w:t>situation.</w:t>
      </w:r>
    </w:p>
    <w:p>
      <w:pPr>
        <w:pStyle w:val="BodyText"/>
        <w:ind w:left="1028"/>
        <w:jc w:val="both"/>
      </w:pPr>
      <w:r>
        <w:rPr/>
        <w:t>S.</w:t>
      </w:r>
      <w:r>
        <w:rPr>
          <w:spacing w:val="-2"/>
        </w:rPr>
        <w:t> </w:t>
      </w:r>
      <w:r>
        <w:rPr/>
        <w:t>279(3)</w:t>
      </w:r>
      <w:r>
        <w:rPr>
          <w:spacing w:val="-2"/>
        </w:rPr>
        <w:t> </w:t>
      </w:r>
      <w:r>
        <w:rPr/>
        <w:t>gives</w:t>
      </w:r>
      <w:r>
        <w:rPr>
          <w:spacing w:val="-4"/>
        </w:rPr>
        <w:t> </w:t>
      </w:r>
      <w:r>
        <w:rPr/>
        <w:t>a further</w:t>
      </w:r>
      <w:r>
        <w:rPr>
          <w:spacing w:val="-2"/>
        </w:rPr>
        <w:t> </w:t>
      </w:r>
      <w:r>
        <w:rPr/>
        <w:t>directive</w:t>
      </w:r>
      <w:r>
        <w:rPr>
          <w:spacing w:val="-3"/>
        </w:rPr>
        <w:t> </w:t>
      </w:r>
      <w:r>
        <w:rPr>
          <w:spacing w:val="-4"/>
        </w:rPr>
        <w:t>that</w:t>
      </w:r>
    </w:p>
    <w:p>
      <w:pPr>
        <w:pStyle w:val="BodyText"/>
        <w:spacing w:before="1"/>
        <w:ind w:left="0"/>
      </w:pPr>
    </w:p>
    <w:p>
      <w:pPr>
        <w:spacing w:line="240" w:lineRule="auto" w:before="0"/>
        <w:ind w:left="2295" w:right="1884" w:firstLine="0"/>
        <w:jc w:val="both"/>
        <w:rPr>
          <w:sz w:val="24"/>
        </w:rPr>
      </w:pPr>
      <w:r>
        <w:rPr>
          <w:i/>
          <w:sz w:val="24"/>
        </w:rPr>
        <w:t>a director shall act at all times in </w:t>
      </w:r>
      <w:r>
        <w:rPr>
          <w:b/>
          <w:i/>
          <w:sz w:val="24"/>
        </w:rPr>
        <w:t>what he</w:t>
      </w:r>
      <w:r>
        <w:rPr>
          <w:b/>
          <w:i/>
          <w:spacing w:val="40"/>
          <w:sz w:val="24"/>
        </w:rPr>
        <w:t> </w:t>
      </w:r>
      <w:r>
        <w:rPr>
          <w:b/>
          <w:i/>
          <w:sz w:val="24"/>
        </w:rPr>
        <w:t>believes </w:t>
      </w:r>
      <w:r>
        <w:rPr>
          <w:i/>
          <w:sz w:val="24"/>
        </w:rPr>
        <w:t>to be the best interests of the company as a whole so as to preserve its assets, further its business, and promote the purposes for which it was formed, and </w:t>
      </w:r>
      <w:r>
        <w:rPr>
          <w:b/>
          <w:i/>
          <w:sz w:val="24"/>
        </w:rPr>
        <w:t>in such manner as a faithful, diligent, careful and ordinarily skilful director would act </w:t>
      </w:r>
      <w:r>
        <w:rPr>
          <w:i/>
          <w:sz w:val="24"/>
        </w:rPr>
        <w:t>in the circumstances</w:t>
      </w:r>
      <w:r>
        <w:rPr>
          <w:sz w:val="24"/>
        </w:rPr>
        <w:t>. (emphasis added)</w:t>
      </w:r>
    </w:p>
    <w:p>
      <w:pPr>
        <w:pStyle w:val="BodyText"/>
        <w:ind w:left="0"/>
      </w:pPr>
    </w:p>
    <w:p>
      <w:pPr>
        <w:pStyle w:val="BodyText"/>
        <w:spacing w:line="480" w:lineRule="auto" w:before="1"/>
        <w:ind w:right="181" w:firstLine="720"/>
        <w:jc w:val="both"/>
      </w:pPr>
      <w:r>
        <w:rPr/>
        <w:t>From</w:t>
      </w:r>
      <w:r>
        <w:rPr>
          <w:spacing w:val="-4"/>
        </w:rPr>
        <w:t> </w:t>
      </w:r>
      <w:r>
        <w:rPr/>
        <w:t>the tenor of</w:t>
      </w:r>
      <w:r>
        <w:rPr>
          <w:spacing w:val="-2"/>
        </w:rPr>
        <w:t> </w:t>
      </w:r>
      <w:r>
        <w:rPr/>
        <w:t>the law above, asking the director to act in </w:t>
      </w:r>
      <w:r>
        <w:rPr>
          <w:i/>
        </w:rPr>
        <w:t>what he believes </w:t>
      </w:r>
      <w:r>
        <w:rPr/>
        <w:t>to be the best interests of the company, is giving him room to exercise his subjective judgment. On the other hand, asking him to discharge this obligation </w:t>
      </w:r>
      <w:r>
        <w:rPr>
          <w:i/>
        </w:rPr>
        <w:t>in such a manner</w:t>
      </w:r>
      <w:r>
        <w:rPr>
          <w:i/>
          <w:spacing w:val="40"/>
        </w:rPr>
        <w:t> </w:t>
      </w:r>
      <w:r>
        <w:rPr>
          <w:i/>
        </w:rPr>
        <w:t>as</w:t>
      </w:r>
      <w:r>
        <w:rPr>
          <w:i/>
          <w:spacing w:val="-2"/>
        </w:rPr>
        <w:t> </w:t>
      </w:r>
      <w:r>
        <w:rPr>
          <w:i/>
        </w:rPr>
        <w:t>a faithful, diligent, careful and ordinarily</w:t>
      </w:r>
      <w:r>
        <w:rPr>
          <w:i/>
          <w:spacing w:val="-1"/>
        </w:rPr>
        <w:t> </w:t>
      </w:r>
      <w:r>
        <w:rPr>
          <w:i/>
        </w:rPr>
        <w:t>skilful director would act</w:t>
      </w:r>
      <w:r>
        <w:rPr/>
        <w:t>, is akin to the law taking back with the left hand, what it had just</w:t>
      </w:r>
      <w:r>
        <w:rPr>
          <w:spacing w:val="22"/>
        </w:rPr>
        <w:t> </w:t>
      </w:r>
      <w:r>
        <w:rPr/>
        <w:t>offered the director with the right hand.</w:t>
      </w:r>
      <w:r>
        <w:rPr>
          <w:spacing w:val="40"/>
        </w:rPr>
        <w:t> </w:t>
      </w:r>
      <w:r>
        <w:rPr/>
        <w:t>In other words, ultimately, his actions are still to be judged with the scale of</w:t>
      </w:r>
      <w:r>
        <w:rPr>
          <w:spacing w:val="-3"/>
        </w:rPr>
        <w:t> </w:t>
      </w:r>
      <w:r>
        <w:rPr/>
        <w:t>objectivity. It is therefore not clear from the wording whether the intendment of the Act here is to truly give the director independence and opportunity to rely on his subjective judgment in business matters. In any case, as discussed above,</w:t>
      </w:r>
      <w:r>
        <w:rPr>
          <w:vertAlign w:val="superscript"/>
        </w:rPr>
        <w:t>166</w:t>
      </w:r>
      <w:r>
        <w:rPr>
          <w:vertAlign w:val="baseline"/>
        </w:rPr>
        <w:t> a director is already required to show </w:t>
      </w:r>
      <w:r>
        <w:rPr>
          <w:i/>
          <w:vertAlign w:val="baseline"/>
        </w:rPr>
        <w:t>reasonable </w:t>
      </w:r>
      <w:r>
        <w:rPr>
          <w:vertAlign w:val="baseline"/>
        </w:rPr>
        <w:t>skill and care in the discharge of </w:t>
      </w:r>
      <w:r>
        <w:rPr>
          <w:i/>
          <w:vertAlign w:val="baseline"/>
        </w:rPr>
        <w:t>all </w:t>
      </w:r>
      <w:r>
        <w:rPr>
          <w:vertAlign w:val="baseline"/>
        </w:rPr>
        <w:t>his functions, so that his actions and decisions</w:t>
      </w:r>
      <w:r>
        <w:rPr>
          <w:spacing w:val="-3"/>
          <w:vertAlign w:val="baseline"/>
        </w:rPr>
        <w:t> </w:t>
      </w:r>
      <w:r>
        <w:rPr>
          <w:vertAlign w:val="baseline"/>
        </w:rPr>
        <w:t>would</w:t>
      </w:r>
      <w:r>
        <w:rPr>
          <w:spacing w:val="-2"/>
          <w:vertAlign w:val="baseline"/>
        </w:rPr>
        <w:t> </w:t>
      </w:r>
      <w:r>
        <w:rPr>
          <w:vertAlign w:val="baseline"/>
        </w:rPr>
        <w:t>conclusivelyalso be judged by</w:t>
      </w:r>
      <w:r>
        <w:rPr>
          <w:spacing w:val="-6"/>
          <w:vertAlign w:val="baseline"/>
        </w:rPr>
        <w:t> </w:t>
      </w:r>
      <w:r>
        <w:rPr>
          <w:vertAlign w:val="baseline"/>
        </w:rPr>
        <w:t>those standards</w:t>
      </w:r>
      <w:r>
        <w:rPr>
          <w:spacing w:val="-4"/>
          <w:vertAlign w:val="baseline"/>
        </w:rPr>
        <w:t> </w:t>
      </w:r>
      <w:r>
        <w:rPr>
          <w:vertAlign w:val="baseline"/>
        </w:rPr>
        <w:t>of</w:t>
      </w:r>
      <w:r>
        <w:rPr>
          <w:spacing w:val="-9"/>
          <w:vertAlign w:val="baseline"/>
        </w:rPr>
        <w:t> </w:t>
      </w:r>
      <w:r>
        <w:rPr>
          <w:vertAlign w:val="baseline"/>
        </w:rPr>
        <w:t>reasonableness. A fortiori, the director‘s duty of care and skill and his fiduciary duties of loyalty and good faith under the CAMA, are measurable by different standards: subjective in the former and</w:t>
      </w:r>
      <w:r>
        <w:rPr>
          <w:spacing w:val="22"/>
          <w:vertAlign w:val="baseline"/>
        </w:rPr>
        <w:t> </w:t>
      </w:r>
      <w:r>
        <w:rPr>
          <w:vertAlign w:val="baseline"/>
        </w:rPr>
        <w:t>objective</w:t>
      </w:r>
      <w:r>
        <w:rPr>
          <w:spacing w:val="28"/>
          <w:vertAlign w:val="baseline"/>
        </w:rPr>
        <w:t> </w:t>
      </w:r>
      <w:r>
        <w:rPr>
          <w:vertAlign w:val="baseline"/>
        </w:rPr>
        <w:t>in</w:t>
      </w:r>
      <w:r>
        <w:rPr>
          <w:spacing w:val="25"/>
          <w:vertAlign w:val="baseline"/>
        </w:rPr>
        <w:t> </w:t>
      </w:r>
      <w:r>
        <w:rPr>
          <w:vertAlign w:val="baseline"/>
        </w:rPr>
        <w:t>the</w:t>
      </w:r>
      <w:r>
        <w:rPr>
          <w:spacing w:val="28"/>
          <w:vertAlign w:val="baseline"/>
        </w:rPr>
        <w:t> </w:t>
      </w:r>
      <w:r>
        <w:rPr>
          <w:vertAlign w:val="baseline"/>
        </w:rPr>
        <w:t>latter.</w:t>
      </w:r>
      <w:r>
        <w:rPr>
          <w:spacing w:val="31"/>
          <w:vertAlign w:val="baseline"/>
        </w:rPr>
        <w:t> </w:t>
      </w:r>
      <w:r>
        <w:rPr>
          <w:vertAlign w:val="baseline"/>
        </w:rPr>
        <w:t>Thus,</w:t>
      </w:r>
      <w:r>
        <w:rPr>
          <w:spacing w:val="31"/>
          <w:vertAlign w:val="baseline"/>
        </w:rPr>
        <w:t> </w:t>
      </w:r>
      <w:r>
        <w:rPr>
          <w:vertAlign w:val="baseline"/>
        </w:rPr>
        <w:t>if</w:t>
      </w:r>
      <w:r>
        <w:rPr>
          <w:spacing w:val="22"/>
          <w:vertAlign w:val="baseline"/>
        </w:rPr>
        <w:t> </w:t>
      </w:r>
      <w:r>
        <w:rPr>
          <w:vertAlign w:val="baseline"/>
        </w:rPr>
        <w:t>the</w:t>
      </w:r>
      <w:r>
        <w:rPr>
          <w:spacing w:val="29"/>
          <w:vertAlign w:val="baseline"/>
        </w:rPr>
        <w:t> </w:t>
      </w:r>
      <w:r>
        <w:rPr>
          <w:vertAlign w:val="baseline"/>
        </w:rPr>
        <w:t>Act</w:t>
      </w:r>
      <w:r>
        <w:rPr>
          <w:spacing w:val="29"/>
          <w:vertAlign w:val="baseline"/>
        </w:rPr>
        <w:t> </w:t>
      </w:r>
      <w:r>
        <w:rPr>
          <w:vertAlign w:val="baseline"/>
        </w:rPr>
        <w:t>intends,</w:t>
      </w:r>
      <w:r>
        <w:rPr>
          <w:spacing w:val="27"/>
          <w:vertAlign w:val="baseline"/>
        </w:rPr>
        <w:t> </w:t>
      </w:r>
      <w:r>
        <w:rPr>
          <w:vertAlign w:val="baseline"/>
        </w:rPr>
        <w:t>by</w:t>
      </w:r>
      <w:r>
        <w:rPr>
          <w:spacing w:val="19"/>
          <w:vertAlign w:val="baseline"/>
        </w:rPr>
        <w:t> </w:t>
      </w:r>
      <w:r>
        <w:rPr>
          <w:vertAlign w:val="baseline"/>
        </w:rPr>
        <w:t>the</w:t>
      </w:r>
      <w:r>
        <w:rPr>
          <w:spacing w:val="28"/>
          <w:vertAlign w:val="baseline"/>
        </w:rPr>
        <w:t> </w:t>
      </w:r>
      <w:r>
        <w:rPr>
          <w:vertAlign w:val="baseline"/>
        </w:rPr>
        <w:t>second</w:t>
      </w:r>
      <w:r>
        <w:rPr>
          <w:spacing w:val="28"/>
          <w:vertAlign w:val="baseline"/>
        </w:rPr>
        <w:t> </w:t>
      </w:r>
      <w:r>
        <w:rPr>
          <w:vertAlign w:val="baseline"/>
        </w:rPr>
        <w:t>arm</w:t>
      </w:r>
      <w:r>
        <w:rPr>
          <w:spacing w:val="25"/>
          <w:vertAlign w:val="baseline"/>
        </w:rPr>
        <w:t> </w:t>
      </w:r>
      <w:r>
        <w:rPr>
          <w:vertAlign w:val="baseline"/>
        </w:rPr>
        <w:t>of</w:t>
      </w:r>
      <w:r>
        <w:rPr>
          <w:spacing w:val="22"/>
          <w:vertAlign w:val="baseline"/>
        </w:rPr>
        <w:t> </w:t>
      </w:r>
      <w:r>
        <w:rPr>
          <w:vertAlign w:val="baseline"/>
        </w:rPr>
        <w:t>s.279(3),</w:t>
      </w:r>
      <w:r>
        <w:rPr>
          <w:spacing w:val="22"/>
          <w:vertAlign w:val="baseline"/>
        </w:rPr>
        <w:t> </w:t>
      </w:r>
      <w:r>
        <w:rPr>
          <w:spacing w:val="-5"/>
          <w:vertAlign w:val="baseline"/>
        </w:rPr>
        <w:t>to</w:t>
      </w:r>
    </w:p>
    <w:p>
      <w:pPr>
        <w:pStyle w:val="BodyText"/>
        <w:ind w:left="0"/>
        <w:rPr>
          <w:sz w:val="20"/>
        </w:rPr>
      </w:pPr>
    </w:p>
    <w:p>
      <w:pPr>
        <w:pStyle w:val="BodyText"/>
        <w:ind w:left="0"/>
        <w:rPr>
          <w:sz w:val="20"/>
        </w:rPr>
      </w:pPr>
    </w:p>
    <w:p>
      <w:pPr>
        <w:pStyle w:val="BodyText"/>
        <w:ind w:left="0"/>
        <w:rPr>
          <w:sz w:val="20"/>
        </w:rPr>
      </w:pPr>
    </w:p>
    <w:p>
      <w:pPr>
        <w:pStyle w:val="BodyText"/>
        <w:spacing w:before="12"/>
        <w:ind w:left="0"/>
        <w:rPr>
          <w:sz w:val="20"/>
        </w:rPr>
      </w:pPr>
      <w:r>
        <w:rPr/>
        <mc:AlternateContent>
          <mc:Choice Requires="wps">
            <w:drawing>
              <wp:anchor distT="0" distB="0" distL="0" distR="0" allowOverlap="1" layoutInCell="1" locked="0" behindDoc="1" simplePos="0" relativeHeight="487653888">
                <wp:simplePos x="0" y="0"/>
                <wp:positionH relativeFrom="page">
                  <wp:posOffset>1262481</wp:posOffset>
                </wp:positionH>
                <wp:positionV relativeFrom="paragraph">
                  <wp:posOffset>169327</wp:posOffset>
                </wp:positionV>
                <wp:extent cx="1829435" cy="9525"/>
                <wp:effectExtent l="0" t="0" r="0" b="0"/>
                <wp:wrapTopAndBottom/>
                <wp:docPr id="145" name="Graphic 145"/>
                <wp:cNvGraphicFramePr>
                  <a:graphicFrameLocks/>
                </wp:cNvGraphicFramePr>
                <a:graphic>
                  <a:graphicData uri="http://schemas.microsoft.com/office/word/2010/wordprocessingShape">
                    <wps:wsp>
                      <wps:cNvPr id="145" name="Graphic 14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3.332866pt;width:144.050pt;height:.71997pt;mso-position-horizontal-relative:page;mso-position-vertical-relative:paragraph;z-index:-15662592;mso-wrap-distance-left:0;mso-wrap-distance-right:0" id="docshape10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166</w:t>
      </w:r>
      <w:r>
        <w:rPr>
          <w:rFonts w:ascii="Calibri"/>
          <w:spacing w:val="1"/>
          <w:sz w:val="20"/>
          <w:vertAlign w:val="baseline"/>
        </w:rPr>
        <w:t> </w:t>
      </w:r>
      <w:r>
        <w:rPr>
          <w:rFonts w:ascii="Calibri"/>
          <w:sz w:val="20"/>
          <w:vertAlign w:val="baseline"/>
        </w:rPr>
        <w:t>Please</w:t>
      </w:r>
      <w:r>
        <w:rPr>
          <w:rFonts w:ascii="Calibri"/>
          <w:spacing w:val="-4"/>
          <w:sz w:val="20"/>
          <w:vertAlign w:val="baseline"/>
        </w:rPr>
        <w:t> </w:t>
      </w:r>
      <w:r>
        <w:rPr>
          <w:rFonts w:ascii="Calibri"/>
          <w:sz w:val="20"/>
          <w:vertAlign w:val="baseline"/>
        </w:rPr>
        <w:t>refer</w:t>
      </w:r>
      <w:r>
        <w:rPr>
          <w:rFonts w:ascii="Calibri"/>
          <w:spacing w:val="-4"/>
          <w:sz w:val="20"/>
          <w:vertAlign w:val="baseline"/>
        </w:rPr>
        <w:t> </w:t>
      </w:r>
      <w:r>
        <w:rPr>
          <w:rFonts w:ascii="Calibri"/>
          <w:sz w:val="20"/>
          <w:vertAlign w:val="baseline"/>
        </w:rPr>
        <w:t>to</w:t>
      </w:r>
      <w:r>
        <w:rPr>
          <w:rFonts w:ascii="Calibri"/>
          <w:spacing w:val="1"/>
          <w:sz w:val="20"/>
          <w:vertAlign w:val="baseline"/>
        </w:rPr>
        <w:t> </w:t>
      </w:r>
      <w:r>
        <w:rPr>
          <w:rFonts w:ascii="Calibri"/>
          <w:b/>
          <w:sz w:val="20"/>
          <w:vertAlign w:val="baseline"/>
        </w:rPr>
        <w:t>3.2</w:t>
      </w:r>
      <w:r>
        <w:rPr>
          <w:rFonts w:ascii="Calibri"/>
          <w:b/>
          <w:spacing w:val="-6"/>
          <w:sz w:val="20"/>
          <w:vertAlign w:val="baseline"/>
        </w:rPr>
        <w:t> </w:t>
      </w:r>
      <w:r>
        <w:rPr>
          <w:rFonts w:ascii="Calibri"/>
          <w:sz w:val="20"/>
          <w:vertAlign w:val="baseline"/>
        </w:rPr>
        <w:t>in</w:t>
      </w:r>
      <w:r>
        <w:rPr>
          <w:rFonts w:ascii="Calibri"/>
          <w:spacing w:val="-5"/>
          <w:sz w:val="20"/>
          <w:vertAlign w:val="baseline"/>
        </w:rPr>
        <w:t> </w:t>
      </w:r>
      <w:r>
        <w:rPr>
          <w:rFonts w:ascii="Calibri"/>
          <w:sz w:val="20"/>
          <w:vertAlign w:val="baseline"/>
        </w:rPr>
        <w:t>this</w:t>
      </w:r>
      <w:r>
        <w:rPr>
          <w:rFonts w:ascii="Calibri"/>
          <w:spacing w:val="-7"/>
          <w:sz w:val="20"/>
          <w:vertAlign w:val="baseline"/>
        </w:rPr>
        <w:t> </w:t>
      </w:r>
      <w:r>
        <w:rPr>
          <w:rFonts w:ascii="Calibri"/>
          <w:spacing w:val="-2"/>
          <w:sz w:val="20"/>
          <w:vertAlign w:val="baseline"/>
        </w:rPr>
        <w:t>work.</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1"/>
        <w:jc w:val="both"/>
      </w:pPr>
      <w:r>
        <w:rPr/>
        <w:t>thereby re-state the director‘s duty</w:t>
      </w:r>
      <w:r>
        <w:rPr>
          <w:spacing w:val="-3"/>
        </w:rPr>
        <w:t> </w:t>
      </w:r>
      <w:r>
        <w:rPr/>
        <w:t>of care and skill, this would simply be a repetition of the duty appropriately and adequately captured in s. 282.</w:t>
      </w:r>
    </w:p>
    <w:p>
      <w:pPr>
        <w:pStyle w:val="BodyText"/>
        <w:spacing w:line="480" w:lineRule="auto"/>
        <w:ind w:right="187" w:firstLine="720"/>
        <w:jc w:val="both"/>
      </w:pPr>
      <w:r>
        <w:rPr/>
        <w:t>As for </w:t>
      </w:r>
      <w:r>
        <w:rPr>
          <w:i/>
        </w:rPr>
        <w:t>furthering its business </w:t>
      </w:r>
      <w:r>
        <w:rPr/>
        <w:t>and </w:t>
      </w:r>
      <w:r>
        <w:rPr>
          <w:i/>
        </w:rPr>
        <w:t>promoting the purpose for which the company was formed</w:t>
      </w:r>
      <w:r>
        <w:rPr/>
        <w:t>, this is most likely alluding to the business clause of</w:t>
      </w:r>
      <w:r>
        <w:rPr>
          <w:spacing w:val="-3"/>
        </w:rPr>
        <w:t> </w:t>
      </w:r>
      <w:r>
        <w:rPr/>
        <w:t>the company contained in its memorandum of association. Therein is stated the business or objective for which the company is formed and, in line with the </w:t>
      </w:r>
      <w:r>
        <w:rPr>
          <w:i/>
        </w:rPr>
        <w:t>ultra vires </w:t>
      </w:r>
      <w:r>
        <w:rPr/>
        <w:t>rule, a company ordinarily has power to go into only that business recognised by its memorandum, or at least, not contrary</w:t>
      </w:r>
      <w:r>
        <w:rPr>
          <w:spacing w:val="-2"/>
        </w:rPr>
        <w:t> </w:t>
      </w:r>
      <w:r>
        <w:rPr/>
        <w:t>to it.</w:t>
      </w:r>
      <w:r>
        <w:rPr>
          <w:vertAlign w:val="superscript"/>
        </w:rPr>
        <w:t>167</w:t>
      </w:r>
      <w:r>
        <w:rPr>
          <w:vertAlign w:val="baseline"/>
        </w:rPr>
        <w:t> The actions of the directors must be seen to be along those lines.</w:t>
      </w:r>
    </w:p>
    <w:p>
      <w:pPr>
        <w:pStyle w:val="BodyText"/>
        <w:spacing w:before="2"/>
        <w:ind w:left="1028"/>
        <w:jc w:val="both"/>
      </w:pPr>
      <w:r>
        <w:rPr/>
        <w:t>While</w:t>
      </w:r>
      <w:r>
        <w:rPr>
          <w:spacing w:val="-5"/>
        </w:rPr>
        <w:t> </w:t>
      </w:r>
      <w:r>
        <w:rPr/>
        <w:t>s. 279(3)</w:t>
      </w:r>
      <w:r>
        <w:rPr>
          <w:spacing w:val="-3"/>
        </w:rPr>
        <w:t> </w:t>
      </w:r>
      <w:r>
        <w:rPr/>
        <w:t>refers</w:t>
      </w:r>
      <w:r>
        <w:rPr>
          <w:spacing w:val="-6"/>
        </w:rPr>
        <w:t> </w:t>
      </w:r>
      <w:r>
        <w:rPr/>
        <w:t>to ―interests</w:t>
      </w:r>
      <w:r>
        <w:rPr>
          <w:spacing w:val="-10"/>
        </w:rPr>
        <w:t> </w:t>
      </w:r>
      <w:r>
        <w:rPr/>
        <w:t>of</w:t>
      </w:r>
      <w:r>
        <w:rPr>
          <w:spacing w:val="-10"/>
        </w:rPr>
        <w:t> </w:t>
      </w:r>
      <w:r>
        <w:rPr/>
        <w:t>the</w:t>
      </w:r>
      <w:r>
        <w:rPr>
          <w:spacing w:val="-4"/>
        </w:rPr>
        <w:t> </w:t>
      </w:r>
      <w:r>
        <w:rPr/>
        <w:t>company‖,</w:t>
      </w:r>
      <w:r>
        <w:rPr>
          <w:spacing w:val="-2"/>
        </w:rPr>
        <w:t> </w:t>
      </w:r>
      <w:r>
        <w:rPr/>
        <w:t>subsection</w:t>
      </w:r>
      <w:r>
        <w:rPr>
          <w:spacing w:val="-7"/>
        </w:rPr>
        <w:t> </w:t>
      </w:r>
      <w:r>
        <w:rPr/>
        <w:t>(4)</w:t>
      </w:r>
      <w:r>
        <w:rPr>
          <w:spacing w:val="-3"/>
        </w:rPr>
        <w:t> </w:t>
      </w:r>
      <w:r>
        <w:rPr/>
        <w:t>provides</w:t>
      </w:r>
      <w:r>
        <w:rPr>
          <w:spacing w:val="-6"/>
        </w:rPr>
        <w:t> </w:t>
      </w:r>
      <w:r>
        <w:rPr>
          <w:spacing w:val="-4"/>
        </w:rPr>
        <w:t>that</w:t>
      </w:r>
    </w:p>
    <w:p>
      <w:pPr>
        <w:pStyle w:val="BodyText"/>
        <w:spacing w:line="480" w:lineRule="auto" w:before="276"/>
        <w:ind w:right="190"/>
        <w:jc w:val="both"/>
      </w:pPr>
      <w:r>
        <w:rPr/>
        <w:t>―the matters</w:t>
      </w:r>
      <w:r>
        <w:rPr>
          <w:spacing w:val="-5"/>
        </w:rPr>
        <w:t> </w:t>
      </w:r>
      <w:r>
        <w:rPr/>
        <w:t>to which</w:t>
      </w:r>
      <w:r>
        <w:rPr>
          <w:spacing w:val="-4"/>
        </w:rPr>
        <w:t> </w:t>
      </w:r>
      <w:r>
        <w:rPr/>
        <w:t>the director</w:t>
      </w:r>
      <w:r>
        <w:rPr>
          <w:spacing w:val="-2"/>
        </w:rPr>
        <w:t> </w:t>
      </w:r>
      <w:r>
        <w:rPr/>
        <w:t>of</w:t>
      </w:r>
      <w:r>
        <w:rPr>
          <w:spacing w:val="-6"/>
        </w:rPr>
        <w:t> </w:t>
      </w:r>
      <w:r>
        <w:rPr/>
        <w:t>a company is to have regard in</w:t>
      </w:r>
      <w:r>
        <w:rPr>
          <w:spacing w:val="-4"/>
        </w:rPr>
        <w:t> </w:t>
      </w:r>
      <w:r>
        <w:rPr/>
        <w:t>the performance of his functions include the interests of the company‘s employees in general as well as the interests of its members.‖ By mentioning ―interests of the company‖ and ―interests of the members‖ in different subsections, the Act implies that these are not the same. This work earlier argued</w:t>
      </w:r>
      <w:r>
        <w:rPr>
          <w:vertAlign w:val="superscript"/>
        </w:rPr>
        <w:t>168</w:t>
      </w:r>
      <w:r>
        <w:rPr>
          <w:vertAlign w:val="baseline"/>
        </w:rPr>
        <w:t> that the law, by placing employees and members in the same category, is misleading. Common law normally identified the interests of the company with those of the members, current and future, as appropriate.</w:t>
      </w:r>
      <w:r>
        <w:rPr>
          <w:vertAlign w:val="superscript"/>
        </w:rPr>
        <w:t>169</w:t>
      </w:r>
      <w:r>
        <w:rPr>
          <w:vertAlign w:val="baseline"/>
        </w:rPr>
        <w:t> If the members invest their money in the company and, depending on whether the company does well or not, get favourable returns or suffer losses on their investment, and like the company, also have a statutory forum in which to decide matters</w:t>
      </w:r>
      <w:r>
        <w:rPr>
          <w:spacing w:val="-3"/>
          <w:vertAlign w:val="baseline"/>
        </w:rPr>
        <w:t> </w:t>
      </w:r>
      <w:r>
        <w:rPr>
          <w:vertAlign w:val="baseline"/>
        </w:rPr>
        <w:t>regarding the business, wouldn‘t it be more appropriate to categorise the members‘ interests in the same group with the company‘s interests, than with the employees? What in fact are the interests of its </w:t>
      </w:r>
      <w:r>
        <w:rPr>
          <w:spacing w:val="-2"/>
          <w:vertAlign w:val="baseline"/>
        </w:rPr>
        <w:t>members?</w:t>
      </w:r>
    </w:p>
    <w:p>
      <w:pPr>
        <w:pStyle w:val="BodyText"/>
        <w:spacing w:before="30"/>
        <w:ind w:left="0"/>
        <w:rPr>
          <w:sz w:val="20"/>
        </w:rPr>
      </w:pPr>
      <w:r>
        <w:rPr/>
        <mc:AlternateContent>
          <mc:Choice Requires="wps">
            <w:drawing>
              <wp:anchor distT="0" distB="0" distL="0" distR="0" allowOverlap="1" layoutInCell="1" locked="0" behindDoc="1" simplePos="0" relativeHeight="487654400">
                <wp:simplePos x="0" y="0"/>
                <wp:positionH relativeFrom="page">
                  <wp:posOffset>1262481</wp:posOffset>
                </wp:positionH>
                <wp:positionV relativeFrom="paragraph">
                  <wp:posOffset>180345</wp:posOffset>
                </wp:positionV>
                <wp:extent cx="1829435" cy="9525"/>
                <wp:effectExtent l="0" t="0" r="0" b="0"/>
                <wp:wrapTopAndBottom/>
                <wp:docPr id="146" name="Graphic 146"/>
                <wp:cNvGraphicFramePr>
                  <a:graphicFrameLocks/>
                </wp:cNvGraphicFramePr>
                <a:graphic>
                  <a:graphicData uri="http://schemas.microsoft.com/office/word/2010/wordprocessingShape">
                    <wps:wsp>
                      <wps:cNvPr id="146" name="Graphic 14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20042pt;width:144.050pt;height:.71997pt;mso-position-horizontal-relative:page;mso-position-vertical-relative:paragraph;z-index:-15662080;mso-wrap-distance-left:0;mso-wrap-distance-right:0" id="docshape101" filled="true" fillcolor="#000000" stroked="false">
                <v:fill type="solid"/>
                <w10:wrap type="topAndBottom"/>
              </v:rect>
            </w:pict>
          </mc:Fallback>
        </mc:AlternateContent>
      </w:r>
    </w:p>
    <w:p>
      <w:pPr>
        <w:spacing w:before="102"/>
        <w:ind w:left="308" w:right="234" w:firstLine="0"/>
        <w:jc w:val="both"/>
        <w:rPr>
          <w:rFonts w:ascii="Calibri"/>
          <w:sz w:val="20"/>
        </w:rPr>
      </w:pPr>
      <w:r>
        <w:rPr>
          <w:rFonts w:ascii="Calibri"/>
          <w:sz w:val="20"/>
          <w:vertAlign w:val="superscript"/>
        </w:rPr>
        <w:t>167</w:t>
      </w:r>
      <w:r>
        <w:rPr>
          <w:rFonts w:ascii="Calibri"/>
          <w:sz w:val="20"/>
          <w:vertAlign w:val="baseline"/>
        </w:rPr>
        <w:t> Refer</w:t>
      </w:r>
      <w:r>
        <w:rPr>
          <w:rFonts w:ascii="Calibri"/>
          <w:spacing w:val="-3"/>
          <w:sz w:val="20"/>
          <w:vertAlign w:val="baseline"/>
        </w:rPr>
        <w:t> </w:t>
      </w:r>
      <w:r>
        <w:rPr>
          <w:rFonts w:ascii="Calibri"/>
          <w:sz w:val="20"/>
          <w:vertAlign w:val="baseline"/>
        </w:rPr>
        <w:t>to s.</w:t>
      </w:r>
      <w:r>
        <w:rPr>
          <w:rFonts w:ascii="Calibri"/>
          <w:spacing w:val="-3"/>
          <w:sz w:val="20"/>
          <w:vertAlign w:val="baseline"/>
        </w:rPr>
        <w:t> </w:t>
      </w:r>
      <w:r>
        <w:rPr>
          <w:rFonts w:ascii="Calibri"/>
          <w:sz w:val="20"/>
          <w:vertAlign w:val="baseline"/>
        </w:rPr>
        <w:t>39.</w:t>
      </w:r>
      <w:r>
        <w:rPr>
          <w:rFonts w:ascii="Calibri"/>
          <w:spacing w:val="-3"/>
          <w:sz w:val="20"/>
          <w:vertAlign w:val="baseline"/>
        </w:rPr>
        <w:t> </w:t>
      </w:r>
      <w:r>
        <w:rPr>
          <w:rFonts w:ascii="Calibri"/>
          <w:sz w:val="20"/>
          <w:vertAlign w:val="baseline"/>
        </w:rPr>
        <w:t>Unlike</w:t>
      </w:r>
      <w:r>
        <w:rPr>
          <w:rFonts w:ascii="Calibri"/>
          <w:spacing w:val="-5"/>
          <w:sz w:val="20"/>
          <w:vertAlign w:val="baseline"/>
        </w:rPr>
        <w:t> </w:t>
      </w:r>
      <w:r>
        <w:rPr>
          <w:rFonts w:ascii="Calibri"/>
          <w:sz w:val="20"/>
          <w:vertAlign w:val="baseline"/>
        </w:rPr>
        <w:t>in</w:t>
      </w:r>
      <w:r>
        <w:rPr>
          <w:rFonts w:ascii="Calibri"/>
          <w:spacing w:val="-5"/>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case</w:t>
      </w:r>
      <w:r>
        <w:rPr>
          <w:rFonts w:ascii="Calibri"/>
          <w:spacing w:val="-4"/>
          <w:sz w:val="20"/>
          <w:vertAlign w:val="baseline"/>
        </w:rPr>
        <w:t> </w:t>
      </w:r>
      <w:r>
        <w:rPr>
          <w:rFonts w:ascii="Calibri"/>
          <w:sz w:val="20"/>
          <w:vertAlign w:val="baseline"/>
        </w:rPr>
        <w:t>of a</w:t>
      </w:r>
      <w:r>
        <w:rPr>
          <w:rFonts w:ascii="Calibri"/>
          <w:spacing w:val="-5"/>
          <w:sz w:val="20"/>
          <w:vertAlign w:val="baseline"/>
        </w:rPr>
        <w:t> </w:t>
      </w:r>
      <w:r>
        <w:rPr>
          <w:rFonts w:ascii="Calibri"/>
          <w:sz w:val="20"/>
          <w:vertAlign w:val="baseline"/>
        </w:rPr>
        <w:t>company limited</w:t>
      </w:r>
      <w:r>
        <w:rPr>
          <w:rFonts w:ascii="Calibri"/>
          <w:spacing w:val="-5"/>
          <w:sz w:val="20"/>
          <w:vertAlign w:val="baseline"/>
        </w:rPr>
        <w:t> </w:t>
      </w:r>
      <w:r>
        <w:rPr>
          <w:rFonts w:ascii="Calibri"/>
          <w:sz w:val="20"/>
          <w:vertAlign w:val="baseline"/>
        </w:rPr>
        <w:t>by</w:t>
      </w:r>
      <w:r>
        <w:rPr>
          <w:rFonts w:ascii="Calibri"/>
          <w:spacing w:val="-5"/>
          <w:sz w:val="20"/>
          <w:vertAlign w:val="baseline"/>
        </w:rPr>
        <w:t> </w:t>
      </w:r>
      <w:r>
        <w:rPr>
          <w:rFonts w:ascii="Calibri"/>
          <w:sz w:val="20"/>
          <w:vertAlign w:val="baseline"/>
        </w:rPr>
        <w:t>guarantee,</w:t>
      </w:r>
      <w:r>
        <w:rPr>
          <w:rFonts w:ascii="Calibri"/>
          <w:spacing w:val="-2"/>
          <w:sz w:val="20"/>
          <w:vertAlign w:val="baseline"/>
        </w:rPr>
        <w:t> </w:t>
      </w:r>
      <w:r>
        <w:rPr>
          <w:rFonts w:ascii="Calibri"/>
          <w:sz w:val="20"/>
          <w:vertAlign w:val="baseline"/>
        </w:rPr>
        <w:t>the Act does</w:t>
      </w:r>
      <w:r>
        <w:rPr>
          <w:rFonts w:ascii="Calibri"/>
          <w:spacing w:val="-2"/>
          <w:sz w:val="20"/>
          <w:vertAlign w:val="baseline"/>
        </w:rPr>
        <w:t> </w:t>
      </w:r>
      <w:r>
        <w:rPr>
          <w:rFonts w:ascii="Calibri"/>
          <w:sz w:val="20"/>
          <w:vertAlign w:val="baseline"/>
        </w:rPr>
        <w:t>not specify the type of businesses a company not limited by guarantee may engage in. Thus, as long as a venture is lawful</w:t>
      </w:r>
      <w:r>
        <w:rPr>
          <w:rFonts w:ascii="Calibri"/>
          <w:spacing w:val="40"/>
          <w:sz w:val="20"/>
          <w:vertAlign w:val="baseline"/>
        </w:rPr>
        <w:t> </w:t>
      </w:r>
      <w:r>
        <w:rPr>
          <w:rFonts w:ascii="Calibri"/>
          <w:sz w:val="20"/>
          <w:vertAlign w:val="baseline"/>
        </w:rPr>
        <w:t>and not illegal, a company is generally entitled to pursue it.</w:t>
      </w:r>
    </w:p>
    <w:p>
      <w:pPr>
        <w:spacing w:before="3"/>
        <w:ind w:left="308" w:right="0" w:firstLine="0"/>
        <w:jc w:val="both"/>
        <w:rPr>
          <w:rFonts w:ascii="Calibri"/>
          <w:b/>
          <w:sz w:val="20"/>
        </w:rPr>
      </w:pPr>
      <w:r>
        <w:rPr>
          <w:rFonts w:ascii="Calibri"/>
          <w:sz w:val="20"/>
          <w:vertAlign w:val="superscript"/>
        </w:rPr>
        <w:t>168</w:t>
      </w:r>
      <w:r>
        <w:rPr>
          <w:rFonts w:ascii="Calibri"/>
          <w:spacing w:val="1"/>
          <w:sz w:val="20"/>
          <w:vertAlign w:val="baseline"/>
        </w:rPr>
        <w:t> </w:t>
      </w:r>
      <w:r>
        <w:rPr>
          <w:rFonts w:ascii="Calibri"/>
          <w:sz w:val="20"/>
          <w:vertAlign w:val="baseline"/>
        </w:rPr>
        <w:t>Refer</w:t>
      </w:r>
      <w:r>
        <w:rPr>
          <w:rFonts w:ascii="Calibri"/>
          <w:spacing w:val="-4"/>
          <w:sz w:val="20"/>
          <w:vertAlign w:val="baseline"/>
        </w:rPr>
        <w:t> </w:t>
      </w:r>
      <w:r>
        <w:rPr>
          <w:rFonts w:ascii="Calibri"/>
          <w:sz w:val="20"/>
          <w:vertAlign w:val="baseline"/>
        </w:rPr>
        <w:t>above,</w:t>
      </w:r>
      <w:r>
        <w:rPr>
          <w:rFonts w:ascii="Calibri"/>
          <w:spacing w:val="-5"/>
          <w:sz w:val="20"/>
          <w:vertAlign w:val="baseline"/>
        </w:rPr>
        <w:t> </w:t>
      </w:r>
      <w:r>
        <w:rPr>
          <w:rFonts w:ascii="Calibri"/>
          <w:b/>
          <w:spacing w:val="-2"/>
          <w:sz w:val="20"/>
          <w:vertAlign w:val="baseline"/>
        </w:rPr>
        <w:t>3.2.2</w:t>
      </w:r>
    </w:p>
    <w:p>
      <w:pPr>
        <w:spacing w:before="0"/>
        <w:ind w:left="308" w:right="0" w:firstLine="0"/>
        <w:jc w:val="both"/>
        <w:rPr>
          <w:rFonts w:ascii="Calibri"/>
          <w:i/>
          <w:sz w:val="20"/>
        </w:rPr>
      </w:pPr>
      <w:r>
        <w:rPr>
          <w:rFonts w:ascii="Calibri"/>
          <w:sz w:val="20"/>
          <w:vertAlign w:val="superscript"/>
        </w:rPr>
        <w:t>169</w:t>
      </w:r>
      <w:r>
        <w:rPr>
          <w:rFonts w:ascii="Calibri"/>
          <w:i/>
          <w:sz w:val="20"/>
          <w:vertAlign w:val="baseline"/>
        </w:rPr>
        <w:t>Brady</w:t>
      </w:r>
      <w:r>
        <w:rPr>
          <w:rFonts w:ascii="Calibri"/>
          <w:i/>
          <w:spacing w:val="22"/>
          <w:sz w:val="20"/>
          <w:vertAlign w:val="baseline"/>
        </w:rPr>
        <w:t> </w:t>
      </w:r>
      <w:r>
        <w:rPr>
          <w:rFonts w:ascii="Calibri"/>
          <w:i/>
          <w:sz w:val="20"/>
          <w:vertAlign w:val="baseline"/>
        </w:rPr>
        <w:t>vs.</w:t>
      </w:r>
      <w:r>
        <w:rPr>
          <w:rFonts w:ascii="Calibri"/>
          <w:i/>
          <w:spacing w:val="18"/>
          <w:sz w:val="20"/>
          <w:vertAlign w:val="baseline"/>
        </w:rPr>
        <w:t> </w:t>
      </w:r>
      <w:r>
        <w:rPr>
          <w:rFonts w:ascii="Calibri"/>
          <w:i/>
          <w:sz w:val="20"/>
          <w:vertAlign w:val="baseline"/>
        </w:rPr>
        <w:t>Brady</w:t>
      </w:r>
      <w:r>
        <w:rPr>
          <w:rFonts w:ascii="Calibri"/>
          <w:i/>
          <w:spacing w:val="18"/>
          <w:sz w:val="20"/>
          <w:vertAlign w:val="baseline"/>
        </w:rPr>
        <w:t> </w:t>
      </w:r>
      <w:r>
        <w:rPr>
          <w:rFonts w:ascii="Calibri"/>
          <w:sz w:val="20"/>
          <w:vertAlign w:val="baseline"/>
        </w:rPr>
        <w:t>(1987)</w:t>
      </w:r>
      <w:r>
        <w:rPr>
          <w:rFonts w:ascii="Calibri"/>
          <w:spacing w:val="22"/>
          <w:sz w:val="20"/>
          <w:vertAlign w:val="baseline"/>
        </w:rPr>
        <w:t> </w:t>
      </w:r>
      <w:r>
        <w:rPr>
          <w:rFonts w:ascii="Calibri"/>
          <w:sz w:val="20"/>
          <w:vertAlign w:val="baseline"/>
        </w:rPr>
        <w:t>3</w:t>
      </w:r>
      <w:r>
        <w:rPr>
          <w:rFonts w:ascii="Calibri"/>
          <w:spacing w:val="19"/>
          <w:sz w:val="20"/>
          <w:vertAlign w:val="baseline"/>
        </w:rPr>
        <w:t> </w:t>
      </w:r>
      <w:r>
        <w:rPr>
          <w:rFonts w:ascii="Calibri"/>
          <w:sz w:val="20"/>
          <w:vertAlign w:val="baseline"/>
        </w:rPr>
        <w:t>BCC,</w:t>
      </w:r>
      <w:r>
        <w:rPr>
          <w:rFonts w:ascii="Calibri"/>
          <w:spacing w:val="20"/>
          <w:sz w:val="20"/>
          <w:vertAlign w:val="baseline"/>
        </w:rPr>
        <w:t> </w:t>
      </w:r>
      <w:r>
        <w:rPr>
          <w:rFonts w:ascii="Calibri"/>
          <w:sz w:val="20"/>
          <w:vertAlign w:val="baseline"/>
        </w:rPr>
        <w:t>535</w:t>
      </w:r>
      <w:r>
        <w:rPr>
          <w:rFonts w:ascii="Calibri"/>
          <w:spacing w:val="19"/>
          <w:sz w:val="20"/>
          <w:vertAlign w:val="baseline"/>
        </w:rPr>
        <w:t> </w:t>
      </w:r>
      <w:r>
        <w:rPr>
          <w:rFonts w:ascii="Calibri"/>
          <w:sz w:val="20"/>
          <w:vertAlign w:val="baseline"/>
        </w:rPr>
        <w:t>at</w:t>
      </w:r>
      <w:r>
        <w:rPr>
          <w:rFonts w:ascii="Calibri"/>
          <w:spacing w:val="20"/>
          <w:sz w:val="20"/>
          <w:vertAlign w:val="baseline"/>
        </w:rPr>
        <w:t> </w:t>
      </w:r>
      <w:r>
        <w:rPr>
          <w:rFonts w:ascii="Calibri"/>
          <w:sz w:val="20"/>
          <w:vertAlign w:val="baseline"/>
        </w:rPr>
        <w:t>552</w:t>
      </w:r>
      <w:r>
        <w:rPr>
          <w:rFonts w:ascii="Calibri"/>
          <w:spacing w:val="19"/>
          <w:sz w:val="20"/>
          <w:vertAlign w:val="baseline"/>
        </w:rPr>
        <w:t> </w:t>
      </w:r>
      <w:r>
        <w:rPr>
          <w:rFonts w:ascii="Calibri"/>
          <w:sz w:val="20"/>
          <w:vertAlign w:val="baseline"/>
        </w:rPr>
        <w:t>(CA);</w:t>
      </w:r>
      <w:r>
        <w:rPr>
          <w:rFonts w:ascii="Calibri"/>
          <w:spacing w:val="18"/>
          <w:sz w:val="20"/>
          <w:vertAlign w:val="baseline"/>
        </w:rPr>
        <w:t> </w:t>
      </w:r>
      <w:r>
        <w:rPr>
          <w:rFonts w:ascii="Calibri"/>
          <w:i/>
          <w:sz w:val="20"/>
          <w:vertAlign w:val="baseline"/>
        </w:rPr>
        <w:t>Gaiman</w:t>
      </w:r>
      <w:r>
        <w:rPr>
          <w:rFonts w:ascii="Calibri"/>
          <w:i/>
          <w:spacing w:val="23"/>
          <w:sz w:val="20"/>
          <w:vertAlign w:val="baseline"/>
        </w:rPr>
        <w:t> </w:t>
      </w:r>
      <w:r>
        <w:rPr>
          <w:rFonts w:ascii="Calibri"/>
          <w:i/>
          <w:sz w:val="20"/>
          <w:vertAlign w:val="baseline"/>
        </w:rPr>
        <w:t>vs.</w:t>
      </w:r>
      <w:r>
        <w:rPr>
          <w:rFonts w:ascii="Calibri"/>
          <w:i/>
          <w:spacing w:val="23"/>
          <w:sz w:val="20"/>
          <w:vertAlign w:val="baseline"/>
        </w:rPr>
        <w:t> </w:t>
      </w:r>
      <w:r>
        <w:rPr>
          <w:rFonts w:ascii="Calibri"/>
          <w:i/>
          <w:sz w:val="20"/>
          <w:vertAlign w:val="baseline"/>
        </w:rPr>
        <w:t>National</w:t>
      </w:r>
      <w:r>
        <w:rPr>
          <w:rFonts w:ascii="Calibri"/>
          <w:i/>
          <w:spacing w:val="22"/>
          <w:sz w:val="20"/>
          <w:vertAlign w:val="baseline"/>
        </w:rPr>
        <w:t> </w:t>
      </w:r>
      <w:r>
        <w:rPr>
          <w:rFonts w:ascii="Calibri"/>
          <w:i/>
          <w:sz w:val="20"/>
          <w:vertAlign w:val="baseline"/>
        </w:rPr>
        <w:t>Association</w:t>
      </w:r>
      <w:r>
        <w:rPr>
          <w:rFonts w:ascii="Calibri"/>
          <w:i/>
          <w:spacing w:val="23"/>
          <w:sz w:val="20"/>
          <w:vertAlign w:val="baseline"/>
        </w:rPr>
        <w:t> </w:t>
      </w:r>
      <w:r>
        <w:rPr>
          <w:rFonts w:ascii="Calibri"/>
          <w:i/>
          <w:sz w:val="20"/>
          <w:vertAlign w:val="baseline"/>
        </w:rPr>
        <w:t>for</w:t>
      </w:r>
      <w:r>
        <w:rPr>
          <w:rFonts w:ascii="Calibri"/>
          <w:i/>
          <w:spacing w:val="20"/>
          <w:sz w:val="20"/>
          <w:vertAlign w:val="baseline"/>
        </w:rPr>
        <w:t> </w:t>
      </w:r>
      <w:r>
        <w:rPr>
          <w:rFonts w:ascii="Calibri"/>
          <w:i/>
          <w:sz w:val="20"/>
          <w:vertAlign w:val="baseline"/>
        </w:rPr>
        <w:t>Mental</w:t>
      </w:r>
      <w:r>
        <w:rPr>
          <w:rFonts w:ascii="Calibri"/>
          <w:i/>
          <w:spacing w:val="22"/>
          <w:sz w:val="20"/>
          <w:vertAlign w:val="baseline"/>
        </w:rPr>
        <w:t> </w:t>
      </w:r>
      <w:r>
        <w:rPr>
          <w:rFonts w:ascii="Calibri"/>
          <w:i/>
          <w:spacing w:val="-2"/>
          <w:sz w:val="20"/>
          <w:vertAlign w:val="baseline"/>
        </w:rPr>
        <w:t>Health</w:t>
      </w:r>
    </w:p>
    <w:p>
      <w:pPr>
        <w:spacing w:before="1"/>
        <w:ind w:left="308" w:right="0" w:firstLine="0"/>
        <w:jc w:val="both"/>
        <w:rPr>
          <w:rFonts w:ascii="Calibri"/>
          <w:sz w:val="20"/>
        </w:rPr>
      </w:pPr>
      <w:r>
        <w:rPr>
          <w:rFonts w:ascii="Calibri"/>
          <w:sz w:val="20"/>
        </w:rPr>
        <w:t>(1971)</w:t>
      </w:r>
      <w:r>
        <w:rPr>
          <w:rFonts w:ascii="Calibri"/>
          <w:spacing w:val="-1"/>
          <w:sz w:val="20"/>
        </w:rPr>
        <w:t> </w:t>
      </w:r>
      <w:r>
        <w:rPr>
          <w:rFonts w:ascii="Calibri"/>
          <w:sz w:val="20"/>
        </w:rPr>
        <w:t>Ch.</w:t>
      </w:r>
      <w:r>
        <w:rPr>
          <w:rFonts w:ascii="Calibri"/>
          <w:spacing w:val="-4"/>
          <w:sz w:val="20"/>
        </w:rPr>
        <w:t> </w:t>
      </w:r>
      <w:r>
        <w:rPr>
          <w:rFonts w:ascii="Calibri"/>
          <w:sz w:val="20"/>
        </w:rPr>
        <w:t>at</w:t>
      </w:r>
      <w:r>
        <w:rPr>
          <w:rFonts w:ascii="Calibri"/>
          <w:spacing w:val="-2"/>
          <w:sz w:val="20"/>
        </w:rPr>
        <w:t> </w:t>
      </w:r>
      <w:r>
        <w:rPr>
          <w:rFonts w:ascii="Calibri"/>
          <w:spacing w:val="-4"/>
          <w:sz w:val="20"/>
        </w:rPr>
        <w:t>330.</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3" w:firstLine="720"/>
        <w:jc w:val="both"/>
      </w:pPr>
      <w:r>
        <w:rPr/>
        <w:t>Following s. 279(3), it can be argued that the interests of the members would most</w:t>
      </w:r>
      <w:r>
        <w:rPr>
          <w:spacing w:val="32"/>
        </w:rPr>
        <w:t> </w:t>
      </w:r>
      <w:r>
        <w:rPr/>
        <w:t>likely also be to preserve the company‘s assets, further its business and promote</w:t>
      </w:r>
      <w:r>
        <w:rPr>
          <w:spacing w:val="40"/>
        </w:rPr>
        <w:t> </w:t>
      </w:r>
      <w:r>
        <w:rPr/>
        <w:t>the purposes for which the company was formed which, ultimately, will result in favourable returns. On the other hand, the interests of employees would most certainly</w:t>
      </w:r>
      <w:r>
        <w:rPr>
          <w:spacing w:val="40"/>
        </w:rPr>
        <w:t> </w:t>
      </w:r>
      <w:r>
        <w:rPr/>
        <w:t>be towards keeping their jobs, promotion opportunities and earning better pay.</w:t>
      </w:r>
      <w:r>
        <w:rPr>
          <w:spacing w:val="40"/>
        </w:rPr>
        <w:t> </w:t>
      </w:r>
      <w:r>
        <w:rPr/>
        <w:t>Evidently, therefore, the two groups have diverse interests. Furthermore, any rights the employees may have are limited to their contracts</w:t>
      </w:r>
      <w:r>
        <w:rPr>
          <w:spacing w:val="-3"/>
        </w:rPr>
        <w:t> </w:t>
      </w:r>
      <w:r>
        <w:rPr/>
        <w:t>of</w:t>
      </w:r>
      <w:r>
        <w:rPr>
          <w:spacing w:val="-4"/>
        </w:rPr>
        <w:t> </w:t>
      </w:r>
      <w:r>
        <w:rPr/>
        <w:t>employment with</w:t>
      </w:r>
      <w:r>
        <w:rPr>
          <w:spacing w:val="-1"/>
        </w:rPr>
        <w:t> </w:t>
      </w:r>
      <w:r>
        <w:rPr/>
        <w:t>the company</w:t>
      </w:r>
      <w:r>
        <w:rPr>
          <w:spacing w:val="-1"/>
        </w:rPr>
        <w:t> </w:t>
      </w:r>
      <w:r>
        <w:rPr/>
        <w:t>and generally any labour rights recognised by statute,</w:t>
      </w:r>
      <w:r>
        <w:rPr>
          <w:vertAlign w:val="superscript"/>
        </w:rPr>
        <w:t>170</w:t>
      </w:r>
      <w:r>
        <w:rPr>
          <w:vertAlign w:val="baseline"/>
        </w:rPr>
        <w:t> as opposed to the bundle of ownership rights available to members under company law, including the right to attend and vote</w:t>
      </w:r>
      <w:r>
        <w:rPr>
          <w:spacing w:val="-2"/>
          <w:vertAlign w:val="baseline"/>
        </w:rPr>
        <w:t> </w:t>
      </w:r>
      <w:r>
        <w:rPr>
          <w:vertAlign w:val="baseline"/>
        </w:rPr>
        <w:t>at meetings</w:t>
      </w:r>
      <w:r>
        <w:rPr>
          <w:spacing w:val="-3"/>
          <w:vertAlign w:val="baseline"/>
        </w:rPr>
        <w:t> </w:t>
      </w:r>
      <w:r>
        <w:rPr>
          <w:vertAlign w:val="baseline"/>
        </w:rPr>
        <w:t>resolving to appoint or remove directors</w:t>
      </w:r>
      <w:r>
        <w:rPr>
          <w:spacing w:val="-3"/>
          <w:vertAlign w:val="baseline"/>
        </w:rPr>
        <w:t> </w:t>
      </w:r>
      <w:r>
        <w:rPr>
          <w:vertAlign w:val="baseline"/>
        </w:rPr>
        <w:t>and</w:t>
      </w:r>
      <w:r>
        <w:rPr>
          <w:spacing w:val="-1"/>
          <w:vertAlign w:val="baseline"/>
        </w:rPr>
        <w:t> </w:t>
      </w:r>
      <w:r>
        <w:rPr>
          <w:vertAlign w:val="baseline"/>
        </w:rPr>
        <w:t>generally</w:t>
      </w:r>
      <w:r>
        <w:rPr>
          <w:spacing w:val="-1"/>
          <w:vertAlign w:val="baseline"/>
        </w:rPr>
        <w:t> </w:t>
      </w:r>
      <w:r>
        <w:rPr>
          <w:vertAlign w:val="baseline"/>
        </w:rPr>
        <w:t>deciding</w:t>
      </w:r>
      <w:r>
        <w:rPr>
          <w:spacing w:val="-1"/>
          <w:vertAlign w:val="baseline"/>
        </w:rPr>
        <w:t> </w:t>
      </w:r>
      <w:r>
        <w:rPr>
          <w:vertAlign w:val="baseline"/>
        </w:rPr>
        <w:t>the future</w:t>
      </w:r>
      <w:r>
        <w:rPr>
          <w:spacing w:val="-3"/>
          <w:vertAlign w:val="baseline"/>
        </w:rPr>
        <w:t> </w:t>
      </w:r>
      <w:r>
        <w:rPr>
          <w:vertAlign w:val="baseline"/>
        </w:rPr>
        <w:t>of</w:t>
      </w:r>
      <w:r>
        <w:rPr>
          <w:spacing w:val="-5"/>
          <w:vertAlign w:val="baseline"/>
        </w:rPr>
        <w:t> </w:t>
      </w:r>
      <w:r>
        <w:rPr>
          <w:vertAlign w:val="baseline"/>
        </w:rPr>
        <w:t>the company. It is also significant that, unlike members/shareholders who have the medium of derivative actions through which to enforce the duties of directors albeit indirectly, the company‘s employees have no such means under company law. Conclusively, it is submitted that the director‘s duty to act in the best interests of the company in s. 279(3) cannot be practically isolated from his duty to have regard to the interests of its members in s. 279(4). Thus, the interests of members should have been aligned with those of the company, rather than the employees.</w:t>
      </w:r>
    </w:p>
    <w:p>
      <w:pPr>
        <w:pStyle w:val="BodyText"/>
        <w:spacing w:line="480" w:lineRule="auto" w:before="3"/>
        <w:ind w:right="189" w:firstLine="720"/>
        <w:jc w:val="both"/>
      </w:pPr>
      <w:r>
        <w:rPr/>
        <w:t>The matters to which</w:t>
      </w:r>
      <w:r>
        <w:rPr>
          <w:spacing w:val="-1"/>
        </w:rPr>
        <w:t> </w:t>
      </w:r>
      <w:r>
        <w:rPr/>
        <w:t>the director is to have regard are presumably not limited to the two groups mentioned in s. 279(4). In line with</w:t>
      </w:r>
      <w:r>
        <w:rPr>
          <w:spacing w:val="-1"/>
        </w:rPr>
        <w:t> </w:t>
      </w:r>
      <w:r>
        <w:rPr/>
        <w:t>the general</w:t>
      </w:r>
      <w:r>
        <w:rPr>
          <w:spacing w:val="-6"/>
        </w:rPr>
        <w:t> </w:t>
      </w:r>
      <w:r>
        <w:rPr/>
        <w:t>rule of interpretation, the drafters‘ use of the word ―includes‖ suggests that the director may have regard to other matters in the performance of his functions. Since the Act does not give any clue as to what those</w:t>
      </w:r>
      <w:r>
        <w:rPr>
          <w:spacing w:val="-9"/>
        </w:rPr>
        <w:t> </w:t>
      </w:r>
      <w:r>
        <w:rPr/>
        <w:t>other</w:t>
      </w:r>
      <w:r>
        <w:rPr>
          <w:spacing w:val="-2"/>
        </w:rPr>
        <w:t> </w:t>
      </w:r>
      <w:r>
        <w:rPr/>
        <w:t>matters</w:t>
      </w:r>
      <w:r>
        <w:rPr>
          <w:spacing w:val="-6"/>
        </w:rPr>
        <w:t> </w:t>
      </w:r>
      <w:r>
        <w:rPr/>
        <w:t>may</w:t>
      </w:r>
      <w:r>
        <w:rPr>
          <w:spacing w:val="-8"/>
        </w:rPr>
        <w:t> </w:t>
      </w:r>
      <w:r>
        <w:rPr/>
        <w:t>be, it would be</w:t>
      </w:r>
      <w:r>
        <w:rPr>
          <w:spacing w:val="-4"/>
        </w:rPr>
        <w:t> </w:t>
      </w:r>
      <w:r>
        <w:rPr/>
        <w:t>safe</w:t>
      </w:r>
      <w:r>
        <w:rPr>
          <w:spacing w:val="-4"/>
        </w:rPr>
        <w:t> </w:t>
      </w:r>
      <w:r>
        <w:rPr/>
        <w:t>to assume</w:t>
      </w:r>
      <w:r>
        <w:rPr>
          <w:spacing w:val="-4"/>
        </w:rPr>
        <w:t> </w:t>
      </w:r>
      <w:r>
        <w:rPr/>
        <w:t>that so long</w:t>
      </w:r>
      <w:r>
        <w:rPr>
          <w:spacing w:val="-3"/>
        </w:rPr>
        <w:t> </w:t>
      </w:r>
      <w:r>
        <w:rPr/>
        <w:t>as</w:t>
      </w:r>
      <w:r>
        <w:rPr>
          <w:spacing w:val="-6"/>
        </w:rPr>
        <w:t> </w:t>
      </w:r>
      <w:r>
        <w:rPr/>
        <w:t>the</w:t>
      </w:r>
      <w:r>
        <w:rPr>
          <w:spacing w:val="-4"/>
        </w:rPr>
        <w:t> </w:t>
      </w:r>
      <w:r>
        <w:rPr/>
        <w:t>director‘s regard of a particular factor does not cause him to act ultra vires the company‘s powers or</w:t>
      </w:r>
      <w:r>
        <w:rPr>
          <w:spacing w:val="-2"/>
        </w:rPr>
        <w:t> </w:t>
      </w:r>
      <w:r>
        <w:rPr/>
        <w:t>its</w:t>
      </w:r>
      <w:r>
        <w:rPr>
          <w:spacing w:val="-1"/>
        </w:rPr>
        <w:t> </w:t>
      </w:r>
      <w:r>
        <w:rPr/>
        <w:t>purpose,</w:t>
      </w:r>
      <w:r>
        <w:rPr>
          <w:spacing w:val="-3"/>
        </w:rPr>
        <w:t> </w:t>
      </w:r>
      <w:r>
        <w:rPr/>
        <w:t>or</w:t>
      </w:r>
      <w:r>
        <w:rPr>
          <w:spacing w:val="1"/>
        </w:rPr>
        <w:t> </w:t>
      </w:r>
      <w:r>
        <w:rPr/>
        <w:t>contrary</w:t>
      </w:r>
      <w:r>
        <w:rPr>
          <w:spacing w:val="-10"/>
        </w:rPr>
        <w:t> </w:t>
      </w:r>
      <w:r>
        <w:rPr/>
        <w:t>to</w:t>
      </w:r>
      <w:r>
        <w:rPr>
          <w:spacing w:val="4"/>
        </w:rPr>
        <w:t> </w:t>
      </w:r>
      <w:r>
        <w:rPr/>
        <w:t>its</w:t>
      </w:r>
      <w:r>
        <w:rPr>
          <w:spacing w:val="-2"/>
        </w:rPr>
        <w:t> </w:t>
      </w:r>
      <w:r>
        <w:rPr/>
        <w:t>best</w:t>
      </w:r>
      <w:r>
        <w:rPr>
          <w:spacing w:val="9"/>
        </w:rPr>
        <w:t> </w:t>
      </w:r>
      <w:r>
        <w:rPr/>
        <w:t>interests,</w:t>
      </w:r>
      <w:r>
        <w:rPr>
          <w:spacing w:val="2"/>
        </w:rPr>
        <w:t> </w:t>
      </w:r>
      <w:r>
        <w:rPr/>
        <w:t>his</w:t>
      </w:r>
      <w:r>
        <w:rPr>
          <w:spacing w:val="2"/>
        </w:rPr>
        <w:t> </w:t>
      </w:r>
      <w:r>
        <w:rPr/>
        <w:t>action</w:t>
      </w:r>
      <w:r>
        <w:rPr>
          <w:spacing w:val="-5"/>
        </w:rPr>
        <w:t> </w:t>
      </w:r>
      <w:r>
        <w:rPr/>
        <w:t>would</w:t>
      </w:r>
      <w:r>
        <w:rPr>
          <w:spacing w:val="3"/>
        </w:rPr>
        <w:t> </w:t>
      </w:r>
      <w:r>
        <w:rPr/>
        <w:t>be</w:t>
      </w:r>
      <w:r>
        <w:rPr>
          <w:spacing w:val="4"/>
        </w:rPr>
        <w:t> </w:t>
      </w:r>
      <w:r>
        <w:rPr/>
        <w:t>in order.</w:t>
      </w:r>
      <w:r>
        <w:rPr>
          <w:spacing w:val="2"/>
        </w:rPr>
        <w:t> </w:t>
      </w:r>
      <w:r>
        <w:rPr>
          <w:spacing w:val="-2"/>
        </w:rPr>
        <w:t>Accordingly,</w:t>
      </w:r>
    </w:p>
    <w:p>
      <w:pPr>
        <w:pStyle w:val="BodyText"/>
        <w:spacing w:before="8"/>
        <w:ind w:left="0"/>
        <w:rPr>
          <w:sz w:val="11"/>
        </w:rPr>
      </w:pPr>
      <w:r>
        <w:rPr/>
        <mc:AlternateContent>
          <mc:Choice Requires="wps">
            <w:drawing>
              <wp:anchor distT="0" distB="0" distL="0" distR="0" allowOverlap="1" layoutInCell="1" locked="0" behindDoc="1" simplePos="0" relativeHeight="487654912">
                <wp:simplePos x="0" y="0"/>
                <wp:positionH relativeFrom="page">
                  <wp:posOffset>1262481</wp:posOffset>
                </wp:positionH>
                <wp:positionV relativeFrom="paragraph">
                  <wp:posOffset>100917</wp:posOffset>
                </wp:positionV>
                <wp:extent cx="1829435" cy="9525"/>
                <wp:effectExtent l="0" t="0" r="0" b="0"/>
                <wp:wrapTopAndBottom/>
                <wp:docPr id="147" name="Graphic 147"/>
                <wp:cNvGraphicFramePr>
                  <a:graphicFrameLocks/>
                </wp:cNvGraphicFramePr>
                <a:graphic>
                  <a:graphicData uri="http://schemas.microsoft.com/office/word/2010/wordprocessingShape">
                    <wps:wsp>
                      <wps:cNvPr id="147" name="Graphic 14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7.94628pt;width:144.050pt;height:.71997pt;mso-position-horizontal-relative:page;mso-position-vertical-relative:paragraph;z-index:-15661568;mso-wrap-distance-left:0;mso-wrap-distance-right:0" id="docshape102" filled="true" fillcolor="#000000" stroked="false">
                <v:fill type="solid"/>
                <w10:wrap type="topAndBottom"/>
              </v:rect>
            </w:pict>
          </mc:Fallback>
        </mc:AlternateContent>
      </w:r>
    </w:p>
    <w:p>
      <w:pPr>
        <w:spacing w:before="102"/>
        <w:ind w:left="308" w:right="255" w:firstLine="0"/>
        <w:jc w:val="left"/>
        <w:rPr>
          <w:rFonts w:ascii="Calibri" w:hAnsi="Calibri"/>
          <w:sz w:val="20"/>
        </w:rPr>
      </w:pPr>
      <w:r>
        <w:rPr>
          <w:rFonts w:ascii="Calibri" w:hAnsi="Calibri"/>
          <w:sz w:val="20"/>
          <w:vertAlign w:val="superscript"/>
        </w:rPr>
        <w:t>170</w:t>
      </w:r>
      <w:r>
        <w:rPr>
          <w:rFonts w:ascii="Calibri" w:hAnsi="Calibri"/>
          <w:sz w:val="20"/>
          <w:vertAlign w:val="baseline"/>
        </w:rPr>
        <w:t> The CAMA has also considered the company’s employees in other respects. See ss. 342(5), 384 and </w:t>
      </w:r>
      <w:r>
        <w:rPr>
          <w:rFonts w:ascii="Calibri" w:hAnsi="Calibri"/>
          <w:spacing w:val="-4"/>
          <w:sz w:val="20"/>
          <w:vertAlign w:val="baseline"/>
        </w:rPr>
        <w:t>566.</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184"/>
        <w:jc w:val="both"/>
      </w:pPr>
      <w:r>
        <w:rPr/>
        <w:t>the director may, under appropriate circumstances, consider the interests of outsiders such as the company‘s consumers, suppliers or host community, for example, if this would ultimately be in the best interests of the company.</w:t>
      </w:r>
    </w:p>
    <w:p>
      <w:pPr>
        <w:pStyle w:val="BodyText"/>
        <w:spacing w:line="480" w:lineRule="auto"/>
        <w:ind w:right="185" w:firstLine="720"/>
        <w:jc w:val="both"/>
      </w:pPr>
      <w:r>
        <w:rPr/>
        <w:t>Curiously, s. 279(5) cautions that ―a director shall exercise his powers for the purpose for which </w:t>
      </w:r>
      <w:r>
        <w:rPr>
          <w:i/>
        </w:rPr>
        <w:t>he </w:t>
      </w:r>
      <w:r>
        <w:rPr/>
        <w:t>is specified and shall not do so for a collateral purpose, and the power, if exercised for the right purposes does not constitute a breach of duty, if it incidentally affects a member adversely.‖ It is not clear from the subsection what is meant by</w:t>
      </w:r>
      <w:r>
        <w:rPr>
          <w:spacing w:val="-4"/>
        </w:rPr>
        <w:t> </w:t>
      </w:r>
      <w:r>
        <w:rPr/>
        <w:t>―his</w:t>
      </w:r>
      <w:r>
        <w:rPr>
          <w:spacing w:val="-5"/>
        </w:rPr>
        <w:t> </w:t>
      </w:r>
      <w:r>
        <w:rPr/>
        <w:t>powers‖,</w:t>
      </w:r>
      <w:r>
        <w:rPr>
          <w:spacing w:val="-2"/>
        </w:rPr>
        <w:t> </w:t>
      </w:r>
      <w:r>
        <w:rPr/>
        <w:t>especially</w:t>
      </w:r>
      <w:r>
        <w:rPr>
          <w:spacing w:val="-3"/>
        </w:rPr>
        <w:t> </w:t>
      </w:r>
      <w:r>
        <w:rPr/>
        <w:t>since</w:t>
      </w:r>
      <w:r>
        <w:rPr>
          <w:spacing w:val="-1"/>
        </w:rPr>
        <w:t> </w:t>
      </w:r>
      <w:r>
        <w:rPr/>
        <w:t>the</w:t>
      </w:r>
      <w:r>
        <w:rPr>
          <w:spacing w:val="-4"/>
        </w:rPr>
        <w:t> </w:t>
      </w:r>
      <w:r>
        <w:rPr/>
        <w:t>subsection</w:t>
      </w:r>
      <w:r>
        <w:rPr>
          <w:spacing w:val="-7"/>
        </w:rPr>
        <w:t> </w:t>
      </w:r>
      <w:r>
        <w:rPr/>
        <w:t>continues</w:t>
      </w:r>
      <w:r>
        <w:rPr>
          <w:spacing w:val="-5"/>
        </w:rPr>
        <w:t> </w:t>
      </w:r>
      <w:r>
        <w:rPr/>
        <w:t>with</w:t>
      </w:r>
      <w:r>
        <w:rPr>
          <w:spacing w:val="-4"/>
        </w:rPr>
        <w:t> </w:t>
      </w:r>
      <w:r>
        <w:rPr/>
        <w:t>―for</w:t>
      </w:r>
      <w:r>
        <w:rPr>
          <w:spacing w:val="-2"/>
        </w:rPr>
        <w:t> </w:t>
      </w:r>
      <w:r>
        <w:rPr/>
        <w:t>which </w:t>
      </w:r>
      <w:r>
        <w:rPr>
          <w:i/>
        </w:rPr>
        <w:t>he</w:t>
      </w:r>
      <w:r>
        <w:rPr>
          <w:i/>
          <w:spacing w:val="-1"/>
        </w:rPr>
        <w:t> </w:t>
      </w:r>
      <w:r>
        <w:rPr/>
        <w:t>is specified‖. The word, ―specified‖ suggests that the powers referred to are clearly stated somewhere. But it is not clear from this particular provision, what those powers are or where they are likely to be found.</w:t>
      </w:r>
      <w:r>
        <w:rPr>
          <w:vertAlign w:val="superscript"/>
        </w:rPr>
        <w:t>171</w:t>
      </w:r>
    </w:p>
    <w:p>
      <w:pPr>
        <w:pStyle w:val="BodyText"/>
        <w:spacing w:line="480" w:lineRule="auto" w:before="2"/>
        <w:ind w:right="178" w:firstLine="720"/>
        <w:jc w:val="both"/>
      </w:pPr>
      <w:r>
        <w:rPr/>
        <w:t>However,</w:t>
      </w:r>
      <w:r>
        <w:rPr>
          <w:spacing w:val="-11"/>
        </w:rPr>
        <w:t> </w:t>
      </w:r>
      <w:r>
        <w:rPr/>
        <w:t>s.63(2)</w:t>
      </w:r>
      <w:r>
        <w:rPr>
          <w:spacing w:val="-14"/>
        </w:rPr>
        <w:t> </w:t>
      </w:r>
      <w:r>
        <w:rPr/>
        <w:t>provides</w:t>
      </w:r>
      <w:r>
        <w:rPr>
          <w:spacing w:val="-10"/>
        </w:rPr>
        <w:t> </w:t>
      </w:r>
      <w:r>
        <w:rPr/>
        <w:t>inter</w:t>
      </w:r>
      <w:r>
        <w:rPr>
          <w:spacing w:val="-10"/>
        </w:rPr>
        <w:t> </w:t>
      </w:r>
      <w:r>
        <w:rPr/>
        <w:t>alia,</w:t>
      </w:r>
      <w:r>
        <w:rPr>
          <w:spacing w:val="-10"/>
        </w:rPr>
        <w:t> </w:t>
      </w:r>
      <w:r>
        <w:rPr/>
        <w:t>that</w:t>
      </w:r>
      <w:r>
        <w:rPr>
          <w:spacing w:val="-8"/>
        </w:rPr>
        <w:t> </w:t>
      </w:r>
      <w:r>
        <w:rPr/>
        <w:t>―the...powers</w:t>
      </w:r>
      <w:r>
        <w:rPr>
          <w:spacing w:val="-13"/>
        </w:rPr>
        <w:t> </w:t>
      </w:r>
      <w:r>
        <w:rPr/>
        <w:t>of...the</w:t>
      </w:r>
      <w:r>
        <w:rPr>
          <w:spacing w:val="-5"/>
        </w:rPr>
        <w:t> </w:t>
      </w:r>
      <w:r>
        <w:rPr/>
        <w:t>board</w:t>
      </w:r>
      <w:r>
        <w:rPr>
          <w:spacing w:val="-15"/>
        </w:rPr>
        <w:t> </w:t>
      </w:r>
      <w:r>
        <w:rPr/>
        <w:t>of</w:t>
      </w:r>
      <w:r>
        <w:rPr>
          <w:spacing w:val="-15"/>
        </w:rPr>
        <w:t> </w:t>
      </w:r>
      <w:r>
        <w:rPr/>
        <w:t>directors shall be determined by the company‘s articles.‖ But these powers belong to the</w:t>
      </w:r>
      <w:r>
        <w:rPr>
          <w:spacing w:val="80"/>
        </w:rPr>
        <w:t> </w:t>
      </w:r>
      <w:r>
        <w:rPr/>
        <w:t>collective board not to individual directors. The articles of association prescribe regulations for the management of the company</w:t>
      </w:r>
      <w:r>
        <w:rPr>
          <w:vertAlign w:val="superscript"/>
        </w:rPr>
        <w:t>172</w:t>
      </w:r>
      <w:r>
        <w:rPr>
          <w:vertAlign w:val="baseline"/>
        </w:rPr>
        <w:t> and when registered along with the memorandum, shall have</w:t>
      </w:r>
      <w:r>
        <w:rPr>
          <w:spacing w:val="-1"/>
          <w:vertAlign w:val="baseline"/>
        </w:rPr>
        <w:t> </w:t>
      </w:r>
      <w:r>
        <w:rPr>
          <w:vertAlign w:val="baseline"/>
        </w:rPr>
        <w:t>the</w:t>
      </w:r>
      <w:r>
        <w:rPr>
          <w:spacing w:val="-1"/>
          <w:vertAlign w:val="baseline"/>
        </w:rPr>
        <w:t> </w:t>
      </w:r>
      <w:r>
        <w:rPr>
          <w:vertAlign w:val="baseline"/>
        </w:rPr>
        <w:t>effect of</w:t>
      </w:r>
      <w:r>
        <w:rPr>
          <w:spacing w:val="-8"/>
          <w:vertAlign w:val="baseline"/>
        </w:rPr>
        <w:t> </w:t>
      </w:r>
      <w:r>
        <w:rPr>
          <w:vertAlign w:val="baseline"/>
        </w:rPr>
        <w:t>a</w:t>
      </w:r>
      <w:r>
        <w:rPr>
          <w:spacing w:val="-1"/>
          <w:vertAlign w:val="baseline"/>
        </w:rPr>
        <w:t> </w:t>
      </w:r>
      <w:r>
        <w:rPr>
          <w:vertAlign w:val="baseline"/>
        </w:rPr>
        <w:t>contract under seal</w:t>
      </w:r>
      <w:r>
        <w:rPr>
          <w:spacing w:val="-5"/>
          <w:vertAlign w:val="baseline"/>
        </w:rPr>
        <w:t> </w:t>
      </w:r>
      <w:r>
        <w:rPr>
          <w:vertAlign w:val="baseline"/>
        </w:rPr>
        <w:t>between</w:t>
      </w:r>
      <w:r>
        <w:rPr>
          <w:spacing w:val="-5"/>
          <w:vertAlign w:val="baseline"/>
        </w:rPr>
        <w:t> </w:t>
      </w:r>
      <w:r>
        <w:rPr>
          <w:vertAlign w:val="baseline"/>
        </w:rPr>
        <w:t>the</w:t>
      </w:r>
      <w:r>
        <w:rPr>
          <w:spacing w:val="-1"/>
          <w:vertAlign w:val="baseline"/>
        </w:rPr>
        <w:t> </w:t>
      </w:r>
      <w:r>
        <w:rPr>
          <w:vertAlign w:val="baseline"/>
        </w:rPr>
        <w:t>company</w:t>
      </w:r>
      <w:r>
        <w:rPr>
          <w:spacing w:val="-5"/>
          <w:vertAlign w:val="baseline"/>
        </w:rPr>
        <w:t> </w:t>
      </w:r>
      <w:r>
        <w:rPr>
          <w:vertAlign w:val="baseline"/>
        </w:rPr>
        <w:t>and its members and officers, and between the members and officers themselves, whereby they agree to observe and perform the provisions therein.</w:t>
      </w:r>
      <w:r>
        <w:rPr>
          <w:vertAlign w:val="superscript"/>
        </w:rPr>
        <w:t>173</w:t>
      </w:r>
      <w:r>
        <w:rPr>
          <w:vertAlign w:val="baseline"/>
        </w:rPr>
        <w:t>Thus, any ―powers‖ a director may</w:t>
      </w:r>
      <w:r>
        <w:rPr>
          <w:spacing w:val="-1"/>
          <w:vertAlign w:val="baseline"/>
        </w:rPr>
        <w:t> </w:t>
      </w:r>
      <w:r>
        <w:rPr>
          <w:vertAlign w:val="baseline"/>
        </w:rPr>
        <w:t>have</w:t>
      </w:r>
      <w:r>
        <w:rPr>
          <w:spacing w:val="-2"/>
          <w:vertAlign w:val="baseline"/>
        </w:rPr>
        <w:t> </w:t>
      </w:r>
      <w:r>
        <w:rPr>
          <w:vertAlign w:val="baseline"/>
        </w:rPr>
        <w:t>would more</w:t>
      </w:r>
      <w:r>
        <w:rPr>
          <w:spacing w:val="-2"/>
          <w:vertAlign w:val="baseline"/>
        </w:rPr>
        <w:t> </w:t>
      </w:r>
      <w:r>
        <w:rPr>
          <w:vertAlign w:val="baseline"/>
        </w:rPr>
        <w:t>likely</w:t>
      </w:r>
      <w:r>
        <w:rPr>
          <w:spacing w:val="-1"/>
          <w:vertAlign w:val="baseline"/>
        </w:rPr>
        <w:t> </w:t>
      </w:r>
      <w:r>
        <w:rPr>
          <w:vertAlign w:val="baseline"/>
        </w:rPr>
        <w:t>be </w:t>
      </w:r>
      <w:r>
        <w:rPr>
          <w:i/>
          <w:vertAlign w:val="baseline"/>
        </w:rPr>
        <w:t>specified</w:t>
      </w:r>
      <w:r>
        <w:rPr>
          <w:vertAlign w:val="baseline"/>
        </w:rPr>
        <w:t>,</w:t>
      </w:r>
      <w:r>
        <w:rPr>
          <w:spacing w:val="-4"/>
          <w:vertAlign w:val="baseline"/>
        </w:rPr>
        <w:t> </w:t>
      </w:r>
      <w:r>
        <w:rPr>
          <w:vertAlign w:val="baseline"/>
        </w:rPr>
        <w:t>or</w:t>
      </w:r>
      <w:r>
        <w:rPr>
          <w:spacing w:val="-4"/>
          <w:vertAlign w:val="baseline"/>
        </w:rPr>
        <w:t> </w:t>
      </w:r>
      <w:r>
        <w:rPr>
          <w:vertAlign w:val="baseline"/>
        </w:rPr>
        <w:t>better</w:t>
      </w:r>
      <w:r>
        <w:rPr>
          <w:spacing w:val="-4"/>
          <w:vertAlign w:val="baseline"/>
        </w:rPr>
        <w:t> </w:t>
      </w:r>
      <w:r>
        <w:rPr>
          <w:vertAlign w:val="baseline"/>
        </w:rPr>
        <w:t>still, </w:t>
      </w:r>
      <w:r>
        <w:rPr>
          <w:i/>
          <w:vertAlign w:val="baseline"/>
        </w:rPr>
        <w:t>conferred </w:t>
      </w:r>
      <w:r>
        <w:rPr>
          <w:vertAlign w:val="baseline"/>
        </w:rPr>
        <w:t>on</w:t>
      </w:r>
      <w:r>
        <w:rPr>
          <w:spacing w:val="-6"/>
          <w:vertAlign w:val="baseline"/>
        </w:rPr>
        <w:t> </w:t>
      </w:r>
      <w:r>
        <w:rPr>
          <w:vertAlign w:val="baseline"/>
        </w:rPr>
        <w:t>him, by</w:t>
      </w:r>
      <w:r>
        <w:rPr>
          <w:spacing w:val="-11"/>
          <w:vertAlign w:val="baseline"/>
        </w:rPr>
        <w:t> </w:t>
      </w:r>
      <w:r>
        <w:rPr>
          <w:vertAlign w:val="baseline"/>
        </w:rPr>
        <w:t>the</w:t>
      </w:r>
      <w:r>
        <w:rPr>
          <w:spacing w:val="-2"/>
          <w:vertAlign w:val="baseline"/>
        </w:rPr>
        <w:t> </w:t>
      </w:r>
      <w:r>
        <w:rPr>
          <w:vertAlign w:val="baseline"/>
        </w:rPr>
        <w:t>articles of association, by which he is guided in his actions. If this subsection is to be reconstructed</w:t>
      </w:r>
      <w:r>
        <w:rPr>
          <w:spacing w:val="-7"/>
          <w:vertAlign w:val="baseline"/>
        </w:rPr>
        <w:t> </w:t>
      </w:r>
      <w:r>
        <w:rPr>
          <w:vertAlign w:val="baseline"/>
        </w:rPr>
        <w:t>to make</w:t>
      </w:r>
      <w:r>
        <w:rPr>
          <w:spacing w:val="-4"/>
          <w:vertAlign w:val="baseline"/>
        </w:rPr>
        <w:t> </w:t>
      </w:r>
      <w:r>
        <w:rPr>
          <w:vertAlign w:val="baseline"/>
        </w:rPr>
        <w:t>proper</w:t>
      </w:r>
      <w:r>
        <w:rPr>
          <w:spacing w:val="-2"/>
          <w:vertAlign w:val="baseline"/>
        </w:rPr>
        <w:t> </w:t>
      </w:r>
      <w:r>
        <w:rPr>
          <w:vertAlign w:val="baseline"/>
        </w:rPr>
        <w:t>sense,</w:t>
      </w:r>
      <w:r>
        <w:rPr>
          <w:spacing w:val="-1"/>
          <w:vertAlign w:val="baseline"/>
        </w:rPr>
        <w:t> </w:t>
      </w:r>
      <w:r>
        <w:rPr>
          <w:vertAlign w:val="baseline"/>
        </w:rPr>
        <w:t>therefore,</w:t>
      </w:r>
      <w:r>
        <w:rPr>
          <w:spacing w:val="-1"/>
          <w:vertAlign w:val="baseline"/>
        </w:rPr>
        <w:t> </w:t>
      </w:r>
      <w:r>
        <w:rPr>
          <w:vertAlign w:val="baseline"/>
        </w:rPr>
        <w:t>it should at least make</w:t>
      </w:r>
      <w:r>
        <w:rPr>
          <w:spacing w:val="-4"/>
          <w:vertAlign w:val="baseline"/>
        </w:rPr>
        <w:t> </w:t>
      </w:r>
      <w:r>
        <w:rPr>
          <w:vertAlign w:val="baseline"/>
        </w:rPr>
        <w:t>proper</w:t>
      </w:r>
      <w:r>
        <w:rPr>
          <w:spacing w:val="-2"/>
          <w:vertAlign w:val="baseline"/>
        </w:rPr>
        <w:t> </w:t>
      </w:r>
      <w:r>
        <w:rPr>
          <w:vertAlign w:val="baseline"/>
        </w:rPr>
        <w:t>reference</w:t>
      </w:r>
      <w:r>
        <w:rPr>
          <w:spacing w:val="-4"/>
          <w:vertAlign w:val="baseline"/>
        </w:rPr>
        <w:t> </w:t>
      </w:r>
      <w:r>
        <w:rPr>
          <w:vertAlign w:val="baseline"/>
        </w:rPr>
        <w:t>to the source of the </w:t>
      </w:r>
      <w:r>
        <w:rPr>
          <w:i/>
          <w:vertAlign w:val="baseline"/>
        </w:rPr>
        <w:t>powers</w:t>
      </w:r>
      <w:r>
        <w:rPr>
          <w:vertAlign w:val="baseline"/>
        </w:rPr>
        <w:t>, so that a director may be better guided in his duty. A reconstruction</w:t>
      </w:r>
      <w:r>
        <w:rPr>
          <w:spacing w:val="13"/>
          <w:vertAlign w:val="baseline"/>
        </w:rPr>
        <w:t> </w:t>
      </w:r>
      <w:r>
        <w:rPr>
          <w:vertAlign w:val="baseline"/>
        </w:rPr>
        <w:t>may</w:t>
      </w:r>
      <w:r>
        <w:rPr>
          <w:spacing w:val="9"/>
          <w:vertAlign w:val="baseline"/>
        </w:rPr>
        <w:t> </w:t>
      </w:r>
      <w:r>
        <w:rPr>
          <w:vertAlign w:val="baseline"/>
        </w:rPr>
        <w:t>read:</w:t>
      </w:r>
      <w:r>
        <w:rPr>
          <w:spacing w:val="17"/>
          <w:vertAlign w:val="baseline"/>
        </w:rPr>
        <w:t> </w:t>
      </w:r>
      <w:r>
        <w:rPr>
          <w:vertAlign w:val="baseline"/>
        </w:rPr>
        <w:t>―a</w:t>
      </w:r>
      <w:r>
        <w:rPr>
          <w:spacing w:val="12"/>
          <w:vertAlign w:val="baseline"/>
        </w:rPr>
        <w:t> </w:t>
      </w:r>
      <w:r>
        <w:rPr>
          <w:vertAlign w:val="baseline"/>
        </w:rPr>
        <w:t>director</w:t>
      </w:r>
      <w:r>
        <w:rPr>
          <w:spacing w:val="14"/>
          <w:vertAlign w:val="baseline"/>
        </w:rPr>
        <w:t> </w:t>
      </w:r>
      <w:r>
        <w:rPr>
          <w:vertAlign w:val="baseline"/>
        </w:rPr>
        <w:t>shall</w:t>
      </w:r>
      <w:r>
        <w:rPr>
          <w:spacing w:val="12"/>
          <w:vertAlign w:val="baseline"/>
        </w:rPr>
        <w:t> </w:t>
      </w:r>
      <w:r>
        <w:rPr>
          <w:vertAlign w:val="baseline"/>
        </w:rPr>
        <w:t>act</w:t>
      </w:r>
      <w:r>
        <w:rPr>
          <w:spacing w:val="22"/>
          <w:vertAlign w:val="baseline"/>
        </w:rPr>
        <w:t> </w:t>
      </w:r>
      <w:r>
        <w:rPr>
          <w:vertAlign w:val="baseline"/>
        </w:rPr>
        <w:t>in</w:t>
      </w:r>
      <w:r>
        <w:rPr>
          <w:spacing w:val="17"/>
          <w:vertAlign w:val="baseline"/>
        </w:rPr>
        <w:t> </w:t>
      </w:r>
      <w:r>
        <w:rPr>
          <w:vertAlign w:val="baseline"/>
        </w:rPr>
        <w:t>accordance</w:t>
      </w:r>
      <w:r>
        <w:rPr>
          <w:spacing w:val="12"/>
          <w:vertAlign w:val="baseline"/>
        </w:rPr>
        <w:t> </w:t>
      </w:r>
      <w:r>
        <w:rPr>
          <w:vertAlign w:val="baseline"/>
        </w:rPr>
        <w:t>with</w:t>
      </w:r>
      <w:r>
        <w:rPr>
          <w:spacing w:val="11"/>
          <w:vertAlign w:val="baseline"/>
        </w:rPr>
        <w:t> </w:t>
      </w:r>
      <w:r>
        <w:rPr>
          <w:i/>
          <w:vertAlign w:val="baseline"/>
        </w:rPr>
        <w:t>powers</w:t>
      </w:r>
      <w:r>
        <w:rPr>
          <w:i/>
          <w:spacing w:val="16"/>
          <w:vertAlign w:val="baseline"/>
        </w:rPr>
        <w:t> </w:t>
      </w:r>
      <w:r>
        <w:rPr>
          <w:vertAlign w:val="baseline"/>
        </w:rPr>
        <w:t>conferred</w:t>
      </w:r>
      <w:r>
        <w:rPr>
          <w:spacing w:val="13"/>
          <w:vertAlign w:val="baseline"/>
        </w:rPr>
        <w:t> </w:t>
      </w:r>
      <w:r>
        <w:rPr>
          <w:spacing w:val="-5"/>
          <w:vertAlign w:val="baseline"/>
        </w:rPr>
        <w:t>by</w:t>
      </w:r>
    </w:p>
    <w:p>
      <w:pPr>
        <w:pStyle w:val="BodyText"/>
        <w:spacing w:before="2"/>
        <w:ind w:left="0"/>
        <w:rPr>
          <w:sz w:val="17"/>
        </w:rPr>
      </w:pPr>
      <w:r>
        <w:rPr/>
        <mc:AlternateContent>
          <mc:Choice Requires="wps">
            <w:drawing>
              <wp:anchor distT="0" distB="0" distL="0" distR="0" allowOverlap="1" layoutInCell="1" locked="0" behindDoc="1" simplePos="0" relativeHeight="487655424">
                <wp:simplePos x="0" y="0"/>
                <wp:positionH relativeFrom="page">
                  <wp:posOffset>1262481</wp:posOffset>
                </wp:positionH>
                <wp:positionV relativeFrom="paragraph">
                  <wp:posOffset>141146</wp:posOffset>
                </wp:positionV>
                <wp:extent cx="1829435" cy="9525"/>
                <wp:effectExtent l="0" t="0" r="0" b="0"/>
                <wp:wrapTopAndBottom/>
                <wp:docPr id="148" name="Graphic 148"/>
                <wp:cNvGraphicFramePr>
                  <a:graphicFrameLocks/>
                </wp:cNvGraphicFramePr>
                <a:graphic>
                  <a:graphicData uri="http://schemas.microsoft.com/office/word/2010/wordprocessingShape">
                    <wps:wsp>
                      <wps:cNvPr id="148" name="Graphic 148"/>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113876pt;width:144.050pt;height:.72003pt;mso-position-horizontal-relative:page;mso-position-vertical-relative:paragraph;z-index:-15661056;mso-wrap-distance-left:0;mso-wrap-distance-right:0" id="docshape103" filled="true" fillcolor="#000000" stroked="false">
                <v:fill type="solid"/>
                <w10:wrap type="topAndBottom"/>
              </v:rect>
            </w:pict>
          </mc:Fallback>
        </mc:AlternateContent>
      </w:r>
    </w:p>
    <w:p>
      <w:pPr>
        <w:tabs>
          <w:tab w:pos="5883" w:val="left" w:leader="dot"/>
        </w:tabs>
        <w:spacing w:before="102"/>
        <w:ind w:left="308" w:right="0" w:firstLine="0"/>
        <w:jc w:val="left"/>
        <w:rPr>
          <w:rFonts w:ascii="Calibri" w:hAnsi="Calibri"/>
          <w:sz w:val="20"/>
        </w:rPr>
      </w:pPr>
      <w:r>
        <w:rPr>
          <w:rFonts w:ascii="Calibri" w:hAnsi="Calibri"/>
          <w:sz w:val="20"/>
          <w:vertAlign w:val="superscript"/>
        </w:rPr>
        <w:t>171</w:t>
      </w:r>
      <w:r>
        <w:rPr>
          <w:rFonts w:ascii="Calibri" w:hAnsi="Calibri"/>
          <w:sz w:val="20"/>
          <w:vertAlign w:val="baseline"/>
        </w:rPr>
        <w:t>S.263(5)</w:t>
      </w:r>
      <w:r>
        <w:rPr>
          <w:rFonts w:ascii="Calibri" w:hAnsi="Calibri"/>
          <w:spacing w:val="13"/>
          <w:sz w:val="20"/>
          <w:vertAlign w:val="baseline"/>
        </w:rPr>
        <w:t> </w:t>
      </w:r>
      <w:r>
        <w:rPr>
          <w:rFonts w:ascii="Calibri" w:hAnsi="Calibri"/>
          <w:sz w:val="20"/>
          <w:vertAlign w:val="baseline"/>
        </w:rPr>
        <w:t>also</w:t>
      </w:r>
      <w:r>
        <w:rPr>
          <w:rFonts w:ascii="Calibri" w:hAnsi="Calibri"/>
          <w:spacing w:val="12"/>
          <w:sz w:val="20"/>
          <w:vertAlign w:val="baseline"/>
        </w:rPr>
        <w:t> </w:t>
      </w:r>
      <w:r>
        <w:rPr>
          <w:rFonts w:ascii="Calibri" w:hAnsi="Calibri"/>
          <w:sz w:val="20"/>
          <w:vertAlign w:val="baseline"/>
        </w:rPr>
        <w:t>states</w:t>
      </w:r>
      <w:r>
        <w:rPr>
          <w:rFonts w:ascii="Calibri" w:hAnsi="Calibri"/>
          <w:spacing w:val="11"/>
          <w:sz w:val="20"/>
          <w:vertAlign w:val="baseline"/>
        </w:rPr>
        <w:t> </w:t>
      </w:r>
      <w:r>
        <w:rPr>
          <w:rFonts w:ascii="Calibri" w:hAnsi="Calibri"/>
          <w:sz w:val="20"/>
          <w:vertAlign w:val="baseline"/>
        </w:rPr>
        <w:t>that</w:t>
      </w:r>
      <w:r>
        <w:rPr>
          <w:rFonts w:ascii="Calibri" w:hAnsi="Calibri"/>
          <w:spacing w:val="12"/>
          <w:sz w:val="20"/>
          <w:vertAlign w:val="baseline"/>
        </w:rPr>
        <w:t> </w:t>
      </w:r>
      <w:r>
        <w:rPr>
          <w:rFonts w:ascii="Calibri" w:hAnsi="Calibri"/>
          <w:sz w:val="20"/>
          <w:vertAlign w:val="baseline"/>
        </w:rPr>
        <w:t>“directors</w:t>
      </w:r>
      <w:r>
        <w:rPr>
          <w:rFonts w:ascii="Calibri" w:hAnsi="Calibri"/>
          <w:spacing w:val="10"/>
          <w:sz w:val="20"/>
          <w:vertAlign w:val="baseline"/>
        </w:rPr>
        <w:t> </w:t>
      </w:r>
      <w:r>
        <w:rPr>
          <w:rFonts w:ascii="Calibri" w:hAnsi="Calibri"/>
          <w:sz w:val="20"/>
          <w:vertAlign w:val="baseline"/>
        </w:rPr>
        <w:t>may</w:t>
      </w:r>
      <w:r>
        <w:rPr>
          <w:rFonts w:ascii="Calibri" w:hAnsi="Calibri"/>
          <w:spacing w:val="12"/>
          <w:sz w:val="20"/>
          <w:vertAlign w:val="baseline"/>
        </w:rPr>
        <w:t> </w:t>
      </w:r>
      <w:r>
        <w:rPr>
          <w:rFonts w:ascii="Calibri" w:hAnsi="Calibri"/>
          <w:sz w:val="20"/>
          <w:vertAlign w:val="baseline"/>
        </w:rPr>
        <w:t>delegate</w:t>
      </w:r>
      <w:r>
        <w:rPr>
          <w:rFonts w:ascii="Calibri" w:hAnsi="Calibri"/>
          <w:spacing w:val="12"/>
          <w:sz w:val="20"/>
          <w:vertAlign w:val="baseline"/>
        </w:rPr>
        <w:t> </w:t>
      </w:r>
      <w:r>
        <w:rPr>
          <w:rFonts w:ascii="Calibri" w:hAnsi="Calibri"/>
          <w:sz w:val="20"/>
          <w:vertAlign w:val="baseline"/>
        </w:rPr>
        <w:t>their</w:t>
      </w:r>
      <w:r>
        <w:rPr>
          <w:rFonts w:ascii="Calibri" w:hAnsi="Calibri"/>
          <w:spacing w:val="14"/>
          <w:sz w:val="20"/>
          <w:vertAlign w:val="baseline"/>
        </w:rPr>
        <w:t> </w:t>
      </w:r>
      <w:r>
        <w:rPr>
          <w:rFonts w:ascii="Calibri" w:hAnsi="Calibri"/>
          <w:spacing w:val="-2"/>
          <w:sz w:val="20"/>
          <w:vertAlign w:val="baseline"/>
        </w:rPr>
        <w:t>powers</w:t>
      </w:r>
      <w:r>
        <w:rPr>
          <w:sz w:val="20"/>
          <w:vertAlign w:val="baseline"/>
        </w:rPr>
        <w:tab/>
      </w:r>
      <w:r>
        <w:rPr>
          <w:rFonts w:ascii="Calibri" w:hAnsi="Calibri"/>
          <w:sz w:val="20"/>
          <w:vertAlign w:val="baseline"/>
        </w:rPr>
        <w:t>”</w:t>
      </w:r>
      <w:r>
        <w:rPr>
          <w:rFonts w:ascii="Calibri" w:hAnsi="Calibri"/>
          <w:spacing w:val="16"/>
          <w:sz w:val="20"/>
          <w:vertAlign w:val="baseline"/>
        </w:rPr>
        <w:t> </w:t>
      </w:r>
      <w:r>
        <w:rPr>
          <w:rFonts w:ascii="Calibri" w:hAnsi="Calibri"/>
          <w:sz w:val="20"/>
          <w:vertAlign w:val="baseline"/>
        </w:rPr>
        <w:t>Still,</w:t>
      </w:r>
      <w:r>
        <w:rPr>
          <w:rFonts w:ascii="Calibri" w:hAnsi="Calibri"/>
          <w:spacing w:val="11"/>
          <w:sz w:val="20"/>
          <w:vertAlign w:val="baseline"/>
        </w:rPr>
        <w:t> </w:t>
      </w:r>
      <w:r>
        <w:rPr>
          <w:rFonts w:ascii="Calibri" w:hAnsi="Calibri"/>
          <w:sz w:val="20"/>
          <w:vertAlign w:val="baseline"/>
        </w:rPr>
        <w:t>the</w:t>
      </w:r>
      <w:r>
        <w:rPr>
          <w:rFonts w:ascii="Calibri" w:hAnsi="Calibri"/>
          <w:spacing w:val="13"/>
          <w:sz w:val="20"/>
          <w:vertAlign w:val="baseline"/>
        </w:rPr>
        <w:t> </w:t>
      </w:r>
      <w:r>
        <w:rPr>
          <w:rFonts w:ascii="Calibri" w:hAnsi="Calibri"/>
          <w:sz w:val="20"/>
          <w:vertAlign w:val="baseline"/>
        </w:rPr>
        <w:t>provision</w:t>
      </w:r>
      <w:r>
        <w:rPr>
          <w:rFonts w:ascii="Calibri" w:hAnsi="Calibri"/>
          <w:spacing w:val="14"/>
          <w:sz w:val="20"/>
          <w:vertAlign w:val="baseline"/>
        </w:rPr>
        <w:t> </w:t>
      </w:r>
      <w:r>
        <w:rPr>
          <w:rFonts w:ascii="Calibri" w:hAnsi="Calibri"/>
          <w:sz w:val="20"/>
          <w:vertAlign w:val="baseline"/>
        </w:rPr>
        <w:t>does</w:t>
      </w:r>
      <w:r>
        <w:rPr>
          <w:rFonts w:ascii="Calibri" w:hAnsi="Calibri"/>
          <w:spacing w:val="12"/>
          <w:sz w:val="20"/>
          <w:vertAlign w:val="baseline"/>
        </w:rPr>
        <w:t> </w:t>
      </w:r>
      <w:r>
        <w:rPr>
          <w:rFonts w:ascii="Calibri" w:hAnsi="Calibri"/>
          <w:sz w:val="20"/>
          <w:vertAlign w:val="baseline"/>
        </w:rPr>
        <w:t>not</w:t>
      </w:r>
      <w:r>
        <w:rPr>
          <w:rFonts w:ascii="Calibri" w:hAnsi="Calibri"/>
          <w:spacing w:val="14"/>
          <w:sz w:val="20"/>
          <w:vertAlign w:val="baseline"/>
        </w:rPr>
        <w:t> </w:t>
      </w:r>
      <w:r>
        <w:rPr>
          <w:rFonts w:ascii="Calibri" w:hAnsi="Calibri"/>
          <w:spacing w:val="-2"/>
          <w:sz w:val="20"/>
          <w:vertAlign w:val="baseline"/>
        </w:rPr>
        <w:t>point</w:t>
      </w:r>
    </w:p>
    <w:p>
      <w:pPr>
        <w:spacing w:before="1"/>
        <w:ind w:left="308" w:right="0" w:firstLine="0"/>
        <w:jc w:val="left"/>
        <w:rPr>
          <w:rFonts w:ascii="Calibri" w:hAnsi="Calibri"/>
          <w:sz w:val="20"/>
        </w:rPr>
      </w:pPr>
      <w:r>
        <w:rPr>
          <w:rFonts w:ascii="Calibri" w:hAnsi="Calibri"/>
          <w:sz w:val="20"/>
        </w:rPr>
        <w:t>out</w:t>
      </w:r>
      <w:r>
        <w:rPr>
          <w:rFonts w:ascii="Calibri" w:hAnsi="Calibri"/>
          <w:spacing w:val="-3"/>
          <w:sz w:val="20"/>
        </w:rPr>
        <w:t> </w:t>
      </w:r>
      <w:r>
        <w:rPr>
          <w:rFonts w:ascii="Calibri" w:hAnsi="Calibri"/>
          <w:sz w:val="20"/>
        </w:rPr>
        <w:t>the</w:t>
      </w:r>
      <w:r>
        <w:rPr>
          <w:rFonts w:ascii="Calibri" w:hAnsi="Calibri"/>
          <w:spacing w:val="-7"/>
          <w:sz w:val="20"/>
        </w:rPr>
        <w:t> </w:t>
      </w:r>
      <w:r>
        <w:rPr>
          <w:rFonts w:ascii="Calibri" w:hAnsi="Calibri"/>
          <w:sz w:val="20"/>
        </w:rPr>
        <w:t>likely</w:t>
      </w:r>
      <w:r>
        <w:rPr>
          <w:rFonts w:ascii="Calibri" w:hAnsi="Calibri"/>
          <w:spacing w:val="-2"/>
          <w:sz w:val="20"/>
        </w:rPr>
        <w:t> </w:t>
      </w:r>
      <w:r>
        <w:rPr>
          <w:rFonts w:ascii="Calibri" w:hAnsi="Calibri"/>
          <w:sz w:val="20"/>
        </w:rPr>
        <w:t>source</w:t>
      </w:r>
      <w:r>
        <w:rPr>
          <w:rFonts w:ascii="Calibri" w:hAnsi="Calibri"/>
          <w:spacing w:val="-6"/>
          <w:sz w:val="20"/>
        </w:rPr>
        <w:t> </w:t>
      </w:r>
      <w:r>
        <w:rPr>
          <w:rFonts w:ascii="Calibri" w:hAnsi="Calibri"/>
          <w:sz w:val="20"/>
        </w:rPr>
        <w:t>of</w:t>
      </w:r>
      <w:r>
        <w:rPr>
          <w:rFonts w:ascii="Calibri" w:hAnsi="Calibri"/>
          <w:spacing w:val="-6"/>
          <w:sz w:val="20"/>
        </w:rPr>
        <w:t> </w:t>
      </w:r>
      <w:r>
        <w:rPr>
          <w:rFonts w:ascii="Calibri" w:hAnsi="Calibri"/>
          <w:sz w:val="20"/>
        </w:rPr>
        <w:t>those</w:t>
      </w:r>
      <w:r>
        <w:rPr>
          <w:rFonts w:ascii="Calibri" w:hAnsi="Calibri"/>
          <w:spacing w:val="-5"/>
          <w:sz w:val="20"/>
        </w:rPr>
        <w:t> </w:t>
      </w:r>
      <w:r>
        <w:rPr>
          <w:rFonts w:ascii="Calibri" w:hAnsi="Calibri"/>
          <w:spacing w:val="-2"/>
          <w:sz w:val="20"/>
        </w:rPr>
        <w:t>“powers.”</w:t>
      </w:r>
    </w:p>
    <w:p>
      <w:pPr>
        <w:spacing w:before="0"/>
        <w:ind w:left="308" w:right="0" w:firstLine="0"/>
        <w:jc w:val="left"/>
        <w:rPr>
          <w:rFonts w:ascii="Calibri"/>
          <w:sz w:val="20"/>
        </w:rPr>
      </w:pPr>
      <w:r>
        <w:rPr>
          <w:rFonts w:ascii="Calibri"/>
          <w:sz w:val="20"/>
          <w:vertAlign w:val="superscript"/>
        </w:rPr>
        <w:t>172</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s.</w:t>
      </w:r>
      <w:r>
        <w:rPr>
          <w:rFonts w:ascii="Calibri"/>
          <w:spacing w:val="2"/>
          <w:sz w:val="20"/>
          <w:vertAlign w:val="baseline"/>
        </w:rPr>
        <w:t> </w:t>
      </w:r>
      <w:r>
        <w:rPr>
          <w:rFonts w:ascii="Calibri"/>
          <w:spacing w:val="-5"/>
          <w:sz w:val="20"/>
          <w:vertAlign w:val="baseline"/>
        </w:rPr>
        <w:t>33.</w:t>
      </w:r>
    </w:p>
    <w:p>
      <w:pPr>
        <w:spacing w:before="1"/>
        <w:ind w:left="308" w:right="0" w:firstLine="0"/>
        <w:jc w:val="left"/>
        <w:rPr>
          <w:rFonts w:ascii="Calibri"/>
          <w:sz w:val="20"/>
        </w:rPr>
      </w:pPr>
      <w:r>
        <w:rPr>
          <w:rFonts w:ascii="Calibri"/>
          <w:sz w:val="20"/>
          <w:vertAlign w:val="superscript"/>
        </w:rPr>
        <w:t>173</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5"/>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41(1)</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3"/>
        <w:jc w:val="both"/>
      </w:pPr>
      <w:r>
        <w:rPr/>
        <w:t>the company‘s articles or this Act, for the purposes for which </w:t>
      </w:r>
      <w:r>
        <w:rPr>
          <w:i/>
        </w:rPr>
        <w:t>they areconferred </w:t>
      </w:r>
      <w:r>
        <w:rPr/>
        <w:t>and not for a collateral purpose....‖ This way, the meaning of the </w:t>
      </w:r>
      <w:r>
        <w:rPr>
          <w:i/>
        </w:rPr>
        <w:t>purpose </w:t>
      </w:r>
      <w:r>
        <w:rPr/>
        <w:t>here would follow</w:t>
      </w:r>
      <w:r>
        <w:rPr>
          <w:spacing w:val="40"/>
        </w:rPr>
        <w:t> </w:t>
      </w:r>
      <w:r>
        <w:rPr/>
        <w:t>from s. 279(3) where it was previously stated as ultimately, </w:t>
      </w:r>
      <w:r>
        <w:rPr>
          <w:i/>
        </w:rPr>
        <w:t>the purpose for which the company was formed</w:t>
      </w:r>
      <w:r>
        <w:rPr/>
        <w:t>. This interpretation would also be in line with s. 38, which states that</w:t>
      </w:r>
      <w:r>
        <w:rPr>
          <w:spacing w:val="-2"/>
        </w:rPr>
        <w:t> </w:t>
      </w:r>
      <w:r>
        <w:rPr/>
        <w:t>―every</w:t>
      </w:r>
      <w:r>
        <w:rPr>
          <w:spacing w:val="-11"/>
        </w:rPr>
        <w:t> </w:t>
      </w:r>
      <w:r>
        <w:rPr/>
        <w:t>company</w:t>
      </w:r>
      <w:r>
        <w:rPr>
          <w:spacing w:val="-11"/>
        </w:rPr>
        <w:t> </w:t>
      </w:r>
      <w:r>
        <w:rPr/>
        <w:t>shall,</w:t>
      </w:r>
      <w:r>
        <w:rPr>
          <w:spacing w:val="-2"/>
        </w:rPr>
        <w:t> </w:t>
      </w:r>
      <w:r>
        <w:rPr/>
        <w:t>for</w:t>
      </w:r>
      <w:r>
        <w:rPr>
          <w:spacing w:val="-10"/>
        </w:rPr>
        <w:t> </w:t>
      </w:r>
      <w:r>
        <w:rPr/>
        <w:t>the</w:t>
      </w:r>
      <w:r>
        <w:rPr>
          <w:spacing w:val="-4"/>
        </w:rPr>
        <w:t> </w:t>
      </w:r>
      <w:r>
        <w:rPr/>
        <w:t>furtherance</w:t>
      </w:r>
      <w:r>
        <w:rPr>
          <w:spacing w:val="-7"/>
        </w:rPr>
        <w:t> </w:t>
      </w:r>
      <w:r>
        <w:rPr/>
        <w:t>of</w:t>
      </w:r>
      <w:r>
        <w:rPr>
          <w:spacing w:val="-10"/>
        </w:rPr>
        <w:t> </w:t>
      </w:r>
      <w:r>
        <w:rPr/>
        <w:t>its</w:t>
      </w:r>
      <w:r>
        <w:rPr>
          <w:spacing w:val="-9"/>
        </w:rPr>
        <w:t> </w:t>
      </w:r>
      <w:r>
        <w:rPr/>
        <w:t>authorised</w:t>
      </w:r>
      <w:r>
        <w:rPr>
          <w:spacing w:val="-3"/>
        </w:rPr>
        <w:t> </w:t>
      </w:r>
      <w:r>
        <w:rPr/>
        <w:t>business</w:t>
      </w:r>
      <w:r>
        <w:rPr>
          <w:spacing w:val="-9"/>
        </w:rPr>
        <w:t> </w:t>
      </w:r>
      <w:r>
        <w:rPr/>
        <w:t>or</w:t>
      </w:r>
      <w:r>
        <w:rPr>
          <w:spacing w:val="-10"/>
        </w:rPr>
        <w:t> </w:t>
      </w:r>
      <w:r>
        <w:rPr/>
        <w:t>objects,</w:t>
      </w:r>
      <w:r>
        <w:rPr>
          <w:spacing w:val="-5"/>
        </w:rPr>
        <w:t> </w:t>
      </w:r>
      <w:r>
        <w:rPr/>
        <w:t>have all the powers of a natural person of full capacity,‖ and which powers, presumably, would be exercised in accordance with its articles.</w:t>
      </w:r>
    </w:p>
    <w:p>
      <w:pPr>
        <w:pStyle w:val="BodyText"/>
        <w:spacing w:line="480" w:lineRule="auto" w:before="1"/>
        <w:ind w:right="178" w:firstLine="720"/>
        <w:jc w:val="both"/>
      </w:pPr>
      <w:r>
        <w:rPr/>
        <w:t>The </w:t>
      </w:r>
      <w:r>
        <w:rPr>
          <w:i/>
        </w:rPr>
        <w:t>powers </w:t>
      </w:r>
      <w:r>
        <w:rPr/>
        <w:t>referred to mustflow directly from those conferred on every</w:t>
      </w:r>
      <w:r>
        <w:rPr>
          <w:spacing w:val="40"/>
        </w:rPr>
        <w:t> </w:t>
      </w:r>
      <w:r>
        <w:rPr/>
        <w:t>company by the CAMA by virtue of</w:t>
      </w:r>
      <w:r>
        <w:rPr>
          <w:spacing w:val="-3"/>
        </w:rPr>
        <w:t> </w:t>
      </w:r>
      <w:r>
        <w:rPr/>
        <w:t>registration under the law, which powers are solely for the promotion, furtherance or achievement of its business or object and which its articles in turn endorse to be exercised by its directors.</w:t>
      </w:r>
      <w:r>
        <w:rPr>
          <w:vertAlign w:val="superscript"/>
        </w:rPr>
        <w:t>174</w:t>
      </w:r>
      <w:r>
        <w:rPr>
          <w:vertAlign w:val="baseline"/>
        </w:rPr>
        <w:t> If the concept of</w:t>
      </w:r>
      <w:r>
        <w:rPr>
          <w:spacing w:val="-1"/>
          <w:vertAlign w:val="baseline"/>
        </w:rPr>
        <w:t> </w:t>
      </w:r>
      <w:r>
        <w:rPr>
          <w:vertAlign w:val="baseline"/>
        </w:rPr>
        <w:t>the company is understood as an individual which, though having legal personality, is artificial and therefore, has no organs of its own to carry</w:t>
      </w:r>
      <w:r>
        <w:rPr>
          <w:spacing w:val="-4"/>
          <w:vertAlign w:val="baseline"/>
        </w:rPr>
        <w:t> </w:t>
      </w:r>
      <w:r>
        <w:rPr>
          <w:vertAlign w:val="baseline"/>
        </w:rPr>
        <w:t>out acts and that the directors are thereby its mind and limbs as well as its agents, it therefore follows that whatever ―powers‖ they wield are not in fact theirs but the company‘s, and for it.</w:t>
      </w:r>
      <w:r>
        <w:rPr>
          <w:vertAlign w:val="superscript"/>
        </w:rPr>
        <w:t>175</w:t>
      </w:r>
    </w:p>
    <w:p>
      <w:pPr>
        <w:pStyle w:val="BodyText"/>
        <w:spacing w:line="480" w:lineRule="auto" w:before="2"/>
        <w:ind w:right="182" w:firstLine="720"/>
        <w:jc w:val="both"/>
      </w:pPr>
      <w:r>
        <w:rPr/>
        <w:t>―Collateral purpose‖ suggests any purpose which is not among those specified, or purpose which</w:t>
      </w:r>
      <w:r>
        <w:rPr>
          <w:spacing w:val="-4"/>
        </w:rPr>
        <w:t> </w:t>
      </w:r>
      <w:r>
        <w:rPr/>
        <w:t>cannot be interpreted as being the purpose for which</w:t>
      </w:r>
      <w:r>
        <w:rPr>
          <w:spacing w:val="-4"/>
        </w:rPr>
        <w:t> </w:t>
      </w:r>
      <w:r>
        <w:rPr/>
        <w:t>the company was formed.</w:t>
      </w:r>
      <w:r>
        <w:rPr>
          <w:vertAlign w:val="superscript"/>
        </w:rPr>
        <w:t>176</w:t>
      </w:r>
      <w:r>
        <w:rPr>
          <w:vertAlign w:val="baseline"/>
        </w:rPr>
        <w:t> It can</w:t>
      </w:r>
      <w:r>
        <w:rPr>
          <w:spacing w:val="-1"/>
          <w:vertAlign w:val="baseline"/>
        </w:rPr>
        <w:t> </w:t>
      </w:r>
      <w:r>
        <w:rPr>
          <w:vertAlign w:val="baseline"/>
        </w:rPr>
        <w:t>also be interpreted by</w:t>
      </w:r>
      <w:r>
        <w:rPr>
          <w:spacing w:val="-6"/>
          <w:vertAlign w:val="baseline"/>
        </w:rPr>
        <w:t> </w:t>
      </w:r>
      <w:r>
        <w:rPr>
          <w:vertAlign w:val="baseline"/>
        </w:rPr>
        <w:t>contrasting the director‘s duty</w:t>
      </w:r>
      <w:r>
        <w:rPr>
          <w:spacing w:val="-6"/>
          <w:vertAlign w:val="baseline"/>
        </w:rPr>
        <w:t> </w:t>
      </w:r>
      <w:r>
        <w:rPr>
          <w:vertAlign w:val="baseline"/>
        </w:rPr>
        <w:t>to act bona fide in the interest of the company</w:t>
      </w:r>
      <w:r>
        <w:rPr>
          <w:vertAlign w:val="superscript"/>
        </w:rPr>
        <w:t>177</w:t>
      </w:r>
      <w:r>
        <w:rPr>
          <w:vertAlign w:val="baseline"/>
        </w:rPr>
        <w:t> and his duty to avoid what the Act terms ―conflict of duties and interests.‖</w:t>
      </w:r>
      <w:r>
        <w:rPr>
          <w:vertAlign w:val="superscript"/>
        </w:rPr>
        <w:t>178</w:t>
      </w:r>
    </w:p>
    <w:p>
      <w:pPr>
        <w:pStyle w:val="BodyText"/>
        <w:spacing w:line="480" w:lineRule="auto" w:before="1"/>
        <w:ind w:right="193" w:firstLine="720"/>
        <w:jc w:val="both"/>
      </w:pPr>
      <w:r>
        <w:rPr/>
        <mc:AlternateContent>
          <mc:Choice Requires="wps">
            <w:drawing>
              <wp:anchor distT="0" distB="0" distL="0" distR="0" allowOverlap="1" layoutInCell="1" locked="0" behindDoc="1" simplePos="0" relativeHeight="487655936">
                <wp:simplePos x="0" y="0"/>
                <wp:positionH relativeFrom="page">
                  <wp:posOffset>1262481</wp:posOffset>
                </wp:positionH>
                <wp:positionV relativeFrom="paragraph">
                  <wp:posOffset>728305</wp:posOffset>
                </wp:positionV>
                <wp:extent cx="1829435" cy="9525"/>
                <wp:effectExtent l="0" t="0" r="0" b="0"/>
                <wp:wrapTopAndBottom/>
                <wp:docPr id="149" name="Graphic 149"/>
                <wp:cNvGraphicFramePr>
                  <a:graphicFrameLocks/>
                </wp:cNvGraphicFramePr>
                <a:graphic>
                  <a:graphicData uri="http://schemas.microsoft.com/office/word/2010/wordprocessingShape">
                    <wps:wsp>
                      <wps:cNvPr id="149" name="Graphic 14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57.346905pt;width:144.050pt;height:.71997pt;mso-position-horizontal-relative:page;mso-position-vertical-relative:paragraph;z-index:-15660544;mso-wrap-distance-left:0;mso-wrap-distance-right:0" id="docshape104" filled="true" fillcolor="#000000" stroked="false">
                <v:fill type="solid"/>
                <w10:wrap type="topAndBottom"/>
              </v:rect>
            </w:pict>
          </mc:Fallback>
        </mc:AlternateContent>
      </w:r>
      <w:r>
        <w:rPr/>
        <w:t>Judicial decisions reached on the point of the subsections under consideration considerably</w:t>
      </w:r>
      <w:r>
        <w:rPr>
          <w:spacing w:val="80"/>
          <w:w w:val="150"/>
        </w:rPr>
        <w:t> </w:t>
      </w:r>
      <w:r>
        <w:rPr/>
        <w:t>aid</w:t>
      </w:r>
      <w:r>
        <w:rPr>
          <w:spacing w:val="80"/>
          <w:w w:val="150"/>
        </w:rPr>
        <w:t> </w:t>
      </w:r>
      <w:r>
        <w:rPr/>
        <w:t>in</w:t>
      </w:r>
      <w:r>
        <w:rPr>
          <w:spacing w:val="80"/>
          <w:w w:val="150"/>
        </w:rPr>
        <w:t> </w:t>
      </w:r>
      <w:r>
        <w:rPr/>
        <w:t>understanding</w:t>
      </w:r>
      <w:r>
        <w:rPr>
          <w:spacing w:val="80"/>
          <w:w w:val="150"/>
        </w:rPr>
        <w:t> </w:t>
      </w:r>
      <w:r>
        <w:rPr/>
        <w:t>the</w:t>
      </w:r>
      <w:r>
        <w:rPr>
          <w:spacing w:val="80"/>
          <w:w w:val="150"/>
        </w:rPr>
        <w:t> </w:t>
      </w:r>
      <w:r>
        <w:rPr/>
        <w:t>intendment</w:t>
      </w:r>
      <w:r>
        <w:rPr>
          <w:spacing w:val="80"/>
          <w:w w:val="150"/>
        </w:rPr>
        <w:t> </w:t>
      </w:r>
      <w:r>
        <w:rPr/>
        <w:t>of</w:t>
      </w:r>
      <w:r>
        <w:rPr>
          <w:spacing w:val="80"/>
          <w:w w:val="150"/>
        </w:rPr>
        <w:t> </w:t>
      </w:r>
      <w:r>
        <w:rPr/>
        <w:t>the</w:t>
      </w:r>
      <w:r>
        <w:rPr>
          <w:spacing w:val="80"/>
          <w:w w:val="150"/>
        </w:rPr>
        <w:t> </w:t>
      </w:r>
      <w:r>
        <w:rPr/>
        <w:t>legislature,</w:t>
      </w:r>
      <w:r>
        <w:rPr>
          <w:spacing w:val="80"/>
          <w:w w:val="150"/>
        </w:rPr>
        <w:t> </w:t>
      </w:r>
      <w:r>
        <w:rPr/>
        <w:t>however</w:t>
      </w:r>
    </w:p>
    <w:p>
      <w:pPr>
        <w:spacing w:before="97"/>
        <w:ind w:left="308" w:right="0" w:firstLine="0"/>
        <w:jc w:val="both"/>
        <w:rPr>
          <w:rFonts w:ascii="Calibri"/>
          <w:sz w:val="20"/>
        </w:rPr>
      </w:pPr>
      <w:r>
        <w:rPr>
          <w:rFonts w:ascii="Calibri"/>
          <w:sz w:val="20"/>
          <w:vertAlign w:val="superscript"/>
        </w:rPr>
        <w:t>174</w:t>
      </w:r>
      <w:r>
        <w:rPr>
          <w:rFonts w:ascii="Calibri"/>
          <w:sz w:val="20"/>
          <w:vertAlign w:val="baseline"/>
        </w:rPr>
        <w:t> See</w:t>
      </w:r>
      <w:r>
        <w:rPr>
          <w:rFonts w:ascii="Calibri"/>
          <w:spacing w:val="-5"/>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37,</w:t>
      </w:r>
      <w:r>
        <w:rPr>
          <w:rFonts w:ascii="Calibri"/>
          <w:spacing w:val="-3"/>
          <w:sz w:val="20"/>
          <w:vertAlign w:val="baseline"/>
        </w:rPr>
        <w:t> </w:t>
      </w:r>
      <w:r>
        <w:rPr>
          <w:rFonts w:ascii="Calibri"/>
          <w:sz w:val="20"/>
          <w:vertAlign w:val="baseline"/>
        </w:rPr>
        <w:t>38(1)</w:t>
      </w:r>
      <w:r>
        <w:rPr>
          <w:rFonts w:ascii="Calibri"/>
          <w:spacing w:val="-5"/>
          <w:sz w:val="20"/>
          <w:vertAlign w:val="baseline"/>
        </w:rPr>
        <w:t> </w:t>
      </w:r>
      <w:r>
        <w:rPr>
          <w:rFonts w:ascii="Calibri"/>
          <w:sz w:val="20"/>
          <w:vertAlign w:val="baseline"/>
        </w:rPr>
        <w:t>and</w:t>
      </w:r>
      <w:r>
        <w:rPr>
          <w:rFonts w:ascii="Calibri"/>
          <w:spacing w:val="-5"/>
          <w:sz w:val="20"/>
          <w:vertAlign w:val="baseline"/>
        </w:rPr>
        <w:t> </w:t>
      </w:r>
      <w:r>
        <w:rPr>
          <w:rFonts w:ascii="Calibri"/>
          <w:spacing w:val="-2"/>
          <w:sz w:val="20"/>
          <w:vertAlign w:val="baseline"/>
        </w:rPr>
        <w:t>63(2).</w:t>
      </w:r>
    </w:p>
    <w:p>
      <w:pPr>
        <w:spacing w:before="1"/>
        <w:ind w:left="308" w:right="227" w:firstLine="0"/>
        <w:jc w:val="both"/>
        <w:rPr>
          <w:rFonts w:ascii="Calibri"/>
          <w:sz w:val="20"/>
        </w:rPr>
      </w:pPr>
      <w:r>
        <w:rPr>
          <w:rFonts w:ascii="Calibri"/>
          <w:sz w:val="20"/>
          <w:vertAlign w:val="superscript"/>
        </w:rPr>
        <w:t>175</w:t>
      </w:r>
      <w:r>
        <w:rPr>
          <w:rFonts w:ascii="Calibri"/>
          <w:sz w:val="20"/>
          <w:vertAlign w:val="baseline"/>
        </w:rPr>
        <w:t> See s. 63(3). When the</w:t>
      </w:r>
      <w:r>
        <w:rPr>
          <w:rFonts w:ascii="Calibri"/>
          <w:spacing w:val="-4"/>
          <w:sz w:val="20"/>
          <w:vertAlign w:val="baseline"/>
        </w:rPr>
        <w:t> </w:t>
      </w:r>
      <w:r>
        <w:rPr>
          <w:rFonts w:ascii="Calibri"/>
          <w:sz w:val="20"/>
          <w:vertAlign w:val="baseline"/>
        </w:rPr>
        <w:t>directors</w:t>
      </w:r>
      <w:r>
        <w:rPr>
          <w:rFonts w:ascii="Calibri"/>
          <w:spacing w:val="-1"/>
          <w:sz w:val="20"/>
          <w:vertAlign w:val="baseline"/>
        </w:rPr>
        <w:t> </w:t>
      </w:r>
      <w:r>
        <w:rPr>
          <w:rFonts w:ascii="Calibri"/>
          <w:sz w:val="20"/>
          <w:vertAlign w:val="baseline"/>
        </w:rPr>
        <w:t>act</w:t>
      </w:r>
      <w:r>
        <w:rPr>
          <w:rFonts w:ascii="Calibri"/>
          <w:spacing w:val="-3"/>
          <w:sz w:val="20"/>
          <w:vertAlign w:val="baseline"/>
        </w:rPr>
        <w:t> </w:t>
      </w:r>
      <w:r>
        <w:rPr>
          <w:rFonts w:ascii="Calibri"/>
          <w:sz w:val="20"/>
          <w:vertAlign w:val="baseline"/>
        </w:rPr>
        <w:t>collectively as a board,</w:t>
      </w:r>
      <w:r>
        <w:rPr>
          <w:rFonts w:ascii="Calibri"/>
          <w:spacing w:val="-6"/>
          <w:sz w:val="20"/>
          <w:vertAlign w:val="baseline"/>
        </w:rPr>
        <w:t> </w:t>
      </w:r>
      <w:r>
        <w:rPr>
          <w:rFonts w:ascii="Calibri"/>
          <w:sz w:val="20"/>
          <w:vertAlign w:val="baseline"/>
        </w:rPr>
        <w:t>the modern</w:t>
      </w:r>
      <w:r>
        <w:rPr>
          <w:rFonts w:ascii="Calibri"/>
          <w:spacing w:val="-4"/>
          <w:sz w:val="20"/>
          <w:vertAlign w:val="baseline"/>
        </w:rPr>
        <w:t> </w:t>
      </w:r>
      <w:r>
        <w:rPr>
          <w:rFonts w:ascii="Calibri"/>
          <w:sz w:val="20"/>
          <w:vertAlign w:val="baseline"/>
        </w:rPr>
        <w:t>view is</w:t>
      </w:r>
      <w:r>
        <w:rPr>
          <w:rFonts w:ascii="Calibri"/>
          <w:spacing w:val="-1"/>
          <w:sz w:val="20"/>
          <w:vertAlign w:val="baseline"/>
        </w:rPr>
        <w:t> </w:t>
      </w:r>
      <w:r>
        <w:rPr>
          <w:rFonts w:ascii="Calibri"/>
          <w:sz w:val="20"/>
          <w:vertAlign w:val="baseline"/>
        </w:rPr>
        <w:t>not</w:t>
      </w:r>
      <w:r>
        <w:rPr>
          <w:rFonts w:ascii="Calibri"/>
          <w:spacing w:val="-4"/>
          <w:sz w:val="20"/>
          <w:vertAlign w:val="baseline"/>
        </w:rPr>
        <w:t> </w:t>
      </w:r>
      <w:r>
        <w:rPr>
          <w:rFonts w:ascii="Calibri"/>
          <w:sz w:val="20"/>
          <w:vertAlign w:val="baseline"/>
        </w:rPr>
        <w:t>so much that</w:t>
      </w:r>
      <w:r>
        <w:rPr>
          <w:rFonts w:ascii="Calibri"/>
          <w:spacing w:val="-4"/>
          <w:sz w:val="20"/>
          <w:vertAlign w:val="baseline"/>
        </w:rPr>
        <w:t> </w:t>
      </w:r>
      <w:r>
        <w:rPr>
          <w:rFonts w:ascii="Calibri"/>
          <w:sz w:val="20"/>
          <w:vertAlign w:val="baseline"/>
        </w:rPr>
        <w:t>they are agents of the company but that, so long as they act within their powers, they act as</w:t>
      </w:r>
      <w:r>
        <w:rPr>
          <w:rFonts w:ascii="Calibri"/>
          <w:spacing w:val="20"/>
          <w:sz w:val="20"/>
          <w:vertAlign w:val="baseline"/>
        </w:rPr>
        <w:t> </w:t>
      </w:r>
      <w:r>
        <w:rPr>
          <w:rFonts w:ascii="Calibri"/>
          <w:i/>
          <w:sz w:val="20"/>
          <w:vertAlign w:val="baseline"/>
        </w:rPr>
        <w:t>thecompany</w:t>
      </w:r>
      <w:r>
        <w:rPr>
          <w:rFonts w:ascii="Calibri"/>
          <w:sz w:val="20"/>
          <w:vertAlign w:val="baseline"/>
        </w:rPr>
        <w:t>.</w:t>
      </w:r>
      <w:r>
        <w:rPr>
          <w:rFonts w:ascii="Calibri"/>
          <w:spacing w:val="40"/>
          <w:sz w:val="20"/>
          <w:vertAlign w:val="baseline"/>
        </w:rPr>
        <w:t> </w:t>
      </w:r>
      <w:r>
        <w:rPr>
          <w:rFonts w:ascii="Calibri"/>
          <w:sz w:val="20"/>
          <w:vertAlign w:val="baseline"/>
        </w:rPr>
        <w:t>See Davies, L.P. and Worthington, S. op.cit. at 526.</w:t>
      </w:r>
    </w:p>
    <w:p>
      <w:pPr>
        <w:spacing w:before="2"/>
        <w:ind w:left="308" w:right="0" w:firstLine="0"/>
        <w:jc w:val="both"/>
        <w:rPr>
          <w:rFonts w:ascii="Calibri"/>
          <w:sz w:val="20"/>
        </w:rPr>
      </w:pPr>
      <w:r>
        <w:rPr>
          <w:rFonts w:ascii="Calibri"/>
          <w:sz w:val="20"/>
          <w:vertAlign w:val="superscript"/>
        </w:rPr>
        <w:t>176</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5"/>
          <w:sz w:val="20"/>
          <w:vertAlign w:val="baseline"/>
        </w:rPr>
        <w:t> </w:t>
      </w:r>
      <w:r>
        <w:rPr>
          <w:rFonts w:ascii="Calibri"/>
          <w:spacing w:val="-2"/>
          <w:sz w:val="20"/>
          <w:vertAlign w:val="baseline"/>
        </w:rPr>
        <w:t>s.279(3).</w:t>
      </w:r>
    </w:p>
    <w:p>
      <w:pPr>
        <w:spacing w:before="1"/>
        <w:ind w:left="308" w:right="0" w:firstLine="0"/>
        <w:jc w:val="both"/>
        <w:rPr>
          <w:rFonts w:ascii="Calibri"/>
          <w:sz w:val="20"/>
        </w:rPr>
      </w:pPr>
      <w:r>
        <w:rPr>
          <w:rFonts w:ascii="Calibri"/>
          <w:sz w:val="20"/>
          <w:vertAlign w:val="superscript"/>
        </w:rPr>
        <w:t>177</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5"/>
          <w:sz w:val="20"/>
          <w:vertAlign w:val="baseline"/>
        </w:rPr>
        <w:t> </w:t>
      </w:r>
      <w:r>
        <w:rPr>
          <w:rFonts w:ascii="Calibri"/>
          <w:spacing w:val="-2"/>
          <w:sz w:val="20"/>
          <w:vertAlign w:val="baseline"/>
        </w:rPr>
        <w:t>s.279(1).</w:t>
      </w:r>
    </w:p>
    <w:p>
      <w:pPr>
        <w:spacing w:before="1"/>
        <w:ind w:left="308" w:right="0" w:firstLine="0"/>
        <w:jc w:val="both"/>
        <w:rPr>
          <w:rFonts w:ascii="Calibri"/>
          <w:sz w:val="20"/>
        </w:rPr>
      </w:pPr>
      <w:r>
        <w:rPr>
          <w:rFonts w:ascii="Calibri"/>
          <w:sz w:val="20"/>
          <w:vertAlign w:val="superscript"/>
        </w:rPr>
        <w:t>178</w:t>
      </w:r>
      <w:r>
        <w:rPr>
          <w:rFonts w:ascii="Calibri"/>
          <w:spacing w:val="-1"/>
          <w:sz w:val="20"/>
          <w:vertAlign w:val="baseline"/>
        </w:rPr>
        <w:t> </w:t>
      </w:r>
      <w:r>
        <w:rPr>
          <w:rFonts w:ascii="Calibri"/>
          <w:sz w:val="20"/>
          <w:vertAlign w:val="baseline"/>
        </w:rPr>
        <w:t>Refer</w:t>
      </w:r>
      <w:r>
        <w:rPr>
          <w:rFonts w:ascii="Calibri"/>
          <w:spacing w:val="-5"/>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ss. 280</w:t>
      </w:r>
      <w:r>
        <w:rPr>
          <w:rFonts w:ascii="Calibri"/>
          <w:spacing w:val="-3"/>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281.</w:t>
      </w:r>
      <w:r>
        <w:rPr>
          <w:rFonts w:ascii="Calibri"/>
          <w:spacing w:val="-5"/>
          <w:sz w:val="20"/>
          <w:vertAlign w:val="baseline"/>
        </w:rPr>
        <w:t> </w:t>
      </w:r>
      <w:r>
        <w:rPr>
          <w:rFonts w:ascii="Calibri"/>
          <w:sz w:val="20"/>
          <w:vertAlign w:val="baseline"/>
        </w:rPr>
        <w:t>To</w:t>
      </w:r>
      <w:r>
        <w:rPr>
          <w:rFonts w:ascii="Calibri"/>
          <w:spacing w:val="-3"/>
          <w:sz w:val="20"/>
          <w:vertAlign w:val="baseline"/>
        </w:rPr>
        <w:t> </w:t>
      </w:r>
      <w:r>
        <w:rPr>
          <w:rFonts w:ascii="Calibri"/>
          <w:sz w:val="20"/>
          <w:vertAlign w:val="baseline"/>
        </w:rPr>
        <w:t>be</w:t>
      </w:r>
      <w:r>
        <w:rPr>
          <w:rFonts w:ascii="Calibri"/>
          <w:spacing w:val="-6"/>
          <w:sz w:val="20"/>
          <w:vertAlign w:val="baseline"/>
        </w:rPr>
        <w:t> </w:t>
      </w:r>
      <w:r>
        <w:rPr>
          <w:rFonts w:ascii="Calibri"/>
          <w:sz w:val="20"/>
          <w:vertAlign w:val="baseline"/>
        </w:rPr>
        <w:t>discussed</w:t>
      </w:r>
      <w:r>
        <w:rPr>
          <w:rFonts w:ascii="Calibri"/>
          <w:spacing w:val="-5"/>
          <w:sz w:val="20"/>
          <w:vertAlign w:val="baseline"/>
        </w:rPr>
        <w:t> </w:t>
      </w:r>
      <w:r>
        <w:rPr>
          <w:rFonts w:ascii="Calibri"/>
          <w:sz w:val="20"/>
          <w:vertAlign w:val="baseline"/>
        </w:rPr>
        <w:t>later</w:t>
      </w:r>
      <w:r>
        <w:rPr>
          <w:rFonts w:ascii="Calibri"/>
          <w:spacing w:val="-5"/>
          <w:sz w:val="20"/>
          <w:vertAlign w:val="baseline"/>
        </w:rPr>
        <w:t> </w:t>
      </w:r>
      <w:r>
        <w:rPr>
          <w:rFonts w:ascii="Calibri"/>
          <w:sz w:val="20"/>
          <w:vertAlign w:val="baseline"/>
        </w:rPr>
        <w:t>in</w:t>
      </w:r>
      <w:r>
        <w:rPr>
          <w:rFonts w:ascii="Calibri"/>
          <w:spacing w:val="-2"/>
          <w:sz w:val="20"/>
          <w:vertAlign w:val="baseline"/>
        </w:rPr>
        <w:t> </w:t>
      </w:r>
      <w:r>
        <w:rPr>
          <w:rFonts w:ascii="Calibri"/>
          <w:sz w:val="20"/>
          <w:vertAlign w:val="baseline"/>
        </w:rPr>
        <w:t>this</w:t>
      </w:r>
      <w:r>
        <w:rPr>
          <w:rFonts w:ascii="Calibri"/>
          <w:spacing w:val="-4"/>
          <w:sz w:val="20"/>
          <w:vertAlign w:val="baseline"/>
        </w:rPr>
        <w:t> work.</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99"/>
        <w:jc w:val="both"/>
      </w:pPr>
      <w:r>
        <w:rPr/>
        <w:t>unsuccessful the latter may have been in the choice of proper diction in capturing the law. Now, relevant cases are considered in turn.</w:t>
      </w:r>
    </w:p>
    <w:p>
      <w:pPr>
        <w:pStyle w:val="BodyText"/>
        <w:spacing w:line="480" w:lineRule="auto"/>
        <w:ind w:right="177" w:firstLine="720"/>
        <w:jc w:val="both"/>
      </w:pPr>
      <w:r>
        <w:rPr/>
        <w:t>S. 279(3) and (5) may have been enacted with </w:t>
      </w:r>
      <w:r>
        <w:rPr>
          <w:b/>
        </w:rPr>
        <w:t>Re Smith &amp; Fawcett Ltd.</w:t>
      </w:r>
      <w:r>
        <w:rPr>
          <w:vertAlign w:val="superscript"/>
        </w:rPr>
        <w:t>179</w:t>
      </w:r>
      <w:r>
        <w:rPr>
          <w:vertAlign w:val="baseline"/>
        </w:rPr>
        <w:t> in mind because of the similar wordings used. Therein, Lord Greene M.R. remarked that directors were required to act ―bona fide in what they</w:t>
      </w:r>
      <w:r>
        <w:rPr>
          <w:spacing w:val="-1"/>
          <w:vertAlign w:val="baseline"/>
        </w:rPr>
        <w:t> </w:t>
      </w:r>
      <w:r>
        <w:rPr>
          <w:vertAlign w:val="baseline"/>
        </w:rPr>
        <w:t>consider—not what a court may consider—is in the interests of the company...and not for any collateral purpose‖.</w:t>
      </w:r>
      <w:r>
        <w:rPr>
          <w:vertAlign w:val="superscript"/>
        </w:rPr>
        <w:t>180</w:t>
      </w:r>
      <w:r>
        <w:rPr>
          <w:vertAlign w:val="baseline"/>
        </w:rPr>
        <w:t> By this interpretation, the section suggests a subjective test for the directors and</w:t>
      </w:r>
      <w:r>
        <w:rPr>
          <w:spacing w:val="40"/>
          <w:vertAlign w:val="baseline"/>
        </w:rPr>
        <w:t> </w:t>
      </w:r>
      <w:r>
        <w:rPr>
          <w:vertAlign w:val="baseline"/>
        </w:rPr>
        <w:t>accordingly, the court intends that directors should retain the ultimate decision as to</w:t>
      </w:r>
      <w:r>
        <w:rPr>
          <w:spacing w:val="40"/>
          <w:vertAlign w:val="baseline"/>
        </w:rPr>
        <w:t> </w:t>
      </w:r>
      <w:r>
        <w:rPr>
          <w:vertAlign w:val="baseline"/>
        </w:rPr>
        <w:t>what course of</w:t>
      </w:r>
      <w:r>
        <w:rPr>
          <w:spacing w:val="-3"/>
          <w:vertAlign w:val="baseline"/>
        </w:rPr>
        <w:t> </w:t>
      </w:r>
      <w:r>
        <w:rPr>
          <w:vertAlign w:val="baseline"/>
        </w:rPr>
        <w:t>action is right for their company in a business sense. A fortiori, the court will not take it upon itself to order that a particular power vested in directors should be exercised in a particular way.</w:t>
      </w:r>
      <w:r>
        <w:rPr>
          <w:vertAlign w:val="superscript"/>
        </w:rPr>
        <w:t>181</w:t>
      </w:r>
      <w:r>
        <w:rPr>
          <w:vertAlign w:val="baseline"/>
        </w:rPr>
        <w:t> In the words of Lord Wilberforce,</w:t>
      </w:r>
    </w:p>
    <w:p>
      <w:pPr>
        <w:spacing w:line="240" w:lineRule="auto" w:before="2"/>
        <w:ind w:left="2007" w:right="1886" w:firstLine="0"/>
        <w:jc w:val="both"/>
        <w:rPr>
          <w:i/>
          <w:sz w:val="24"/>
        </w:rPr>
      </w:pPr>
      <w:r>
        <w:rPr>
          <w:i/>
          <w:sz w:val="24"/>
        </w:rPr>
        <w:t>It would be wrong for the court to substitute its opinion for that of the management, or indeed to question the correctness of the management‘s decision...if bona fide arrived at. There is no appeal on merits from management decisions to courts of law: nor will courts</w:t>
      </w:r>
      <w:r>
        <w:rPr>
          <w:i/>
          <w:spacing w:val="-2"/>
          <w:sz w:val="24"/>
        </w:rPr>
        <w:t> </w:t>
      </w:r>
      <w:r>
        <w:rPr>
          <w:i/>
          <w:sz w:val="24"/>
        </w:rPr>
        <w:t>of law</w:t>
      </w:r>
      <w:r>
        <w:rPr>
          <w:i/>
          <w:spacing w:val="-7"/>
          <w:sz w:val="24"/>
        </w:rPr>
        <w:t> </w:t>
      </w:r>
      <w:r>
        <w:rPr>
          <w:i/>
          <w:sz w:val="24"/>
        </w:rPr>
        <w:t>assume to act as</w:t>
      </w:r>
      <w:r>
        <w:rPr>
          <w:i/>
          <w:spacing w:val="-2"/>
          <w:sz w:val="24"/>
        </w:rPr>
        <w:t> </w:t>
      </w:r>
      <w:r>
        <w:rPr>
          <w:i/>
          <w:sz w:val="24"/>
        </w:rPr>
        <w:t>a kind of supervisory board over decisions within the powers of management honestly arrived at.</w:t>
      </w:r>
      <w:r>
        <w:rPr>
          <w:i/>
          <w:sz w:val="24"/>
          <w:vertAlign w:val="superscript"/>
        </w:rPr>
        <w:t>182</w:t>
      </w:r>
    </w:p>
    <w:p>
      <w:pPr>
        <w:pStyle w:val="BodyText"/>
        <w:spacing w:before="3"/>
        <w:ind w:left="0"/>
        <w:rPr>
          <w:i/>
        </w:rPr>
      </w:pPr>
    </w:p>
    <w:p>
      <w:pPr>
        <w:pStyle w:val="BodyText"/>
        <w:spacing w:line="480" w:lineRule="auto"/>
        <w:ind w:right="184"/>
        <w:jc w:val="both"/>
      </w:pPr>
      <w:r>
        <w:rPr/>
        <w:t>Conclusively, therefore, any</w:t>
      </w:r>
      <w:r>
        <w:rPr>
          <w:spacing w:val="-5"/>
        </w:rPr>
        <w:t> </w:t>
      </w:r>
      <w:r>
        <w:rPr/>
        <w:t>power conferred on</w:t>
      </w:r>
      <w:r>
        <w:rPr>
          <w:spacing w:val="-5"/>
        </w:rPr>
        <w:t> </w:t>
      </w:r>
      <w:r>
        <w:rPr/>
        <w:t>directors, whether by</w:t>
      </w:r>
      <w:r>
        <w:rPr>
          <w:spacing w:val="-5"/>
        </w:rPr>
        <w:t> </w:t>
      </w:r>
      <w:r>
        <w:rPr/>
        <w:t>the</w:t>
      </w:r>
      <w:r>
        <w:rPr>
          <w:spacing w:val="-1"/>
        </w:rPr>
        <w:t> </w:t>
      </w:r>
      <w:r>
        <w:rPr/>
        <w:t>articles</w:t>
      </w:r>
      <w:r>
        <w:rPr>
          <w:spacing w:val="-2"/>
        </w:rPr>
        <w:t> </w:t>
      </w:r>
      <w:r>
        <w:rPr/>
        <w:t>or any contract, is part of their management power. This is so even where the power is discretionary. In </w:t>
      </w:r>
      <w:r>
        <w:rPr>
          <w:b/>
        </w:rPr>
        <w:t>Artra Industries Nig. Ltd. vs. Nigerian Bank for Commerce and Industry</w:t>
      </w:r>
      <w:r>
        <w:rPr/>
        <w:t>,</w:t>
      </w:r>
      <w:r>
        <w:rPr>
          <w:vertAlign w:val="superscript"/>
        </w:rPr>
        <w:t>183</w:t>
      </w:r>
      <w:r>
        <w:rPr>
          <w:spacing w:val="-3"/>
          <w:vertAlign w:val="baseline"/>
        </w:rPr>
        <w:t> </w:t>
      </w:r>
      <w:r>
        <w:rPr>
          <w:vertAlign w:val="baseline"/>
        </w:rPr>
        <w:t>the</w:t>
      </w:r>
      <w:r>
        <w:rPr>
          <w:spacing w:val="-2"/>
          <w:vertAlign w:val="baseline"/>
        </w:rPr>
        <w:t> </w:t>
      </w:r>
      <w:r>
        <w:rPr>
          <w:vertAlign w:val="baseline"/>
        </w:rPr>
        <w:t>plaintiff</w:t>
      </w:r>
      <w:r>
        <w:rPr>
          <w:spacing w:val="-4"/>
          <w:vertAlign w:val="baseline"/>
        </w:rPr>
        <w:t> </w:t>
      </w:r>
      <w:r>
        <w:rPr>
          <w:vertAlign w:val="baseline"/>
        </w:rPr>
        <w:t>had</w:t>
      </w:r>
      <w:r>
        <w:rPr>
          <w:spacing w:val="-1"/>
          <w:vertAlign w:val="baseline"/>
        </w:rPr>
        <w:t> </w:t>
      </w:r>
      <w:r>
        <w:rPr>
          <w:vertAlign w:val="baseline"/>
        </w:rPr>
        <w:t>obtained</w:t>
      </w:r>
      <w:r>
        <w:rPr>
          <w:spacing w:val="-1"/>
          <w:vertAlign w:val="baseline"/>
        </w:rPr>
        <w:t> </w:t>
      </w:r>
      <w:r>
        <w:rPr>
          <w:vertAlign w:val="baseline"/>
        </w:rPr>
        <w:t>a</w:t>
      </w:r>
      <w:r>
        <w:rPr>
          <w:spacing w:val="-2"/>
          <w:vertAlign w:val="baseline"/>
        </w:rPr>
        <w:t> </w:t>
      </w:r>
      <w:r>
        <w:rPr>
          <w:vertAlign w:val="baseline"/>
        </w:rPr>
        <w:t>secured loan</w:t>
      </w:r>
      <w:r>
        <w:rPr>
          <w:spacing w:val="-1"/>
          <w:vertAlign w:val="baseline"/>
        </w:rPr>
        <w:t> </w:t>
      </w:r>
      <w:r>
        <w:rPr>
          <w:vertAlign w:val="baseline"/>
        </w:rPr>
        <w:t>from</w:t>
      </w:r>
      <w:r>
        <w:rPr>
          <w:spacing w:val="-10"/>
          <w:vertAlign w:val="baseline"/>
        </w:rPr>
        <w:t> </w:t>
      </w:r>
      <w:r>
        <w:rPr>
          <w:vertAlign w:val="baseline"/>
        </w:rPr>
        <w:t>the</w:t>
      </w:r>
      <w:r>
        <w:rPr>
          <w:spacing w:val="-2"/>
          <w:vertAlign w:val="baseline"/>
        </w:rPr>
        <w:t> </w:t>
      </w:r>
      <w:r>
        <w:rPr>
          <w:vertAlign w:val="baseline"/>
        </w:rPr>
        <w:t>defendant. A</w:t>
      </w:r>
      <w:r>
        <w:rPr>
          <w:spacing w:val="-7"/>
          <w:vertAlign w:val="baseline"/>
        </w:rPr>
        <w:t> </w:t>
      </w:r>
      <w:r>
        <w:rPr>
          <w:vertAlign w:val="baseline"/>
        </w:rPr>
        <w:t>clause in</w:t>
      </w:r>
      <w:r>
        <w:rPr>
          <w:spacing w:val="-6"/>
          <w:vertAlign w:val="baseline"/>
        </w:rPr>
        <w:t> </w:t>
      </w:r>
      <w:r>
        <w:rPr>
          <w:vertAlign w:val="baseline"/>
        </w:rPr>
        <w:t>the loan agreement conferred ―discretionary power‖ on the defendant to decide whether or not to grant the plaintiff consent to further mortgage or charge the security with a third party. When the plaintiff sought this consent the first time, the defendant granted it. But</w:t>
      </w:r>
    </w:p>
    <w:p>
      <w:pPr>
        <w:pStyle w:val="BodyText"/>
        <w:spacing w:before="7"/>
        <w:ind w:left="0"/>
        <w:rPr>
          <w:sz w:val="19"/>
        </w:rPr>
      </w:pPr>
      <w:r>
        <w:rPr/>
        <mc:AlternateContent>
          <mc:Choice Requires="wps">
            <w:drawing>
              <wp:anchor distT="0" distB="0" distL="0" distR="0" allowOverlap="1" layoutInCell="1" locked="0" behindDoc="1" simplePos="0" relativeHeight="487656448">
                <wp:simplePos x="0" y="0"/>
                <wp:positionH relativeFrom="page">
                  <wp:posOffset>1262481</wp:posOffset>
                </wp:positionH>
                <wp:positionV relativeFrom="paragraph">
                  <wp:posOffset>158657</wp:posOffset>
                </wp:positionV>
                <wp:extent cx="1829435" cy="9525"/>
                <wp:effectExtent l="0" t="0" r="0" b="0"/>
                <wp:wrapTopAndBottom/>
                <wp:docPr id="150" name="Graphic 150"/>
                <wp:cNvGraphicFramePr>
                  <a:graphicFrameLocks/>
                </wp:cNvGraphicFramePr>
                <a:graphic>
                  <a:graphicData uri="http://schemas.microsoft.com/office/word/2010/wordprocessingShape">
                    <wps:wsp>
                      <wps:cNvPr id="150" name="Graphic 15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492704pt;width:144.050pt;height:.72003pt;mso-position-horizontal-relative:page;mso-position-vertical-relative:paragraph;z-index:-15660032;mso-wrap-distance-left:0;mso-wrap-distance-right:0" id="docshape105"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179</w:t>
      </w:r>
      <w:r>
        <w:rPr>
          <w:rFonts w:ascii="Calibri"/>
          <w:sz w:val="20"/>
          <w:vertAlign w:val="baseline"/>
        </w:rPr>
        <w:t>(1942)</w:t>
      </w:r>
      <w:r>
        <w:rPr>
          <w:rFonts w:ascii="Calibri"/>
          <w:spacing w:val="-2"/>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304</w:t>
      </w:r>
      <w:r>
        <w:rPr>
          <w:rFonts w:ascii="Calibri"/>
          <w:spacing w:val="-3"/>
          <w:sz w:val="20"/>
          <w:vertAlign w:val="baseline"/>
        </w:rPr>
        <w:t> </w:t>
      </w:r>
      <w:r>
        <w:rPr>
          <w:rFonts w:ascii="Calibri"/>
          <w:spacing w:val="-5"/>
          <w:sz w:val="20"/>
          <w:vertAlign w:val="baseline"/>
        </w:rPr>
        <w:t>CA.</w:t>
      </w:r>
    </w:p>
    <w:p>
      <w:pPr>
        <w:spacing w:before="0"/>
        <w:ind w:left="308" w:right="0" w:firstLine="0"/>
        <w:jc w:val="left"/>
        <w:rPr>
          <w:rFonts w:ascii="Calibri"/>
          <w:sz w:val="20"/>
        </w:rPr>
      </w:pPr>
      <w:r>
        <w:rPr>
          <w:rFonts w:ascii="Calibri"/>
          <w:sz w:val="20"/>
          <w:vertAlign w:val="superscript"/>
        </w:rPr>
        <w:t>180</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306.</w:t>
      </w:r>
    </w:p>
    <w:p>
      <w:pPr>
        <w:spacing w:before="1"/>
        <w:ind w:left="308" w:right="0" w:firstLine="0"/>
        <w:jc w:val="left"/>
        <w:rPr>
          <w:rFonts w:ascii="Calibri"/>
          <w:sz w:val="20"/>
        </w:rPr>
      </w:pPr>
      <w:r>
        <w:rPr>
          <w:rFonts w:ascii="Calibri"/>
          <w:sz w:val="20"/>
          <w:vertAlign w:val="superscript"/>
        </w:rPr>
        <w:t>181</w:t>
      </w:r>
      <w:r>
        <w:rPr>
          <w:rFonts w:ascii="Calibri"/>
          <w:i/>
          <w:sz w:val="20"/>
          <w:vertAlign w:val="baseline"/>
        </w:rPr>
        <w:t>Pergamon</w:t>
      </w:r>
      <w:r>
        <w:rPr>
          <w:rFonts w:ascii="Calibri"/>
          <w:i/>
          <w:spacing w:val="-6"/>
          <w:sz w:val="20"/>
          <w:vertAlign w:val="baseline"/>
        </w:rPr>
        <w:t> </w:t>
      </w:r>
      <w:r>
        <w:rPr>
          <w:rFonts w:ascii="Calibri"/>
          <w:i/>
          <w:sz w:val="20"/>
          <w:vertAlign w:val="baseline"/>
        </w:rPr>
        <w:t>Press</w:t>
      </w:r>
      <w:r>
        <w:rPr>
          <w:rFonts w:ascii="Calibri"/>
          <w:i/>
          <w:spacing w:val="-5"/>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Maxwell</w:t>
      </w:r>
      <w:r>
        <w:rPr>
          <w:rFonts w:ascii="Calibri"/>
          <w:i/>
          <w:spacing w:val="-5"/>
          <w:sz w:val="20"/>
          <w:vertAlign w:val="baseline"/>
        </w:rPr>
        <w:t> </w:t>
      </w:r>
      <w:r>
        <w:rPr>
          <w:rFonts w:ascii="Calibri"/>
          <w:sz w:val="20"/>
          <w:vertAlign w:val="baseline"/>
        </w:rPr>
        <w:t>(1970)</w:t>
      </w:r>
      <w:r>
        <w:rPr>
          <w:rFonts w:ascii="Calibri"/>
          <w:spacing w:val="-6"/>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WLR</w:t>
      </w:r>
      <w:r>
        <w:rPr>
          <w:rFonts w:ascii="Calibri"/>
          <w:spacing w:val="-6"/>
          <w:sz w:val="20"/>
          <w:vertAlign w:val="baseline"/>
        </w:rPr>
        <w:t> </w:t>
      </w:r>
      <w:r>
        <w:rPr>
          <w:rFonts w:ascii="Calibri"/>
          <w:spacing w:val="-2"/>
          <w:sz w:val="20"/>
          <w:vertAlign w:val="baseline"/>
        </w:rPr>
        <w:t>1167.</w:t>
      </w:r>
    </w:p>
    <w:p>
      <w:pPr>
        <w:spacing w:before="1"/>
        <w:ind w:left="308" w:right="0" w:firstLine="0"/>
        <w:jc w:val="left"/>
        <w:rPr>
          <w:rFonts w:ascii="Calibri"/>
          <w:sz w:val="20"/>
        </w:rPr>
      </w:pPr>
      <w:r>
        <w:rPr>
          <w:rFonts w:ascii="Calibri"/>
          <w:sz w:val="20"/>
          <w:vertAlign w:val="superscript"/>
        </w:rPr>
        <w:t>182</w:t>
      </w:r>
      <w:r>
        <w:rPr>
          <w:rFonts w:ascii="Calibri"/>
          <w:i/>
          <w:sz w:val="20"/>
          <w:vertAlign w:val="baseline"/>
        </w:rPr>
        <w:t>Howard</w:t>
      </w:r>
      <w:r>
        <w:rPr>
          <w:rFonts w:ascii="Calibri"/>
          <w:i/>
          <w:spacing w:val="-6"/>
          <w:sz w:val="20"/>
          <w:vertAlign w:val="baseline"/>
        </w:rPr>
        <w:t> </w:t>
      </w:r>
      <w:r>
        <w:rPr>
          <w:rFonts w:ascii="Calibri"/>
          <w:i/>
          <w:sz w:val="20"/>
          <w:vertAlign w:val="baseline"/>
        </w:rPr>
        <w:t>Smith</w:t>
      </w:r>
      <w:r>
        <w:rPr>
          <w:rFonts w:ascii="Calibri"/>
          <w:i/>
          <w:spacing w:val="-5"/>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Ampol</w:t>
      </w:r>
      <w:r>
        <w:rPr>
          <w:rFonts w:ascii="Calibri"/>
          <w:i/>
          <w:spacing w:val="-6"/>
          <w:sz w:val="20"/>
          <w:vertAlign w:val="baseline"/>
        </w:rPr>
        <w:t> </w:t>
      </w:r>
      <w:r>
        <w:rPr>
          <w:rFonts w:ascii="Calibri"/>
          <w:i/>
          <w:sz w:val="20"/>
          <w:vertAlign w:val="baseline"/>
        </w:rPr>
        <w:t>Petroleum</w:t>
      </w:r>
      <w:r>
        <w:rPr>
          <w:rFonts w:ascii="Calibri"/>
          <w:i/>
          <w:spacing w:val="-8"/>
          <w:sz w:val="20"/>
          <w:vertAlign w:val="baseline"/>
        </w:rPr>
        <w:t> </w:t>
      </w:r>
      <w:r>
        <w:rPr>
          <w:rFonts w:ascii="Calibri"/>
          <w:i/>
          <w:sz w:val="20"/>
          <w:vertAlign w:val="baseline"/>
        </w:rPr>
        <w:t>Ltd</w:t>
      </w:r>
      <w:r>
        <w:rPr>
          <w:rFonts w:ascii="Calibri"/>
          <w:sz w:val="20"/>
          <w:vertAlign w:val="baseline"/>
        </w:rPr>
        <w:t>.</w:t>
      </w:r>
      <w:r>
        <w:rPr>
          <w:rFonts w:ascii="Calibri"/>
          <w:spacing w:val="-5"/>
          <w:sz w:val="20"/>
          <w:vertAlign w:val="baseline"/>
        </w:rPr>
        <w:t> </w:t>
      </w:r>
      <w:r>
        <w:rPr>
          <w:rFonts w:ascii="Calibri"/>
          <w:sz w:val="20"/>
          <w:vertAlign w:val="baseline"/>
        </w:rPr>
        <w:t>(1974)</w:t>
      </w:r>
      <w:r>
        <w:rPr>
          <w:rFonts w:ascii="Calibri"/>
          <w:spacing w:val="-6"/>
          <w:sz w:val="20"/>
          <w:vertAlign w:val="baseline"/>
        </w:rPr>
        <w:t> </w:t>
      </w:r>
      <w:r>
        <w:rPr>
          <w:rFonts w:ascii="Calibri"/>
          <w:sz w:val="20"/>
          <w:vertAlign w:val="baseline"/>
        </w:rPr>
        <w:t>A.C.</w:t>
      </w:r>
      <w:r>
        <w:rPr>
          <w:rFonts w:ascii="Calibri"/>
          <w:spacing w:val="-5"/>
          <w:sz w:val="20"/>
          <w:vertAlign w:val="baseline"/>
        </w:rPr>
        <w:t> </w:t>
      </w:r>
      <w:r>
        <w:rPr>
          <w:rFonts w:ascii="Calibri"/>
          <w:sz w:val="20"/>
          <w:vertAlign w:val="baseline"/>
        </w:rPr>
        <w:t>821,</w:t>
      </w:r>
      <w:r>
        <w:rPr>
          <w:rFonts w:ascii="Calibri"/>
          <w:spacing w:val="-5"/>
          <w:sz w:val="20"/>
          <w:vertAlign w:val="baseline"/>
        </w:rPr>
        <w:t> </w:t>
      </w:r>
      <w:r>
        <w:rPr>
          <w:rFonts w:ascii="Calibri"/>
          <w:sz w:val="20"/>
          <w:vertAlign w:val="baseline"/>
        </w:rPr>
        <w:t>at</w:t>
      </w:r>
      <w:r>
        <w:rPr>
          <w:rFonts w:ascii="Calibri"/>
          <w:spacing w:val="-3"/>
          <w:sz w:val="20"/>
          <w:vertAlign w:val="baseline"/>
        </w:rPr>
        <w:t> </w:t>
      </w:r>
      <w:r>
        <w:rPr>
          <w:rFonts w:ascii="Calibri"/>
          <w:spacing w:val="-4"/>
          <w:sz w:val="20"/>
          <w:vertAlign w:val="baseline"/>
        </w:rPr>
        <w:t>834.</w:t>
      </w:r>
    </w:p>
    <w:p>
      <w:pPr>
        <w:spacing w:before="0"/>
        <w:ind w:left="308" w:right="0" w:firstLine="0"/>
        <w:jc w:val="left"/>
        <w:rPr>
          <w:rFonts w:ascii="Calibri"/>
          <w:sz w:val="20"/>
        </w:rPr>
      </w:pPr>
      <w:r>
        <w:rPr>
          <w:rFonts w:ascii="Calibri"/>
          <w:sz w:val="20"/>
          <w:vertAlign w:val="superscript"/>
        </w:rPr>
        <w:t>183</w:t>
      </w:r>
      <w:r>
        <w:rPr>
          <w:rFonts w:ascii="Calibri"/>
          <w:sz w:val="20"/>
          <w:vertAlign w:val="baseline"/>
        </w:rPr>
        <w:t>(1998)</w:t>
      </w:r>
      <w:r>
        <w:rPr>
          <w:rFonts w:ascii="Calibri"/>
          <w:spacing w:val="-2"/>
          <w:sz w:val="20"/>
          <w:vertAlign w:val="baseline"/>
        </w:rPr>
        <w:t> </w:t>
      </w:r>
      <w:r>
        <w:rPr>
          <w:rFonts w:ascii="Calibri"/>
          <w:sz w:val="20"/>
          <w:vertAlign w:val="baseline"/>
        </w:rPr>
        <w:t>3</w:t>
      </w:r>
      <w:r>
        <w:rPr>
          <w:rFonts w:ascii="Calibri"/>
          <w:spacing w:val="-3"/>
          <w:sz w:val="20"/>
          <w:vertAlign w:val="baseline"/>
        </w:rPr>
        <w:t> </w:t>
      </w:r>
      <w:r>
        <w:rPr>
          <w:rFonts w:ascii="Calibri"/>
          <w:sz w:val="20"/>
          <w:vertAlign w:val="baseline"/>
        </w:rPr>
        <w:t>SCNJ,</w:t>
      </w:r>
      <w:r>
        <w:rPr>
          <w:rFonts w:ascii="Calibri"/>
          <w:spacing w:val="-4"/>
          <w:sz w:val="20"/>
          <w:vertAlign w:val="baseline"/>
        </w:rPr>
        <w:t> </w:t>
      </w:r>
      <w:r>
        <w:rPr>
          <w:rFonts w:ascii="Calibri"/>
          <w:spacing w:val="-5"/>
          <w:sz w:val="20"/>
          <w:vertAlign w:val="baseline"/>
        </w:rPr>
        <w:t>97.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4"/>
        <w:jc w:val="both"/>
      </w:pPr>
      <w:r>
        <w:rPr/>
        <w:t>when it further sought to create a third charge on the same security, the defendant declined to consent. The plaintiff</w:t>
      </w:r>
      <w:r>
        <w:rPr>
          <w:spacing w:val="-5"/>
        </w:rPr>
        <w:t> </w:t>
      </w:r>
      <w:r>
        <w:rPr/>
        <w:t>then</w:t>
      </w:r>
      <w:r>
        <w:rPr>
          <w:spacing w:val="-2"/>
        </w:rPr>
        <w:t> </w:t>
      </w:r>
      <w:r>
        <w:rPr/>
        <w:t>sued for, among others, damages suffered by it as a result of the defendant‘s refusal to grant consent for the further charge, which would have enabled it to obtain a working capital for its venture. Citing s. 279(3), the apex court concluded:</w:t>
      </w:r>
    </w:p>
    <w:p>
      <w:pPr>
        <w:spacing w:line="240" w:lineRule="auto" w:before="1"/>
        <w:ind w:left="2007" w:right="1885" w:firstLine="0"/>
        <w:jc w:val="both"/>
        <w:rPr>
          <w:i/>
          <w:sz w:val="24"/>
        </w:rPr>
      </w:pPr>
      <w:r>
        <w:rPr>
          <w:i/>
          <w:sz w:val="24"/>
        </w:rPr>
        <w:t>There is no doubt that the exercise of discretionary power, such as in this case, falls within the management power which is, by section 63(3), conferred</w:t>
      </w:r>
      <w:r>
        <w:rPr>
          <w:i/>
          <w:spacing w:val="-5"/>
          <w:sz w:val="24"/>
        </w:rPr>
        <w:t> </w:t>
      </w:r>
      <w:r>
        <w:rPr>
          <w:i/>
          <w:sz w:val="24"/>
        </w:rPr>
        <w:t>on</w:t>
      </w:r>
      <w:r>
        <w:rPr>
          <w:i/>
          <w:spacing w:val="-5"/>
          <w:sz w:val="24"/>
        </w:rPr>
        <w:t> </w:t>
      </w:r>
      <w:r>
        <w:rPr>
          <w:i/>
          <w:sz w:val="24"/>
        </w:rPr>
        <w:t>directors.</w:t>
      </w:r>
      <w:r>
        <w:rPr>
          <w:i/>
          <w:spacing w:val="-3"/>
          <w:sz w:val="24"/>
        </w:rPr>
        <w:t> </w:t>
      </w:r>
      <w:r>
        <w:rPr>
          <w:i/>
          <w:sz w:val="24"/>
        </w:rPr>
        <w:t>In</w:t>
      </w:r>
      <w:r>
        <w:rPr>
          <w:i/>
          <w:spacing w:val="-5"/>
          <w:sz w:val="24"/>
        </w:rPr>
        <w:t> </w:t>
      </w:r>
      <w:r>
        <w:rPr>
          <w:i/>
          <w:sz w:val="24"/>
        </w:rPr>
        <w:t>exercise</w:t>
      </w:r>
      <w:r>
        <w:rPr>
          <w:i/>
          <w:spacing w:val="-6"/>
          <w:sz w:val="24"/>
        </w:rPr>
        <w:t> </w:t>
      </w:r>
      <w:r>
        <w:rPr>
          <w:i/>
          <w:sz w:val="24"/>
        </w:rPr>
        <w:t>of such</w:t>
      </w:r>
      <w:r>
        <w:rPr>
          <w:i/>
          <w:spacing w:val="-5"/>
          <w:sz w:val="24"/>
        </w:rPr>
        <w:t> </w:t>
      </w:r>
      <w:r>
        <w:rPr>
          <w:i/>
          <w:sz w:val="24"/>
        </w:rPr>
        <w:t>power,</w:t>
      </w:r>
      <w:r>
        <w:rPr>
          <w:i/>
          <w:spacing w:val="-3"/>
          <w:sz w:val="24"/>
        </w:rPr>
        <w:t> </w:t>
      </w:r>
      <w:r>
        <w:rPr>
          <w:i/>
          <w:sz w:val="24"/>
        </w:rPr>
        <w:t>the directors must adhere strictly to the statutory provision which enjoins them to consider the interest of the company as paramount...The directors of the defendant bank being therefore alert to their responsibilities, could not have exercised their discretion in favour of the plaintiff, the proper effect of which would be to further dilute the defendant‘s security, when the plaintiff was already in breach of its previous undertaking.</w:t>
      </w:r>
      <w:r>
        <w:rPr>
          <w:i/>
          <w:sz w:val="24"/>
          <w:vertAlign w:val="superscript"/>
        </w:rPr>
        <w:t>184</w:t>
      </w:r>
    </w:p>
    <w:p>
      <w:pPr>
        <w:pStyle w:val="BodyText"/>
        <w:spacing w:before="1"/>
        <w:ind w:left="0"/>
        <w:rPr>
          <w:i/>
        </w:rPr>
      </w:pPr>
    </w:p>
    <w:p>
      <w:pPr>
        <w:spacing w:before="0"/>
        <w:ind w:left="308" w:right="0" w:firstLine="0"/>
        <w:jc w:val="both"/>
        <w:rPr>
          <w:sz w:val="24"/>
        </w:rPr>
      </w:pPr>
      <w:r>
        <w:rPr>
          <w:sz w:val="24"/>
        </w:rPr>
        <w:t>Similarly, Coker</w:t>
      </w:r>
      <w:r>
        <w:rPr>
          <w:spacing w:val="-1"/>
          <w:sz w:val="24"/>
        </w:rPr>
        <w:t> </w:t>
      </w:r>
      <w:r>
        <w:rPr>
          <w:sz w:val="24"/>
        </w:rPr>
        <w:t>J.S.C.</w:t>
      </w:r>
      <w:r>
        <w:rPr>
          <w:spacing w:val="-9"/>
          <w:sz w:val="24"/>
        </w:rPr>
        <w:t> </w:t>
      </w:r>
      <w:r>
        <w:rPr>
          <w:sz w:val="24"/>
        </w:rPr>
        <w:t>observed</w:t>
      </w:r>
      <w:r>
        <w:rPr>
          <w:spacing w:val="2"/>
          <w:sz w:val="24"/>
        </w:rPr>
        <w:t> </w:t>
      </w:r>
      <w:r>
        <w:rPr>
          <w:sz w:val="24"/>
        </w:rPr>
        <w:t>in</w:t>
      </w:r>
      <w:r>
        <w:rPr>
          <w:spacing w:val="-3"/>
          <w:sz w:val="24"/>
        </w:rPr>
        <w:t> </w:t>
      </w:r>
      <w:r>
        <w:rPr>
          <w:b/>
          <w:sz w:val="24"/>
        </w:rPr>
        <w:t>Adebayo</w:t>
      </w:r>
      <w:r>
        <w:rPr>
          <w:b/>
          <w:spacing w:val="-1"/>
          <w:sz w:val="24"/>
        </w:rPr>
        <w:t> </w:t>
      </w:r>
      <w:r>
        <w:rPr>
          <w:b/>
          <w:sz w:val="24"/>
        </w:rPr>
        <w:t>vs. Johnson</w:t>
      </w:r>
      <w:r>
        <w:rPr>
          <w:sz w:val="24"/>
        </w:rPr>
        <w:t>,</w:t>
      </w:r>
      <w:r>
        <w:rPr>
          <w:sz w:val="24"/>
          <w:vertAlign w:val="superscript"/>
        </w:rPr>
        <w:t>185</w:t>
      </w:r>
      <w:r>
        <w:rPr>
          <w:sz w:val="24"/>
          <w:vertAlign w:val="baseline"/>
        </w:rPr>
        <w:t> </w:t>
      </w:r>
      <w:r>
        <w:rPr>
          <w:spacing w:val="-4"/>
          <w:sz w:val="24"/>
          <w:vertAlign w:val="baseline"/>
        </w:rPr>
        <w:t>that</w:t>
      </w:r>
    </w:p>
    <w:p>
      <w:pPr>
        <w:pStyle w:val="BodyText"/>
        <w:ind w:left="0"/>
      </w:pPr>
    </w:p>
    <w:p>
      <w:pPr>
        <w:spacing w:line="240" w:lineRule="auto" w:before="0"/>
        <w:ind w:left="2007" w:right="1887" w:firstLine="0"/>
        <w:jc w:val="both"/>
        <w:rPr>
          <w:i/>
          <w:sz w:val="24"/>
        </w:rPr>
      </w:pPr>
      <w:r>
        <w:rPr>
          <w:i/>
          <w:sz w:val="24"/>
        </w:rPr>
        <w:t>The authorities establish clearly that…the courts have consistently adopted the view that they would not, as Parliament has thought it fit not to,</w:t>
      </w:r>
      <w:r>
        <w:rPr>
          <w:i/>
          <w:spacing w:val="40"/>
          <w:sz w:val="24"/>
        </w:rPr>
        <w:t> </w:t>
      </w:r>
      <w:r>
        <w:rPr>
          <w:i/>
          <w:sz w:val="24"/>
        </w:rPr>
        <w:t>embarrass or unsettle business-men in the performance of their vocations. Those who organise, manage or control trade or business or both are generally entitled to depend upon their own ability, prudence and judgment.</w:t>
      </w:r>
      <w:r>
        <w:rPr>
          <w:i/>
          <w:sz w:val="24"/>
          <w:vertAlign w:val="superscript"/>
        </w:rPr>
        <w:t>186</w:t>
      </w:r>
    </w:p>
    <w:p>
      <w:pPr>
        <w:pStyle w:val="BodyText"/>
        <w:spacing w:before="4"/>
        <w:ind w:left="0"/>
        <w:rPr>
          <w:i/>
        </w:rPr>
      </w:pPr>
    </w:p>
    <w:p>
      <w:pPr>
        <w:pStyle w:val="BodyText"/>
        <w:spacing w:line="480" w:lineRule="auto"/>
        <w:ind w:right="184" w:firstLine="720"/>
        <w:jc w:val="both"/>
      </w:pPr>
      <w:r>
        <w:rPr/>
        <w:t>The foregoing notwithstanding, cases have often been brought before the court asking it to determine whether or not directors have not in fact acted in bad faith and contrary to the best interests of the company, but in their own interests. In determining liability in any given case, the court asks itself whether it has been proved that the directors</w:t>
      </w:r>
      <w:r>
        <w:rPr>
          <w:spacing w:val="18"/>
        </w:rPr>
        <w:t> </w:t>
      </w:r>
      <w:r>
        <w:rPr/>
        <w:t>had</w:t>
      </w:r>
      <w:r>
        <w:rPr>
          <w:spacing w:val="25"/>
        </w:rPr>
        <w:t> </w:t>
      </w:r>
      <w:r>
        <w:rPr/>
        <w:t>not</w:t>
      </w:r>
      <w:r>
        <w:rPr>
          <w:spacing w:val="25"/>
        </w:rPr>
        <w:t> </w:t>
      </w:r>
      <w:r>
        <w:rPr/>
        <w:t>done</w:t>
      </w:r>
      <w:r>
        <w:rPr>
          <w:spacing w:val="19"/>
        </w:rPr>
        <w:t> </w:t>
      </w:r>
      <w:r>
        <w:rPr/>
        <w:t>what</w:t>
      </w:r>
      <w:r>
        <w:rPr>
          <w:spacing w:val="25"/>
        </w:rPr>
        <w:t> </w:t>
      </w:r>
      <w:r>
        <w:rPr/>
        <w:t>they</w:t>
      </w:r>
      <w:r>
        <w:rPr>
          <w:spacing w:val="16"/>
        </w:rPr>
        <w:t> </w:t>
      </w:r>
      <w:r>
        <w:rPr/>
        <w:t>believed</w:t>
      </w:r>
      <w:r>
        <w:rPr>
          <w:spacing w:val="20"/>
        </w:rPr>
        <w:t> </w:t>
      </w:r>
      <w:r>
        <w:rPr/>
        <w:t>to</w:t>
      </w:r>
      <w:r>
        <w:rPr>
          <w:spacing w:val="24"/>
        </w:rPr>
        <w:t> </w:t>
      </w:r>
      <w:r>
        <w:rPr/>
        <w:t>be</w:t>
      </w:r>
      <w:r>
        <w:rPr>
          <w:spacing w:val="19"/>
        </w:rPr>
        <w:t> </w:t>
      </w:r>
      <w:r>
        <w:rPr/>
        <w:t>right.</w:t>
      </w:r>
      <w:r>
        <w:rPr>
          <w:vertAlign w:val="superscript"/>
        </w:rPr>
        <w:t>187</w:t>
      </w:r>
      <w:r>
        <w:rPr>
          <w:spacing w:val="24"/>
          <w:vertAlign w:val="baseline"/>
        </w:rPr>
        <w:t> </w:t>
      </w:r>
      <w:r>
        <w:rPr>
          <w:vertAlign w:val="baseline"/>
        </w:rPr>
        <w:t>In</w:t>
      </w:r>
      <w:r>
        <w:rPr>
          <w:spacing w:val="15"/>
          <w:vertAlign w:val="baseline"/>
        </w:rPr>
        <w:t> </w:t>
      </w:r>
      <w:r>
        <w:rPr>
          <w:vertAlign w:val="baseline"/>
        </w:rPr>
        <w:t>other</w:t>
      </w:r>
      <w:r>
        <w:rPr>
          <w:spacing w:val="21"/>
          <w:vertAlign w:val="baseline"/>
        </w:rPr>
        <w:t> </w:t>
      </w:r>
      <w:r>
        <w:rPr>
          <w:vertAlign w:val="baseline"/>
        </w:rPr>
        <w:t>words,</w:t>
      </w:r>
      <w:r>
        <w:rPr>
          <w:spacing w:val="17"/>
          <w:vertAlign w:val="baseline"/>
        </w:rPr>
        <w:t> </w:t>
      </w:r>
      <w:r>
        <w:rPr>
          <w:vertAlign w:val="baseline"/>
        </w:rPr>
        <w:t>the</w:t>
      </w:r>
      <w:r>
        <w:rPr>
          <w:spacing w:val="19"/>
          <w:vertAlign w:val="baseline"/>
        </w:rPr>
        <w:t> </w:t>
      </w:r>
      <w:r>
        <w:rPr>
          <w:vertAlign w:val="baseline"/>
        </w:rPr>
        <w:t>burden</w:t>
      </w:r>
      <w:r>
        <w:rPr>
          <w:spacing w:val="16"/>
          <w:vertAlign w:val="baseline"/>
        </w:rPr>
        <w:t> </w:t>
      </w:r>
      <w:r>
        <w:rPr>
          <w:spacing w:val="-5"/>
          <w:vertAlign w:val="baseline"/>
        </w:rPr>
        <w:t>of</w:t>
      </w:r>
    </w:p>
    <w:p>
      <w:pPr>
        <w:spacing w:before="0"/>
        <w:ind w:left="308" w:right="0" w:firstLine="0"/>
        <w:jc w:val="both"/>
        <w:rPr>
          <w:b/>
          <w:sz w:val="24"/>
        </w:rPr>
      </w:pPr>
      <w:r>
        <w:rPr>
          <w:sz w:val="24"/>
        </w:rPr>
        <w:t>proof</w:t>
      </w:r>
      <w:r>
        <w:rPr>
          <w:spacing w:val="25"/>
          <w:sz w:val="24"/>
        </w:rPr>
        <w:t> </w:t>
      </w:r>
      <w:r>
        <w:rPr>
          <w:sz w:val="24"/>
        </w:rPr>
        <w:t>is</w:t>
      </w:r>
      <w:r>
        <w:rPr>
          <w:spacing w:val="28"/>
          <w:sz w:val="24"/>
        </w:rPr>
        <w:t> </w:t>
      </w:r>
      <w:r>
        <w:rPr>
          <w:sz w:val="24"/>
        </w:rPr>
        <w:t>on</w:t>
      </w:r>
      <w:r>
        <w:rPr>
          <w:spacing w:val="27"/>
          <w:sz w:val="24"/>
        </w:rPr>
        <w:t> </w:t>
      </w:r>
      <w:r>
        <w:rPr>
          <w:sz w:val="24"/>
        </w:rPr>
        <w:t>those</w:t>
      </w:r>
      <w:r>
        <w:rPr>
          <w:spacing w:val="30"/>
          <w:sz w:val="24"/>
        </w:rPr>
        <w:t> </w:t>
      </w:r>
      <w:r>
        <w:rPr>
          <w:sz w:val="24"/>
        </w:rPr>
        <w:t>who</w:t>
      </w:r>
      <w:r>
        <w:rPr>
          <w:spacing w:val="36"/>
          <w:sz w:val="24"/>
        </w:rPr>
        <w:t> </w:t>
      </w:r>
      <w:r>
        <w:rPr>
          <w:sz w:val="24"/>
        </w:rPr>
        <w:t>assert</w:t>
      </w:r>
      <w:r>
        <w:rPr>
          <w:spacing w:val="31"/>
          <w:sz w:val="24"/>
        </w:rPr>
        <w:t> </w:t>
      </w:r>
      <w:r>
        <w:rPr>
          <w:sz w:val="24"/>
        </w:rPr>
        <w:t>that</w:t>
      </w:r>
      <w:r>
        <w:rPr>
          <w:spacing w:val="36"/>
          <w:sz w:val="24"/>
        </w:rPr>
        <w:t> </w:t>
      </w:r>
      <w:r>
        <w:rPr>
          <w:sz w:val="24"/>
        </w:rPr>
        <w:t>they</w:t>
      </w:r>
      <w:r>
        <w:rPr>
          <w:spacing w:val="27"/>
          <w:sz w:val="24"/>
        </w:rPr>
        <w:t> </w:t>
      </w:r>
      <w:r>
        <w:rPr>
          <w:sz w:val="24"/>
        </w:rPr>
        <w:t>have</w:t>
      </w:r>
      <w:r>
        <w:rPr>
          <w:spacing w:val="34"/>
          <w:sz w:val="24"/>
        </w:rPr>
        <w:t> </w:t>
      </w:r>
      <w:r>
        <w:rPr>
          <w:sz w:val="24"/>
        </w:rPr>
        <w:t>not.</w:t>
      </w:r>
      <w:r>
        <w:rPr>
          <w:spacing w:val="29"/>
          <w:sz w:val="24"/>
        </w:rPr>
        <w:t> </w:t>
      </w:r>
      <w:r>
        <w:rPr>
          <w:sz w:val="24"/>
        </w:rPr>
        <w:t>In</w:t>
      </w:r>
      <w:r>
        <w:rPr>
          <w:spacing w:val="26"/>
          <w:sz w:val="24"/>
        </w:rPr>
        <w:t> </w:t>
      </w:r>
      <w:r>
        <w:rPr>
          <w:sz w:val="24"/>
        </w:rPr>
        <w:t>the</w:t>
      </w:r>
      <w:r>
        <w:rPr>
          <w:spacing w:val="30"/>
          <w:sz w:val="24"/>
        </w:rPr>
        <w:t> </w:t>
      </w:r>
      <w:r>
        <w:rPr>
          <w:sz w:val="24"/>
        </w:rPr>
        <w:t>case</w:t>
      </w:r>
      <w:r>
        <w:rPr>
          <w:spacing w:val="31"/>
          <w:sz w:val="24"/>
        </w:rPr>
        <w:t> </w:t>
      </w:r>
      <w:r>
        <w:rPr>
          <w:sz w:val="24"/>
        </w:rPr>
        <w:t>of</w:t>
      </w:r>
      <w:r>
        <w:rPr>
          <w:spacing w:val="34"/>
          <w:sz w:val="24"/>
        </w:rPr>
        <w:t> </w:t>
      </w:r>
      <w:r>
        <w:rPr>
          <w:b/>
          <w:sz w:val="24"/>
        </w:rPr>
        <w:t>Re</w:t>
      </w:r>
      <w:r>
        <w:rPr>
          <w:b/>
          <w:spacing w:val="30"/>
          <w:sz w:val="24"/>
        </w:rPr>
        <w:t> </w:t>
      </w:r>
      <w:r>
        <w:rPr>
          <w:b/>
          <w:sz w:val="24"/>
        </w:rPr>
        <w:t>Smith</w:t>
      </w:r>
      <w:r>
        <w:rPr>
          <w:b/>
          <w:spacing w:val="31"/>
          <w:sz w:val="24"/>
        </w:rPr>
        <w:t> </w:t>
      </w:r>
      <w:r>
        <w:rPr>
          <w:b/>
          <w:sz w:val="24"/>
        </w:rPr>
        <w:t>&amp;</w:t>
      </w:r>
      <w:r>
        <w:rPr>
          <w:b/>
          <w:spacing w:val="33"/>
          <w:sz w:val="24"/>
        </w:rPr>
        <w:t> </w:t>
      </w:r>
      <w:r>
        <w:rPr>
          <w:b/>
          <w:spacing w:val="-2"/>
          <w:sz w:val="24"/>
        </w:rPr>
        <w:t>Fawcett</w:t>
      </w:r>
    </w:p>
    <w:p>
      <w:pPr>
        <w:pStyle w:val="BodyText"/>
        <w:spacing w:before="10"/>
        <w:ind w:left="0"/>
        <w:rPr>
          <w:b/>
          <w:sz w:val="16"/>
        </w:rPr>
      </w:pPr>
      <w:r>
        <w:rPr/>
        <mc:AlternateContent>
          <mc:Choice Requires="wps">
            <w:drawing>
              <wp:anchor distT="0" distB="0" distL="0" distR="0" allowOverlap="1" layoutInCell="1" locked="0" behindDoc="1" simplePos="0" relativeHeight="487656960">
                <wp:simplePos x="0" y="0"/>
                <wp:positionH relativeFrom="page">
                  <wp:posOffset>1262481</wp:posOffset>
                </wp:positionH>
                <wp:positionV relativeFrom="paragraph">
                  <wp:posOffset>138606</wp:posOffset>
                </wp:positionV>
                <wp:extent cx="1829435" cy="9525"/>
                <wp:effectExtent l="0" t="0" r="0" b="0"/>
                <wp:wrapTopAndBottom/>
                <wp:docPr id="151" name="Graphic 151"/>
                <wp:cNvGraphicFramePr>
                  <a:graphicFrameLocks/>
                </wp:cNvGraphicFramePr>
                <a:graphic>
                  <a:graphicData uri="http://schemas.microsoft.com/office/word/2010/wordprocessingShape">
                    <wps:wsp>
                      <wps:cNvPr id="151" name="Graphic 151"/>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0.913877pt;width:144.050pt;height:.72003pt;mso-position-horizontal-relative:page;mso-position-vertical-relative:paragraph;z-index:-15659520;mso-wrap-distance-left:0;mso-wrap-distance-right:0" id="docshape10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184</w:t>
      </w:r>
      <w:r>
        <w:rPr>
          <w:rFonts w:ascii="Calibri"/>
          <w:sz w:val="20"/>
          <w:vertAlign w:val="baseline"/>
        </w:rPr>
        <w:t>Per</w:t>
      </w:r>
      <w:r>
        <w:rPr>
          <w:rFonts w:ascii="Calibri"/>
          <w:spacing w:val="-2"/>
          <w:sz w:val="20"/>
          <w:vertAlign w:val="baseline"/>
        </w:rPr>
        <w:t> </w:t>
      </w:r>
      <w:r>
        <w:rPr>
          <w:rFonts w:ascii="Calibri"/>
          <w:sz w:val="20"/>
          <w:vertAlign w:val="baseline"/>
        </w:rPr>
        <w:t>Onu,</w:t>
      </w:r>
      <w:r>
        <w:rPr>
          <w:rFonts w:ascii="Calibri"/>
          <w:spacing w:val="-5"/>
          <w:sz w:val="20"/>
          <w:vertAlign w:val="baseline"/>
        </w:rPr>
        <w:t> </w:t>
      </w:r>
      <w:r>
        <w:rPr>
          <w:rFonts w:ascii="Calibri"/>
          <w:sz w:val="20"/>
          <w:vertAlign w:val="baseline"/>
        </w:rPr>
        <w:t>J.S.C.</w:t>
      </w:r>
      <w:r>
        <w:rPr>
          <w:rFonts w:ascii="Calibri"/>
          <w:spacing w:val="-2"/>
          <w:sz w:val="20"/>
          <w:vertAlign w:val="baseline"/>
        </w:rPr>
        <w:t> </w:t>
      </w:r>
      <w:r>
        <w:rPr>
          <w:rFonts w:ascii="Calibri"/>
          <w:sz w:val="20"/>
          <w:vertAlign w:val="baseline"/>
        </w:rPr>
        <w:t>at</w:t>
      </w:r>
      <w:r>
        <w:rPr>
          <w:rFonts w:ascii="Calibri"/>
          <w:spacing w:val="-4"/>
          <w:sz w:val="20"/>
          <w:vertAlign w:val="baseline"/>
        </w:rPr>
        <w:t> 124.</w:t>
      </w:r>
    </w:p>
    <w:p>
      <w:pPr>
        <w:spacing w:before="1"/>
        <w:ind w:left="308" w:right="0" w:firstLine="0"/>
        <w:jc w:val="left"/>
        <w:rPr>
          <w:rFonts w:ascii="Calibri"/>
          <w:sz w:val="20"/>
        </w:rPr>
      </w:pPr>
      <w:r>
        <w:rPr>
          <w:rFonts w:ascii="Calibri"/>
          <w:sz w:val="20"/>
          <w:vertAlign w:val="superscript"/>
        </w:rPr>
        <w:t>185</w:t>
      </w:r>
      <w:r>
        <w:rPr>
          <w:rFonts w:ascii="Calibri"/>
          <w:sz w:val="20"/>
          <w:vertAlign w:val="baseline"/>
        </w:rPr>
        <w:t>(1969)</w:t>
      </w:r>
      <w:r>
        <w:rPr>
          <w:rFonts w:ascii="Calibri"/>
          <w:spacing w:val="-3"/>
          <w:sz w:val="20"/>
          <w:vertAlign w:val="baseline"/>
        </w:rPr>
        <w:t> </w:t>
      </w:r>
      <w:r>
        <w:rPr>
          <w:rFonts w:ascii="Calibri"/>
          <w:sz w:val="20"/>
          <w:vertAlign w:val="baseline"/>
        </w:rPr>
        <w:t>All</w:t>
      </w:r>
      <w:r>
        <w:rPr>
          <w:rFonts w:ascii="Calibri"/>
          <w:spacing w:val="-2"/>
          <w:sz w:val="20"/>
          <w:vertAlign w:val="baseline"/>
        </w:rPr>
        <w:t> </w:t>
      </w:r>
      <w:r>
        <w:rPr>
          <w:rFonts w:ascii="Calibri"/>
          <w:sz w:val="20"/>
          <w:vertAlign w:val="baseline"/>
        </w:rPr>
        <w:t>NLR,</w:t>
      </w:r>
      <w:r>
        <w:rPr>
          <w:rFonts w:ascii="Calibri"/>
          <w:spacing w:val="-5"/>
          <w:sz w:val="20"/>
          <w:vertAlign w:val="baseline"/>
        </w:rPr>
        <w:t> </w:t>
      </w:r>
      <w:r>
        <w:rPr>
          <w:rFonts w:ascii="Calibri"/>
          <w:spacing w:val="-4"/>
          <w:sz w:val="20"/>
          <w:vertAlign w:val="baseline"/>
        </w:rPr>
        <w:t>171.</w:t>
      </w:r>
    </w:p>
    <w:p>
      <w:pPr>
        <w:spacing w:before="0"/>
        <w:ind w:left="308" w:right="0" w:firstLine="0"/>
        <w:jc w:val="left"/>
        <w:rPr>
          <w:rFonts w:ascii="Calibri"/>
          <w:sz w:val="20"/>
        </w:rPr>
      </w:pPr>
      <w:r>
        <w:rPr>
          <w:rFonts w:ascii="Calibri"/>
          <w:sz w:val="20"/>
          <w:vertAlign w:val="superscript"/>
        </w:rPr>
        <w:t>186</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180.</w:t>
      </w:r>
    </w:p>
    <w:p>
      <w:pPr>
        <w:spacing w:before="1"/>
        <w:ind w:left="308" w:right="0" w:firstLine="0"/>
        <w:jc w:val="left"/>
        <w:rPr>
          <w:rFonts w:ascii="Calibri"/>
          <w:sz w:val="20"/>
        </w:rPr>
      </w:pPr>
      <w:r>
        <w:rPr>
          <w:rFonts w:ascii="Calibri"/>
          <w:sz w:val="20"/>
          <w:vertAlign w:val="superscript"/>
        </w:rPr>
        <w:t>187</w:t>
      </w:r>
      <w:r>
        <w:rPr>
          <w:rFonts w:ascii="Calibri"/>
          <w:sz w:val="20"/>
          <w:vertAlign w:val="baseline"/>
        </w:rPr>
        <w:t>Davies,</w:t>
      </w:r>
      <w:r>
        <w:rPr>
          <w:rFonts w:ascii="Calibri"/>
          <w:spacing w:val="-9"/>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4"/>
          <w:sz w:val="20"/>
          <w:vertAlign w:val="baseline"/>
        </w:rPr>
        <w:t> </w:t>
      </w:r>
      <w:r>
        <w:rPr>
          <w:rFonts w:ascii="Calibri"/>
          <w:sz w:val="20"/>
          <w:vertAlign w:val="baseline"/>
        </w:rPr>
        <w:t>S.</w:t>
      </w:r>
      <w:r>
        <w:rPr>
          <w:rFonts w:ascii="Calibri"/>
          <w:spacing w:val="2"/>
          <w:sz w:val="20"/>
          <w:vertAlign w:val="baseline"/>
        </w:rPr>
        <w:t> </w:t>
      </w:r>
      <w:r>
        <w:rPr>
          <w:rFonts w:ascii="Calibri"/>
          <w:spacing w:val="-2"/>
          <w:sz w:val="20"/>
          <w:vertAlign w:val="baseline"/>
        </w:rPr>
        <w:t>op.cit.at545.</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186"/>
        <w:jc w:val="both"/>
      </w:pPr>
      <w:r>
        <w:rPr>
          <w:b/>
        </w:rPr>
        <w:t>Ltd</w:t>
      </w:r>
      <w:r>
        <w:rPr/>
        <w:t>.,</w:t>
      </w:r>
      <w:r>
        <w:rPr>
          <w:vertAlign w:val="superscript"/>
        </w:rPr>
        <w:t>188</w:t>
      </w:r>
      <w:r>
        <w:rPr>
          <w:vertAlign w:val="baseline"/>
        </w:rPr>
        <w:t> for instance, where a clause in the articles regarding the admission of new members into the private company conferred on the directors a discretion with regard to the acceptance of transfer of shares, the directors refused to register transfer in a particular case, but agreed</w:t>
      </w:r>
      <w:r>
        <w:rPr>
          <w:spacing w:val="-1"/>
          <w:vertAlign w:val="baseline"/>
        </w:rPr>
        <w:t> </w:t>
      </w:r>
      <w:r>
        <w:rPr>
          <w:vertAlign w:val="baseline"/>
        </w:rPr>
        <w:t>that they</w:t>
      </w:r>
      <w:r>
        <w:rPr>
          <w:spacing w:val="-5"/>
          <w:vertAlign w:val="baseline"/>
        </w:rPr>
        <w:t> </w:t>
      </w:r>
      <w:r>
        <w:rPr>
          <w:vertAlign w:val="baseline"/>
        </w:rPr>
        <w:t>would register a</w:t>
      </w:r>
      <w:r>
        <w:rPr>
          <w:spacing w:val="-1"/>
          <w:vertAlign w:val="baseline"/>
        </w:rPr>
        <w:t> </w:t>
      </w:r>
      <w:r>
        <w:rPr>
          <w:vertAlign w:val="baseline"/>
        </w:rPr>
        <w:t>transfer of</w:t>
      </w:r>
      <w:r>
        <w:rPr>
          <w:spacing w:val="-3"/>
          <w:vertAlign w:val="baseline"/>
        </w:rPr>
        <w:t> </w:t>
      </w:r>
      <w:r>
        <w:rPr>
          <w:vertAlign w:val="baseline"/>
        </w:rPr>
        <w:t>part of</w:t>
      </w:r>
      <w:r>
        <w:rPr>
          <w:spacing w:val="-3"/>
          <w:vertAlign w:val="baseline"/>
        </w:rPr>
        <w:t> </w:t>
      </w:r>
      <w:r>
        <w:rPr>
          <w:vertAlign w:val="baseline"/>
        </w:rPr>
        <w:t>the shareholding, if the transferor agreed to sell the balance to one of the directors at a stated price. The court considered this decision of the directors as insufficient evidence of bad faith and confirmed the directors‘ discretion to exercise their judgment.</w:t>
      </w:r>
    </w:p>
    <w:p>
      <w:pPr>
        <w:pStyle w:val="BodyText"/>
        <w:spacing w:line="480" w:lineRule="auto" w:before="1"/>
        <w:ind w:right="179" w:firstLine="720"/>
        <w:jc w:val="both"/>
      </w:pPr>
      <w:r>
        <w:rPr/>
        <w:t>Thus, proving the directors‘ bad faith is no easy task. The court would normally accept that the directors had acted in good faith, unless satisfied that they had not behaved as honest men of business might be expected to act. However, because of the subjective nature of</w:t>
      </w:r>
      <w:r>
        <w:rPr>
          <w:spacing w:val="-2"/>
        </w:rPr>
        <w:t> </w:t>
      </w:r>
      <w:r>
        <w:rPr/>
        <w:t>the provision, even where a director had not acted as expected of</w:t>
      </w:r>
      <w:r>
        <w:rPr>
          <w:spacing w:val="-2"/>
        </w:rPr>
        <w:t> </w:t>
      </w:r>
      <w:r>
        <w:rPr/>
        <w:t>an honest business person, this would not necessarily be considered a demonstration of a breach of the duty to act in good faith.</w:t>
      </w:r>
      <w:r>
        <w:rPr>
          <w:vertAlign w:val="superscript"/>
        </w:rPr>
        <w:t>189</w:t>
      </w:r>
      <w:r>
        <w:rPr>
          <w:vertAlign w:val="baseline"/>
        </w:rPr>
        <w:t> In </w:t>
      </w:r>
      <w:r>
        <w:rPr>
          <w:b/>
          <w:vertAlign w:val="baseline"/>
        </w:rPr>
        <w:t>Regentcrest Plc. (in liquidation) vs. Cohen</w:t>
      </w:r>
      <w:r>
        <w:rPr>
          <w:vertAlign w:val="baseline"/>
        </w:rPr>
        <w:t>,</w:t>
      </w:r>
      <w:r>
        <w:rPr>
          <w:vertAlign w:val="superscript"/>
        </w:rPr>
        <w:t>190</w:t>
      </w:r>
      <w:r>
        <w:rPr>
          <w:vertAlign w:val="baseline"/>
        </w:rPr>
        <w:t> where the directors‘ decision had caused substantial harm to the company, it was held that this was, at most, merely a strong piece of evidence against their</w:t>
      </w:r>
      <w:r>
        <w:rPr>
          <w:spacing w:val="40"/>
          <w:vertAlign w:val="baseline"/>
        </w:rPr>
        <w:t> </w:t>
      </w:r>
      <w:r>
        <w:rPr>
          <w:vertAlign w:val="baseline"/>
        </w:rPr>
        <w:t>contention that they had acted in good faith, rather than absolute proof</w:t>
      </w:r>
      <w:r>
        <w:rPr>
          <w:spacing w:val="-3"/>
          <w:vertAlign w:val="baseline"/>
        </w:rPr>
        <w:t> </w:t>
      </w:r>
      <w:r>
        <w:rPr>
          <w:vertAlign w:val="baseline"/>
        </w:rPr>
        <w:t>that they</w:t>
      </w:r>
      <w:r>
        <w:rPr>
          <w:spacing w:val="-6"/>
          <w:vertAlign w:val="baseline"/>
        </w:rPr>
        <w:t> </w:t>
      </w:r>
      <w:r>
        <w:rPr>
          <w:vertAlign w:val="baseline"/>
        </w:rPr>
        <w:t>had not.</w:t>
      </w:r>
    </w:p>
    <w:p>
      <w:pPr>
        <w:pStyle w:val="BodyText"/>
        <w:spacing w:line="480" w:lineRule="auto" w:before="2"/>
        <w:ind w:right="185" w:firstLine="720"/>
        <w:jc w:val="both"/>
      </w:pPr>
      <w:r>
        <w:rPr/>
        <w:t>As trustees are required to act bona fide in the best interests of their</w:t>
      </w:r>
      <w:r>
        <w:rPr>
          <w:spacing w:val="80"/>
        </w:rPr>
        <w:t> </w:t>
      </w:r>
      <w:r>
        <w:rPr/>
        <w:t>beneficiaries, so are directors required to act in the best interests of the company. The question is: what in fact, are ―the best interests of the company‖? The decisions above suggest that there is a link between the director‘s good faith judgment and the</w:t>
      </w:r>
      <w:r>
        <w:rPr>
          <w:spacing w:val="40"/>
        </w:rPr>
        <w:t> </w:t>
      </w:r>
      <w:r>
        <w:rPr/>
        <w:t>company‘s best interests because, ultimately, he decides what they are. This essentially endows the director with immense powers. While s. 279(3) gives the director pointers that</w:t>
      </w:r>
      <w:r>
        <w:rPr>
          <w:spacing w:val="8"/>
        </w:rPr>
        <w:t> </w:t>
      </w:r>
      <w:r>
        <w:rPr/>
        <w:t>the</w:t>
      </w:r>
      <w:r>
        <w:rPr>
          <w:spacing w:val="8"/>
        </w:rPr>
        <w:t> </w:t>
      </w:r>
      <w:r>
        <w:rPr/>
        <w:t>best</w:t>
      </w:r>
      <w:r>
        <w:rPr>
          <w:spacing w:val="15"/>
        </w:rPr>
        <w:t> </w:t>
      </w:r>
      <w:r>
        <w:rPr/>
        <w:t>interests</w:t>
      </w:r>
      <w:r>
        <w:rPr>
          <w:spacing w:val="7"/>
        </w:rPr>
        <w:t> </w:t>
      </w:r>
      <w:r>
        <w:rPr/>
        <w:t>of</w:t>
      </w:r>
      <w:r>
        <w:rPr>
          <w:spacing w:val="2"/>
        </w:rPr>
        <w:t> </w:t>
      </w:r>
      <w:r>
        <w:rPr/>
        <w:t>the</w:t>
      </w:r>
      <w:r>
        <w:rPr>
          <w:spacing w:val="8"/>
        </w:rPr>
        <w:t> </w:t>
      </w:r>
      <w:r>
        <w:rPr/>
        <w:t>company</w:t>
      </w:r>
      <w:r>
        <w:rPr>
          <w:spacing w:val="5"/>
        </w:rPr>
        <w:t> </w:t>
      </w:r>
      <w:r>
        <w:rPr/>
        <w:t>would</w:t>
      </w:r>
      <w:r>
        <w:rPr>
          <w:spacing w:val="9"/>
        </w:rPr>
        <w:t> </w:t>
      </w:r>
      <w:r>
        <w:rPr/>
        <w:t>be</w:t>
      </w:r>
      <w:r>
        <w:rPr>
          <w:spacing w:val="9"/>
        </w:rPr>
        <w:t> </w:t>
      </w:r>
      <w:r>
        <w:rPr/>
        <w:t>towards</w:t>
      </w:r>
      <w:r>
        <w:rPr>
          <w:spacing w:val="7"/>
        </w:rPr>
        <w:t> </w:t>
      </w:r>
      <w:r>
        <w:rPr/>
        <w:t>preserving</w:t>
      </w:r>
      <w:r>
        <w:rPr>
          <w:spacing w:val="15"/>
        </w:rPr>
        <w:t> </w:t>
      </w:r>
      <w:r>
        <w:rPr/>
        <w:t>its</w:t>
      </w:r>
      <w:r>
        <w:rPr>
          <w:spacing w:val="12"/>
        </w:rPr>
        <w:t> </w:t>
      </w:r>
      <w:r>
        <w:rPr/>
        <w:t>assets,</w:t>
      </w:r>
      <w:r>
        <w:rPr>
          <w:spacing w:val="12"/>
        </w:rPr>
        <w:t> </w:t>
      </w:r>
      <w:r>
        <w:rPr>
          <w:spacing w:val="-2"/>
        </w:rPr>
        <w:t>furthering</w:t>
      </w:r>
    </w:p>
    <w:p>
      <w:pPr>
        <w:pStyle w:val="BodyText"/>
        <w:spacing w:before="2"/>
        <w:jc w:val="both"/>
      </w:pPr>
      <w:r>
        <w:rPr/>
        <w:t>its</w:t>
      </w:r>
      <w:r>
        <w:rPr>
          <w:spacing w:val="-1"/>
        </w:rPr>
        <w:t> </w:t>
      </w:r>
      <w:r>
        <w:rPr/>
        <w:t>business</w:t>
      </w:r>
      <w:r>
        <w:rPr>
          <w:spacing w:val="-3"/>
        </w:rPr>
        <w:t> </w:t>
      </w:r>
      <w:r>
        <w:rPr/>
        <w:t>and promoting</w:t>
      </w:r>
      <w:r>
        <w:rPr>
          <w:spacing w:val="-1"/>
        </w:rPr>
        <w:t> </w:t>
      </w:r>
      <w:r>
        <w:rPr/>
        <w:t>the</w:t>
      </w:r>
      <w:r>
        <w:rPr>
          <w:spacing w:val="-2"/>
        </w:rPr>
        <w:t> </w:t>
      </w:r>
      <w:r>
        <w:rPr/>
        <w:t>purposes</w:t>
      </w:r>
      <w:r>
        <w:rPr>
          <w:spacing w:val="1"/>
        </w:rPr>
        <w:t> </w:t>
      </w:r>
      <w:r>
        <w:rPr/>
        <w:t>for</w:t>
      </w:r>
      <w:r>
        <w:rPr>
          <w:spacing w:val="1"/>
        </w:rPr>
        <w:t> </w:t>
      </w:r>
      <w:r>
        <w:rPr/>
        <w:t>which</w:t>
      </w:r>
      <w:r>
        <w:rPr>
          <w:spacing w:val="-1"/>
        </w:rPr>
        <w:t> </w:t>
      </w:r>
      <w:r>
        <w:rPr/>
        <w:t>it</w:t>
      </w:r>
      <w:r>
        <w:rPr>
          <w:spacing w:val="4"/>
        </w:rPr>
        <w:t> </w:t>
      </w:r>
      <w:r>
        <w:rPr/>
        <w:t>was</w:t>
      </w:r>
      <w:r>
        <w:rPr>
          <w:spacing w:val="1"/>
        </w:rPr>
        <w:t> </w:t>
      </w:r>
      <w:r>
        <w:rPr/>
        <w:t>formed,</w:t>
      </w:r>
      <w:r>
        <w:rPr>
          <w:spacing w:val="2"/>
        </w:rPr>
        <w:t> </w:t>
      </w:r>
      <w:r>
        <w:rPr/>
        <w:t>s.</w:t>
      </w:r>
      <w:r>
        <w:rPr>
          <w:spacing w:val="2"/>
        </w:rPr>
        <w:t> </w:t>
      </w:r>
      <w:r>
        <w:rPr/>
        <w:t>279(5) further</w:t>
      </w:r>
      <w:r>
        <w:rPr>
          <w:spacing w:val="1"/>
        </w:rPr>
        <w:t> </w:t>
      </w:r>
      <w:r>
        <w:rPr>
          <w:spacing w:val="-2"/>
        </w:rPr>
        <w:t>warns</w:t>
      </w:r>
    </w:p>
    <w:p>
      <w:pPr>
        <w:pStyle w:val="BodyText"/>
        <w:spacing w:before="3"/>
        <w:ind w:left="0"/>
        <w:rPr>
          <w:sz w:val="14"/>
        </w:rPr>
      </w:pPr>
      <w:r>
        <w:rPr/>
        <mc:AlternateContent>
          <mc:Choice Requires="wps">
            <w:drawing>
              <wp:anchor distT="0" distB="0" distL="0" distR="0" allowOverlap="1" layoutInCell="1" locked="0" behindDoc="1" simplePos="0" relativeHeight="487657472">
                <wp:simplePos x="0" y="0"/>
                <wp:positionH relativeFrom="page">
                  <wp:posOffset>1262481</wp:posOffset>
                </wp:positionH>
                <wp:positionV relativeFrom="paragraph">
                  <wp:posOffset>119444</wp:posOffset>
                </wp:positionV>
                <wp:extent cx="1829435" cy="9525"/>
                <wp:effectExtent l="0" t="0" r="0" b="0"/>
                <wp:wrapTopAndBottom/>
                <wp:docPr id="152" name="Graphic 152"/>
                <wp:cNvGraphicFramePr>
                  <a:graphicFrameLocks/>
                </wp:cNvGraphicFramePr>
                <a:graphic>
                  <a:graphicData uri="http://schemas.microsoft.com/office/word/2010/wordprocessingShape">
                    <wps:wsp>
                      <wps:cNvPr id="152" name="Graphic 15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5108pt;width:144.050pt;height:.71997pt;mso-position-horizontal-relative:page;mso-position-vertical-relative:paragraph;z-index:-15659008;mso-wrap-distance-left:0;mso-wrap-distance-right:0" id="docshape10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pacing w:val="-2"/>
          <w:sz w:val="20"/>
          <w:vertAlign w:val="superscript"/>
        </w:rPr>
        <w:t>188</w:t>
      </w:r>
      <w:r>
        <w:rPr>
          <w:rFonts w:ascii="Calibri"/>
          <w:spacing w:val="-2"/>
          <w:sz w:val="20"/>
          <w:vertAlign w:val="baseline"/>
        </w:rPr>
        <w:t>Supra.</w:t>
      </w:r>
    </w:p>
    <w:p>
      <w:pPr>
        <w:spacing w:before="1"/>
        <w:ind w:left="308" w:right="0" w:firstLine="0"/>
        <w:jc w:val="left"/>
        <w:rPr>
          <w:rFonts w:ascii="Calibri"/>
          <w:sz w:val="20"/>
        </w:rPr>
      </w:pPr>
      <w:r>
        <w:rPr>
          <w:rFonts w:ascii="Calibri"/>
          <w:sz w:val="20"/>
          <w:vertAlign w:val="superscript"/>
        </w:rPr>
        <w:t>189</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 op.cit.at</w:t>
      </w:r>
      <w:r>
        <w:rPr>
          <w:rFonts w:ascii="Calibri"/>
          <w:spacing w:val="-7"/>
          <w:sz w:val="20"/>
          <w:vertAlign w:val="baseline"/>
        </w:rPr>
        <w:t> </w:t>
      </w:r>
      <w:r>
        <w:rPr>
          <w:rFonts w:ascii="Calibri"/>
          <w:spacing w:val="-4"/>
          <w:sz w:val="20"/>
          <w:vertAlign w:val="baseline"/>
        </w:rPr>
        <w:t>545.</w:t>
      </w:r>
    </w:p>
    <w:p>
      <w:pPr>
        <w:spacing w:before="0"/>
        <w:ind w:left="308" w:right="0" w:firstLine="0"/>
        <w:jc w:val="left"/>
        <w:rPr>
          <w:rFonts w:ascii="Calibri"/>
          <w:sz w:val="20"/>
        </w:rPr>
      </w:pPr>
      <w:r>
        <w:rPr>
          <w:rFonts w:ascii="Calibri"/>
          <w:sz w:val="20"/>
          <w:vertAlign w:val="superscript"/>
        </w:rPr>
        <w:t>190</w:t>
      </w:r>
      <w:r>
        <w:rPr>
          <w:rFonts w:ascii="Calibri"/>
          <w:sz w:val="20"/>
          <w:vertAlign w:val="baseline"/>
        </w:rPr>
        <w:t>(2001)</w:t>
      </w:r>
      <w:r>
        <w:rPr>
          <w:rFonts w:ascii="Calibri"/>
          <w:spacing w:val="-2"/>
          <w:sz w:val="20"/>
          <w:vertAlign w:val="baseline"/>
        </w:rPr>
        <w:t> </w:t>
      </w:r>
      <w:r>
        <w:rPr>
          <w:rFonts w:ascii="Calibri"/>
          <w:sz w:val="20"/>
          <w:vertAlign w:val="baseline"/>
        </w:rPr>
        <w:t>2</w:t>
      </w:r>
      <w:r>
        <w:rPr>
          <w:rFonts w:ascii="Calibri"/>
          <w:spacing w:val="-7"/>
          <w:sz w:val="20"/>
          <w:vertAlign w:val="baseline"/>
        </w:rPr>
        <w:t> </w:t>
      </w:r>
      <w:r>
        <w:rPr>
          <w:rFonts w:ascii="Calibri"/>
          <w:sz w:val="20"/>
          <w:vertAlign w:val="baseline"/>
        </w:rPr>
        <w:t>B.C.L.</w:t>
      </w:r>
      <w:r>
        <w:rPr>
          <w:rFonts w:ascii="Calibri"/>
          <w:spacing w:val="-5"/>
          <w:sz w:val="20"/>
          <w:vertAlign w:val="baseline"/>
        </w:rPr>
        <w:t> </w:t>
      </w:r>
      <w:r>
        <w:rPr>
          <w:rFonts w:ascii="Calibri"/>
          <w:sz w:val="20"/>
          <w:vertAlign w:val="baseline"/>
        </w:rPr>
        <w:t>80</w:t>
      </w:r>
      <w:r>
        <w:rPr>
          <w:rFonts w:ascii="Calibri"/>
          <w:spacing w:val="-3"/>
          <w:sz w:val="20"/>
          <w:vertAlign w:val="baseline"/>
        </w:rPr>
        <w:t> </w:t>
      </w:r>
      <w:r>
        <w:rPr>
          <w:rFonts w:ascii="Calibri"/>
          <w:sz w:val="20"/>
          <w:vertAlign w:val="baseline"/>
        </w:rPr>
        <w:t>Ch.</w:t>
      </w:r>
      <w:r>
        <w:rPr>
          <w:rFonts w:ascii="Calibri"/>
          <w:spacing w:val="-4"/>
          <w:sz w:val="20"/>
          <w:vertAlign w:val="baseline"/>
        </w:rPr>
        <w:t> </w:t>
      </w:r>
      <w:r>
        <w:rPr>
          <w:rFonts w:ascii="Calibri"/>
          <w:spacing w:val="-5"/>
          <w:sz w:val="20"/>
          <w:vertAlign w:val="baseline"/>
        </w:rPr>
        <w:t>D.</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183"/>
        <w:jc w:val="both"/>
      </w:pPr>
      <w:r>
        <w:rPr/>
        <w:t>him against not exercising his power for the purpose conferred but for a collateral purpose. Collateral purpose would most likely be either to feather the director‘s own nest, or to preserve his control of the company in his own interests,</w:t>
      </w:r>
      <w:r>
        <w:rPr>
          <w:vertAlign w:val="superscript"/>
        </w:rPr>
        <w:t>191</w:t>
      </w:r>
      <w:r>
        <w:rPr>
          <w:vertAlign w:val="baseline"/>
        </w:rPr>
        <w:t> thereby acting </w:t>
      </w:r>
      <w:r>
        <w:rPr>
          <w:i/>
          <w:vertAlign w:val="baseline"/>
        </w:rPr>
        <w:t>malafide </w:t>
      </w:r>
      <w:r>
        <w:rPr>
          <w:vertAlign w:val="baseline"/>
        </w:rPr>
        <w:t>and causing a conflict between his duties to the company and his personal </w:t>
      </w:r>
      <w:r>
        <w:rPr>
          <w:spacing w:val="-2"/>
          <w:vertAlign w:val="baseline"/>
        </w:rPr>
        <w:t>interests.</w:t>
      </w:r>
    </w:p>
    <w:p>
      <w:pPr>
        <w:pStyle w:val="BodyText"/>
        <w:spacing w:line="480" w:lineRule="auto" w:before="1"/>
        <w:ind w:right="182" w:firstLine="720"/>
        <w:jc w:val="both"/>
      </w:pPr>
      <w:r>
        <w:rPr/>
        <w:t>It is more often in the illegitimate use of legitimate powers, that directors are found wanting on</w:t>
      </w:r>
      <w:r>
        <w:rPr>
          <w:spacing w:val="-5"/>
        </w:rPr>
        <w:t> </w:t>
      </w:r>
      <w:r>
        <w:rPr/>
        <w:t>this</w:t>
      </w:r>
      <w:r>
        <w:rPr>
          <w:spacing w:val="-2"/>
        </w:rPr>
        <w:t> </w:t>
      </w:r>
      <w:r>
        <w:rPr/>
        <w:t>point. Prima facie, powers</w:t>
      </w:r>
      <w:r>
        <w:rPr>
          <w:spacing w:val="-2"/>
        </w:rPr>
        <w:t> </w:t>
      </w:r>
      <w:r>
        <w:rPr/>
        <w:t>conferred on</w:t>
      </w:r>
      <w:r>
        <w:rPr>
          <w:spacing w:val="-5"/>
        </w:rPr>
        <w:t> </w:t>
      </w:r>
      <w:r>
        <w:rPr/>
        <w:t>directors</w:t>
      </w:r>
      <w:r>
        <w:rPr>
          <w:spacing w:val="-2"/>
        </w:rPr>
        <w:t> </w:t>
      </w:r>
      <w:r>
        <w:rPr/>
        <w:t>by</w:t>
      </w:r>
      <w:r>
        <w:rPr>
          <w:spacing w:val="-10"/>
        </w:rPr>
        <w:t> </w:t>
      </w:r>
      <w:r>
        <w:rPr/>
        <w:t>the</w:t>
      </w:r>
      <w:r>
        <w:rPr>
          <w:spacing w:val="-1"/>
        </w:rPr>
        <w:t> </w:t>
      </w:r>
      <w:r>
        <w:rPr/>
        <w:t>articles</w:t>
      </w:r>
      <w:r>
        <w:rPr>
          <w:spacing w:val="-2"/>
        </w:rPr>
        <w:t> </w:t>
      </w:r>
      <w:r>
        <w:rPr/>
        <w:t>of association of companies must be used bona fide for the benefit of the company as a whole, otherwise, improper use may</w:t>
      </w:r>
      <w:r>
        <w:rPr>
          <w:spacing w:val="-7"/>
        </w:rPr>
        <w:t> </w:t>
      </w:r>
      <w:r>
        <w:rPr/>
        <w:t>even</w:t>
      </w:r>
      <w:r>
        <w:rPr>
          <w:spacing w:val="-2"/>
        </w:rPr>
        <w:t> </w:t>
      </w:r>
      <w:r>
        <w:rPr/>
        <w:t>amount to fraud.</w:t>
      </w:r>
      <w:r>
        <w:rPr>
          <w:vertAlign w:val="superscript"/>
        </w:rPr>
        <w:t>192</w:t>
      </w:r>
      <w:r>
        <w:rPr>
          <w:vertAlign w:val="baseline"/>
        </w:rPr>
        <w:t> It has been</w:t>
      </w:r>
      <w:r>
        <w:rPr>
          <w:spacing w:val="-2"/>
          <w:vertAlign w:val="baseline"/>
        </w:rPr>
        <w:t> </w:t>
      </w:r>
      <w:r>
        <w:rPr>
          <w:vertAlign w:val="baseline"/>
        </w:rPr>
        <w:t>suggested that, in any transaction, the proper test is ―whether an intelligent and honest man in the position of the director concerned could, in the circumstances have reasonably believed that the transaction was for the benefit of the company.‖</w:t>
      </w:r>
      <w:r>
        <w:rPr>
          <w:vertAlign w:val="superscript"/>
        </w:rPr>
        <w:t>193</w:t>
      </w:r>
      <w:r>
        <w:rPr>
          <w:vertAlign w:val="baseline"/>
        </w:rPr>
        <w:t> In </w:t>
      </w:r>
      <w:r>
        <w:rPr>
          <w:b/>
          <w:vertAlign w:val="baseline"/>
        </w:rPr>
        <w:t>Rolled Steel Products (Holdings) Ltd vs. British Steel Corporation</w:t>
      </w:r>
      <w:r>
        <w:rPr>
          <w:vertAlign w:val="baseline"/>
        </w:rPr>
        <w:t>,</w:t>
      </w:r>
      <w:r>
        <w:rPr>
          <w:vertAlign w:val="superscript"/>
        </w:rPr>
        <w:t>194</w:t>
      </w:r>
      <w:r>
        <w:rPr>
          <w:vertAlign w:val="baseline"/>
        </w:rPr>
        <w:t> a Mr Shenkman was a majority shareholder and one of two directors in Rolled Steel and also held all the issued share capital in Scottish Steel of which he was also a director. The latter company owed a lot of money to BSC, which loan Shenkaman personally guaranteed. When BSC wanted more security, Shenkman caused Rolled Steel to enter into a guarantee of the debt, without any benefit whatsoever to Rolled Steel.</w:t>
      </w:r>
    </w:p>
    <w:p>
      <w:pPr>
        <w:pStyle w:val="BodyText"/>
        <w:spacing w:line="480" w:lineRule="auto" w:before="2"/>
        <w:ind w:right="185" w:firstLine="720"/>
        <w:jc w:val="both"/>
      </w:pPr>
      <w:r>
        <w:rPr/>
        <w:t>The Court of Appeal decided that although the transaction was not </w:t>
      </w:r>
      <w:r>
        <w:rPr>
          <w:i/>
        </w:rPr>
        <w:t>ultravires </w:t>
      </w:r>
      <w:r>
        <w:rPr/>
        <w:t>Rolled Steel since its objects clause granted express powers for the company to enter</w:t>
      </w:r>
      <w:r>
        <w:rPr>
          <w:spacing w:val="40"/>
        </w:rPr>
        <w:t> </w:t>
      </w:r>
      <w:r>
        <w:rPr/>
        <w:t>into guarantees, still Mr Shenkman and the other director—his father—had exercised their</w:t>
      </w:r>
      <w:r>
        <w:rPr>
          <w:spacing w:val="35"/>
        </w:rPr>
        <w:t> </w:t>
      </w:r>
      <w:r>
        <w:rPr/>
        <w:t>powers</w:t>
      </w:r>
      <w:r>
        <w:rPr>
          <w:spacing w:val="26"/>
        </w:rPr>
        <w:t> </w:t>
      </w:r>
      <w:r>
        <w:rPr/>
        <w:t>of</w:t>
      </w:r>
      <w:r>
        <w:rPr>
          <w:spacing w:val="25"/>
        </w:rPr>
        <w:t> </w:t>
      </w:r>
      <w:r>
        <w:rPr/>
        <w:t>giving</w:t>
      </w:r>
      <w:r>
        <w:rPr>
          <w:spacing w:val="33"/>
        </w:rPr>
        <w:t> </w:t>
      </w:r>
      <w:r>
        <w:rPr/>
        <w:t>the</w:t>
      </w:r>
      <w:r>
        <w:rPr>
          <w:spacing w:val="32"/>
        </w:rPr>
        <w:t> </w:t>
      </w:r>
      <w:r>
        <w:rPr/>
        <w:t>guarantee</w:t>
      </w:r>
      <w:r>
        <w:rPr>
          <w:spacing w:val="32"/>
        </w:rPr>
        <w:t> </w:t>
      </w:r>
      <w:r>
        <w:rPr/>
        <w:t>for</w:t>
      </w:r>
      <w:r>
        <w:rPr>
          <w:spacing w:val="35"/>
        </w:rPr>
        <w:t> </w:t>
      </w:r>
      <w:r>
        <w:rPr/>
        <w:t>an</w:t>
      </w:r>
      <w:r>
        <w:rPr>
          <w:spacing w:val="33"/>
        </w:rPr>
        <w:t> </w:t>
      </w:r>
      <w:r>
        <w:rPr/>
        <w:t>improper</w:t>
      </w:r>
      <w:r>
        <w:rPr>
          <w:spacing w:val="30"/>
        </w:rPr>
        <w:t> </w:t>
      </w:r>
      <w:r>
        <w:rPr/>
        <w:t>purpose,</w:t>
      </w:r>
      <w:r>
        <w:rPr>
          <w:spacing w:val="35"/>
        </w:rPr>
        <w:t> </w:t>
      </w:r>
      <w:r>
        <w:rPr/>
        <w:t>knowing</w:t>
      </w:r>
      <w:r>
        <w:rPr>
          <w:spacing w:val="38"/>
        </w:rPr>
        <w:t> </w:t>
      </w:r>
      <w:r>
        <w:rPr/>
        <w:t>full</w:t>
      </w:r>
      <w:r>
        <w:rPr>
          <w:spacing w:val="29"/>
        </w:rPr>
        <w:t> </w:t>
      </w:r>
      <w:r>
        <w:rPr/>
        <w:t>well</w:t>
      </w:r>
      <w:r>
        <w:rPr>
          <w:spacing w:val="25"/>
        </w:rPr>
        <w:t> </w:t>
      </w:r>
      <w:r>
        <w:rPr/>
        <w:t>that</w:t>
      </w:r>
    </w:p>
    <w:p>
      <w:pPr>
        <w:pStyle w:val="BodyText"/>
        <w:ind w:left="0"/>
        <w:rPr>
          <w:sz w:val="20"/>
        </w:rPr>
      </w:pPr>
    </w:p>
    <w:p>
      <w:pPr>
        <w:pStyle w:val="BodyText"/>
        <w:spacing w:before="43"/>
        <w:ind w:left="0"/>
        <w:rPr>
          <w:sz w:val="20"/>
        </w:rPr>
      </w:pPr>
      <w:r>
        <w:rPr/>
        <mc:AlternateContent>
          <mc:Choice Requires="wps">
            <w:drawing>
              <wp:anchor distT="0" distB="0" distL="0" distR="0" allowOverlap="1" layoutInCell="1" locked="0" behindDoc="1" simplePos="0" relativeHeight="487657984">
                <wp:simplePos x="0" y="0"/>
                <wp:positionH relativeFrom="page">
                  <wp:posOffset>1262481</wp:posOffset>
                </wp:positionH>
                <wp:positionV relativeFrom="paragraph">
                  <wp:posOffset>189134</wp:posOffset>
                </wp:positionV>
                <wp:extent cx="1829435" cy="9525"/>
                <wp:effectExtent l="0" t="0" r="0" b="0"/>
                <wp:wrapTopAndBottom/>
                <wp:docPr id="153" name="Graphic 153"/>
                <wp:cNvGraphicFramePr>
                  <a:graphicFrameLocks/>
                </wp:cNvGraphicFramePr>
                <a:graphic>
                  <a:graphicData uri="http://schemas.microsoft.com/office/word/2010/wordprocessingShape">
                    <wps:wsp>
                      <wps:cNvPr id="153" name="Graphic 153"/>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509pt;width:144.050pt;height:.72003pt;mso-position-horizontal-relative:page;mso-position-vertical-relative:paragraph;z-index:-15658496;mso-wrap-distance-left:0;mso-wrap-distance-right:0" id="docshape108"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191</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 op.cit.at</w:t>
      </w:r>
      <w:r>
        <w:rPr>
          <w:rFonts w:ascii="Calibri"/>
          <w:spacing w:val="-7"/>
          <w:sz w:val="20"/>
          <w:vertAlign w:val="baseline"/>
        </w:rPr>
        <w:t> </w:t>
      </w:r>
      <w:r>
        <w:rPr>
          <w:rFonts w:ascii="Calibri"/>
          <w:spacing w:val="-4"/>
          <w:sz w:val="20"/>
          <w:vertAlign w:val="baseline"/>
        </w:rPr>
        <w:t>528.</w:t>
      </w:r>
    </w:p>
    <w:p>
      <w:pPr>
        <w:spacing w:before="0"/>
        <w:ind w:left="308" w:right="0" w:firstLine="0"/>
        <w:jc w:val="left"/>
        <w:rPr>
          <w:rFonts w:ascii="Calibri"/>
          <w:sz w:val="20"/>
        </w:rPr>
      </w:pPr>
      <w:r>
        <w:rPr>
          <w:rFonts w:ascii="Calibri"/>
          <w:sz w:val="20"/>
          <w:vertAlign w:val="superscript"/>
        </w:rPr>
        <w:t>192</w:t>
      </w:r>
      <w:r>
        <w:rPr>
          <w:rFonts w:ascii="Calibri"/>
          <w:sz w:val="20"/>
          <w:vertAlign w:val="baseline"/>
        </w:rPr>
        <w:t>See </w:t>
      </w:r>
      <w:r>
        <w:rPr>
          <w:rFonts w:ascii="Calibri"/>
          <w:i/>
          <w:sz w:val="20"/>
          <w:vertAlign w:val="baseline"/>
        </w:rPr>
        <w:t>Ngurli Ltd. vs. McCann </w:t>
      </w:r>
      <w:r>
        <w:rPr>
          <w:rFonts w:ascii="Calibri"/>
          <w:sz w:val="20"/>
          <w:vertAlign w:val="baseline"/>
        </w:rPr>
        <w:t>(1953) 90 CLR 425 at 438, where it was decided that it was a fraud for the controlling director to abuse the power to issue shares conferred on him by the articles.</w:t>
      </w:r>
    </w:p>
    <w:p>
      <w:pPr>
        <w:spacing w:before="2"/>
        <w:ind w:left="308" w:right="0" w:firstLine="0"/>
        <w:jc w:val="left"/>
        <w:rPr>
          <w:rFonts w:ascii="Calibri"/>
          <w:sz w:val="20"/>
        </w:rPr>
      </w:pPr>
      <w:r>
        <w:rPr>
          <w:rFonts w:ascii="Calibri"/>
          <w:sz w:val="20"/>
          <w:vertAlign w:val="superscript"/>
        </w:rPr>
        <w:t>193</w:t>
      </w:r>
      <w:r>
        <w:rPr>
          <w:rFonts w:ascii="Calibri"/>
          <w:i/>
          <w:sz w:val="20"/>
          <w:vertAlign w:val="baseline"/>
        </w:rPr>
        <w:t>Charterbridge</w:t>
      </w:r>
      <w:r>
        <w:rPr>
          <w:rFonts w:ascii="Calibri"/>
          <w:i/>
          <w:spacing w:val="-9"/>
          <w:sz w:val="20"/>
          <w:vertAlign w:val="baseline"/>
        </w:rPr>
        <w:t> </w:t>
      </w:r>
      <w:r>
        <w:rPr>
          <w:rFonts w:ascii="Calibri"/>
          <w:i/>
          <w:sz w:val="20"/>
          <w:vertAlign w:val="baseline"/>
        </w:rPr>
        <w:t>Corporation</w:t>
      </w:r>
      <w:r>
        <w:rPr>
          <w:rFonts w:ascii="Calibri"/>
          <w:i/>
          <w:spacing w:val="-6"/>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Lloyds</w:t>
      </w:r>
      <w:r>
        <w:rPr>
          <w:rFonts w:ascii="Calibri"/>
          <w:i/>
          <w:spacing w:val="-10"/>
          <w:sz w:val="20"/>
          <w:vertAlign w:val="baseline"/>
        </w:rPr>
        <w:t> </w:t>
      </w:r>
      <w:r>
        <w:rPr>
          <w:rFonts w:ascii="Calibri"/>
          <w:i/>
          <w:sz w:val="20"/>
          <w:vertAlign w:val="baseline"/>
        </w:rPr>
        <w:t>Bank</w:t>
      </w:r>
      <w:r>
        <w:rPr>
          <w:rFonts w:ascii="Calibri"/>
          <w:i/>
          <w:spacing w:val="-7"/>
          <w:sz w:val="20"/>
          <w:vertAlign w:val="baseline"/>
        </w:rPr>
        <w:t> </w:t>
      </w:r>
      <w:r>
        <w:rPr>
          <w:rFonts w:ascii="Calibri"/>
          <w:sz w:val="20"/>
          <w:vertAlign w:val="baseline"/>
        </w:rPr>
        <w:t>(1970)</w:t>
      </w:r>
      <w:r>
        <w:rPr>
          <w:rFonts w:ascii="Calibri"/>
          <w:spacing w:val="-3"/>
          <w:sz w:val="20"/>
          <w:vertAlign w:val="baseline"/>
        </w:rPr>
        <w:t> </w:t>
      </w:r>
      <w:r>
        <w:rPr>
          <w:rFonts w:ascii="Calibri"/>
          <w:sz w:val="20"/>
          <w:vertAlign w:val="baseline"/>
        </w:rPr>
        <w:t>Ch</w:t>
      </w:r>
      <w:r>
        <w:rPr>
          <w:rFonts w:ascii="Calibri"/>
          <w:spacing w:val="-8"/>
          <w:sz w:val="20"/>
          <w:vertAlign w:val="baseline"/>
        </w:rPr>
        <w:t> </w:t>
      </w:r>
      <w:r>
        <w:rPr>
          <w:rFonts w:ascii="Calibri"/>
          <w:spacing w:val="-5"/>
          <w:sz w:val="20"/>
          <w:vertAlign w:val="baseline"/>
        </w:rPr>
        <w:t>62.</w:t>
      </w:r>
    </w:p>
    <w:p>
      <w:pPr>
        <w:spacing w:before="0"/>
        <w:ind w:left="308" w:right="0" w:firstLine="0"/>
        <w:jc w:val="left"/>
        <w:rPr>
          <w:rFonts w:ascii="Calibri"/>
          <w:sz w:val="20"/>
        </w:rPr>
      </w:pPr>
      <w:r>
        <w:rPr>
          <w:rFonts w:ascii="Calibri"/>
          <w:sz w:val="20"/>
          <w:vertAlign w:val="superscript"/>
        </w:rPr>
        <w:t>194</w:t>
      </w:r>
      <w:r>
        <w:rPr>
          <w:rFonts w:ascii="Calibri"/>
          <w:sz w:val="20"/>
          <w:vertAlign w:val="baseline"/>
        </w:rPr>
        <w:t>(1985)</w:t>
      </w:r>
      <w:r>
        <w:rPr>
          <w:rFonts w:ascii="Calibri"/>
          <w:spacing w:val="-2"/>
          <w:sz w:val="20"/>
          <w:vertAlign w:val="baseline"/>
        </w:rPr>
        <w:t> </w:t>
      </w:r>
      <w:r>
        <w:rPr>
          <w:rFonts w:ascii="Calibri"/>
          <w:sz w:val="20"/>
          <w:vertAlign w:val="baseline"/>
        </w:rPr>
        <w:t>2</w:t>
      </w:r>
      <w:r>
        <w:rPr>
          <w:rFonts w:ascii="Calibri"/>
          <w:spacing w:val="-3"/>
          <w:sz w:val="20"/>
          <w:vertAlign w:val="baseline"/>
        </w:rPr>
        <w:t> </w:t>
      </w:r>
      <w:r>
        <w:rPr>
          <w:rFonts w:ascii="Calibri"/>
          <w:sz w:val="20"/>
          <w:vertAlign w:val="baseline"/>
        </w:rPr>
        <w:t>WLR</w:t>
      </w:r>
      <w:r>
        <w:rPr>
          <w:rFonts w:ascii="Calibri"/>
          <w:spacing w:val="-5"/>
          <w:sz w:val="20"/>
          <w:vertAlign w:val="baseline"/>
        </w:rPr>
        <w:t> </w:t>
      </w:r>
      <w:r>
        <w:rPr>
          <w:rFonts w:ascii="Calibri"/>
          <w:spacing w:val="-4"/>
          <w:sz w:val="20"/>
          <w:vertAlign w:val="baseline"/>
        </w:rPr>
        <w:t>908.</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00"/>
        <w:jc w:val="both"/>
      </w:pPr>
      <w:r>
        <w:rPr/>
        <w:t>there was no benefit to Rolled Steel in the guarantee. Accordingly, the guarantee could be avoided.</w:t>
      </w:r>
    </w:p>
    <w:p>
      <w:pPr>
        <w:pStyle w:val="BodyText"/>
        <w:spacing w:line="480" w:lineRule="auto"/>
        <w:ind w:right="185" w:firstLine="720"/>
        <w:jc w:val="both"/>
      </w:pPr>
      <w:r>
        <w:rPr/>
        <w:t>In </w:t>
      </w:r>
      <w:r>
        <w:rPr>
          <w:b/>
        </w:rPr>
        <w:t>Re W &amp; M Roith Ltd.</w:t>
      </w:r>
      <w:r>
        <w:rPr/>
        <w:t>, the controlling director wished to make provision for his widow. Consequently, he entered into a service agreement with the company whereby on his death, she was entitled to a pension for life. On being satisfied that no thought had been given to the question whether the arrangement was for the benefit of the company and that, indeed, the sole object was to make provision for the widow, the court held that the transaction was not binding on the company. The directors were unable to prove the corporate benefit of the transaction.</w:t>
      </w:r>
    </w:p>
    <w:p>
      <w:pPr>
        <w:pStyle w:val="BodyText"/>
        <w:spacing w:line="480" w:lineRule="auto" w:before="2"/>
        <w:ind w:right="177" w:firstLine="720"/>
        <w:jc w:val="both"/>
      </w:pPr>
      <w:r>
        <w:rPr/>
        <w:t>Perhaps in no more situations is the directors‘ motive questioned than in matters of share allotment. Being a fiduciary power, share allotment prerogative must be exercised bona fide in what the directors consider to be in the interests of the company and not for some</w:t>
      </w:r>
      <w:r>
        <w:rPr>
          <w:spacing w:val="-1"/>
        </w:rPr>
        <w:t> </w:t>
      </w:r>
      <w:r>
        <w:rPr/>
        <w:t>collateral</w:t>
      </w:r>
      <w:r>
        <w:rPr>
          <w:spacing w:val="-9"/>
        </w:rPr>
        <w:t> </w:t>
      </w:r>
      <w:r>
        <w:rPr/>
        <w:t>purpose.</w:t>
      </w:r>
      <w:r>
        <w:rPr>
          <w:vertAlign w:val="superscript"/>
        </w:rPr>
        <w:t>195</w:t>
      </w:r>
      <w:r>
        <w:rPr>
          <w:vertAlign w:val="baseline"/>
        </w:rPr>
        <w:t> They</w:t>
      </w:r>
      <w:r>
        <w:rPr>
          <w:spacing w:val="-5"/>
          <w:vertAlign w:val="baseline"/>
        </w:rPr>
        <w:t> </w:t>
      </w:r>
      <w:r>
        <w:rPr>
          <w:vertAlign w:val="baseline"/>
        </w:rPr>
        <w:t>would not, for example, be allowed to issue shares to their nominees in order to retain control of the company. Many decisions regarding</w:t>
      </w:r>
      <w:r>
        <w:rPr>
          <w:spacing w:val="16"/>
          <w:vertAlign w:val="baseline"/>
        </w:rPr>
        <w:t> </w:t>
      </w:r>
      <w:r>
        <w:rPr>
          <w:vertAlign w:val="baseline"/>
        </w:rPr>
        <w:t>directors‘ resort</w:t>
      </w:r>
      <w:r>
        <w:rPr>
          <w:spacing w:val="16"/>
          <w:vertAlign w:val="baseline"/>
        </w:rPr>
        <w:t> </w:t>
      </w:r>
      <w:r>
        <w:rPr>
          <w:vertAlign w:val="baseline"/>
        </w:rPr>
        <w:t>to</w:t>
      </w:r>
      <w:r>
        <w:rPr>
          <w:spacing w:val="16"/>
          <w:vertAlign w:val="baseline"/>
        </w:rPr>
        <w:t> </w:t>
      </w:r>
      <w:r>
        <w:rPr>
          <w:vertAlign w:val="baseline"/>
        </w:rPr>
        <w:t>the use of the</w:t>
      </w:r>
      <w:r>
        <w:rPr>
          <w:spacing w:val="20"/>
          <w:vertAlign w:val="baseline"/>
        </w:rPr>
        <w:t> </w:t>
      </w:r>
      <w:r>
        <w:rPr>
          <w:vertAlign w:val="baseline"/>
        </w:rPr>
        <w:t>so-called</w:t>
      </w:r>
      <w:r>
        <w:rPr>
          <w:spacing w:val="16"/>
          <w:vertAlign w:val="baseline"/>
        </w:rPr>
        <w:t> </w:t>
      </w:r>
      <w:r>
        <w:rPr>
          <w:vertAlign w:val="baseline"/>
        </w:rPr>
        <w:t>poison pill device</w:t>
      </w:r>
      <w:r>
        <w:rPr>
          <w:vertAlign w:val="superscript"/>
        </w:rPr>
        <w:t>196</w:t>
      </w:r>
      <w:r>
        <w:rPr>
          <w:spacing w:val="19"/>
          <w:vertAlign w:val="baseline"/>
        </w:rPr>
        <w:t> </w:t>
      </w:r>
      <w:r>
        <w:rPr>
          <w:vertAlign w:val="baseline"/>
        </w:rPr>
        <w:t>also</w:t>
      </w:r>
      <w:r>
        <w:rPr>
          <w:spacing w:val="21"/>
          <w:vertAlign w:val="baseline"/>
        </w:rPr>
        <w:t> </w:t>
      </w:r>
      <w:r>
        <w:rPr>
          <w:vertAlign w:val="baseline"/>
        </w:rPr>
        <w:t>reiterate</w:t>
      </w:r>
    </w:p>
    <w:p>
      <w:pPr>
        <w:spacing w:after="0" w:line="480" w:lineRule="auto"/>
        <w:jc w:val="both"/>
        <w:sectPr>
          <w:pgSz w:w="11910" w:h="16840"/>
          <w:pgMar w:header="0" w:footer="1003" w:top="1320" w:bottom="1200" w:left="1680" w:right="1180"/>
        </w:sectPr>
      </w:pPr>
    </w:p>
    <w:p>
      <w:pPr>
        <w:pStyle w:val="BodyText"/>
        <w:spacing w:before="1"/>
      </w:pPr>
      <w:r>
        <w:rPr>
          <w:spacing w:val="-5"/>
        </w:rPr>
        <w:t>this.</w:t>
      </w:r>
    </w:p>
    <w:p>
      <w:pPr>
        <w:spacing w:line="240" w:lineRule="auto" w:before="0"/>
        <w:rPr>
          <w:sz w:val="24"/>
        </w:rPr>
      </w:pPr>
      <w:r>
        <w:rPr/>
        <w:br w:type="column"/>
      </w:r>
      <w:r>
        <w:rPr>
          <w:sz w:val="24"/>
        </w:rPr>
      </w:r>
    </w:p>
    <w:p>
      <w:pPr>
        <w:pStyle w:val="BodyText"/>
        <w:spacing w:before="1"/>
        <w:ind w:left="0"/>
      </w:pPr>
    </w:p>
    <w:p>
      <w:pPr>
        <w:spacing w:before="0"/>
        <w:ind w:left="279" w:right="0" w:firstLine="0"/>
        <w:jc w:val="left"/>
        <w:rPr>
          <w:sz w:val="24"/>
        </w:rPr>
      </w:pPr>
      <w:r>
        <w:rPr>
          <w:sz w:val="24"/>
        </w:rPr>
        <w:t>In</w:t>
      </w:r>
      <w:r>
        <w:rPr>
          <w:spacing w:val="38"/>
          <w:sz w:val="24"/>
        </w:rPr>
        <w:t> </w:t>
      </w:r>
      <w:r>
        <w:rPr>
          <w:b/>
          <w:sz w:val="24"/>
        </w:rPr>
        <w:t>Hogg</w:t>
      </w:r>
      <w:r>
        <w:rPr>
          <w:b/>
          <w:spacing w:val="42"/>
          <w:sz w:val="24"/>
        </w:rPr>
        <w:t> </w:t>
      </w:r>
      <w:r>
        <w:rPr>
          <w:b/>
          <w:sz w:val="24"/>
        </w:rPr>
        <w:t>vs.</w:t>
      </w:r>
      <w:r>
        <w:rPr>
          <w:b/>
          <w:spacing w:val="44"/>
          <w:sz w:val="24"/>
        </w:rPr>
        <w:t> </w:t>
      </w:r>
      <w:r>
        <w:rPr>
          <w:b/>
          <w:sz w:val="24"/>
        </w:rPr>
        <w:t>Cramphorn</w:t>
      </w:r>
      <w:r>
        <w:rPr>
          <w:b/>
          <w:spacing w:val="43"/>
          <w:sz w:val="24"/>
        </w:rPr>
        <w:t> </w:t>
      </w:r>
      <w:r>
        <w:rPr>
          <w:b/>
          <w:sz w:val="24"/>
        </w:rPr>
        <w:t>Ltd.</w:t>
      </w:r>
      <w:r>
        <w:rPr>
          <w:sz w:val="24"/>
        </w:rPr>
        <w:t>,</w:t>
      </w:r>
      <w:r>
        <w:rPr>
          <w:sz w:val="24"/>
          <w:vertAlign w:val="superscript"/>
        </w:rPr>
        <w:t>197</w:t>
      </w:r>
      <w:r>
        <w:rPr>
          <w:spacing w:val="45"/>
          <w:sz w:val="24"/>
          <w:vertAlign w:val="baseline"/>
        </w:rPr>
        <w:t> </w:t>
      </w:r>
      <w:r>
        <w:rPr>
          <w:sz w:val="24"/>
          <w:vertAlign w:val="baseline"/>
        </w:rPr>
        <w:t>Buckley</w:t>
      </w:r>
      <w:r>
        <w:rPr>
          <w:spacing w:val="37"/>
          <w:sz w:val="24"/>
          <w:vertAlign w:val="baseline"/>
        </w:rPr>
        <w:t> </w:t>
      </w:r>
      <w:r>
        <w:rPr>
          <w:sz w:val="24"/>
          <w:vertAlign w:val="baseline"/>
        </w:rPr>
        <w:t>J</w:t>
      </w:r>
      <w:r>
        <w:rPr>
          <w:spacing w:val="45"/>
          <w:sz w:val="24"/>
          <w:vertAlign w:val="baseline"/>
        </w:rPr>
        <w:t> </w:t>
      </w:r>
      <w:r>
        <w:rPr>
          <w:sz w:val="24"/>
          <w:vertAlign w:val="baseline"/>
        </w:rPr>
        <w:t>held</w:t>
      </w:r>
      <w:r>
        <w:rPr>
          <w:spacing w:val="42"/>
          <w:sz w:val="24"/>
          <w:vertAlign w:val="baseline"/>
        </w:rPr>
        <w:t> </w:t>
      </w:r>
      <w:r>
        <w:rPr>
          <w:sz w:val="24"/>
          <w:vertAlign w:val="baseline"/>
        </w:rPr>
        <w:t>that</w:t>
      </w:r>
      <w:r>
        <w:rPr>
          <w:spacing w:val="46"/>
          <w:sz w:val="24"/>
          <w:vertAlign w:val="baseline"/>
        </w:rPr>
        <w:t> </w:t>
      </w:r>
      <w:r>
        <w:rPr>
          <w:sz w:val="24"/>
          <w:vertAlign w:val="baseline"/>
        </w:rPr>
        <w:t>an</w:t>
      </w:r>
      <w:r>
        <w:rPr>
          <w:spacing w:val="38"/>
          <w:sz w:val="24"/>
          <w:vertAlign w:val="baseline"/>
        </w:rPr>
        <w:t> </w:t>
      </w:r>
      <w:r>
        <w:rPr>
          <w:sz w:val="24"/>
          <w:vertAlign w:val="baseline"/>
        </w:rPr>
        <w:t>allotment</w:t>
      </w:r>
      <w:r>
        <w:rPr>
          <w:spacing w:val="46"/>
          <w:sz w:val="24"/>
          <w:vertAlign w:val="baseline"/>
        </w:rPr>
        <w:t> </w:t>
      </w:r>
      <w:r>
        <w:rPr>
          <w:sz w:val="24"/>
          <w:vertAlign w:val="baseline"/>
        </w:rPr>
        <w:t>of</w:t>
      </w:r>
      <w:r>
        <w:rPr>
          <w:spacing w:val="35"/>
          <w:sz w:val="24"/>
          <w:vertAlign w:val="baseline"/>
        </w:rPr>
        <w:t> </w:t>
      </w:r>
      <w:r>
        <w:rPr>
          <w:spacing w:val="-2"/>
          <w:sz w:val="24"/>
          <w:vertAlign w:val="baseline"/>
        </w:rPr>
        <w:t>shares</w:t>
      </w:r>
    </w:p>
    <w:p>
      <w:pPr>
        <w:spacing w:after="0"/>
        <w:jc w:val="left"/>
        <w:rPr>
          <w:sz w:val="24"/>
        </w:rPr>
        <w:sectPr>
          <w:type w:val="continuous"/>
          <w:pgSz w:w="11910" w:h="16840"/>
          <w:pgMar w:header="0" w:footer="1003" w:top="1320" w:bottom="280" w:left="1680" w:right="1180"/>
          <w:cols w:num="2" w:equalWidth="0">
            <w:col w:w="709" w:space="40"/>
            <w:col w:w="8301"/>
          </w:cols>
        </w:sectPr>
      </w:pPr>
    </w:p>
    <w:p>
      <w:pPr>
        <w:pStyle w:val="BodyText"/>
        <w:ind w:left="0"/>
      </w:pPr>
    </w:p>
    <w:p>
      <w:pPr>
        <w:pStyle w:val="BodyText"/>
        <w:spacing w:line="480" w:lineRule="auto"/>
        <w:ind w:right="183"/>
        <w:jc w:val="both"/>
      </w:pPr>
      <w:r>
        <w:rPr/>
        <w:t>(each with weighted voting power) made bona fide by the board, but with the intention</w:t>
      </w:r>
      <w:r>
        <w:rPr>
          <w:spacing w:val="40"/>
        </w:rPr>
        <w:t> </w:t>
      </w:r>
      <w:r>
        <w:rPr/>
        <w:t>of</w:t>
      </w:r>
      <w:r>
        <w:rPr>
          <w:spacing w:val="-6"/>
        </w:rPr>
        <w:t> </w:t>
      </w:r>
      <w:r>
        <w:rPr/>
        <w:t>defeating a possible takeover bid and of</w:t>
      </w:r>
      <w:r>
        <w:rPr>
          <w:spacing w:val="-6"/>
        </w:rPr>
        <w:t> </w:t>
      </w:r>
      <w:r>
        <w:rPr/>
        <w:t>retaining the present board in control, was an improper exercise of that power. The fact that the directors undoubtedly ―acted throughout</w:t>
      </w:r>
      <w:r>
        <w:rPr>
          <w:spacing w:val="74"/>
          <w:w w:val="150"/>
        </w:rPr>
        <w:t> </w:t>
      </w:r>
      <w:r>
        <w:rPr/>
        <w:t>in</w:t>
      </w:r>
      <w:r>
        <w:rPr>
          <w:spacing w:val="71"/>
          <w:w w:val="150"/>
        </w:rPr>
        <w:t> </w:t>
      </w:r>
      <w:r>
        <w:rPr/>
        <w:t>the</w:t>
      </w:r>
      <w:r>
        <w:rPr>
          <w:spacing w:val="75"/>
          <w:w w:val="150"/>
        </w:rPr>
        <w:t> </w:t>
      </w:r>
      <w:r>
        <w:rPr/>
        <w:t>belief</w:t>
      </w:r>
      <w:r>
        <w:rPr>
          <w:spacing w:val="68"/>
          <w:w w:val="150"/>
        </w:rPr>
        <w:t> </w:t>
      </w:r>
      <w:r>
        <w:rPr/>
        <w:t>that</w:t>
      </w:r>
      <w:r>
        <w:rPr>
          <w:spacing w:val="77"/>
          <w:w w:val="150"/>
        </w:rPr>
        <w:t> </w:t>
      </w:r>
      <w:r>
        <w:rPr/>
        <w:t>what</w:t>
      </w:r>
      <w:r>
        <w:rPr>
          <w:spacing w:val="77"/>
          <w:w w:val="150"/>
        </w:rPr>
        <w:t> </w:t>
      </w:r>
      <w:r>
        <w:rPr/>
        <w:t>they</w:t>
      </w:r>
      <w:r>
        <w:rPr>
          <w:spacing w:val="67"/>
          <w:w w:val="150"/>
        </w:rPr>
        <w:t> </w:t>
      </w:r>
      <w:r>
        <w:rPr/>
        <w:t>were</w:t>
      </w:r>
      <w:r>
        <w:rPr>
          <w:spacing w:val="71"/>
          <w:w w:val="150"/>
        </w:rPr>
        <w:t> </w:t>
      </w:r>
      <w:r>
        <w:rPr/>
        <w:t>doing</w:t>
      </w:r>
      <w:r>
        <w:rPr>
          <w:spacing w:val="76"/>
          <w:w w:val="150"/>
        </w:rPr>
        <w:t> </w:t>
      </w:r>
      <w:r>
        <w:rPr/>
        <w:t>was</w:t>
      </w:r>
      <w:r>
        <w:rPr>
          <w:spacing w:val="74"/>
          <w:w w:val="150"/>
        </w:rPr>
        <w:t> </w:t>
      </w:r>
      <w:r>
        <w:rPr/>
        <w:t>for</w:t>
      </w:r>
      <w:r>
        <w:rPr>
          <w:spacing w:val="73"/>
          <w:w w:val="150"/>
        </w:rPr>
        <w:t> </w:t>
      </w:r>
      <w:r>
        <w:rPr/>
        <w:t>the</w:t>
      </w:r>
      <w:r>
        <w:rPr>
          <w:spacing w:val="71"/>
          <w:w w:val="150"/>
        </w:rPr>
        <w:t> </w:t>
      </w:r>
      <w:r>
        <w:rPr/>
        <w:t>good</w:t>
      </w:r>
      <w:r>
        <w:rPr>
          <w:spacing w:val="67"/>
          <w:w w:val="150"/>
        </w:rPr>
        <w:t> </w:t>
      </w:r>
      <w:r>
        <w:rPr/>
        <w:t>of</w:t>
      </w:r>
      <w:r>
        <w:rPr>
          <w:spacing w:val="64"/>
          <w:w w:val="150"/>
        </w:rPr>
        <w:t> </w:t>
      </w:r>
      <w:r>
        <w:rPr>
          <w:spacing w:val="-5"/>
        </w:rPr>
        <w:t>the</w:t>
      </w:r>
    </w:p>
    <w:p>
      <w:pPr>
        <w:pStyle w:val="BodyText"/>
        <w:ind w:left="0"/>
        <w:rPr>
          <w:sz w:val="20"/>
        </w:rPr>
      </w:pPr>
    </w:p>
    <w:p>
      <w:pPr>
        <w:pStyle w:val="BodyText"/>
        <w:spacing w:before="111"/>
        <w:ind w:left="0"/>
        <w:rPr>
          <w:sz w:val="20"/>
        </w:rPr>
      </w:pPr>
      <w:r>
        <w:rPr/>
        <mc:AlternateContent>
          <mc:Choice Requires="wps">
            <w:drawing>
              <wp:anchor distT="0" distB="0" distL="0" distR="0" allowOverlap="1" layoutInCell="1" locked="0" behindDoc="1" simplePos="0" relativeHeight="487658496">
                <wp:simplePos x="0" y="0"/>
                <wp:positionH relativeFrom="page">
                  <wp:posOffset>1262481</wp:posOffset>
                </wp:positionH>
                <wp:positionV relativeFrom="paragraph">
                  <wp:posOffset>231777</wp:posOffset>
                </wp:positionV>
                <wp:extent cx="1829435" cy="9525"/>
                <wp:effectExtent l="0" t="0" r="0" b="0"/>
                <wp:wrapTopAndBottom/>
                <wp:docPr id="154" name="Graphic 154"/>
                <wp:cNvGraphicFramePr>
                  <a:graphicFrameLocks/>
                </wp:cNvGraphicFramePr>
                <a:graphic>
                  <a:graphicData uri="http://schemas.microsoft.com/office/word/2010/wordprocessingShape">
                    <wps:wsp>
                      <wps:cNvPr id="154" name="Graphic 15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250225pt;width:144.050pt;height:.71997pt;mso-position-horizontal-relative:page;mso-position-vertical-relative:paragraph;z-index:-15657984;mso-wrap-distance-left:0;mso-wrap-distance-right:0" id="docshape109" filled="true" fillcolor="#000000" stroked="false">
                <v:fill type="solid"/>
                <w10:wrap type="topAndBottom"/>
              </v:rect>
            </w:pict>
          </mc:Fallback>
        </mc:AlternateContent>
      </w:r>
    </w:p>
    <w:p>
      <w:pPr>
        <w:spacing w:before="97"/>
        <w:ind w:left="308" w:right="228" w:firstLine="0"/>
        <w:jc w:val="both"/>
        <w:rPr>
          <w:rFonts w:ascii="Calibri"/>
          <w:sz w:val="20"/>
        </w:rPr>
      </w:pPr>
      <w:r>
        <w:rPr>
          <w:rFonts w:ascii="Calibri"/>
          <w:sz w:val="20"/>
          <w:vertAlign w:val="superscript"/>
        </w:rPr>
        <w:t>195</w:t>
      </w:r>
      <w:r>
        <w:rPr>
          <w:rFonts w:ascii="Calibri"/>
          <w:sz w:val="20"/>
          <w:vertAlign w:val="baseline"/>
        </w:rPr>
        <w:t> Per Meggary</w:t>
      </w:r>
      <w:r>
        <w:rPr>
          <w:rFonts w:ascii="Calibri"/>
          <w:spacing w:val="-4"/>
          <w:sz w:val="20"/>
          <w:vertAlign w:val="baseline"/>
        </w:rPr>
        <w:t> </w:t>
      </w:r>
      <w:r>
        <w:rPr>
          <w:rFonts w:ascii="Calibri"/>
          <w:sz w:val="20"/>
          <w:vertAlign w:val="baseline"/>
        </w:rPr>
        <w:t>VC</w:t>
      </w:r>
      <w:r>
        <w:rPr>
          <w:rFonts w:ascii="Calibri"/>
          <w:spacing w:val="-5"/>
          <w:sz w:val="20"/>
          <w:vertAlign w:val="baseline"/>
        </w:rPr>
        <w:t> </w:t>
      </w:r>
      <w:r>
        <w:rPr>
          <w:rFonts w:ascii="Calibri"/>
          <w:sz w:val="20"/>
          <w:vertAlign w:val="baseline"/>
        </w:rPr>
        <w:t>in </w:t>
      </w:r>
      <w:r>
        <w:rPr>
          <w:rFonts w:ascii="Calibri"/>
          <w:i/>
          <w:sz w:val="20"/>
          <w:vertAlign w:val="baseline"/>
        </w:rPr>
        <w:t>Cayne</w:t>
      </w:r>
      <w:r>
        <w:rPr>
          <w:rFonts w:ascii="Calibri"/>
          <w:i/>
          <w:spacing w:val="-4"/>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Global Natural</w:t>
      </w:r>
      <w:r>
        <w:rPr>
          <w:rFonts w:ascii="Calibri"/>
          <w:i/>
          <w:spacing w:val="-2"/>
          <w:sz w:val="20"/>
          <w:vertAlign w:val="baseline"/>
        </w:rPr>
        <w:t> </w:t>
      </w:r>
      <w:r>
        <w:rPr>
          <w:rFonts w:ascii="Calibri"/>
          <w:i/>
          <w:sz w:val="20"/>
          <w:vertAlign w:val="baseline"/>
        </w:rPr>
        <w:t>Resources</w:t>
      </w:r>
      <w:r>
        <w:rPr>
          <w:rFonts w:ascii="Calibri"/>
          <w:i/>
          <w:spacing w:val="-1"/>
          <w:sz w:val="20"/>
          <w:vertAlign w:val="baseline"/>
        </w:rPr>
        <w:t> </w:t>
      </w:r>
      <w:r>
        <w:rPr>
          <w:rFonts w:ascii="Calibri"/>
          <w:i/>
          <w:sz w:val="20"/>
          <w:vertAlign w:val="baseline"/>
        </w:rPr>
        <w:t>Plc</w:t>
      </w:r>
      <w:r>
        <w:rPr>
          <w:rFonts w:ascii="Calibri"/>
          <w:sz w:val="20"/>
          <w:vertAlign w:val="baseline"/>
        </w:rPr>
        <w:t>.</w:t>
      </w:r>
      <w:r>
        <w:rPr>
          <w:rFonts w:ascii="Calibri"/>
          <w:spacing w:val="-2"/>
          <w:sz w:val="20"/>
          <w:vertAlign w:val="baseline"/>
        </w:rPr>
        <w:t> </w:t>
      </w:r>
      <w:r>
        <w:rPr>
          <w:rFonts w:ascii="Calibri"/>
          <w:sz w:val="20"/>
          <w:vertAlign w:val="baseline"/>
        </w:rPr>
        <w:t>(unreported)</w:t>
      </w:r>
      <w:r>
        <w:rPr>
          <w:rFonts w:ascii="Calibri"/>
          <w:spacing w:val="-3"/>
          <w:sz w:val="20"/>
          <w:vertAlign w:val="baseline"/>
        </w:rPr>
        <w:t> </w:t>
      </w:r>
      <w:r>
        <w:rPr>
          <w:rFonts w:ascii="Calibri"/>
          <w:sz w:val="20"/>
          <w:vertAlign w:val="baseline"/>
        </w:rPr>
        <w:t>Chancery</w:t>
      </w:r>
      <w:r>
        <w:rPr>
          <w:rFonts w:ascii="Calibri"/>
          <w:spacing w:val="-4"/>
          <w:sz w:val="20"/>
          <w:vertAlign w:val="baseline"/>
        </w:rPr>
        <w:t> </w:t>
      </w:r>
      <w:r>
        <w:rPr>
          <w:rFonts w:ascii="Calibri"/>
          <w:sz w:val="20"/>
          <w:vertAlign w:val="baseline"/>
        </w:rPr>
        <w:t>Division</w:t>
      </w:r>
      <w:r>
        <w:rPr>
          <w:rFonts w:ascii="Calibri"/>
          <w:spacing w:val="-4"/>
          <w:sz w:val="20"/>
          <w:vertAlign w:val="baseline"/>
        </w:rPr>
        <w:t> </w:t>
      </w:r>
      <w:r>
        <w:rPr>
          <w:rFonts w:ascii="Calibri"/>
          <w:sz w:val="20"/>
          <w:vertAlign w:val="baseline"/>
        </w:rPr>
        <w:t>of the High Court of Justice, 12</w:t>
      </w:r>
      <w:r>
        <w:rPr>
          <w:rFonts w:ascii="Calibri"/>
          <w:sz w:val="20"/>
          <w:vertAlign w:val="superscript"/>
        </w:rPr>
        <w:t>th</w:t>
      </w:r>
      <w:r>
        <w:rPr>
          <w:rFonts w:ascii="Calibri"/>
          <w:sz w:val="20"/>
          <w:vertAlign w:val="baseline"/>
        </w:rPr>
        <w:t> August, 1982, cited in Corkery, F.J. op.cit. at110.</w:t>
      </w:r>
    </w:p>
    <w:p>
      <w:pPr>
        <w:spacing w:before="2"/>
        <w:ind w:left="308" w:right="226" w:firstLine="0"/>
        <w:jc w:val="both"/>
        <w:rPr>
          <w:rFonts w:ascii="Calibri" w:hAnsi="Calibri"/>
          <w:sz w:val="20"/>
        </w:rPr>
      </w:pPr>
      <w:r>
        <w:rPr>
          <w:rFonts w:ascii="Calibri" w:hAnsi="Calibri"/>
          <w:sz w:val="20"/>
          <w:vertAlign w:val="superscript"/>
        </w:rPr>
        <w:t>196</w:t>
      </w:r>
      <w:r>
        <w:rPr>
          <w:rFonts w:ascii="Calibri" w:hAnsi="Calibri"/>
          <w:sz w:val="20"/>
          <w:vertAlign w:val="baseline"/>
        </w:rPr>
        <w:t> North American jargon for a legal device of any form put in place by the management of a company that feels vulnerable to predatory or hostile acquisition, designed as a defence mechanism to eliminate or reduce that risk. Other expressions such as “shark repellent” are also used. See Wild, C. and Weinstein, S.op.cit.at 337.</w:t>
      </w:r>
    </w:p>
    <w:p>
      <w:pPr>
        <w:spacing w:before="3"/>
        <w:ind w:left="308" w:right="0" w:firstLine="0"/>
        <w:jc w:val="both"/>
        <w:rPr>
          <w:rFonts w:ascii="Calibri"/>
          <w:sz w:val="20"/>
        </w:rPr>
      </w:pPr>
      <w:r>
        <w:rPr>
          <w:rFonts w:ascii="Calibri"/>
          <w:sz w:val="20"/>
          <w:vertAlign w:val="superscript"/>
        </w:rPr>
        <w:t>197</w:t>
      </w:r>
      <w:r>
        <w:rPr>
          <w:rFonts w:ascii="Calibri"/>
          <w:sz w:val="20"/>
          <w:vertAlign w:val="baseline"/>
        </w:rPr>
        <w:t>(1967)</w:t>
      </w:r>
      <w:r>
        <w:rPr>
          <w:rFonts w:ascii="Calibri"/>
          <w:spacing w:val="-2"/>
          <w:sz w:val="20"/>
          <w:vertAlign w:val="baseline"/>
        </w:rPr>
        <w:t> </w:t>
      </w:r>
      <w:r>
        <w:rPr>
          <w:rFonts w:ascii="Calibri"/>
          <w:sz w:val="20"/>
          <w:vertAlign w:val="baseline"/>
        </w:rPr>
        <w:t>Ch.</w:t>
      </w:r>
      <w:r>
        <w:rPr>
          <w:rFonts w:ascii="Calibri"/>
          <w:spacing w:val="-5"/>
          <w:sz w:val="20"/>
          <w:vertAlign w:val="baseline"/>
        </w:rPr>
        <w:t> </w:t>
      </w:r>
      <w:r>
        <w:rPr>
          <w:rFonts w:ascii="Calibri"/>
          <w:spacing w:val="-4"/>
          <w:sz w:val="20"/>
          <w:vertAlign w:val="baseline"/>
        </w:rPr>
        <w:t>254.</w:t>
      </w:r>
    </w:p>
    <w:p>
      <w:pPr>
        <w:spacing w:after="0"/>
        <w:jc w:val="both"/>
        <w:rPr>
          <w:rFonts w:ascii="Calibri"/>
          <w:sz w:val="20"/>
        </w:rPr>
        <w:sectPr>
          <w:type w:val="continuous"/>
          <w:pgSz w:w="11910" w:h="16840"/>
          <w:pgMar w:header="0" w:footer="1003" w:top="1320" w:bottom="280" w:left="1680" w:right="1180"/>
        </w:sectPr>
      </w:pPr>
    </w:p>
    <w:p>
      <w:pPr>
        <w:pStyle w:val="BodyText"/>
        <w:spacing w:line="480" w:lineRule="auto" w:before="110"/>
        <w:ind w:right="186"/>
        <w:jc w:val="both"/>
      </w:pPr>
      <w:r>
        <w:rPr/>
        <w:t>company‖</w:t>
      </w:r>
      <w:r>
        <w:rPr>
          <w:vertAlign w:val="superscript"/>
        </w:rPr>
        <w:t>198</w:t>
      </w:r>
      <w:r>
        <w:rPr>
          <w:vertAlign w:val="baseline"/>
        </w:rPr>
        <w:t>was of no avail. The complaint of</w:t>
      </w:r>
      <w:r>
        <w:rPr>
          <w:spacing w:val="-2"/>
          <w:vertAlign w:val="baseline"/>
        </w:rPr>
        <w:t> </w:t>
      </w:r>
      <w:r>
        <w:rPr>
          <w:vertAlign w:val="baseline"/>
        </w:rPr>
        <w:t>the minority</w:t>
      </w:r>
      <w:r>
        <w:rPr>
          <w:spacing w:val="-4"/>
          <w:vertAlign w:val="baseline"/>
        </w:rPr>
        <w:t> </w:t>
      </w:r>
      <w:r>
        <w:rPr>
          <w:vertAlign w:val="baseline"/>
        </w:rPr>
        <w:t>shareholder, Mr Baxter, was accepted. The issue was shown to be ―intended not only to ensure that, if Mr Baxter succeeded in obtaining a shareholding which, as matters stood, would have been a controlling shareholding, he should not secure control of the company, but also, and perhaps primarily, to discourage Mr Baxter from proceeding with his bid at all‖.</w:t>
      </w:r>
      <w:r>
        <w:rPr>
          <w:vertAlign w:val="superscript"/>
        </w:rPr>
        <w:t>199</w:t>
      </w:r>
    </w:p>
    <w:p>
      <w:pPr>
        <w:pStyle w:val="BodyText"/>
        <w:spacing w:line="480" w:lineRule="auto" w:before="1"/>
        <w:ind w:right="181" w:firstLine="720"/>
        <w:jc w:val="both"/>
      </w:pPr>
      <w:r>
        <w:rPr/>
        <w:t>In </w:t>
      </w:r>
      <w:r>
        <w:rPr>
          <w:b/>
        </w:rPr>
        <w:t>Howard Smith Ltd. vs. Ampol Petroleum Ltd.</w:t>
      </w:r>
      <w:r>
        <w:rPr/>
        <w:t>,</w:t>
      </w:r>
      <w:r>
        <w:rPr>
          <w:vertAlign w:val="superscript"/>
        </w:rPr>
        <w:t>200</w:t>
      </w:r>
      <w:r>
        <w:rPr>
          <w:vertAlign w:val="baseline"/>
        </w:rPr>
        <w:t>Ampol, which together with an associated company, was a majority shareholder in a company called Millers, made an offer to acquire the rest of the shares in Millers. But the directors of Millers preferred another takeover offer from Howard Smith, whose terms the directors considered better, since it offered them employment in the future. Unfortunately, the latter‘s bid could not succeed as long as Ampol regained its majority holding. Consequently, the</w:t>
      </w:r>
      <w:r>
        <w:rPr>
          <w:spacing w:val="-1"/>
          <w:vertAlign w:val="baseline"/>
        </w:rPr>
        <w:t> </w:t>
      </w:r>
      <w:r>
        <w:rPr>
          <w:vertAlign w:val="baseline"/>
        </w:rPr>
        <w:t>directors</w:t>
      </w:r>
      <w:r>
        <w:rPr>
          <w:spacing w:val="-6"/>
          <w:vertAlign w:val="baseline"/>
        </w:rPr>
        <w:t> </w:t>
      </w:r>
      <w:r>
        <w:rPr>
          <w:vertAlign w:val="baseline"/>
        </w:rPr>
        <w:t>of</w:t>
      </w:r>
      <w:r>
        <w:rPr>
          <w:spacing w:val="-7"/>
          <w:vertAlign w:val="baseline"/>
        </w:rPr>
        <w:t> </w:t>
      </w:r>
      <w:r>
        <w:rPr>
          <w:vertAlign w:val="baseline"/>
        </w:rPr>
        <w:t>Millers</w:t>
      </w:r>
      <w:r>
        <w:rPr>
          <w:spacing w:val="-2"/>
          <w:vertAlign w:val="baseline"/>
        </w:rPr>
        <w:t> </w:t>
      </w:r>
      <w:r>
        <w:rPr>
          <w:vertAlign w:val="baseline"/>
        </w:rPr>
        <w:t>caused the</w:t>
      </w:r>
      <w:r>
        <w:rPr>
          <w:spacing w:val="-1"/>
          <w:vertAlign w:val="baseline"/>
        </w:rPr>
        <w:t> </w:t>
      </w:r>
      <w:r>
        <w:rPr>
          <w:vertAlign w:val="baseline"/>
        </w:rPr>
        <w:t>company</w:t>
      </w:r>
      <w:r>
        <w:rPr>
          <w:spacing w:val="-4"/>
          <w:vertAlign w:val="baseline"/>
        </w:rPr>
        <w:t> </w:t>
      </w:r>
      <w:r>
        <w:rPr>
          <w:vertAlign w:val="baseline"/>
        </w:rPr>
        <w:t>to issue</w:t>
      </w:r>
      <w:r>
        <w:rPr>
          <w:spacing w:val="-1"/>
          <w:vertAlign w:val="baseline"/>
        </w:rPr>
        <w:t> </w:t>
      </w:r>
      <w:r>
        <w:rPr>
          <w:vertAlign w:val="baseline"/>
        </w:rPr>
        <w:t>sufficient new</w:t>
      </w:r>
      <w:r>
        <w:rPr>
          <w:spacing w:val="-1"/>
          <w:vertAlign w:val="baseline"/>
        </w:rPr>
        <w:t> </w:t>
      </w:r>
      <w:r>
        <w:rPr>
          <w:vertAlign w:val="baseline"/>
        </w:rPr>
        <w:t>shares to Howard Smith, so that Ampol was as a result reduced to a minority position and Howard Smith could then more successfully launch its offer, since its bid price was higher than Ampol‘s offer. Under the articles of</w:t>
      </w:r>
      <w:r>
        <w:rPr>
          <w:spacing w:val="-3"/>
          <w:vertAlign w:val="baseline"/>
        </w:rPr>
        <w:t> </w:t>
      </w:r>
      <w:r>
        <w:rPr>
          <w:vertAlign w:val="baseline"/>
        </w:rPr>
        <w:t>Millers, the directors had power to allot unissued shares to such persons and on such terms as they thought fit.</w:t>
      </w:r>
    </w:p>
    <w:p>
      <w:pPr>
        <w:pStyle w:val="BodyText"/>
        <w:spacing w:line="480" w:lineRule="auto" w:before="2"/>
        <w:ind w:right="179" w:firstLine="720"/>
        <w:jc w:val="both"/>
      </w:pPr>
      <w:r>
        <w:rPr/>
        <mc:AlternateContent>
          <mc:Choice Requires="wps">
            <w:drawing>
              <wp:anchor distT="0" distB="0" distL="0" distR="0" allowOverlap="1" layoutInCell="1" locked="0" behindDoc="0" simplePos="0" relativeHeight="15799808">
                <wp:simplePos x="0" y="0"/>
                <wp:positionH relativeFrom="page">
                  <wp:posOffset>1262481</wp:posOffset>
                </wp:positionH>
                <wp:positionV relativeFrom="paragraph">
                  <wp:posOffset>2439383</wp:posOffset>
                </wp:positionV>
                <wp:extent cx="1829435" cy="9525"/>
                <wp:effectExtent l="0" t="0" r="0" b="0"/>
                <wp:wrapNone/>
                <wp:docPr id="155" name="Graphic 155"/>
                <wp:cNvGraphicFramePr>
                  <a:graphicFrameLocks/>
                </wp:cNvGraphicFramePr>
                <a:graphic>
                  <a:graphicData uri="http://schemas.microsoft.com/office/word/2010/wordprocessingShape">
                    <wps:wsp>
                      <wps:cNvPr id="155" name="Graphic 15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2.077469pt;width:144.050pt;height:.72003pt;mso-position-horizontal-relative:page;mso-position-vertical-relative:paragraph;z-index:15799808" id="docshape110" filled="true" fillcolor="#000000" stroked="false">
                <v:fill type="solid"/>
                <w10:wrap type="none"/>
              </v:rect>
            </w:pict>
          </mc:Fallback>
        </mc:AlternateContent>
      </w:r>
      <w:r>
        <w:rPr/>
        <w:t>In proceedings brought by Ampol against, inter alia, the directors and Howard Smith,</w:t>
      </w:r>
      <w:r>
        <w:rPr>
          <w:spacing w:val="25"/>
        </w:rPr>
        <w:t> </w:t>
      </w:r>
      <w:r>
        <w:rPr/>
        <w:t>it</w:t>
      </w:r>
      <w:r>
        <w:rPr>
          <w:spacing w:val="23"/>
        </w:rPr>
        <w:t> </w:t>
      </w:r>
      <w:r>
        <w:rPr/>
        <w:t>was argued that the only proper purpose for which a share-issue power could be exercised was</w:t>
      </w:r>
      <w:r>
        <w:rPr>
          <w:spacing w:val="-1"/>
        </w:rPr>
        <w:t> </w:t>
      </w:r>
      <w:r>
        <w:rPr/>
        <w:t>to raise new capital</w:t>
      </w:r>
      <w:r>
        <w:rPr>
          <w:spacing w:val="-4"/>
        </w:rPr>
        <w:t> </w:t>
      </w:r>
      <w:r>
        <w:rPr/>
        <w:t>when the company needed it. But this was</w:t>
      </w:r>
      <w:r>
        <w:rPr>
          <w:spacing w:val="-1"/>
        </w:rPr>
        <w:t> </w:t>
      </w:r>
      <w:r>
        <w:rPr/>
        <w:t>rejected as too narrow.</w:t>
      </w:r>
      <w:r>
        <w:rPr>
          <w:vertAlign w:val="superscript"/>
        </w:rPr>
        <w:t>201</w:t>
      </w:r>
      <w:r>
        <w:rPr>
          <w:vertAlign w:val="baseline"/>
        </w:rPr>
        <w:t> There might be a range of purposes for which a company may issue shares. The directors had maintained that the new shares were necessary because the company required capital to purchase two new tankers and this they cited as the dominant</w:t>
      </w:r>
      <w:r>
        <w:rPr>
          <w:spacing w:val="15"/>
          <w:vertAlign w:val="baseline"/>
        </w:rPr>
        <w:t> </w:t>
      </w:r>
      <w:r>
        <w:rPr>
          <w:vertAlign w:val="baseline"/>
        </w:rPr>
        <w:t>purpose</w:t>
      </w:r>
      <w:r>
        <w:rPr>
          <w:spacing w:val="13"/>
          <w:vertAlign w:val="baseline"/>
        </w:rPr>
        <w:t> </w:t>
      </w:r>
      <w:r>
        <w:rPr>
          <w:vertAlign w:val="baseline"/>
        </w:rPr>
        <w:t>for</w:t>
      </w:r>
      <w:r>
        <w:rPr>
          <w:spacing w:val="10"/>
          <w:vertAlign w:val="baseline"/>
        </w:rPr>
        <w:t> </w:t>
      </w:r>
      <w:r>
        <w:rPr>
          <w:vertAlign w:val="baseline"/>
        </w:rPr>
        <w:t>the</w:t>
      </w:r>
      <w:r>
        <w:rPr>
          <w:spacing w:val="12"/>
          <w:vertAlign w:val="baseline"/>
        </w:rPr>
        <w:t> </w:t>
      </w:r>
      <w:r>
        <w:rPr>
          <w:vertAlign w:val="baseline"/>
        </w:rPr>
        <w:t>issue</w:t>
      </w:r>
      <w:r>
        <w:rPr>
          <w:spacing w:val="12"/>
          <w:vertAlign w:val="baseline"/>
        </w:rPr>
        <w:t> </w:t>
      </w:r>
      <w:r>
        <w:rPr>
          <w:vertAlign w:val="baseline"/>
        </w:rPr>
        <w:t>of</w:t>
      </w:r>
      <w:r>
        <w:rPr>
          <w:spacing w:val="6"/>
          <w:vertAlign w:val="baseline"/>
        </w:rPr>
        <w:t> </w:t>
      </w:r>
      <w:r>
        <w:rPr>
          <w:vertAlign w:val="baseline"/>
        </w:rPr>
        <w:t>the</w:t>
      </w:r>
      <w:r>
        <w:rPr>
          <w:spacing w:val="12"/>
          <w:vertAlign w:val="baseline"/>
        </w:rPr>
        <w:t> </w:t>
      </w:r>
      <w:r>
        <w:rPr>
          <w:vertAlign w:val="baseline"/>
        </w:rPr>
        <w:t>new</w:t>
      </w:r>
      <w:r>
        <w:rPr>
          <w:spacing w:val="13"/>
          <w:vertAlign w:val="baseline"/>
        </w:rPr>
        <w:t> </w:t>
      </w:r>
      <w:r>
        <w:rPr>
          <w:vertAlign w:val="baseline"/>
        </w:rPr>
        <w:t>shares.</w:t>
      </w:r>
      <w:r>
        <w:rPr>
          <w:spacing w:val="20"/>
          <w:vertAlign w:val="baseline"/>
        </w:rPr>
        <w:t> </w:t>
      </w:r>
      <w:r>
        <w:rPr>
          <w:vertAlign w:val="baseline"/>
        </w:rPr>
        <w:t>But</w:t>
      </w:r>
      <w:r>
        <w:rPr>
          <w:spacing w:val="14"/>
          <w:vertAlign w:val="baseline"/>
        </w:rPr>
        <w:t> </w:t>
      </w:r>
      <w:r>
        <w:rPr>
          <w:vertAlign w:val="baseline"/>
        </w:rPr>
        <w:t>Street</w:t>
      </w:r>
      <w:r>
        <w:rPr>
          <w:spacing w:val="14"/>
          <w:vertAlign w:val="baseline"/>
        </w:rPr>
        <w:t> </w:t>
      </w:r>
      <w:r>
        <w:rPr>
          <w:vertAlign w:val="baseline"/>
        </w:rPr>
        <w:t>J.</w:t>
      </w:r>
      <w:r>
        <w:rPr>
          <w:spacing w:val="15"/>
          <w:vertAlign w:val="baseline"/>
        </w:rPr>
        <w:t> </w:t>
      </w:r>
      <w:r>
        <w:rPr>
          <w:vertAlign w:val="baseline"/>
        </w:rPr>
        <w:t>at</w:t>
      </w:r>
      <w:r>
        <w:rPr>
          <w:spacing w:val="9"/>
          <w:vertAlign w:val="baseline"/>
        </w:rPr>
        <w:t> </w:t>
      </w:r>
      <w:r>
        <w:rPr>
          <w:vertAlign w:val="baseline"/>
        </w:rPr>
        <w:t>the</w:t>
      </w:r>
      <w:r>
        <w:rPr>
          <w:spacing w:val="17"/>
          <w:vertAlign w:val="baseline"/>
        </w:rPr>
        <w:t> </w:t>
      </w:r>
      <w:r>
        <w:rPr>
          <w:vertAlign w:val="baseline"/>
        </w:rPr>
        <w:t>lower</w:t>
      </w:r>
      <w:r>
        <w:rPr>
          <w:spacing w:val="15"/>
          <w:vertAlign w:val="baseline"/>
        </w:rPr>
        <w:t> </w:t>
      </w:r>
      <w:r>
        <w:rPr>
          <w:vertAlign w:val="baseline"/>
        </w:rPr>
        <w:t>New</w:t>
      </w:r>
      <w:r>
        <w:rPr>
          <w:spacing w:val="14"/>
          <w:vertAlign w:val="baseline"/>
        </w:rPr>
        <w:t> </w:t>
      </w:r>
      <w:r>
        <w:rPr>
          <w:spacing w:val="-2"/>
          <w:vertAlign w:val="baseline"/>
        </w:rPr>
        <w:t>South</w:t>
      </w:r>
    </w:p>
    <w:p>
      <w:pPr>
        <w:spacing w:before="93"/>
        <w:ind w:left="308" w:right="0" w:firstLine="0"/>
        <w:jc w:val="left"/>
        <w:rPr>
          <w:rFonts w:ascii="Calibri"/>
          <w:sz w:val="20"/>
        </w:rPr>
      </w:pPr>
      <w:r>
        <w:rPr>
          <w:rFonts w:ascii="Calibri"/>
          <w:sz w:val="20"/>
          <w:vertAlign w:val="superscript"/>
        </w:rPr>
        <w:t>198</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262.</w:t>
      </w:r>
    </w:p>
    <w:p>
      <w:pPr>
        <w:spacing w:before="1"/>
        <w:ind w:left="308" w:right="0" w:firstLine="0"/>
        <w:jc w:val="left"/>
        <w:rPr>
          <w:rFonts w:ascii="Calibri"/>
          <w:sz w:val="20"/>
        </w:rPr>
      </w:pPr>
      <w:r>
        <w:rPr>
          <w:rFonts w:ascii="Calibri"/>
          <w:sz w:val="20"/>
          <w:vertAlign w:val="superscript"/>
        </w:rPr>
        <w:t>199</w:t>
      </w:r>
      <w:r>
        <w:rPr>
          <w:rFonts w:ascii="Calibri"/>
          <w:sz w:val="20"/>
          <w:vertAlign w:val="baseline"/>
        </w:rPr>
        <w:t>Per Buckley J. ibid. at 265-266. The</w:t>
      </w:r>
      <w:r>
        <w:rPr>
          <w:rFonts w:ascii="Calibri"/>
          <w:spacing w:val="-3"/>
          <w:sz w:val="20"/>
          <w:vertAlign w:val="baseline"/>
        </w:rPr>
        <w:t> </w:t>
      </w:r>
      <w:r>
        <w:rPr>
          <w:rFonts w:ascii="Calibri"/>
          <w:sz w:val="20"/>
          <w:vertAlign w:val="baseline"/>
        </w:rPr>
        <w:t>earlier decision of </w:t>
      </w:r>
      <w:r>
        <w:rPr>
          <w:rFonts w:ascii="Calibri"/>
          <w:i/>
          <w:sz w:val="20"/>
          <w:vertAlign w:val="baseline"/>
        </w:rPr>
        <w:t>Punt vs. Symons</w:t>
      </w:r>
      <w:r>
        <w:rPr>
          <w:rFonts w:ascii="Calibri"/>
          <w:i/>
          <w:spacing w:val="-1"/>
          <w:sz w:val="20"/>
          <w:vertAlign w:val="baseline"/>
        </w:rPr>
        <w:t> </w:t>
      </w:r>
      <w:r>
        <w:rPr>
          <w:rFonts w:ascii="Calibri"/>
          <w:i/>
          <w:sz w:val="20"/>
          <w:vertAlign w:val="baseline"/>
        </w:rPr>
        <w:t>&amp; Co.</w:t>
      </w:r>
      <w:r>
        <w:rPr>
          <w:rFonts w:ascii="Calibri"/>
          <w:i/>
          <w:spacing w:val="-2"/>
          <w:sz w:val="20"/>
          <w:vertAlign w:val="baseline"/>
        </w:rPr>
        <w:t> </w:t>
      </w:r>
      <w:r>
        <w:rPr>
          <w:rFonts w:ascii="Calibri"/>
          <w:i/>
          <w:sz w:val="20"/>
          <w:vertAlign w:val="baseline"/>
        </w:rPr>
        <w:t>Ltd</w:t>
      </w:r>
      <w:r>
        <w:rPr>
          <w:rFonts w:ascii="Calibri"/>
          <w:sz w:val="20"/>
          <w:vertAlign w:val="baseline"/>
        </w:rPr>
        <w:t>. (1903) 2 Ch. 506 was similarly decided.</w:t>
      </w:r>
    </w:p>
    <w:p>
      <w:pPr>
        <w:spacing w:before="1"/>
        <w:ind w:left="308" w:right="0" w:firstLine="0"/>
        <w:jc w:val="left"/>
        <w:rPr>
          <w:rFonts w:ascii="Calibri"/>
          <w:sz w:val="20"/>
        </w:rPr>
      </w:pPr>
      <w:r>
        <w:rPr>
          <w:rFonts w:ascii="Calibri"/>
          <w:sz w:val="20"/>
          <w:vertAlign w:val="superscript"/>
        </w:rPr>
        <w:t>200</w:t>
      </w:r>
      <w:r>
        <w:rPr>
          <w:rFonts w:ascii="Calibri"/>
          <w:sz w:val="20"/>
          <w:vertAlign w:val="baseline"/>
        </w:rPr>
        <w:t>(1974)</w:t>
      </w:r>
      <w:r>
        <w:rPr>
          <w:rFonts w:ascii="Calibri"/>
          <w:spacing w:val="-4"/>
          <w:sz w:val="20"/>
          <w:vertAlign w:val="baseline"/>
        </w:rPr>
        <w:t> </w:t>
      </w:r>
      <w:r>
        <w:rPr>
          <w:rFonts w:ascii="Calibri"/>
          <w:sz w:val="20"/>
          <w:vertAlign w:val="baseline"/>
        </w:rPr>
        <w:t>A.C.</w:t>
      </w:r>
      <w:r>
        <w:rPr>
          <w:rFonts w:ascii="Calibri"/>
          <w:spacing w:val="-3"/>
          <w:sz w:val="20"/>
          <w:vertAlign w:val="baseline"/>
        </w:rPr>
        <w:t> </w:t>
      </w:r>
      <w:r>
        <w:rPr>
          <w:rFonts w:ascii="Calibri"/>
          <w:spacing w:val="-4"/>
          <w:sz w:val="20"/>
          <w:vertAlign w:val="baseline"/>
        </w:rPr>
        <w:t>821.</w:t>
      </w:r>
    </w:p>
    <w:p>
      <w:pPr>
        <w:spacing w:before="1"/>
        <w:ind w:left="308" w:right="0" w:firstLine="0"/>
        <w:jc w:val="left"/>
        <w:rPr>
          <w:rFonts w:ascii="Calibri"/>
          <w:sz w:val="20"/>
        </w:rPr>
      </w:pPr>
      <w:r>
        <w:rPr>
          <w:rFonts w:ascii="Calibri"/>
          <w:sz w:val="20"/>
          <w:vertAlign w:val="superscript"/>
        </w:rPr>
        <w:t>201</w:t>
      </w:r>
      <w:r>
        <w:rPr>
          <w:rFonts w:ascii="Calibri"/>
          <w:sz w:val="20"/>
          <w:vertAlign w:val="baseline"/>
        </w:rPr>
        <w:t>Supra</w:t>
      </w:r>
      <w:r>
        <w:rPr>
          <w:rFonts w:ascii="Calibri"/>
          <w:spacing w:val="-3"/>
          <w:sz w:val="20"/>
          <w:vertAlign w:val="baseline"/>
        </w:rPr>
        <w:t> </w:t>
      </w:r>
      <w:r>
        <w:rPr>
          <w:rFonts w:ascii="Calibri"/>
          <w:sz w:val="20"/>
          <w:vertAlign w:val="baseline"/>
        </w:rPr>
        <w:t>at</w:t>
      </w:r>
      <w:r>
        <w:rPr>
          <w:rFonts w:ascii="Calibri"/>
          <w:spacing w:val="-5"/>
          <w:sz w:val="20"/>
          <w:vertAlign w:val="baseline"/>
        </w:rPr>
        <w:t> </w:t>
      </w:r>
      <w:r>
        <w:rPr>
          <w:rFonts w:ascii="Calibri"/>
          <w:sz w:val="20"/>
          <w:vertAlign w:val="baseline"/>
        </w:rPr>
        <w:t>835-</w:t>
      </w:r>
      <w:r>
        <w:rPr>
          <w:rFonts w:ascii="Calibri"/>
          <w:spacing w:val="-4"/>
          <w:sz w:val="20"/>
          <w:vertAlign w:val="baseline"/>
        </w:rPr>
        <w:t>836.</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194"/>
        <w:jc w:val="both"/>
      </w:pPr>
      <w:r>
        <w:rPr/>
        <w:t>Wales</w:t>
      </w:r>
      <w:r>
        <w:rPr>
          <w:spacing w:val="-2"/>
        </w:rPr>
        <w:t> </w:t>
      </w:r>
      <w:r>
        <w:rPr/>
        <w:t>Supreme Court, found this argument ―unreal</w:t>
      </w:r>
      <w:r>
        <w:rPr>
          <w:spacing w:val="-3"/>
        </w:rPr>
        <w:t> </w:t>
      </w:r>
      <w:r>
        <w:rPr/>
        <w:t>and unconvincing‖. If</w:t>
      </w:r>
      <w:r>
        <w:rPr>
          <w:spacing w:val="-7"/>
        </w:rPr>
        <w:t> </w:t>
      </w:r>
      <w:r>
        <w:rPr/>
        <w:t>there happen to be potentially many purposes for the directors‘ action in any given case, the court would consider the dominant or primary purpose which the directors had.</w:t>
      </w:r>
      <w:r>
        <w:rPr>
          <w:vertAlign w:val="superscript"/>
        </w:rPr>
        <w:t>202</w:t>
      </w:r>
    </w:p>
    <w:p>
      <w:pPr>
        <w:pStyle w:val="BodyText"/>
        <w:spacing w:line="480" w:lineRule="auto"/>
        <w:ind w:right="182" w:firstLine="720"/>
        <w:jc w:val="both"/>
      </w:pPr>
      <w:r>
        <w:rPr/>
        <w:t>In giving the judgment of the Privy Council, Lord Wilberforce stated that a decision of directors to issue shares could be set aside on the ground of improper</w:t>
      </w:r>
      <w:r>
        <w:rPr>
          <w:spacing w:val="40"/>
        </w:rPr>
        <w:t> </w:t>
      </w:r>
      <w:r>
        <w:rPr/>
        <w:t>purpose even though there was no element of self-interest involved, and that while it might in some circumstances be proper to issue shares for purposes other than raising capital</w:t>
      </w:r>
      <w:r>
        <w:rPr>
          <w:spacing w:val="-2"/>
        </w:rPr>
        <w:t> </w:t>
      </w:r>
      <w:r>
        <w:rPr/>
        <w:t>for the company, ―it must be unconstitutional for directors</w:t>
      </w:r>
      <w:r>
        <w:rPr>
          <w:spacing w:val="-4"/>
        </w:rPr>
        <w:t> </w:t>
      </w:r>
      <w:r>
        <w:rPr/>
        <w:t>to use their fiduciary powers over the shares in the company purely for the purpose of destroying an existing majority, or creating a new majority which did not previously exist.‖ Further, he</w:t>
      </w:r>
      <w:r>
        <w:rPr>
          <w:spacing w:val="40"/>
        </w:rPr>
        <w:t> </w:t>
      </w:r>
      <w:r>
        <w:rPr/>
        <w:t>observed that the case was all the stronger against the directors where there was ―an ulterior purpose</w:t>
      </w:r>
      <w:r>
        <w:rPr>
          <w:spacing w:val="-2"/>
        </w:rPr>
        <w:t> </w:t>
      </w:r>
      <w:r>
        <w:rPr/>
        <w:t>to enable an</w:t>
      </w:r>
      <w:r>
        <w:rPr>
          <w:spacing w:val="-1"/>
        </w:rPr>
        <w:t> </w:t>
      </w:r>
      <w:r>
        <w:rPr/>
        <w:t>offer for shares to proceed which</w:t>
      </w:r>
      <w:r>
        <w:rPr>
          <w:spacing w:val="-1"/>
        </w:rPr>
        <w:t> </w:t>
      </w:r>
      <w:r>
        <w:rPr/>
        <w:t>the existing majority was in a position to block.‖</w:t>
      </w:r>
      <w:r>
        <w:rPr>
          <w:vertAlign w:val="superscript"/>
        </w:rPr>
        <w:t>203</w:t>
      </w:r>
      <w:r>
        <w:rPr>
          <w:vertAlign w:val="baseline"/>
        </w:rPr>
        <w:t> Thus, where the self-interest of the directors is involved, the court would generally</w:t>
      </w:r>
      <w:r>
        <w:rPr>
          <w:spacing w:val="-5"/>
          <w:vertAlign w:val="baseline"/>
        </w:rPr>
        <w:t> </w:t>
      </w:r>
      <w:r>
        <w:rPr>
          <w:vertAlign w:val="baseline"/>
        </w:rPr>
        <w:t>reject any</w:t>
      </w:r>
      <w:r>
        <w:rPr>
          <w:spacing w:val="-5"/>
          <w:vertAlign w:val="baseline"/>
        </w:rPr>
        <w:t> </w:t>
      </w:r>
      <w:r>
        <w:rPr>
          <w:vertAlign w:val="baseline"/>
        </w:rPr>
        <w:t>plea</w:t>
      </w:r>
      <w:r>
        <w:rPr>
          <w:spacing w:val="-1"/>
          <w:vertAlign w:val="baseline"/>
        </w:rPr>
        <w:t> </w:t>
      </w:r>
      <w:r>
        <w:rPr>
          <w:vertAlign w:val="baseline"/>
        </w:rPr>
        <w:t>that their action</w:t>
      </w:r>
      <w:r>
        <w:rPr>
          <w:spacing w:val="-5"/>
          <w:vertAlign w:val="baseline"/>
        </w:rPr>
        <w:t> </w:t>
      </w:r>
      <w:r>
        <w:rPr>
          <w:vertAlign w:val="baseline"/>
        </w:rPr>
        <w:t>was bona fide in the interest of</w:t>
      </w:r>
      <w:r>
        <w:rPr>
          <w:spacing w:val="-8"/>
          <w:vertAlign w:val="baseline"/>
        </w:rPr>
        <w:t> </w:t>
      </w:r>
      <w:r>
        <w:rPr>
          <w:vertAlign w:val="baseline"/>
        </w:rPr>
        <w:t>the company, just as it would reject the plea of a trustee that he paid a good price, if he bought trust property.</w:t>
      </w:r>
      <w:r>
        <w:rPr>
          <w:vertAlign w:val="superscript"/>
        </w:rPr>
        <w:t>204</w:t>
      </w:r>
      <w:r>
        <w:rPr>
          <w:vertAlign w:val="baseline"/>
        </w:rPr>
        <w:t> Accordingly, the Privy Council held that the board of Millers had acted with</w:t>
      </w:r>
      <w:r>
        <w:rPr>
          <w:spacing w:val="-5"/>
          <w:vertAlign w:val="baseline"/>
        </w:rPr>
        <w:t> </w:t>
      </w:r>
      <w:r>
        <w:rPr>
          <w:vertAlign w:val="baseline"/>
        </w:rPr>
        <w:t>an</w:t>
      </w:r>
      <w:r>
        <w:rPr>
          <w:spacing w:val="-2"/>
          <w:vertAlign w:val="baseline"/>
        </w:rPr>
        <w:t> </w:t>
      </w:r>
      <w:r>
        <w:rPr>
          <w:i/>
          <w:vertAlign w:val="baseline"/>
        </w:rPr>
        <w:t>improperpurpose</w:t>
      </w:r>
      <w:r>
        <w:rPr>
          <w:vertAlign w:val="baseline"/>
        </w:rPr>
        <w:t>, albeit honestly</w:t>
      </w:r>
      <w:r>
        <w:rPr>
          <w:spacing w:val="-5"/>
          <w:vertAlign w:val="baseline"/>
        </w:rPr>
        <w:t> </w:t>
      </w:r>
      <w:r>
        <w:rPr>
          <w:vertAlign w:val="baseline"/>
        </w:rPr>
        <w:t>and within their powers, and that the issue of shares to the bidder should thus be set aside.</w:t>
      </w:r>
    </w:p>
    <w:p>
      <w:pPr>
        <w:pStyle w:val="BodyText"/>
        <w:spacing w:line="480" w:lineRule="auto" w:before="3"/>
        <w:ind w:right="177" w:firstLine="720"/>
        <w:jc w:val="both"/>
      </w:pPr>
      <w:r>
        <w:rPr/>
        <w:t>In spite of the presumably strict rules set by the foregoing cases, some decisions coming later considered the possibility that under certain circumstances, the court may uphold the directors issuing powers if commercially justified in the corporate interest</w:t>
      </w:r>
      <w:r>
        <w:rPr>
          <w:spacing w:val="40"/>
        </w:rPr>
        <w:t> </w:t>
      </w:r>
      <w:r>
        <w:rPr/>
        <w:t>and</w:t>
      </w:r>
      <w:r>
        <w:rPr>
          <w:spacing w:val="48"/>
        </w:rPr>
        <w:t> </w:t>
      </w:r>
      <w:r>
        <w:rPr/>
        <w:t>regardless</w:t>
      </w:r>
      <w:r>
        <w:rPr>
          <w:spacing w:val="47"/>
        </w:rPr>
        <w:t> </w:t>
      </w:r>
      <w:r>
        <w:rPr/>
        <w:t>of</w:t>
      </w:r>
      <w:r>
        <w:rPr>
          <w:spacing w:val="41"/>
        </w:rPr>
        <w:t> </w:t>
      </w:r>
      <w:r>
        <w:rPr/>
        <w:t>the</w:t>
      </w:r>
      <w:r>
        <w:rPr>
          <w:spacing w:val="52"/>
        </w:rPr>
        <w:t> </w:t>
      </w:r>
      <w:r>
        <w:rPr/>
        <w:t>fact</w:t>
      </w:r>
      <w:r>
        <w:rPr>
          <w:spacing w:val="49"/>
        </w:rPr>
        <w:t> </w:t>
      </w:r>
      <w:r>
        <w:rPr/>
        <w:t>that</w:t>
      </w:r>
      <w:r>
        <w:rPr>
          <w:spacing w:val="53"/>
        </w:rPr>
        <w:t> </w:t>
      </w:r>
      <w:r>
        <w:rPr/>
        <w:t>it</w:t>
      </w:r>
      <w:r>
        <w:rPr>
          <w:spacing w:val="59"/>
        </w:rPr>
        <w:t> </w:t>
      </w:r>
      <w:r>
        <w:rPr/>
        <w:t>incidentally</w:t>
      </w:r>
      <w:r>
        <w:rPr>
          <w:spacing w:val="44"/>
        </w:rPr>
        <w:t> </w:t>
      </w:r>
      <w:r>
        <w:rPr/>
        <w:t>results</w:t>
      </w:r>
      <w:r>
        <w:rPr>
          <w:spacing w:val="50"/>
        </w:rPr>
        <w:t> </w:t>
      </w:r>
      <w:r>
        <w:rPr/>
        <w:t>in</w:t>
      </w:r>
      <w:r>
        <w:rPr>
          <w:spacing w:val="49"/>
        </w:rPr>
        <w:t> </w:t>
      </w:r>
      <w:r>
        <w:rPr/>
        <w:t>putting</w:t>
      </w:r>
      <w:r>
        <w:rPr>
          <w:spacing w:val="49"/>
        </w:rPr>
        <w:t> </w:t>
      </w:r>
      <w:r>
        <w:rPr/>
        <w:t>off</w:t>
      </w:r>
      <w:r>
        <w:rPr>
          <w:spacing w:val="45"/>
        </w:rPr>
        <w:t> </w:t>
      </w:r>
      <w:r>
        <w:rPr/>
        <w:t>a</w:t>
      </w:r>
      <w:r>
        <w:rPr>
          <w:spacing w:val="48"/>
        </w:rPr>
        <w:t> </w:t>
      </w:r>
      <w:r>
        <w:rPr/>
        <w:t>takeover.</w:t>
      </w:r>
      <w:r>
        <w:rPr>
          <w:vertAlign w:val="superscript"/>
        </w:rPr>
        <w:t>205</w:t>
      </w:r>
      <w:r>
        <w:rPr>
          <w:spacing w:val="51"/>
          <w:vertAlign w:val="baseline"/>
        </w:rPr>
        <w:t> </w:t>
      </w:r>
      <w:r>
        <w:rPr>
          <w:spacing w:val="-5"/>
          <w:vertAlign w:val="baseline"/>
        </w:rPr>
        <w:t>In</w:t>
      </w:r>
    </w:p>
    <w:p>
      <w:pPr>
        <w:pStyle w:val="BodyText"/>
        <w:ind w:left="0"/>
        <w:rPr>
          <w:sz w:val="20"/>
        </w:rPr>
      </w:pPr>
    </w:p>
    <w:p>
      <w:pPr>
        <w:pStyle w:val="BodyText"/>
        <w:spacing w:before="43"/>
        <w:ind w:left="0"/>
        <w:rPr>
          <w:sz w:val="20"/>
        </w:rPr>
      </w:pPr>
      <w:r>
        <w:rPr/>
        <mc:AlternateContent>
          <mc:Choice Requires="wps">
            <w:drawing>
              <wp:anchor distT="0" distB="0" distL="0" distR="0" allowOverlap="1" layoutInCell="1" locked="0" behindDoc="1" simplePos="0" relativeHeight="487659520">
                <wp:simplePos x="0" y="0"/>
                <wp:positionH relativeFrom="page">
                  <wp:posOffset>1262481</wp:posOffset>
                </wp:positionH>
                <wp:positionV relativeFrom="paragraph">
                  <wp:posOffset>189134</wp:posOffset>
                </wp:positionV>
                <wp:extent cx="1829435" cy="9525"/>
                <wp:effectExtent l="0" t="0" r="0" b="0"/>
                <wp:wrapTopAndBottom/>
                <wp:docPr id="156" name="Graphic 156"/>
                <wp:cNvGraphicFramePr>
                  <a:graphicFrameLocks/>
                </wp:cNvGraphicFramePr>
                <a:graphic>
                  <a:graphicData uri="http://schemas.microsoft.com/office/word/2010/wordprocessingShape">
                    <wps:wsp>
                      <wps:cNvPr id="156" name="Graphic 15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509pt;width:144.050pt;height:.72003pt;mso-position-horizontal-relative:page;mso-position-vertical-relative:paragraph;z-index:-15656960;mso-wrap-distance-left:0;mso-wrap-distance-right:0" id="docshape111"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202</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7"/>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S.op.cit.at</w:t>
      </w:r>
      <w:r>
        <w:rPr>
          <w:rFonts w:ascii="Calibri"/>
          <w:spacing w:val="-3"/>
          <w:sz w:val="20"/>
          <w:vertAlign w:val="baseline"/>
        </w:rPr>
        <w:t> </w:t>
      </w:r>
      <w:r>
        <w:rPr>
          <w:rFonts w:ascii="Calibri"/>
          <w:spacing w:val="-4"/>
          <w:sz w:val="20"/>
          <w:vertAlign w:val="baseline"/>
        </w:rPr>
        <w:t>530.</w:t>
      </w:r>
    </w:p>
    <w:p>
      <w:pPr>
        <w:spacing w:before="0"/>
        <w:ind w:left="308" w:right="0" w:firstLine="0"/>
        <w:jc w:val="left"/>
        <w:rPr>
          <w:rFonts w:ascii="Calibri"/>
          <w:sz w:val="20"/>
        </w:rPr>
      </w:pPr>
      <w:r>
        <w:rPr>
          <w:rFonts w:ascii="Calibri"/>
          <w:sz w:val="20"/>
          <w:vertAlign w:val="superscript"/>
        </w:rPr>
        <w:t>203</w:t>
      </w:r>
      <w:r>
        <w:rPr>
          <w:rFonts w:ascii="Calibri"/>
          <w:sz w:val="20"/>
          <w:vertAlign w:val="baseline"/>
        </w:rPr>
        <w:t>Supra at</w:t>
      </w:r>
      <w:r>
        <w:rPr>
          <w:rFonts w:ascii="Calibri"/>
          <w:spacing w:val="-3"/>
          <w:sz w:val="20"/>
          <w:vertAlign w:val="baseline"/>
        </w:rPr>
        <w:t> </w:t>
      </w:r>
      <w:r>
        <w:rPr>
          <w:rFonts w:ascii="Calibri"/>
          <w:spacing w:val="-4"/>
          <w:sz w:val="20"/>
          <w:vertAlign w:val="baseline"/>
        </w:rPr>
        <w:t>837.</w:t>
      </w:r>
    </w:p>
    <w:p>
      <w:pPr>
        <w:spacing w:before="1"/>
        <w:ind w:left="308" w:right="0" w:firstLine="0"/>
        <w:jc w:val="left"/>
        <w:rPr>
          <w:rFonts w:ascii="Calibri"/>
          <w:sz w:val="20"/>
        </w:rPr>
      </w:pPr>
      <w:r>
        <w:rPr>
          <w:rFonts w:ascii="Calibri"/>
          <w:sz w:val="20"/>
          <w:vertAlign w:val="superscript"/>
        </w:rPr>
        <w:t>204</w:t>
      </w:r>
      <w:r>
        <w:rPr>
          <w:rFonts w:ascii="Calibri"/>
          <w:sz w:val="20"/>
          <w:vertAlign w:val="baseline"/>
        </w:rPr>
        <w:t>Supra at</w:t>
      </w:r>
      <w:r>
        <w:rPr>
          <w:rFonts w:ascii="Calibri"/>
          <w:spacing w:val="-3"/>
          <w:sz w:val="20"/>
          <w:vertAlign w:val="baseline"/>
        </w:rPr>
        <w:t> </w:t>
      </w:r>
      <w:r>
        <w:rPr>
          <w:rFonts w:ascii="Calibri"/>
          <w:spacing w:val="-4"/>
          <w:sz w:val="20"/>
          <w:vertAlign w:val="baseline"/>
        </w:rPr>
        <w:t>834.</w:t>
      </w:r>
    </w:p>
    <w:p>
      <w:pPr>
        <w:spacing w:before="1"/>
        <w:ind w:left="308" w:right="255" w:firstLine="0"/>
        <w:jc w:val="left"/>
        <w:rPr>
          <w:rFonts w:ascii="Calibri" w:hAnsi="Calibri"/>
          <w:sz w:val="20"/>
        </w:rPr>
      </w:pPr>
      <w:r>
        <w:rPr>
          <w:rFonts w:ascii="Calibri" w:hAnsi="Calibri"/>
          <w:sz w:val="20"/>
          <w:vertAlign w:val="superscript"/>
        </w:rPr>
        <w:t>205</w:t>
      </w:r>
      <w:r>
        <w:rPr>
          <w:rFonts w:ascii="Calibri" w:hAnsi="Calibri"/>
          <w:i/>
          <w:sz w:val="20"/>
          <w:vertAlign w:val="baseline"/>
        </w:rPr>
        <w:t>Pine</w:t>
      </w:r>
      <w:r>
        <w:rPr>
          <w:rFonts w:ascii="Calibri" w:hAnsi="Calibri"/>
          <w:i/>
          <w:spacing w:val="40"/>
          <w:sz w:val="20"/>
          <w:vertAlign w:val="baseline"/>
        </w:rPr>
        <w:t> </w:t>
      </w:r>
      <w:r>
        <w:rPr>
          <w:rFonts w:ascii="Calibri" w:hAnsi="Calibri"/>
          <w:i/>
          <w:sz w:val="20"/>
          <w:vertAlign w:val="baseline"/>
        </w:rPr>
        <w:t>Vale</w:t>
      </w:r>
      <w:r>
        <w:rPr>
          <w:rFonts w:ascii="Calibri" w:hAnsi="Calibri"/>
          <w:i/>
          <w:spacing w:val="40"/>
          <w:sz w:val="20"/>
          <w:vertAlign w:val="baseline"/>
        </w:rPr>
        <w:t> </w:t>
      </w:r>
      <w:r>
        <w:rPr>
          <w:rFonts w:ascii="Calibri" w:hAnsi="Calibri"/>
          <w:i/>
          <w:sz w:val="20"/>
          <w:vertAlign w:val="baseline"/>
        </w:rPr>
        <w:t>Investments</w:t>
      </w:r>
      <w:r>
        <w:rPr>
          <w:rFonts w:ascii="Calibri" w:hAnsi="Calibri"/>
          <w:i/>
          <w:spacing w:val="40"/>
          <w:sz w:val="20"/>
          <w:vertAlign w:val="baseline"/>
        </w:rPr>
        <w:t> </w:t>
      </w:r>
      <w:r>
        <w:rPr>
          <w:rFonts w:ascii="Calibri" w:hAnsi="Calibri"/>
          <w:i/>
          <w:sz w:val="20"/>
          <w:vertAlign w:val="baseline"/>
        </w:rPr>
        <w:t>Ltd.</w:t>
      </w:r>
      <w:r>
        <w:rPr>
          <w:rFonts w:ascii="Calibri" w:hAnsi="Calibri"/>
          <w:i/>
          <w:spacing w:val="40"/>
          <w:sz w:val="20"/>
          <w:vertAlign w:val="baseline"/>
        </w:rPr>
        <w:t> </w:t>
      </w:r>
      <w:r>
        <w:rPr>
          <w:rFonts w:ascii="Calibri" w:hAnsi="Calibri"/>
          <w:i/>
          <w:sz w:val="20"/>
          <w:vertAlign w:val="baseline"/>
        </w:rPr>
        <w:t>vs.</w:t>
      </w:r>
      <w:r>
        <w:rPr>
          <w:rFonts w:ascii="Calibri" w:hAnsi="Calibri"/>
          <w:i/>
          <w:spacing w:val="40"/>
          <w:sz w:val="20"/>
          <w:vertAlign w:val="baseline"/>
        </w:rPr>
        <w:t> </w:t>
      </w:r>
      <w:r>
        <w:rPr>
          <w:rFonts w:ascii="Calibri" w:hAnsi="Calibri"/>
          <w:i/>
          <w:sz w:val="20"/>
          <w:vertAlign w:val="baseline"/>
        </w:rPr>
        <w:t>McDonnell</w:t>
      </w:r>
      <w:r>
        <w:rPr>
          <w:rFonts w:ascii="Calibri" w:hAnsi="Calibri"/>
          <w:i/>
          <w:spacing w:val="40"/>
          <w:sz w:val="20"/>
          <w:vertAlign w:val="baseline"/>
        </w:rPr>
        <w:t> </w:t>
      </w:r>
      <w:r>
        <w:rPr>
          <w:rFonts w:ascii="Calibri" w:hAnsi="Calibri"/>
          <w:i/>
          <w:sz w:val="20"/>
          <w:vertAlign w:val="baseline"/>
        </w:rPr>
        <w:t>and</w:t>
      </w:r>
      <w:r>
        <w:rPr>
          <w:rFonts w:ascii="Calibri" w:hAnsi="Calibri"/>
          <w:i/>
          <w:spacing w:val="40"/>
          <w:sz w:val="20"/>
          <w:vertAlign w:val="baseline"/>
        </w:rPr>
        <w:t> </w:t>
      </w:r>
      <w:r>
        <w:rPr>
          <w:rFonts w:ascii="Calibri" w:hAnsi="Calibri"/>
          <w:i/>
          <w:sz w:val="20"/>
          <w:vertAlign w:val="baseline"/>
        </w:rPr>
        <w:t>East</w:t>
      </w:r>
      <w:r>
        <w:rPr>
          <w:rFonts w:ascii="Calibri" w:hAnsi="Calibri"/>
          <w:i/>
          <w:spacing w:val="40"/>
          <w:sz w:val="20"/>
          <w:vertAlign w:val="baseline"/>
        </w:rPr>
        <w:t> </w:t>
      </w:r>
      <w:r>
        <w:rPr>
          <w:rFonts w:ascii="Calibri" w:hAnsi="Calibri"/>
          <w:i/>
          <w:sz w:val="20"/>
          <w:vertAlign w:val="baseline"/>
        </w:rPr>
        <w:t>Ltd.</w:t>
      </w:r>
      <w:r>
        <w:rPr>
          <w:rFonts w:ascii="Calibri" w:hAnsi="Calibri"/>
          <w:i/>
          <w:spacing w:val="40"/>
          <w:sz w:val="20"/>
          <w:vertAlign w:val="baseline"/>
        </w:rPr>
        <w:t> </w:t>
      </w:r>
      <w:r>
        <w:rPr>
          <w:rFonts w:ascii="Calibri" w:hAnsi="Calibri"/>
          <w:sz w:val="20"/>
          <w:vertAlign w:val="baseline"/>
        </w:rPr>
        <w:t>(1983)</w:t>
      </w:r>
      <w:r>
        <w:rPr>
          <w:rFonts w:ascii="Calibri" w:hAnsi="Calibri"/>
          <w:spacing w:val="40"/>
          <w:sz w:val="20"/>
          <w:vertAlign w:val="baseline"/>
        </w:rPr>
        <w:t> </w:t>
      </w:r>
      <w:r>
        <w:rPr>
          <w:rFonts w:ascii="Calibri" w:hAnsi="Calibri"/>
          <w:sz w:val="20"/>
          <w:vertAlign w:val="baseline"/>
        </w:rPr>
        <w:t>1</w:t>
      </w:r>
      <w:r>
        <w:rPr>
          <w:rFonts w:ascii="Calibri" w:hAnsi="Calibri"/>
          <w:spacing w:val="40"/>
          <w:sz w:val="20"/>
          <w:vertAlign w:val="baseline"/>
        </w:rPr>
        <w:t> </w:t>
      </w:r>
      <w:r>
        <w:rPr>
          <w:rFonts w:ascii="Calibri" w:hAnsi="Calibri"/>
          <w:sz w:val="20"/>
          <w:vertAlign w:val="baseline"/>
        </w:rPr>
        <w:t>A.C.L.C.</w:t>
      </w:r>
      <w:r>
        <w:rPr>
          <w:rFonts w:ascii="Calibri" w:hAnsi="Calibri"/>
          <w:spacing w:val="40"/>
          <w:sz w:val="20"/>
          <w:vertAlign w:val="baseline"/>
        </w:rPr>
        <w:t> </w:t>
      </w:r>
      <w:r>
        <w:rPr>
          <w:rFonts w:ascii="Calibri" w:hAnsi="Calibri"/>
          <w:sz w:val="20"/>
          <w:vertAlign w:val="baseline"/>
        </w:rPr>
        <w:t>1294</w:t>
      </w:r>
      <w:r>
        <w:rPr>
          <w:rFonts w:ascii="Calibri" w:hAnsi="Calibri"/>
          <w:spacing w:val="40"/>
          <w:sz w:val="20"/>
          <w:vertAlign w:val="baseline"/>
        </w:rPr>
        <w:t> </w:t>
      </w:r>
      <w:r>
        <w:rPr>
          <w:rFonts w:ascii="Calibri" w:hAnsi="Calibri"/>
          <w:sz w:val="20"/>
          <w:vertAlign w:val="baseline"/>
        </w:rPr>
        <w:t>at</w:t>
      </w:r>
      <w:r>
        <w:rPr>
          <w:rFonts w:ascii="Calibri" w:hAnsi="Calibri"/>
          <w:spacing w:val="40"/>
          <w:sz w:val="20"/>
          <w:vertAlign w:val="baseline"/>
        </w:rPr>
        <w:t> </w:t>
      </w:r>
      <w:r>
        <w:rPr>
          <w:rFonts w:ascii="Calibri" w:hAnsi="Calibri"/>
          <w:sz w:val="20"/>
          <w:vertAlign w:val="baseline"/>
        </w:rPr>
        <w:t>1304.</w:t>
      </w:r>
      <w:r>
        <w:rPr>
          <w:rFonts w:ascii="Calibri" w:hAnsi="Calibri"/>
          <w:spacing w:val="40"/>
          <w:sz w:val="20"/>
          <w:vertAlign w:val="baseline"/>
        </w:rPr>
        <w:t> </w:t>
      </w:r>
      <w:r>
        <w:rPr>
          <w:rFonts w:ascii="Calibri" w:hAnsi="Calibri"/>
          <w:sz w:val="20"/>
          <w:vertAlign w:val="baseline"/>
        </w:rPr>
        <w:t>Earlier decisions,</w:t>
      </w:r>
      <w:r>
        <w:rPr>
          <w:rFonts w:ascii="Calibri" w:hAnsi="Calibri"/>
          <w:spacing w:val="8"/>
          <w:sz w:val="20"/>
          <w:vertAlign w:val="baseline"/>
        </w:rPr>
        <w:t> </w:t>
      </w:r>
      <w:r>
        <w:rPr>
          <w:rFonts w:ascii="Calibri" w:hAnsi="Calibri"/>
          <w:sz w:val="20"/>
          <w:vertAlign w:val="baseline"/>
        </w:rPr>
        <w:t>including</w:t>
      </w:r>
      <w:r>
        <w:rPr>
          <w:rFonts w:ascii="Calibri" w:hAnsi="Calibri"/>
          <w:spacing w:val="18"/>
          <w:sz w:val="20"/>
          <w:vertAlign w:val="baseline"/>
        </w:rPr>
        <w:t> </w:t>
      </w:r>
      <w:r>
        <w:rPr>
          <w:rFonts w:ascii="Calibri" w:hAnsi="Calibri"/>
          <w:i/>
          <w:sz w:val="20"/>
          <w:vertAlign w:val="baseline"/>
        </w:rPr>
        <w:t>Harlowe’s</w:t>
      </w:r>
      <w:r>
        <w:rPr>
          <w:rFonts w:ascii="Calibri" w:hAnsi="Calibri"/>
          <w:i/>
          <w:spacing w:val="14"/>
          <w:sz w:val="20"/>
          <w:vertAlign w:val="baseline"/>
        </w:rPr>
        <w:t> </w:t>
      </w:r>
      <w:r>
        <w:rPr>
          <w:rFonts w:ascii="Calibri" w:hAnsi="Calibri"/>
          <w:i/>
          <w:sz w:val="20"/>
          <w:vertAlign w:val="baseline"/>
        </w:rPr>
        <w:t>Nominees</w:t>
      </w:r>
      <w:r>
        <w:rPr>
          <w:rFonts w:ascii="Calibri" w:hAnsi="Calibri"/>
          <w:i/>
          <w:spacing w:val="10"/>
          <w:sz w:val="20"/>
          <w:vertAlign w:val="baseline"/>
        </w:rPr>
        <w:t> </w:t>
      </w:r>
      <w:r>
        <w:rPr>
          <w:rFonts w:ascii="Calibri" w:hAnsi="Calibri"/>
          <w:i/>
          <w:sz w:val="20"/>
          <w:vertAlign w:val="baseline"/>
        </w:rPr>
        <w:t>Pty</w:t>
      </w:r>
      <w:r>
        <w:rPr>
          <w:rFonts w:ascii="Calibri" w:hAnsi="Calibri"/>
          <w:i/>
          <w:spacing w:val="12"/>
          <w:sz w:val="20"/>
          <w:vertAlign w:val="baseline"/>
        </w:rPr>
        <w:t> </w:t>
      </w:r>
      <w:r>
        <w:rPr>
          <w:rFonts w:ascii="Calibri" w:hAnsi="Calibri"/>
          <w:i/>
          <w:sz w:val="20"/>
          <w:vertAlign w:val="baseline"/>
        </w:rPr>
        <w:t>Ltd.</w:t>
      </w:r>
      <w:r>
        <w:rPr>
          <w:rFonts w:ascii="Calibri" w:hAnsi="Calibri"/>
          <w:i/>
          <w:spacing w:val="12"/>
          <w:sz w:val="20"/>
          <w:vertAlign w:val="baseline"/>
        </w:rPr>
        <w:t> </w:t>
      </w:r>
      <w:r>
        <w:rPr>
          <w:rFonts w:ascii="Calibri" w:hAnsi="Calibri"/>
          <w:i/>
          <w:sz w:val="20"/>
          <w:vertAlign w:val="baseline"/>
        </w:rPr>
        <w:t>vs.</w:t>
      </w:r>
      <w:r>
        <w:rPr>
          <w:rFonts w:ascii="Calibri" w:hAnsi="Calibri"/>
          <w:i/>
          <w:spacing w:val="13"/>
          <w:sz w:val="20"/>
          <w:vertAlign w:val="baseline"/>
        </w:rPr>
        <w:t> </w:t>
      </w:r>
      <w:r>
        <w:rPr>
          <w:rFonts w:ascii="Calibri" w:hAnsi="Calibri"/>
          <w:i/>
          <w:sz w:val="20"/>
          <w:vertAlign w:val="baseline"/>
        </w:rPr>
        <w:t>Woodside</w:t>
      </w:r>
      <w:r>
        <w:rPr>
          <w:rFonts w:ascii="Calibri" w:hAnsi="Calibri"/>
          <w:i/>
          <w:spacing w:val="11"/>
          <w:sz w:val="20"/>
          <w:vertAlign w:val="baseline"/>
        </w:rPr>
        <w:t> </w:t>
      </w:r>
      <w:r>
        <w:rPr>
          <w:rFonts w:ascii="Calibri" w:hAnsi="Calibri"/>
          <w:i/>
          <w:sz w:val="20"/>
          <w:vertAlign w:val="baseline"/>
        </w:rPr>
        <w:t>(Lakes</w:t>
      </w:r>
      <w:r>
        <w:rPr>
          <w:rFonts w:ascii="Calibri" w:hAnsi="Calibri"/>
          <w:i/>
          <w:spacing w:val="10"/>
          <w:sz w:val="20"/>
          <w:vertAlign w:val="baseline"/>
        </w:rPr>
        <w:t> </w:t>
      </w:r>
      <w:r>
        <w:rPr>
          <w:rFonts w:ascii="Calibri" w:hAnsi="Calibri"/>
          <w:i/>
          <w:sz w:val="20"/>
          <w:vertAlign w:val="baseline"/>
        </w:rPr>
        <w:t>Engrance)</w:t>
      </w:r>
      <w:r>
        <w:rPr>
          <w:rFonts w:ascii="Calibri" w:hAnsi="Calibri"/>
          <w:i/>
          <w:spacing w:val="12"/>
          <w:sz w:val="20"/>
          <w:vertAlign w:val="baseline"/>
        </w:rPr>
        <w:t> </w:t>
      </w:r>
      <w:r>
        <w:rPr>
          <w:rFonts w:ascii="Calibri" w:hAnsi="Calibri"/>
          <w:i/>
          <w:sz w:val="20"/>
          <w:vertAlign w:val="baseline"/>
        </w:rPr>
        <w:t>Oil</w:t>
      </w:r>
      <w:r>
        <w:rPr>
          <w:rFonts w:ascii="Calibri" w:hAnsi="Calibri"/>
          <w:i/>
          <w:spacing w:val="12"/>
          <w:sz w:val="20"/>
          <w:vertAlign w:val="baseline"/>
        </w:rPr>
        <w:t> </w:t>
      </w:r>
      <w:r>
        <w:rPr>
          <w:rFonts w:ascii="Calibri" w:hAnsi="Calibri"/>
          <w:i/>
          <w:sz w:val="20"/>
          <w:vertAlign w:val="baseline"/>
        </w:rPr>
        <w:t>Co.</w:t>
      </w:r>
      <w:r>
        <w:rPr>
          <w:rFonts w:ascii="Calibri" w:hAnsi="Calibri"/>
          <w:i/>
          <w:spacing w:val="13"/>
          <w:sz w:val="20"/>
          <w:vertAlign w:val="baseline"/>
        </w:rPr>
        <w:t> </w:t>
      </w:r>
      <w:r>
        <w:rPr>
          <w:rFonts w:ascii="Calibri" w:hAnsi="Calibri"/>
          <w:i/>
          <w:sz w:val="20"/>
          <w:vertAlign w:val="baseline"/>
        </w:rPr>
        <w:t>NL</w:t>
      </w:r>
      <w:r>
        <w:rPr>
          <w:rFonts w:ascii="Calibri" w:hAnsi="Calibri"/>
          <w:i/>
          <w:spacing w:val="16"/>
          <w:sz w:val="20"/>
          <w:vertAlign w:val="baseline"/>
        </w:rPr>
        <w:t> </w:t>
      </w:r>
      <w:r>
        <w:rPr>
          <w:rFonts w:ascii="Calibri" w:hAnsi="Calibri"/>
          <w:sz w:val="20"/>
          <w:vertAlign w:val="baseline"/>
        </w:rPr>
        <w:t>(1968)</w:t>
      </w:r>
      <w:r>
        <w:rPr>
          <w:rFonts w:ascii="Calibri" w:hAnsi="Calibri"/>
          <w:spacing w:val="17"/>
          <w:sz w:val="20"/>
          <w:vertAlign w:val="baseline"/>
        </w:rPr>
        <w:t> </w:t>
      </w:r>
      <w:r>
        <w:rPr>
          <w:rFonts w:ascii="Calibri" w:hAnsi="Calibri"/>
          <w:spacing w:val="-5"/>
          <w:sz w:val="20"/>
          <w:vertAlign w:val="baseline"/>
        </w:rPr>
        <w:t>121</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110"/>
        <w:ind w:right="179"/>
        <w:jc w:val="both"/>
      </w:pPr>
      <w:r>
        <w:rPr>
          <w:b/>
        </w:rPr>
        <w:t>Cayne vs. Global Natural Resources Plc.</w:t>
      </w:r>
      <w:r>
        <w:rPr/>
        <w:t>,</w:t>
      </w:r>
      <w:r>
        <w:rPr>
          <w:vertAlign w:val="superscript"/>
        </w:rPr>
        <w:t>206</w:t>
      </w:r>
      <w:r>
        <w:rPr>
          <w:vertAlign w:val="baseline"/>
        </w:rPr>
        <w:t>Megarry VC warned that the principle in </w:t>
      </w:r>
      <w:r>
        <w:rPr>
          <w:b/>
          <w:vertAlign w:val="baseline"/>
        </w:rPr>
        <w:t>Hogg </w:t>
      </w:r>
      <w:r>
        <w:rPr>
          <w:vertAlign w:val="baseline"/>
        </w:rPr>
        <w:t>must not be carried too far, particularly in instances where a competitor aims to take over in order to annihilate the target company. It would be a perfectly proper exercise of the fiduciary powers of the directors of the latter to issue shares to defeat</w:t>
      </w:r>
      <w:r>
        <w:rPr>
          <w:spacing w:val="40"/>
          <w:vertAlign w:val="baseline"/>
        </w:rPr>
        <w:t> </w:t>
      </w:r>
      <w:r>
        <w:rPr>
          <w:vertAlign w:val="baseline"/>
        </w:rPr>
        <w:t>their competitor‘s</w:t>
      </w:r>
      <w:r>
        <w:rPr>
          <w:spacing w:val="-1"/>
          <w:vertAlign w:val="baseline"/>
        </w:rPr>
        <w:t> </w:t>
      </w:r>
      <w:r>
        <w:rPr>
          <w:vertAlign w:val="baseline"/>
        </w:rPr>
        <w:t>purpose, if</w:t>
      </w:r>
      <w:r>
        <w:rPr>
          <w:spacing w:val="-1"/>
          <w:vertAlign w:val="baseline"/>
        </w:rPr>
        <w:t> </w:t>
      </w:r>
      <w:r>
        <w:rPr>
          <w:vertAlign w:val="baseline"/>
        </w:rPr>
        <w:t>the only means</w:t>
      </w:r>
      <w:r>
        <w:rPr>
          <w:spacing w:val="-1"/>
          <w:vertAlign w:val="baseline"/>
        </w:rPr>
        <w:t> </w:t>
      </w:r>
      <w:r>
        <w:rPr>
          <w:vertAlign w:val="baseline"/>
        </w:rPr>
        <w:t>available to the directors for achieving that was to retain control.</w:t>
      </w:r>
      <w:r>
        <w:rPr>
          <w:vertAlign w:val="superscript"/>
        </w:rPr>
        <w:t>207</w:t>
      </w:r>
      <w:r>
        <w:rPr>
          <w:vertAlign w:val="baseline"/>
        </w:rPr>
        <w:t> The more recent decision of the English court in </w:t>
      </w:r>
      <w:r>
        <w:rPr>
          <w:b/>
          <w:vertAlign w:val="baseline"/>
        </w:rPr>
        <w:t>Criterion Properties Plc. vs. Stratford</w:t>
      </w:r>
      <w:r>
        <w:rPr>
          <w:b/>
          <w:spacing w:val="-2"/>
          <w:vertAlign w:val="baseline"/>
        </w:rPr>
        <w:t> </w:t>
      </w:r>
      <w:r>
        <w:rPr>
          <w:b/>
          <w:vertAlign w:val="baseline"/>
        </w:rPr>
        <w:t>UK Properties</w:t>
      </w:r>
      <w:r>
        <w:rPr>
          <w:b/>
          <w:spacing w:val="-5"/>
          <w:vertAlign w:val="baseline"/>
        </w:rPr>
        <w:t> </w:t>
      </w:r>
      <w:r>
        <w:rPr>
          <w:b/>
          <w:vertAlign w:val="baseline"/>
        </w:rPr>
        <w:t>LLC</w:t>
      </w:r>
      <w:r>
        <w:rPr>
          <w:vertAlign w:val="baseline"/>
        </w:rPr>
        <w:t>,</w:t>
      </w:r>
      <w:r>
        <w:rPr>
          <w:vertAlign w:val="superscript"/>
        </w:rPr>
        <w:t>208</w:t>
      </w:r>
      <w:r>
        <w:rPr>
          <w:vertAlign w:val="baseline"/>
        </w:rPr>
        <w:t> also considered it possible</w:t>
      </w:r>
      <w:r>
        <w:rPr>
          <w:spacing w:val="-3"/>
          <w:vertAlign w:val="baseline"/>
        </w:rPr>
        <w:t> </w:t>
      </w:r>
      <w:r>
        <w:rPr>
          <w:vertAlign w:val="baseline"/>
        </w:rPr>
        <w:t>that in some cases, it might be a proper purpose of</w:t>
      </w:r>
      <w:r>
        <w:rPr>
          <w:spacing w:val="-3"/>
          <w:vertAlign w:val="baseline"/>
        </w:rPr>
        <w:t> </w:t>
      </w:r>
      <w:r>
        <w:rPr>
          <w:vertAlign w:val="baseline"/>
        </w:rPr>
        <w:t>the exercise of</w:t>
      </w:r>
      <w:r>
        <w:rPr>
          <w:spacing w:val="-3"/>
          <w:vertAlign w:val="baseline"/>
        </w:rPr>
        <w:t> </w:t>
      </w:r>
      <w:r>
        <w:rPr>
          <w:vertAlign w:val="baseline"/>
        </w:rPr>
        <w:t>directors‘ powers</w:t>
      </w:r>
      <w:r>
        <w:rPr>
          <w:spacing w:val="-3"/>
          <w:vertAlign w:val="baseline"/>
        </w:rPr>
        <w:t> </w:t>
      </w:r>
      <w:r>
        <w:rPr>
          <w:vertAlign w:val="baseline"/>
        </w:rPr>
        <w:t>to block or discourage a takeover.</w:t>
      </w:r>
    </w:p>
    <w:p>
      <w:pPr>
        <w:pStyle w:val="BodyText"/>
        <w:spacing w:line="480" w:lineRule="auto" w:before="2"/>
        <w:ind w:right="178" w:firstLine="720"/>
        <w:jc w:val="both"/>
      </w:pPr>
      <w:r>
        <w:rPr/>
        <w:t>Depending on the circumstances, there are a multitude of purposes for which directors can properly issue shares, including the fostering of desirable business connections,</w:t>
      </w:r>
      <w:r>
        <w:rPr>
          <w:vertAlign w:val="superscript"/>
        </w:rPr>
        <w:t>209</w:t>
      </w:r>
      <w:r>
        <w:rPr>
          <w:vertAlign w:val="baseline"/>
        </w:rPr>
        <w:t> the maintenance of the minimum necessary membership in the company</w:t>
      </w:r>
      <w:r>
        <w:rPr>
          <w:vertAlign w:val="superscript"/>
        </w:rPr>
        <w:t>210</w:t>
      </w:r>
      <w:r>
        <w:rPr>
          <w:vertAlign w:val="baseline"/>
        </w:rPr>
        <w:t> and improvement of the company‘s financial position.</w:t>
      </w:r>
      <w:r>
        <w:rPr>
          <w:vertAlign w:val="superscript"/>
        </w:rPr>
        <w:t>211</w:t>
      </w:r>
      <w:r>
        <w:rPr>
          <w:vertAlign w:val="baseline"/>
        </w:rPr>
        <w:t> The courts have equally decided many improper or collateral purposes for which directors have issued shares, including the defeat of a takeover, the entrenchment of a board in control of a company, benefiting some shareholders or their friends at the expense of other shareholders or so that some shareholders or their friends could wrest control from the other shareholders,</w:t>
      </w:r>
      <w:r>
        <w:rPr>
          <w:vertAlign w:val="superscript"/>
        </w:rPr>
        <w:t>212</w:t>
      </w:r>
      <w:r>
        <w:rPr>
          <w:vertAlign w:val="baseline"/>
        </w:rPr>
        <w:t> and the prevention of interests unfriendly to the directors from gaining power.</w:t>
      </w:r>
      <w:r>
        <w:rPr>
          <w:vertAlign w:val="superscript"/>
        </w:rPr>
        <w:t>213</w:t>
      </w:r>
    </w:p>
    <w:p>
      <w:pPr>
        <w:pStyle w:val="BodyText"/>
        <w:spacing w:before="221"/>
        <w:ind w:left="0"/>
        <w:rPr>
          <w:sz w:val="20"/>
        </w:rPr>
      </w:pPr>
      <w:r>
        <w:rPr/>
        <mc:AlternateContent>
          <mc:Choice Requires="wps">
            <w:drawing>
              <wp:anchor distT="0" distB="0" distL="0" distR="0" allowOverlap="1" layoutInCell="1" locked="0" behindDoc="1" simplePos="0" relativeHeight="487660032">
                <wp:simplePos x="0" y="0"/>
                <wp:positionH relativeFrom="page">
                  <wp:posOffset>1262481</wp:posOffset>
                </wp:positionH>
                <wp:positionV relativeFrom="paragraph">
                  <wp:posOffset>301936</wp:posOffset>
                </wp:positionV>
                <wp:extent cx="5400040" cy="9525"/>
                <wp:effectExtent l="0" t="0" r="0" b="0"/>
                <wp:wrapTopAndBottom/>
                <wp:docPr id="157" name="Graphic 157"/>
                <wp:cNvGraphicFramePr>
                  <a:graphicFrameLocks/>
                </wp:cNvGraphicFramePr>
                <a:graphic>
                  <a:graphicData uri="http://schemas.microsoft.com/office/word/2010/wordprocessingShape">
                    <wps:wsp>
                      <wps:cNvPr id="157" name="Graphic 157"/>
                      <wps:cNvSpPr/>
                      <wps:spPr>
                        <a:xfrm>
                          <a:off x="0" y="0"/>
                          <a:ext cx="5400040" cy="9525"/>
                        </a:xfrm>
                        <a:custGeom>
                          <a:avLst/>
                          <a:gdLst/>
                          <a:ahLst/>
                          <a:cxnLst/>
                          <a:rect l="l" t="t" r="r" b="b"/>
                          <a:pathLst>
                            <a:path w="5400040" h="9525">
                              <a:moveTo>
                                <a:pt x="5399785" y="0"/>
                              </a:moveTo>
                              <a:lnTo>
                                <a:pt x="0" y="0"/>
                              </a:lnTo>
                              <a:lnTo>
                                <a:pt x="0" y="9143"/>
                              </a:lnTo>
                              <a:lnTo>
                                <a:pt x="5399785" y="9143"/>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3.774561pt;width:425.18pt;height:.71997pt;mso-position-horizontal-relative:page;mso-position-vertical-relative:paragraph;z-index:-15656448;mso-wrap-distance-left:0;mso-wrap-distance-right:0" id="docshape112" filled="true" fillcolor="#000000" stroked="false">
                <v:fill type="solid"/>
                <w10:wrap type="topAndBottom"/>
              </v:rect>
            </w:pict>
          </mc:Fallback>
        </mc:AlternateContent>
      </w:r>
    </w:p>
    <w:p>
      <w:pPr>
        <w:spacing w:before="102"/>
        <w:ind w:left="308" w:right="255" w:firstLine="0"/>
        <w:jc w:val="left"/>
        <w:rPr>
          <w:rFonts w:ascii="Calibri"/>
          <w:sz w:val="20"/>
        </w:rPr>
      </w:pPr>
      <w:r>
        <w:rPr>
          <w:rFonts w:ascii="Calibri"/>
          <w:sz w:val="20"/>
        </w:rPr>
        <w:t>CLR</w:t>
      </w:r>
      <w:r>
        <w:rPr>
          <w:rFonts w:ascii="Calibri"/>
          <w:spacing w:val="21"/>
          <w:sz w:val="20"/>
        </w:rPr>
        <w:t> </w:t>
      </w:r>
      <w:r>
        <w:rPr>
          <w:rFonts w:ascii="Calibri"/>
          <w:sz w:val="20"/>
        </w:rPr>
        <w:t>483</w:t>
      </w:r>
      <w:r>
        <w:rPr>
          <w:rFonts w:ascii="Calibri"/>
          <w:spacing w:val="19"/>
          <w:sz w:val="20"/>
        </w:rPr>
        <w:t> </w:t>
      </w:r>
      <w:r>
        <w:rPr>
          <w:rFonts w:ascii="Calibri"/>
          <w:sz w:val="20"/>
        </w:rPr>
        <w:t>and</w:t>
      </w:r>
      <w:r>
        <w:rPr>
          <w:rFonts w:ascii="Calibri"/>
          <w:spacing w:val="21"/>
          <w:sz w:val="20"/>
        </w:rPr>
        <w:t> </w:t>
      </w:r>
      <w:r>
        <w:rPr>
          <w:rFonts w:ascii="Calibri"/>
          <w:i/>
          <w:sz w:val="20"/>
        </w:rPr>
        <w:t>Teck</w:t>
      </w:r>
      <w:r>
        <w:rPr>
          <w:rFonts w:ascii="Calibri"/>
          <w:i/>
          <w:spacing w:val="20"/>
          <w:sz w:val="20"/>
        </w:rPr>
        <w:t> </w:t>
      </w:r>
      <w:r>
        <w:rPr>
          <w:rFonts w:ascii="Calibri"/>
          <w:i/>
          <w:sz w:val="20"/>
        </w:rPr>
        <w:t>Corporation</w:t>
      </w:r>
      <w:r>
        <w:rPr>
          <w:rFonts w:ascii="Calibri"/>
          <w:i/>
          <w:spacing w:val="17"/>
          <w:sz w:val="20"/>
        </w:rPr>
        <w:t> </w:t>
      </w:r>
      <w:r>
        <w:rPr>
          <w:rFonts w:ascii="Calibri"/>
          <w:i/>
          <w:sz w:val="20"/>
        </w:rPr>
        <w:t>Ltd.</w:t>
      </w:r>
      <w:r>
        <w:rPr>
          <w:rFonts w:ascii="Calibri"/>
          <w:i/>
          <w:spacing w:val="22"/>
          <w:sz w:val="20"/>
        </w:rPr>
        <w:t> </w:t>
      </w:r>
      <w:r>
        <w:rPr>
          <w:rFonts w:ascii="Calibri"/>
          <w:i/>
          <w:sz w:val="20"/>
        </w:rPr>
        <w:t>vs.</w:t>
      </w:r>
      <w:r>
        <w:rPr>
          <w:rFonts w:ascii="Calibri"/>
          <w:i/>
          <w:spacing w:val="22"/>
          <w:sz w:val="20"/>
        </w:rPr>
        <w:t> </w:t>
      </w:r>
      <w:r>
        <w:rPr>
          <w:rFonts w:ascii="Calibri"/>
          <w:i/>
          <w:sz w:val="20"/>
        </w:rPr>
        <w:t>Millar</w:t>
      </w:r>
      <w:r>
        <w:rPr>
          <w:rFonts w:ascii="Calibri"/>
          <w:i/>
          <w:spacing w:val="20"/>
          <w:sz w:val="20"/>
        </w:rPr>
        <w:t> </w:t>
      </w:r>
      <w:r>
        <w:rPr>
          <w:rFonts w:ascii="Calibri"/>
          <w:sz w:val="20"/>
        </w:rPr>
        <w:t>(1973)</w:t>
      </w:r>
      <w:r>
        <w:rPr>
          <w:rFonts w:ascii="Calibri"/>
          <w:spacing w:val="21"/>
          <w:sz w:val="20"/>
        </w:rPr>
        <w:t> </w:t>
      </w:r>
      <w:r>
        <w:rPr>
          <w:rFonts w:ascii="Calibri"/>
          <w:sz w:val="20"/>
        </w:rPr>
        <w:t>33 DLR</w:t>
      </w:r>
      <w:r>
        <w:rPr>
          <w:rFonts w:ascii="Calibri"/>
          <w:spacing w:val="21"/>
          <w:sz w:val="20"/>
        </w:rPr>
        <w:t> </w:t>
      </w:r>
      <w:r>
        <w:rPr>
          <w:rFonts w:ascii="Calibri"/>
          <w:sz w:val="20"/>
        </w:rPr>
        <w:t>(3d)</w:t>
      </w:r>
      <w:r>
        <w:rPr>
          <w:rFonts w:ascii="Calibri"/>
          <w:spacing w:val="21"/>
          <w:sz w:val="20"/>
        </w:rPr>
        <w:t> </w:t>
      </w:r>
      <w:r>
        <w:rPr>
          <w:rFonts w:ascii="Calibri"/>
          <w:sz w:val="20"/>
        </w:rPr>
        <w:t>288</w:t>
      </w:r>
      <w:r>
        <w:rPr>
          <w:rFonts w:ascii="Calibri"/>
          <w:spacing w:val="19"/>
          <w:sz w:val="20"/>
        </w:rPr>
        <w:t> </w:t>
      </w:r>
      <w:r>
        <w:rPr>
          <w:rFonts w:ascii="Calibri"/>
          <w:sz w:val="20"/>
        </w:rPr>
        <w:t>Sup.</w:t>
      </w:r>
      <w:r>
        <w:rPr>
          <w:rFonts w:ascii="Calibri"/>
          <w:spacing w:val="22"/>
          <w:sz w:val="20"/>
        </w:rPr>
        <w:t> </w:t>
      </w:r>
      <w:r>
        <w:rPr>
          <w:rFonts w:ascii="Calibri"/>
          <w:sz w:val="20"/>
        </w:rPr>
        <w:t>Ct.</w:t>
      </w:r>
      <w:r>
        <w:rPr>
          <w:rFonts w:ascii="Calibri"/>
          <w:spacing w:val="17"/>
          <w:sz w:val="20"/>
        </w:rPr>
        <w:t> </w:t>
      </w:r>
      <w:r>
        <w:rPr>
          <w:rFonts w:ascii="Calibri"/>
          <w:sz w:val="20"/>
        </w:rPr>
        <w:t>(BC)</w:t>
      </w:r>
      <w:r>
        <w:rPr>
          <w:rFonts w:ascii="Calibri"/>
          <w:spacing w:val="21"/>
          <w:sz w:val="20"/>
        </w:rPr>
        <w:t> </w:t>
      </w:r>
      <w:r>
        <w:rPr>
          <w:rFonts w:ascii="Calibri"/>
          <w:sz w:val="20"/>
        </w:rPr>
        <w:t>also</w:t>
      </w:r>
      <w:r>
        <w:rPr>
          <w:rFonts w:ascii="Calibri"/>
          <w:spacing w:val="20"/>
          <w:sz w:val="20"/>
        </w:rPr>
        <w:t> </w:t>
      </w:r>
      <w:r>
        <w:rPr>
          <w:rFonts w:ascii="Calibri"/>
          <w:sz w:val="20"/>
        </w:rPr>
        <w:t>supported this </w:t>
      </w:r>
      <w:r>
        <w:rPr>
          <w:rFonts w:ascii="Calibri"/>
          <w:spacing w:val="-2"/>
          <w:sz w:val="20"/>
        </w:rPr>
        <w:t>position.</w:t>
      </w:r>
    </w:p>
    <w:p>
      <w:pPr>
        <w:spacing w:before="2"/>
        <w:ind w:left="308" w:right="0" w:firstLine="0"/>
        <w:jc w:val="left"/>
        <w:rPr>
          <w:rFonts w:ascii="Calibri"/>
          <w:sz w:val="20"/>
        </w:rPr>
      </w:pPr>
      <w:r>
        <w:rPr>
          <w:rFonts w:ascii="Calibri"/>
          <w:sz w:val="20"/>
          <w:vertAlign w:val="superscript"/>
        </w:rPr>
        <w:t>206</w:t>
      </w:r>
      <w:r>
        <w:rPr>
          <w:rFonts w:ascii="Calibri"/>
          <w:sz w:val="20"/>
          <w:vertAlign w:val="baseline"/>
        </w:rPr>
        <w:t> (unreported) Chancery Division of the High Court of Justice, 12</w:t>
      </w:r>
      <w:r>
        <w:rPr>
          <w:rFonts w:ascii="Calibri"/>
          <w:sz w:val="20"/>
          <w:vertAlign w:val="superscript"/>
        </w:rPr>
        <w:t>th</w:t>
      </w:r>
      <w:r>
        <w:rPr>
          <w:rFonts w:ascii="Calibri"/>
          <w:sz w:val="20"/>
          <w:vertAlign w:val="baseline"/>
        </w:rPr>
        <w:t> August, 1982, cited in Corkery, F.J. op.cit. at 110.</w:t>
      </w:r>
    </w:p>
    <w:p>
      <w:pPr>
        <w:spacing w:line="242" w:lineRule="exact" w:before="1"/>
        <w:ind w:left="308" w:right="0" w:firstLine="0"/>
        <w:jc w:val="left"/>
        <w:rPr>
          <w:rFonts w:ascii="Calibri" w:hAnsi="Calibri"/>
          <w:sz w:val="20"/>
        </w:rPr>
      </w:pPr>
      <w:r>
        <w:rPr>
          <w:rFonts w:ascii="Calibri" w:hAnsi="Calibri"/>
          <w:sz w:val="20"/>
          <w:vertAlign w:val="superscript"/>
        </w:rPr>
        <w:t>207</w:t>
      </w:r>
      <w:r>
        <w:rPr>
          <w:rFonts w:ascii="Calibri" w:hAnsi="Calibri"/>
          <w:spacing w:val="-1"/>
          <w:sz w:val="20"/>
          <w:vertAlign w:val="baseline"/>
        </w:rPr>
        <w:t> </w:t>
      </w:r>
      <w:r>
        <w:rPr>
          <w:rFonts w:ascii="Calibri" w:hAnsi="Calibri"/>
          <w:sz w:val="20"/>
          <w:vertAlign w:val="baseline"/>
        </w:rPr>
        <w:t>Appeal</w:t>
      </w:r>
      <w:r>
        <w:rPr>
          <w:rFonts w:ascii="Calibri" w:hAnsi="Calibri"/>
          <w:spacing w:val="-5"/>
          <w:sz w:val="20"/>
          <w:vertAlign w:val="baseline"/>
        </w:rPr>
        <w:t> </w:t>
      </w:r>
      <w:r>
        <w:rPr>
          <w:rFonts w:ascii="Calibri" w:hAnsi="Calibri"/>
          <w:sz w:val="20"/>
          <w:vertAlign w:val="baseline"/>
        </w:rPr>
        <w:t>over</w:t>
      </w:r>
      <w:r>
        <w:rPr>
          <w:rFonts w:ascii="Calibri" w:hAnsi="Calibri"/>
          <w:spacing w:val="-5"/>
          <w:sz w:val="20"/>
          <w:vertAlign w:val="baseline"/>
        </w:rPr>
        <w:t> </w:t>
      </w:r>
      <w:r>
        <w:rPr>
          <w:rFonts w:ascii="Calibri" w:hAnsi="Calibri"/>
          <w:sz w:val="20"/>
          <w:vertAlign w:val="baseline"/>
        </w:rPr>
        <w:t>the</w:t>
      </w:r>
      <w:r>
        <w:rPr>
          <w:rFonts w:ascii="Calibri" w:hAnsi="Calibri"/>
          <w:spacing w:val="-7"/>
          <w:sz w:val="20"/>
          <w:vertAlign w:val="baseline"/>
        </w:rPr>
        <w:t> </w:t>
      </w:r>
      <w:r>
        <w:rPr>
          <w:rFonts w:ascii="Calibri" w:hAnsi="Calibri"/>
          <w:sz w:val="20"/>
          <w:vertAlign w:val="baseline"/>
        </w:rPr>
        <w:t>refusal</w:t>
      </w:r>
      <w:r>
        <w:rPr>
          <w:rFonts w:ascii="Calibri" w:hAnsi="Calibri"/>
          <w:spacing w:val="-6"/>
          <w:sz w:val="20"/>
          <w:vertAlign w:val="baseline"/>
        </w:rPr>
        <w:t> </w:t>
      </w:r>
      <w:r>
        <w:rPr>
          <w:rFonts w:ascii="Calibri" w:hAnsi="Calibri"/>
          <w:sz w:val="20"/>
          <w:vertAlign w:val="baseline"/>
        </w:rPr>
        <w:t>to</w:t>
      </w:r>
      <w:r>
        <w:rPr>
          <w:rFonts w:ascii="Calibri" w:hAnsi="Calibri"/>
          <w:spacing w:val="-8"/>
          <w:sz w:val="20"/>
          <w:vertAlign w:val="baseline"/>
        </w:rPr>
        <w:t> </w:t>
      </w:r>
      <w:r>
        <w:rPr>
          <w:rFonts w:ascii="Calibri" w:hAnsi="Calibri"/>
          <w:sz w:val="20"/>
          <w:vertAlign w:val="baseline"/>
        </w:rPr>
        <w:t>issue</w:t>
      </w:r>
      <w:r>
        <w:rPr>
          <w:rFonts w:ascii="Calibri" w:hAnsi="Calibri"/>
          <w:spacing w:val="-3"/>
          <w:sz w:val="20"/>
          <w:vertAlign w:val="baseline"/>
        </w:rPr>
        <w:t> </w:t>
      </w:r>
      <w:r>
        <w:rPr>
          <w:rFonts w:ascii="Calibri" w:hAnsi="Calibri"/>
          <w:sz w:val="20"/>
          <w:vertAlign w:val="baseline"/>
        </w:rPr>
        <w:t>injunctions</w:t>
      </w:r>
      <w:r>
        <w:rPr>
          <w:rFonts w:ascii="Calibri" w:hAnsi="Calibri"/>
          <w:spacing w:val="-4"/>
          <w:sz w:val="20"/>
          <w:vertAlign w:val="baseline"/>
        </w:rPr>
        <w:t> </w:t>
      </w:r>
      <w:r>
        <w:rPr>
          <w:rFonts w:ascii="Calibri" w:hAnsi="Calibri"/>
          <w:sz w:val="20"/>
          <w:vertAlign w:val="baseline"/>
        </w:rPr>
        <w:t>for</w:t>
      </w:r>
      <w:r>
        <w:rPr>
          <w:rFonts w:ascii="Calibri" w:hAnsi="Calibri"/>
          <w:spacing w:val="-5"/>
          <w:sz w:val="20"/>
          <w:vertAlign w:val="baseline"/>
        </w:rPr>
        <w:t> </w:t>
      </w:r>
      <w:r>
        <w:rPr>
          <w:rFonts w:ascii="Calibri" w:hAnsi="Calibri"/>
          <w:sz w:val="20"/>
          <w:vertAlign w:val="baseline"/>
        </w:rPr>
        <w:t>the</w:t>
      </w:r>
      <w:r>
        <w:rPr>
          <w:rFonts w:ascii="Calibri" w:hAnsi="Calibri"/>
          <w:spacing w:val="-7"/>
          <w:sz w:val="20"/>
          <w:vertAlign w:val="baseline"/>
        </w:rPr>
        <w:t> </w:t>
      </w:r>
      <w:r>
        <w:rPr>
          <w:rFonts w:ascii="Calibri" w:hAnsi="Calibri"/>
          <w:sz w:val="20"/>
          <w:vertAlign w:val="baseline"/>
        </w:rPr>
        <w:t>directors’</w:t>
      </w:r>
      <w:r>
        <w:rPr>
          <w:rFonts w:ascii="Calibri" w:hAnsi="Calibri"/>
          <w:spacing w:val="-4"/>
          <w:sz w:val="20"/>
          <w:vertAlign w:val="baseline"/>
        </w:rPr>
        <w:t> </w:t>
      </w:r>
      <w:r>
        <w:rPr>
          <w:rFonts w:ascii="Calibri" w:hAnsi="Calibri"/>
          <w:sz w:val="20"/>
          <w:vertAlign w:val="baseline"/>
        </w:rPr>
        <w:t>action</w:t>
      </w:r>
      <w:r>
        <w:rPr>
          <w:rFonts w:ascii="Calibri" w:hAnsi="Calibri"/>
          <w:spacing w:val="-7"/>
          <w:sz w:val="20"/>
          <w:vertAlign w:val="baseline"/>
        </w:rPr>
        <w:t> </w:t>
      </w:r>
      <w:r>
        <w:rPr>
          <w:rFonts w:ascii="Calibri" w:hAnsi="Calibri"/>
          <w:sz w:val="20"/>
          <w:vertAlign w:val="baseline"/>
        </w:rPr>
        <w:t>dismissed:</w:t>
      </w:r>
      <w:r>
        <w:rPr>
          <w:rFonts w:ascii="Calibri" w:hAnsi="Calibri"/>
          <w:spacing w:val="-7"/>
          <w:sz w:val="20"/>
          <w:vertAlign w:val="baseline"/>
        </w:rPr>
        <w:t> </w:t>
      </w:r>
      <w:r>
        <w:rPr>
          <w:rFonts w:ascii="Calibri" w:hAnsi="Calibri"/>
          <w:sz w:val="20"/>
          <w:vertAlign w:val="baseline"/>
        </w:rPr>
        <w:t>(1984)</w:t>
      </w:r>
      <w:r>
        <w:rPr>
          <w:rFonts w:ascii="Calibri" w:hAnsi="Calibri"/>
          <w:spacing w:val="-1"/>
          <w:sz w:val="20"/>
          <w:vertAlign w:val="baseline"/>
        </w:rPr>
        <w:t> </w:t>
      </w:r>
      <w:r>
        <w:rPr>
          <w:rFonts w:ascii="Calibri" w:hAnsi="Calibri"/>
          <w:sz w:val="20"/>
          <w:vertAlign w:val="baseline"/>
        </w:rPr>
        <w:t>1</w:t>
      </w:r>
      <w:r>
        <w:rPr>
          <w:rFonts w:ascii="Calibri" w:hAnsi="Calibri"/>
          <w:spacing w:val="-8"/>
          <w:sz w:val="20"/>
          <w:vertAlign w:val="baseline"/>
        </w:rPr>
        <w:t> </w:t>
      </w:r>
      <w:r>
        <w:rPr>
          <w:rFonts w:ascii="Calibri" w:hAnsi="Calibri"/>
          <w:sz w:val="20"/>
          <w:vertAlign w:val="baseline"/>
        </w:rPr>
        <w:t>All</w:t>
      </w:r>
      <w:r>
        <w:rPr>
          <w:rFonts w:ascii="Calibri" w:hAnsi="Calibri"/>
          <w:spacing w:val="-10"/>
          <w:sz w:val="20"/>
          <w:vertAlign w:val="baseline"/>
        </w:rPr>
        <w:t> </w:t>
      </w:r>
      <w:r>
        <w:rPr>
          <w:rFonts w:ascii="Calibri" w:hAnsi="Calibri"/>
          <w:sz w:val="20"/>
          <w:vertAlign w:val="baseline"/>
        </w:rPr>
        <w:t>ER</w:t>
      </w:r>
      <w:r>
        <w:rPr>
          <w:rFonts w:ascii="Calibri" w:hAnsi="Calibri"/>
          <w:spacing w:val="-1"/>
          <w:sz w:val="20"/>
          <w:vertAlign w:val="baseline"/>
        </w:rPr>
        <w:t> </w:t>
      </w:r>
      <w:r>
        <w:rPr>
          <w:rFonts w:ascii="Calibri" w:hAnsi="Calibri"/>
          <w:spacing w:val="-4"/>
          <w:sz w:val="20"/>
          <w:vertAlign w:val="baseline"/>
        </w:rPr>
        <w:t>225.</w:t>
      </w:r>
    </w:p>
    <w:p>
      <w:pPr>
        <w:spacing w:line="242" w:lineRule="exact" w:before="0"/>
        <w:ind w:left="308" w:right="0" w:firstLine="0"/>
        <w:jc w:val="left"/>
        <w:rPr>
          <w:rFonts w:ascii="Calibri"/>
          <w:sz w:val="20"/>
        </w:rPr>
      </w:pPr>
      <w:r>
        <w:rPr>
          <w:rFonts w:ascii="Calibri"/>
          <w:sz w:val="20"/>
          <w:vertAlign w:val="superscript"/>
        </w:rPr>
        <w:t>208</w:t>
      </w:r>
      <w:r>
        <w:rPr>
          <w:rFonts w:ascii="Calibri"/>
          <w:sz w:val="20"/>
          <w:vertAlign w:val="baseline"/>
        </w:rPr>
        <w:t>(2002) 2</w:t>
      </w:r>
      <w:r>
        <w:rPr>
          <w:rFonts w:ascii="Calibri"/>
          <w:spacing w:val="-6"/>
          <w:sz w:val="20"/>
          <w:vertAlign w:val="baseline"/>
        </w:rPr>
        <w:t> </w:t>
      </w:r>
      <w:r>
        <w:rPr>
          <w:rFonts w:ascii="Calibri"/>
          <w:sz w:val="20"/>
          <w:vertAlign w:val="baseline"/>
        </w:rPr>
        <w:t>BCLC</w:t>
      </w:r>
      <w:r>
        <w:rPr>
          <w:rFonts w:ascii="Calibri"/>
          <w:spacing w:val="-2"/>
          <w:sz w:val="20"/>
          <w:vertAlign w:val="baseline"/>
        </w:rPr>
        <w:t> </w:t>
      </w:r>
      <w:r>
        <w:rPr>
          <w:rFonts w:ascii="Calibri"/>
          <w:spacing w:val="-4"/>
          <w:sz w:val="20"/>
          <w:vertAlign w:val="baseline"/>
        </w:rPr>
        <w:t>151.</w:t>
      </w:r>
    </w:p>
    <w:p>
      <w:pPr>
        <w:spacing w:before="1"/>
        <w:ind w:left="308" w:right="0" w:firstLine="0"/>
        <w:jc w:val="left"/>
        <w:rPr>
          <w:rFonts w:ascii="Calibri" w:hAnsi="Calibri"/>
          <w:sz w:val="20"/>
        </w:rPr>
      </w:pPr>
      <w:r>
        <w:rPr>
          <w:rFonts w:ascii="Calibri" w:hAnsi="Calibri"/>
          <w:sz w:val="20"/>
          <w:vertAlign w:val="superscript"/>
        </w:rPr>
        <w:t>209</w:t>
      </w:r>
      <w:r>
        <w:rPr>
          <w:rFonts w:ascii="Calibri" w:hAnsi="Calibri"/>
          <w:i/>
          <w:sz w:val="20"/>
          <w:vertAlign w:val="baseline"/>
        </w:rPr>
        <w:t>Harlowe’s</w:t>
      </w:r>
      <w:r>
        <w:rPr>
          <w:rFonts w:ascii="Calibri" w:hAnsi="Calibri"/>
          <w:i/>
          <w:spacing w:val="-6"/>
          <w:sz w:val="20"/>
          <w:vertAlign w:val="baseline"/>
        </w:rPr>
        <w:t> </w:t>
      </w:r>
      <w:r>
        <w:rPr>
          <w:rFonts w:ascii="Calibri" w:hAnsi="Calibri"/>
          <w:i/>
          <w:sz w:val="20"/>
          <w:vertAlign w:val="baseline"/>
        </w:rPr>
        <w:t>Nominees</w:t>
      </w:r>
      <w:r>
        <w:rPr>
          <w:rFonts w:ascii="Calibri" w:hAnsi="Calibri"/>
          <w:i/>
          <w:spacing w:val="-9"/>
          <w:sz w:val="20"/>
          <w:vertAlign w:val="baseline"/>
        </w:rPr>
        <w:t> </w:t>
      </w:r>
      <w:r>
        <w:rPr>
          <w:rFonts w:ascii="Calibri" w:hAnsi="Calibri"/>
          <w:i/>
          <w:sz w:val="20"/>
          <w:vertAlign w:val="baseline"/>
        </w:rPr>
        <w:t>Pty</w:t>
      </w:r>
      <w:r>
        <w:rPr>
          <w:rFonts w:ascii="Calibri" w:hAnsi="Calibri"/>
          <w:i/>
          <w:spacing w:val="-7"/>
          <w:sz w:val="20"/>
          <w:vertAlign w:val="baseline"/>
        </w:rPr>
        <w:t> </w:t>
      </w:r>
      <w:r>
        <w:rPr>
          <w:rFonts w:ascii="Calibri" w:hAnsi="Calibri"/>
          <w:i/>
          <w:sz w:val="20"/>
          <w:vertAlign w:val="baseline"/>
        </w:rPr>
        <w:t>Ltd.</w:t>
      </w:r>
      <w:r>
        <w:rPr>
          <w:rFonts w:ascii="Calibri" w:hAnsi="Calibri"/>
          <w:i/>
          <w:spacing w:val="-7"/>
          <w:sz w:val="20"/>
          <w:vertAlign w:val="baseline"/>
        </w:rPr>
        <w:t> </w:t>
      </w:r>
      <w:r>
        <w:rPr>
          <w:rFonts w:ascii="Calibri" w:hAnsi="Calibri"/>
          <w:i/>
          <w:sz w:val="20"/>
          <w:vertAlign w:val="baseline"/>
        </w:rPr>
        <w:t>vs.</w:t>
      </w:r>
      <w:r>
        <w:rPr>
          <w:rFonts w:ascii="Calibri" w:hAnsi="Calibri"/>
          <w:i/>
          <w:spacing w:val="-6"/>
          <w:sz w:val="20"/>
          <w:vertAlign w:val="baseline"/>
        </w:rPr>
        <w:t> </w:t>
      </w:r>
      <w:r>
        <w:rPr>
          <w:rFonts w:ascii="Calibri" w:hAnsi="Calibri"/>
          <w:i/>
          <w:sz w:val="20"/>
          <w:vertAlign w:val="baseline"/>
        </w:rPr>
        <w:t>Woodside</w:t>
      </w:r>
      <w:r>
        <w:rPr>
          <w:rFonts w:ascii="Calibri" w:hAnsi="Calibri"/>
          <w:i/>
          <w:spacing w:val="-8"/>
          <w:sz w:val="20"/>
          <w:vertAlign w:val="baseline"/>
        </w:rPr>
        <w:t> </w:t>
      </w:r>
      <w:r>
        <w:rPr>
          <w:rFonts w:ascii="Calibri" w:hAnsi="Calibri"/>
          <w:i/>
          <w:sz w:val="20"/>
          <w:vertAlign w:val="baseline"/>
        </w:rPr>
        <w:t>(Lakes</w:t>
      </w:r>
      <w:r>
        <w:rPr>
          <w:rFonts w:ascii="Calibri" w:hAnsi="Calibri"/>
          <w:i/>
          <w:spacing w:val="-9"/>
          <w:sz w:val="20"/>
          <w:vertAlign w:val="baseline"/>
        </w:rPr>
        <w:t> </w:t>
      </w:r>
      <w:r>
        <w:rPr>
          <w:rFonts w:ascii="Calibri" w:hAnsi="Calibri"/>
          <w:i/>
          <w:sz w:val="20"/>
          <w:vertAlign w:val="baseline"/>
        </w:rPr>
        <w:t>Engrance)</w:t>
      </w:r>
      <w:r>
        <w:rPr>
          <w:rFonts w:ascii="Calibri" w:hAnsi="Calibri"/>
          <w:i/>
          <w:spacing w:val="-11"/>
          <w:sz w:val="20"/>
          <w:vertAlign w:val="baseline"/>
        </w:rPr>
        <w:t> </w:t>
      </w:r>
      <w:r>
        <w:rPr>
          <w:rFonts w:ascii="Calibri" w:hAnsi="Calibri"/>
          <w:i/>
          <w:sz w:val="20"/>
          <w:vertAlign w:val="baseline"/>
        </w:rPr>
        <w:t>Oil</w:t>
      </w:r>
      <w:r>
        <w:rPr>
          <w:rFonts w:ascii="Calibri" w:hAnsi="Calibri"/>
          <w:i/>
          <w:spacing w:val="-2"/>
          <w:sz w:val="20"/>
          <w:vertAlign w:val="baseline"/>
        </w:rPr>
        <w:t> </w:t>
      </w:r>
      <w:r>
        <w:rPr>
          <w:rFonts w:ascii="Calibri" w:hAnsi="Calibri"/>
          <w:i/>
          <w:sz w:val="20"/>
          <w:vertAlign w:val="baseline"/>
        </w:rPr>
        <w:t>Co.</w:t>
      </w:r>
      <w:r>
        <w:rPr>
          <w:rFonts w:ascii="Calibri" w:hAnsi="Calibri"/>
          <w:i/>
          <w:spacing w:val="-2"/>
          <w:sz w:val="20"/>
          <w:vertAlign w:val="baseline"/>
        </w:rPr>
        <w:t> </w:t>
      </w:r>
      <w:r>
        <w:rPr>
          <w:rFonts w:ascii="Calibri" w:hAnsi="Calibri"/>
          <w:i/>
          <w:sz w:val="20"/>
          <w:vertAlign w:val="baseline"/>
        </w:rPr>
        <w:t>NL</w:t>
      </w:r>
      <w:r>
        <w:rPr>
          <w:rFonts w:ascii="Calibri" w:hAnsi="Calibri"/>
          <w:i/>
          <w:spacing w:val="-3"/>
          <w:sz w:val="20"/>
          <w:vertAlign w:val="baseline"/>
        </w:rPr>
        <w:t> </w:t>
      </w:r>
      <w:r>
        <w:rPr>
          <w:rFonts w:ascii="Calibri" w:hAnsi="Calibri"/>
          <w:sz w:val="20"/>
          <w:vertAlign w:val="baseline"/>
        </w:rPr>
        <w:t>(1968)</w:t>
      </w:r>
      <w:r>
        <w:rPr>
          <w:rFonts w:ascii="Calibri" w:hAnsi="Calibri"/>
          <w:spacing w:val="-3"/>
          <w:sz w:val="20"/>
          <w:vertAlign w:val="baseline"/>
        </w:rPr>
        <w:t> </w:t>
      </w:r>
      <w:r>
        <w:rPr>
          <w:rFonts w:ascii="Calibri" w:hAnsi="Calibri"/>
          <w:sz w:val="20"/>
          <w:vertAlign w:val="baseline"/>
        </w:rPr>
        <w:t>121</w:t>
      </w:r>
      <w:r>
        <w:rPr>
          <w:rFonts w:ascii="Calibri" w:hAnsi="Calibri"/>
          <w:spacing w:val="-4"/>
          <w:sz w:val="20"/>
          <w:vertAlign w:val="baseline"/>
        </w:rPr>
        <w:t> </w:t>
      </w:r>
      <w:r>
        <w:rPr>
          <w:rFonts w:ascii="Calibri" w:hAnsi="Calibri"/>
          <w:sz w:val="20"/>
          <w:vertAlign w:val="baseline"/>
        </w:rPr>
        <w:t>CLR</w:t>
      </w:r>
      <w:r>
        <w:rPr>
          <w:rFonts w:ascii="Calibri" w:hAnsi="Calibri"/>
          <w:spacing w:val="-7"/>
          <w:sz w:val="20"/>
          <w:vertAlign w:val="baseline"/>
        </w:rPr>
        <w:t> </w:t>
      </w:r>
      <w:r>
        <w:rPr>
          <w:rFonts w:ascii="Calibri" w:hAnsi="Calibri"/>
          <w:spacing w:val="-4"/>
          <w:sz w:val="20"/>
          <w:vertAlign w:val="baseline"/>
        </w:rPr>
        <w:t>483.</w:t>
      </w:r>
    </w:p>
    <w:p>
      <w:pPr>
        <w:spacing w:before="1"/>
        <w:ind w:left="308" w:right="0" w:firstLine="0"/>
        <w:jc w:val="left"/>
        <w:rPr>
          <w:rFonts w:ascii="Calibri"/>
          <w:sz w:val="20"/>
        </w:rPr>
      </w:pPr>
      <w:r>
        <w:rPr>
          <w:rFonts w:ascii="Calibri"/>
          <w:sz w:val="20"/>
          <w:vertAlign w:val="superscript"/>
        </w:rPr>
        <w:t>210</w:t>
      </w:r>
      <w:r>
        <w:rPr>
          <w:rFonts w:ascii="Calibri"/>
          <w:i/>
          <w:sz w:val="20"/>
          <w:vertAlign w:val="baseline"/>
        </w:rPr>
        <w:t>Punt</w:t>
      </w:r>
      <w:r>
        <w:rPr>
          <w:rFonts w:ascii="Calibri"/>
          <w:i/>
          <w:spacing w:val="-6"/>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Symons</w:t>
      </w:r>
      <w:r>
        <w:rPr>
          <w:rFonts w:ascii="Calibri"/>
          <w:i/>
          <w:spacing w:val="-6"/>
          <w:sz w:val="20"/>
          <w:vertAlign w:val="baseline"/>
        </w:rPr>
        <w:t> </w:t>
      </w:r>
      <w:r>
        <w:rPr>
          <w:rFonts w:ascii="Calibri"/>
          <w:sz w:val="20"/>
          <w:vertAlign w:val="baseline"/>
        </w:rPr>
        <w:t>(1903)</w:t>
      </w:r>
      <w:r>
        <w:rPr>
          <w:rFonts w:ascii="Calibri"/>
          <w:spacing w:val="-3"/>
          <w:sz w:val="20"/>
          <w:vertAlign w:val="baseline"/>
        </w:rPr>
        <w:t> </w:t>
      </w:r>
      <w:r>
        <w:rPr>
          <w:rFonts w:ascii="Calibri"/>
          <w:sz w:val="20"/>
          <w:vertAlign w:val="baseline"/>
        </w:rPr>
        <w:t>2</w:t>
      </w:r>
      <w:r>
        <w:rPr>
          <w:rFonts w:ascii="Calibri"/>
          <w:spacing w:val="-2"/>
          <w:sz w:val="20"/>
          <w:vertAlign w:val="baseline"/>
        </w:rPr>
        <w:t> </w:t>
      </w:r>
      <w:r>
        <w:rPr>
          <w:rFonts w:ascii="Calibri"/>
          <w:sz w:val="20"/>
          <w:vertAlign w:val="baseline"/>
        </w:rPr>
        <w:t>Ch.</w:t>
      </w:r>
      <w:r>
        <w:rPr>
          <w:rFonts w:ascii="Calibri"/>
          <w:spacing w:val="-3"/>
          <w:sz w:val="20"/>
          <w:vertAlign w:val="baseline"/>
        </w:rPr>
        <w:t> </w:t>
      </w:r>
      <w:r>
        <w:rPr>
          <w:rFonts w:ascii="Calibri"/>
          <w:sz w:val="20"/>
          <w:vertAlign w:val="baseline"/>
        </w:rPr>
        <w:t>506</w:t>
      </w:r>
      <w:r>
        <w:rPr>
          <w:rFonts w:ascii="Calibri"/>
          <w:spacing w:val="-2"/>
          <w:sz w:val="20"/>
          <w:vertAlign w:val="baseline"/>
        </w:rPr>
        <w:t> </w:t>
      </w:r>
      <w:r>
        <w:rPr>
          <w:rFonts w:ascii="Calibri"/>
          <w:sz w:val="20"/>
          <w:vertAlign w:val="baseline"/>
        </w:rPr>
        <w:t>at</w:t>
      </w:r>
      <w:r>
        <w:rPr>
          <w:rFonts w:ascii="Calibri"/>
          <w:spacing w:val="-6"/>
          <w:sz w:val="20"/>
          <w:vertAlign w:val="baseline"/>
        </w:rPr>
        <w:t> </w:t>
      </w:r>
      <w:r>
        <w:rPr>
          <w:rFonts w:ascii="Calibri"/>
          <w:spacing w:val="-4"/>
          <w:sz w:val="20"/>
          <w:vertAlign w:val="baseline"/>
        </w:rPr>
        <w:t>516.</w:t>
      </w:r>
    </w:p>
    <w:p>
      <w:pPr>
        <w:spacing w:before="1"/>
        <w:ind w:left="308" w:right="0" w:firstLine="0"/>
        <w:jc w:val="left"/>
        <w:rPr>
          <w:rFonts w:ascii="Calibri"/>
          <w:sz w:val="20"/>
        </w:rPr>
      </w:pPr>
      <w:r>
        <w:rPr>
          <w:rFonts w:ascii="Calibri"/>
          <w:sz w:val="20"/>
          <w:vertAlign w:val="superscript"/>
        </w:rPr>
        <w:t>211</w:t>
      </w:r>
      <w:r>
        <w:rPr>
          <w:rFonts w:ascii="Calibri"/>
          <w:i/>
          <w:sz w:val="20"/>
          <w:vertAlign w:val="baseline"/>
        </w:rPr>
        <w:t>Winthrop</w:t>
      </w:r>
      <w:r>
        <w:rPr>
          <w:rFonts w:ascii="Calibri"/>
          <w:i/>
          <w:spacing w:val="-11"/>
          <w:sz w:val="20"/>
          <w:vertAlign w:val="baseline"/>
        </w:rPr>
        <w:t> </w:t>
      </w:r>
      <w:r>
        <w:rPr>
          <w:rFonts w:ascii="Calibri"/>
          <w:i/>
          <w:sz w:val="20"/>
          <w:vertAlign w:val="baseline"/>
        </w:rPr>
        <w:t>Investments</w:t>
      </w:r>
      <w:r>
        <w:rPr>
          <w:rFonts w:ascii="Calibri"/>
          <w:i/>
          <w:spacing w:val="-11"/>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Winns</w:t>
      </w:r>
      <w:r>
        <w:rPr>
          <w:rFonts w:ascii="Calibri"/>
          <w:i/>
          <w:spacing w:val="-6"/>
          <w:sz w:val="20"/>
          <w:vertAlign w:val="baseline"/>
        </w:rPr>
        <w:t> </w:t>
      </w:r>
      <w:r>
        <w:rPr>
          <w:rFonts w:ascii="Calibri"/>
          <w:i/>
          <w:sz w:val="20"/>
          <w:vertAlign w:val="baseline"/>
        </w:rPr>
        <w:t>Ltd</w:t>
      </w:r>
      <w:r>
        <w:rPr>
          <w:rFonts w:ascii="Calibri"/>
          <w:sz w:val="20"/>
          <w:vertAlign w:val="baseline"/>
        </w:rPr>
        <w:t>.</w:t>
      </w:r>
      <w:r>
        <w:rPr>
          <w:rFonts w:ascii="Calibri"/>
          <w:spacing w:val="-7"/>
          <w:sz w:val="20"/>
          <w:vertAlign w:val="baseline"/>
        </w:rPr>
        <w:t> </w:t>
      </w:r>
      <w:r>
        <w:rPr>
          <w:rFonts w:ascii="Calibri"/>
          <w:sz w:val="20"/>
          <w:vertAlign w:val="baseline"/>
        </w:rPr>
        <w:t>(1975)</w:t>
      </w:r>
      <w:r>
        <w:rPr>
          <w:rFonts w:ascii="Calibri"/>
          <w:spacing w:val="-4"/>
          <w:sz w:val="20"/>
          <w:vertAlign w:val="baseline"/>
        </w:rPr>
        <w:t> </w:t>
      </w:r>
      <w:r>
        <w:rPr>
          <w:rFonts w:ascii="Calibri"/>
          <w:sz w:val="20"/>
          <w:vertAlign w:val="baseline"/>
        </w:rPr>
        <w:t>2</w:t>
      </w:r>
      <w:r>
        <w:rPr>
          <w:rFonts w:ascii="Calibri"/>
          <w:spacing w:val="-10"/>
          <w:sz w:val="20"/>
          <w:vertAlign w:val="baseline"/>
        </w:rPr>
        <w:t> </w:t>
      </w:r>
      <w:r>
        <w:rPr>
          <w:rFonts w:ascii="Calibri"/>
          <w:sz w:val="20"/>
          <w:vertAlign w:val="baseline"/>
        </w:rPr>
        <w:t>N.S.W.L.R.</w:t>
      </w:r>
      <w:r>
        <w:rPr>
          <w:rFonts w:ascii="Calibri"/>
          <w:spacing w:val="-3"/>
          <w:sz w:val="20"/>
          <w:vertAlign w:val="baseline"/>
        </w:rPr>
        <w:t> </w:t>
      </w:r>
      <w:r>
        <w:rPr>
          <w:rFonts w:ascii="Calibri"/>
          <w:sz w:val="20"/>
          <w:vertAlign w:val="baseline"/>
        </w:rPr>
        <w:t>666,</w:t>
      </w:r>
      <w:r>
        <w:rPr>
          <w:rFonts w:ascii="Calibri"/>
          <w:spacing w:val="-3"/>
          <w:sz w:val="20"/>
          <w:vertAlign w:val="baseline"/>
        </w:rPr>
        <w:t> </w:t>
      </w:r>
      <w:r>
        <w:rPr>
          <w:rFonts w:ascii="Calibri"/>
          <w:spacing w:val="-2"/>
          <w:sz w:val="20"/>
          <w:vertAlign w:val="baseline"/>
        </w:rPr>
        <w:t>NSWCA.</w:t>
      </w:r>
    </w:p>
    <w:p>
      <w:pPr>
        <w:spacing w:before="0"/>
        <w:ind w:left="308" w:right="0" w:firstLine="0"/>
        <w:jc w:val="left"/>
        <w:rPr>
          <w:rFonts w:ascii="Calibri"/>
          <w:sz w:val="20"/>
        </w:rPr>
      </w:pPr>
      <w:r>
        <w:rPr>
          <w:rFonts w:ascii="Calibri"/>
          <w:sz w:val="20"/>
          <w:vertAlign w:val="superscript"/>
        </w:rPr>
        <w:t>212</w:t>
      </w:r>
      <w:r>
        <w:rPr>
          <w:rFonts w:ascii="Calibri"/>
          <w:i/>
          <w:sz w:val="20"/>
          <w:vertAlign w:val="baseline"/>
        </w:rPr>
        <w:t>Ngurli</w:t>
      </w:r>
      <w:r>
        <w:rPr>
          <w:rFonts w:ascii="Calibri"/>
          <w:i/>
          <w:spacing w:val="-5"/>
          <w:sz w:val="20"/>
          <w:vertAlign w:val="baseline"/>
        </w:rPr>
        <w:t> </w:t>
      </w:r>
      <w:r>
        <w:rPr>
          <w:rFonts w:ascii="Calibri"/>
          <w:i/>
          <w:sz w:val="20"/>
          <w:vertAlign w:val="baseline"/>
        </w:rPr>
        <w:t>Ltd.</w:t>
      </w:r>
      <w:r>
        <w:rPr>
          <w:rFonts w:ascii="Calibri"/>
          <w:i/>
          <w:spacing w:val="-4"/>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McCann</w:t>
      </w:r>
      <w:r>
        <w:rPr>
          <w:rFonts w:ascii="Calibri"/>
          <w:i/>
          <w:spacing w:val="-3"/>
          <w:sz w:val="20"/>
          <w:vertAlign w:val="baseline"/>
        </w:rPr>
        <w:t> </w:t>
      </w:r>
      <w:r>
        <w:rPr>
          <w:rFonts w:ascii="Calibri"/>
          <w:sz w:val="20"/>
          <w:vertAlign w:val="baseline"/>
        </w:rPr>
        <w:t>(1953)</w:t>
      </w:r>
      <w:r>
        <w:rPr>
          <w:rFonts w:ascii="Calibri"/>
          <w:spacing w:val="-1"/>
          <w:sz w:val="20"/>
          <w:vertAlign w:val="baseline"/>
        </w:rPr>
        <w:t> </w:t>
      </w:r>
      <w:r>
        <w:rPr>
          <w:rFonts w:ascii="Calibri"/>
          <w:sz w:val="20"/>
          <w:vertAlign w:val="baseline"/>
        </w:rPr>
        <w:t>90</w:t>
      </w:r>
      <w:r>
        <w:rPr>
          <w:rFonts w:ascii="Calibri"/>
          <w:spacing w:val="-7"/>
          <w:sz w:val="20"/>
          <w:vertAlign w:val="baseline"/>
        </w:rPr>
        <w:t> </w:t>
      </w:r>
      <w:r>
        <w:rPr>
          <w:rFonts w:ascii="Calibri"/>
          <w:sz w:val="20"/>
          <w:vertAlign w:val="baseline"/>
        </w:rPr>
        <w:t>CLR</w:t>
      </w:r>
      <w:r>
        <w:rPr>
          <w:rFonts w:ascii="Calibri"/>
          <w:spacing w:val="-6"/>
          <w:sz w:val="20"/>
          <w:vertAlign w:val="baseline"/>
        </w:rPr>
        <w:t> </w:t>
      </w:r>
      <w:r>
        <w:rPr>
          <w:rFonts w:ascii="Calibri"/>
          <w:sz w:val="20"/>
          <w:vertAlign w:val="baseline"/>
        </w:rPr>
        <w:t>425</w:t>
      </w:r>
      <w:r>
        <w:rPr>
          <w:rFonts w:ascii="Calibri"/>
          <w:spacing w:val="-2"/>
          <w:sz w:val="20"/>
          <w:vertAlign w:val="baseline"/>
        </w:rPr>
        <w:t> </w:t>
      </w:r>
      <w:r>
        <w:rPr>
          <w:rFonts w:ascii="Calibri"/>
          <w:sz w:val="20"/>
          <w:vertAlign w:val="baseline"/>
        </w:rPr>
        <w:t>at</w:t>
      </w:r>
      <w:r>
        <w:rPr>
          <w:rFonts w:ascii="Calibri"/>
          <w:spacing w:val="-7"/>
          <w:sz w:val="20"/>
          <w:vertAlign w:val="baseline"/>
        </w:rPr>
        <w:t> </w:t>
      </w:r>
      <w:r>
        <w:rPr>
          <w:rFonts w:ascii="Calibri"/>
          <w:spacing w:val="-4"/>
          <w:sz w:val="20"/>
          <w:vertAlign w:val="baseline"/>
        </w:rPr>
        <w:t>440.</w:t>
      </w:r>
    </w:p>
    <w:p>
      <w:pPr>
        <w:spacing w:before="1"/>
        <w:ind w:left="308" w:right="0" w:firstLine="0"/>
        <w:jc w:val="left"/>
        <w:rPr>
          <w:rFonts w:ascii="Calibri" w:hAnsi="Calibri"/>
          <w:sz w:val="20"/>
        </w:rPr>
      </w:pPr>
      <w:r>
        <w:rPr>
          <w:rFonts w:ascii="Calibri" w:hAnsi="Calibri"/>
          <w:sz w:val="20"/>
          <w:vertAlign w:val="superscript"/>
        </w:rPr>
        <w:t>213</w:t>
      </w:r>
      <w:r>
        <w:rPr>
          <w:rFonts w:ascii="Calibri" w:hAnsi="Calibri"/>
          <w:sz w:val="20"/>
          <w:vertAlign w:val="baseline"/>
        </w:rPr>
        <w:t>Franzi,</w:t>
      </w:r>
      <w:r>
        <w:rPr>
          <w:rFonts w:ascii="Calibri" w:hAnsi="Calibri"/>
          <w:spacing w:val="23"/>
          <w:sz w:val="20"/>
          <w:vertAlign w:val="baseline"/>
        </w:rPr>
        <w:t> </w:t>
      </w:r>
      <w:r>
        <w:rPr>
          <w:rFonts w:ascii="Calibri" w:hAnsi="Calibri"/>
          <w:sz w:val="20"/>
          <w:vertAlign w:val="baseline"/>
        </w:rPr>
        <w:t>N.C.A.</w:t>
      </w:r>
      <w:r>
        <w:rPr>
          <w:rFonts w:ascii="Calibri" w:hAnsi="Calibri"/>
          <w:spacing w:val="29"/>
          <w:sz w:val="20"/>
          <w:vertAlign w:val="baseline"/>
        </w:rPr>
        <w:t> </w:t>
      </w:r>
      <w:r>
        <w:rPr>
          <w:rFonts w:ascii="Calibri" w:hAnsi="Calibri"/>
          <w:sz w:val="20"/>
          <w:vertAlign w:val="baseline"/>
        </w:rPr>
        <w:t>(1976).The</w:t>
      </w:r>
      <w:r>
        <w:rPr>
          <w:rFonts w:ascii="Calibri" w:hAnsi="Calibri"/>
          <w:spacing w:val="25"/>
          <w:sz w:val="20"/>
          <w:vertAlign w:val="baseline"/>
        </w:rPr>
        <w:t> </w:t>
      </w:r>
      <w:r>
        <w:rPr>
          <w:rFonts w:ascii="Calibri" w:hAnsi="Calibri"/>
          <w:sz w:val="20"/>
          <w:vertAlign w:val="baseline"/>
        </w:rPr>
        <w:t>Subjective</w:t>
      </w:r>
      <w:r>
        <w:rPr>
          <w:rFonts w:ascii="Calibri" w:hAnsi="Calibri"/>
          <w:spacing w:val="26"/>
          <w:sz w:val="20"/>
          <w:vertAlign w:val="baseline"/>
        </w:rPr>
        <w:t> </w:t>
      </w:r>
      <w:r>
        <w:rPr>
          <w:rFonts w:ascii="Calibri" w:hAnsi="Calibri"/>
          <w:sz w:val="20"/>
          <w:vertAlign w:val="baseline"/>
        </w:rPr>
        <w:t>and</w:t>
      </w:r>
      <w:r>
        <w:rPr>
          <w:rFonts w:ascii="Calibri" w:hAnsi="Calibri"/>
          <w:spacing w:val="25"/>
          <w:sz w:val="20"/>
          <w:vertAlign w:val="baseline"/>
        </w:rPr>
        <w:t> </w:t>
      </w:r>
      <w:r>
        <w:rPr>
          <w:rFonts w:ascii="Calibri" w:hAnsi="Calibri"/>
          <w:sz w:val="20"/>
          <w:vertAlign w:val="baseline"/>
        </w:rPr>
        <w:t>Objective</w:t>
      </w:r>
      <w:r>
        <w:rPr>
          <w:rFonts w:ascii="Calibri" w:hAnsi="Calibri"/>
          <w:spacing w:val="25"/>
          <w:sz w:val="20"/>
          <w:vertAlign w:val="baseline"/>
        </w:rPr>
        <w:t> </w:t>
      </w:r>
      <w:r>
        <w:rPr>
          <w:rFonts w:ascii="Calibri" w:hAnsi="Calibri"/>
          <w:sz w:val="20"/>
          <w:vertAlign w:val="baseline"/>
        </w:rPr>
        <w:t>Elements</w:t>
      </w:r>
      <w:r>
        <w:rPr>
          <w:rFonts w:ascii="Calibri" w:hAnsi="Calibri"/>
          <w:spacing w:val="27"/>
          <w:sz w:val="20"/>
          <w:vertAlign w:val="baseline"/>
        </w:rPr>
        <w:t> </w:t>
      </w:r>
      <w:r>
        <w:rPr>
          <w:rFonts w:ascii="Calibri" w:hAnsi="Calibri"/>
          <w:sz w:val="20"/>
          <w:vertAlign w:val="baseline"/>
        </w:rPr>
        <w:t>of</w:t>
      </w:r>
      <w:r>
        <w:rPr>
          <w:rFonts w:ascii="Calibri" w:hAnsi="Calibri"/>
          <w:spacing w:val="30"/>
          <w:sz w:val="20"/>
          <w:vertAlign w:val="baseline"/>
        </w:rPr>
        <w:t> </w:t>
      </w:r>
      <w:r>
        <w:rPr>
          <w:rFonts w:ascii="Calibri" w:hAnsi="Calibri"/>
          <w:sz w:val="20"/>
          <w:vertAlign w:val="baseline"/>
        </w:rPr>
        <w:t>a</w:t>
      </w:r>
      <w:r>
        <w:rPr>
          <w:rFonts w:ascii="Calibri" w:hAnsi="Calibri"/>
          <w:spacing w:val="29"/>
          <w:sz w:val="20"/>
          <w:vertAlign w:val="baseline"/>
        </w:rPr>
        <w:t> </w:t>
      </w:r>
      <w:r>
        <w:rPr>
          <w:rFonts w:ascii="Calibri" w:hAnsi="Calibri"/>
          <w:sz w:val="20"/>
          <w:vertAlign w:val="baseline"/>
        </w:rPr>
        <w:t>Company</w:t>
      </w:r>
      <w:r>
        <w:rPr>
          <w:rFonts w:ascii="Calibri" w:hAnsi="Calibri"/>
          <w:spacing w:val="25"/>
          <w:sz w:val="20"/>
          <w:vertAlign w:val="baseline"/>
        </w:rPr>
        <w:t> </w:t>
      </w:r>
      <w:r>
        <w:rPr>
          <w:rFonts w:ascii="Calibri" w:hAnsi="Calibri"/>
          <w:sz w:val="20"/>
          <w:vertAlign w:val="baseline"/>
        </w:rPr>
        <w:t>Boards’</w:t>
      </w:r>
      <w:r>
        <w:rPr>
          <w:rFonts w:ascii="Calibri" w:hAnsi="Calibri"/>
          <w:spacing w:val="27"/>
          <w:sz w:val="20"/>
          <w:vertAlign w:val="baseline"/>
        </w:rPr>
        <w:t> </w:t>
      </w:r>
      <w:r>
        <w:rPr>
          <w:rFonts w:ascii="Calibri" w:hAnsi="Calibri"/>
          <w:sz w:val="20"/>
          <w:vertAlign w:val="baseline"/>
        </w:rPr>
        <w:t>Power</w:t>
      </w:r>
      <w:r>
        <w:rPr>
          <w:rFonts w:ascii="Calibri" w:hAnsi="Calibri"/>
          <w:spacing w:val="27"/>
          <w:sz w:val="20"/>
          <w:vertAlign w:val="baseline"/>
        </w:rPr>
        <w:t> </w:t>
      </w:r>
      <w:r>
        <w:rPr>
          <w:rFonts w:ascii="Calibri" w:hAnsi="Calibri"/>
          <w:sz w:val="20"/>
          <w:vertAlign w:val="baseline"/>
        </w:rPr>
        <w:t>to</w:t>
      </w:r>
      <w:r>
        <w:rPr>
          <w:rFonts w:ascii="Calibri" w:hAnsi="Calibri"/>
          <w:spacing w:val="24"/>
          <w:sz w:val="20"/>
          <w:vertAlign w:val="baseline"/>
        </w:rPr>
        <w:t> </w:t>
      </w:r>
      <w:r>
        <w:rPr>
          <w:rFonts w:ascii="Calibri" w:hAnsi="Calibri"/>
          <w:sz w:val="20"/>
          <w:vertAlign w:val="baseline"/>
        </w:rPr>
        <w:t>Issue Shares.</w:t>
      </w:r>
      <w:r>
        <w:rPr>
          <w:rFonts w:ascii="Calibri" w:hAnsi="Calibri"/>
          <w:i/>
          <w:sz w:val="20"/>
          <w:vertAlign w:val="baseline"/>
        </w:rPr>
        <w:t>Melbourne University Law Review</w:t>
      </w:r>
      <w:r>
        <w:rPr>
          <w:rFonts w:ascii="Calibri" w:hAnsi="Calibri"/>
          <w:sz w:val="20"/>
          <w:vertAlign w:val="baseline"/>
        </w:rPr>
        <w:t>, 10(3): 392 at p.395.</w:t>
      </w:r>
    </w:p>
    <w:p>
      <w:pPr>
        <w:spacing w:after="0"/>
        <w:jc w:val="left"/>
        <w:rPr>
          <w:rFonts w:ascii="Calibri" w:hAnsi="Calibri"/>
          <w:sz w:val="20"/>
        </w:rPr>
        <w:sectPr>
          <w:pgSz w:w="11910" w:h="16840"/>
          <w:pgMar w:header="0" w:footer="1003" w:top="1280" w:bottom="1200" w:left="1680" w:right="1180"/>
        </w:sectPr>
      </w:pPr>
    </w:p>
    <w:p>
      <w:pPr>
        <w:pStyle w:val="BodyText"/>
        <w:spacing w:line="480" w:lineRule="auto" w:before="70"/>
        <w:ind w:right="179" w:firstLine="720"/>
        <w:jc w:val="both"/>
      </w:pPr>
      <w:r>
        <w:rPr/>
        <w:t>Where there appears to be a multiplicity of purposes for which the directors might have acted—as was the case in </w:t>
      </w:r>
      <w:r>
        <w:rPr>
          <w:b/>
        </w:rPr>
        <w:t>Ampol </w:t>
      </w:r>
      <w:r>
        <w:rPr/>
        <w:t>above—the test of illegality must be applied to the dominant or primary purpose which the directors had and which the court must first identify. If, as is most likely, it is the articles that confer the powers in</w:t>
      </w:r>
      <w:r>
        <w:rPr>
          <w:spacing w:val="40"/>
        </w:rPr>
        <w:t> </w:t>
      </w:r>
      <w:r>
        <w:rPr/>
        <w:t>question</w:t>
      </w:r>
      <w:r>
        <w:rPr>
          <w:spacing w:val="-7"/>
        </w:rPr>
        <w:t> </w:t>
      </w:r>
      <w:r>
        <w:rPr/>
        <w:t>on</w:t>
      </w:r>
      <w:r>
        <w:rPr>
          <w:spacing w:val="-12"/>
        </w:rPr>
        <w:t> </w:t>
      </w:r>
      <w:r>
        <w:rPr/>
        <w:t>the</w:t>
      </w:r>
      <w:r>
        <w:rPr>
          <w:spacing w:val="-5"/>
        </w:rPr>
        <w:t> </w:t>
      </w:r>
      <w:r>
        <w:rPr/>
        <w:t>directors,</w:t>
      </w:r>
      <w:r>
        <w:rPr>
          <w:spacing w:val="-1"/>
        </w:rPr>
        <w:t> </w:t>
      </w:r>
      <w:r>
        <w:rPr/>
        <w:t>it</w:t>
      </w:r>
      <w:r>
        <w:rPr>
          <w:spacing w:val="-3"/>
        </w:rPr>
        <w:t> </w:t>
      </w:r>
      <w:r>
        <w:rPr/>
        <w:t>has</w:t>
      </w:r>
      <w:r>
        <w:rPr>
          <w:spacing w:val="-6"/>
        </w:rPr>
        <w:t> </w:t>
      </w:r>
      <w:r>
        <w:rPr/>
        <w:t>been</w:t>
      </w:r>
      <w:r>
        <w:rPr>
          <w:spacing w:val="-12"/>
        </w:rPr>
        <w:t> </w:t>
      </w:r>
      <w:r>
        <w:rPr/>
        <w:t>posited</w:t>
      </w:r>
      <w:r>
        <w:rPr>
          <w:spacing w:val="-7"/>
        </w:rPr>
        <w:t> </w:t>
      </w:r>
      <w:r>
        <w:rPr/>
        <w:t>that ―...it is</w:t>
      </w:r>
      <w:r>
        <w:rPr>
          <w:spacing w:val="-1"/>
        </w:rPr>
        <w:t> </w:t>
      </w:r>
      <w:r>
        <w:rPr/>
        <w:t>for</w:t>
      </w:r>
      <w:r>
        <w:rPr>
          <w:spacing w:val="-6"/>
        </w:rPr>
        <w:t> </w:t>
      </w:r>
      <w:r>
        <w:rPr/>
        <w:t>the</w:t>
      </w:r>
      <w:r>
        <w:rPr>
          <w:spacing w:val="-8"/>
        </w:rPr>
        <w:t> </w:t>
      </w:r>
      <w:r>
        <w:rPr/>
        <w:t>court to</w:t>
      </w:r>
      <w:r>
        <w:rPr>
          <w:spacing w:val="-3"/>
        </w:rPr>
        <w:t> </w:t>
      </w:r>
      <w:r>
        <w:rPr/>
        <w:t>decide</w:t>
      </w:r>
      <w:r>
        <w:rPr>
          <w:spacing w:val="-8"/>
        </w:rPr>
        <w:t> </w:t>
      </w:r>
      <w:r>
        <w:rPr/>
        <w:t>on</w:t>
      </w:r>
      <w:r>
        <w:rPr>
          <w:spacing w:val="-7"/>
        </w:rPr>
        <w:t> </w:t>
      </w:r>
      <w:r>
        <w:rPr/>
        <w:t>a</w:t>
      </w:r>
      <w:r>
        <w:rPr>
          <w:spacing w:val="-5"/>
        </w:rPr>
        <w:t> </w:t>
      </w:r>
      <w:r>
        <w:rPr/>
        <w:t>true interpretation of the articles what the purpose was for which the power was</w:t>
      </w:r>
      <w:r>
        <w:rPr>
          <w:spacing w:val="80"/>
        </w:rPr>
        <w:t> </w:t>
      </w:r>
      <w:r>
        <w:rPr>
          <w:spacing w:val="-2"/>
        </w:rPr>
        <w:t>conferred.‖</w:t>
      </w:r>
      <w:r>
        <w:rPr>
          <w:spacing w:val="-2"/>
          <w:vertAlign w:val="superscript"/>
        </w:rPr>
        <w:t>214</w:t>
      </w:r>
    </w:p>
    <w:p>
      <w:pPr>
        <w:pStyle w:val="BodyText"/>
        <w:spacing w:line="480" w:lineRule="auto" w:before="1"/>
        <w:ind w:right="185" w:firstLine="720"/>
        <w:jc w:val="both"/>
      </w:pPr>
      <w:r>
        <w:rPr/>
        <w:t>Prentice observed that the proper purpose doctrine has no independent existence outside the articles of association and that appropriately drafted articles can determine which purposes are proper and which are improper.</w:t>
      </w:r>
      <w:r>
        <w:rPr>
          <w:vertAlign w:val="superscript"/>
        </w:rPr>
        <w:t>215</w:t>
      </w:r>
      <w:r>
        <w:rPr>
          <w:vertAlign w:val="baseline"/>
        </w:rPr>
        <w:t> Indeed, there appears to be some credence to this opinion. S. 124 reserves the power of allotment of shares in the company. However, the same section allows the company to delegate this power to its directors, and the articles to state how this power is to be exercised. Thus, in order to allow directors to be able to, for instance, stave off a takeover bid or prevent a new control</w:t>
      </w:r>
      <w:r>
        <w:rPr>
          <w:spacing w:val="-8"/>
          <w:vertAlign w:val="baseline"/>
        </w:rPr>
        <w:t> </w:t>
      </w:r>
      <w:r>
        <w:rPr>
          <w:vertAlign w:val="baseline"/>
        </w:rPr>
        <w:t>over the company, the articles</w:t>
      </w:r>
      <w:r>
        <w:rPr>
          <w:spacing w:val="-1"/>
          <w:vertAlign w:val="baseline"/>
        </w:rPr>
        <w:t> </w:t>
      </w:r>
      <w:r>
        <w:rPr>
          <w:vertAlign w:val="baseline"/>
        </w:rPr>
        <w:t>of</w:t>
      </w:r>
      <w:r>
        <w:rPr>
          <w:spacing w:val="-7"/>
          <w:vertAlign w:val="baseline"/>
        </w:rPr>
        <w:t> </w:t>
      </w:r>
      <w:r>
        <w:rPr>
          <w:vertAlign w:val="baseline"/>
        </w:rPr>
        <w:t>association</w:t>
      </w:r>
      <w:r>
        <w:rPr>
          <w:spacing w:val="-4"/>
          <w:vertAlign w:val="baseline"/>
        </w:rPr>
        <w:t> </w:t>
      </w:r>
      <w:r>
        <w:rPr>
          <w:vertAlign w:val="baseline"/>
        </w:rPr>
        <w:t>can be appropriately</w:t>
      </w:r>
      <w:r>
        <w:rPr>
          <w:spacing w:val="-4"/>
          <w:vertAlign w:val="baseline"/>
        </w:rPr>
        <w:t> </w:t>
      </w:r>
      <w:r>
        <w:rPr>
          <w:vertAlign w:val="baseline"/>
        </w:rPr>
        <w:t>drafted to have the required effect. The courts, in any given case, would normally simply give the articles the interpretation intended by their drafters, so long as it is not contrary to law, and so long as the directors acted in good faith and thought they were acting in the best interests of the company at the material time. A fortiori, the court would not venture to interfere with the directors‘ bona fide exercise of their powers for the right purposes simply because it incidentally affects a member adversely.</w:t>
      </w:r>
      <w:r>
        <w:rPr>
          <w:vertAlign w:val="superscript"/>
        </w:rPr>
        <w:t>216</w:t>
      </w:r>
    </w:p>
    <w:p>
      <w:pPr>
        <w:pStyle w:val="BodyText"/>
        <w:ind w:left="0"/>
        <w:rPr>
          <w:sz w:val="20"/>
        </w:rPr>
      </w:pPr>
    </w:p>
    <w:p>
      <w:pPr>
        <w:pStyle w:val="BodyText"/>
        <w:spacing w:before="113"/>
        <w:ind w:left="0"/>
        <w:rPr>
          <w:sz w:val="20"/>
        </w:rPr>
      </w:pPr>
      <w:r>
        <w:rPr/>
        <mc:AlternateContent>
          <mc:Choice Requires="wps">
            <w:drawing>
              <wp:anchor distT="0" distB="0" distL="0" distR="0" allowOverlap="1" layoutInCell="1" locked="0" behindDoc="1" simplePos="0" relativeHeight="487660544">
                <wp:simplePos x="0" y="0"/>
                <wp:positionH relativeFrom="page">
                  <wp:posOffset>1262481</wp:posOffset>
                </wp:positionH>
                <wp:positionV relativeFrom="paragraph">
                  <wp:posOffset>233047</wp:posOffset>
                </wp:positionV>
                <wp:extent cx="1829435" cy="9525"/>
                <wp:effectExtent l="0" t="0" r="0" b="0"/>
                <wp:wrapTopAndBottom/>
                <wp:docPr id="158" name="Graphic 158"/>
                <wp:cNvGraphicFramePr>
                  <a:graphicFrameLocks/>
                </wp:cNvGraphicFramePr>
                <a:graphic>
                  <a:graphicData uri="http://schemas.microsoft.com/office/word/2010/wordprocessingShape">
                    <wps:wsp>
                      <wps:cNvPr id="158" name="Graphic 15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350225pt;width:144.050pt;height:.71997pt;mso-position-horizontal-relative:page;mso-position-vertical-relative:paragraph;z-index:-15655936;mso-wrap-distance-left:0;mso-wrap-distance-right:0" id="docshape113" filled="true" fillcolor="#000000" stroked="false">
                <v:fill type="solid"/>
                <w10:wrap type="topAndBottom"/>
              </v:rect>
            </w:pict>
          </mc:Fallback>
        </mc:AlternateContent>
      </w:r>
    </w:p>
    <w:p>
      <w:pPr>
        <w:spacing w:before="97"/>
        <w:ind w:left="308" w:right="228" w:firstLine="0"/>
        <w:jc w:val="both"/>
        <w:rPr>
          <w:rFonts w:ascii="Calibri"/>
          <w:sz w:val="20"/>
        </w:rPr>
      </w:pPr>
      <w:r>
        <w:rPr>
          <w:rFonts w:ascii="Calibri"/>
          <w:sz w:val="20"/>
          <w:vertAlign w:val="superscript"/>
        </w:rPr>
        <w:t>214</w:t>
      </w:r>
      <w:r>
        <w:rPr>
          <w:rFonts w:ascii="Calibri"/>
          <w:spacing w:val="40"/>
          <w:sz w:val="20"/>
          <w:vertAlign w:val="baseline"/>
        </w:rPr>
        <w:t> </w:t>
      </w:r>
      <w:r>
        <w:rPr>
          <w:rFonts w:ascii="Calibri"/>
          <w:sz w:val="20"/>
          <w:vertAlign w:val="baseline"/>
        </w:rPr>
        <w:t>Ali, H.L. </w:t>
      </w:r>
      <w:r>
        <w:rPr>
          <w:rFonts w:ascii="Calibri"/>
          <w:i/>
          <w:sz w:val="20"/>
          <w:vertAlign w:val="baseline"/>
        </w:rPr>
        <w:t>op.cit.,</w:t>
      </w:r>
      <w:r>
        <w:rPr>
          <w:rFonts w:ascii="Calibri"/>
          <w:sz w:val="20"/>
          <w:vertAlign w:val="baseline"/>
        </w:rPr>
        <w:t>fn 50 at 162, citing Gower, L.C.B. </w:t>
      </w:r>
      <w:r>
        <w:rPr>
          <w:rFonts w:ascii="Calibri"/>
          <w:i/>
          <w:sz w:val="20"/>
          <w:vertAlign w:val="baseline"/>
        </w:rPr>
        <w:t>Company Directors and Controllers, </w:t>
      </w:r>
      <w:r>
        <w:rPr>
          <w:rFonts w:ascii="Calibri"/>
          <w:sz w:val="20"/>
          <w:vertAlign w:val="baseline"/>
        </w:rPr>
        <w:t>Australia, p. 64. See also </w:t>
      </w:r>
      <w:r>
        <w:rPr>
          <w:rFonts w:ascii="Calibri"/>
          <w:i/>
          <w:sz w:val="20"/>
          <w:vertAlign w:val="baseline"/>
        </w:rPr>
        <w:t>Re Smith &amp; Fawcett Ltd. </w:t>
      </w:r>
      <w:r>
        <w:rPr>
          <w:rFonts w:ascii="Calibri"/>
          <w:sz w:val="20"/>
          <w:vertAlign w:val="baseline"/>
        </w:rPr>
        <w:t>(1942) Ch. 304 at 306.</w:t>
      </w:r>
    </w:p>
    <w:p>
      <w:pPr>
        <w:spacing w:before="2"/>
        <w:ind w:left="308" w:right="229" w:firstLine="0"/>
        <w:jc w:val="both"/>
        <w:rPr>
          <w:rFonts w:ascii="Calibri"/>
          <w:sz w:val="20"/>
        </w:rPr>
      </w:pPr>
      <w:r>
        <w:rPr>
          <w:rFonts w:ascii="Calibri"/>
          <w:sz w:val="20"/>
          <w:vertAlign w:val="superscript"/>
        </w:rPr>
        <w:t>215</w:t>
      </w:r>
      <w:r>
        <w:rPr>
          <w:rFonts w:ascii="Calibri"/>
          <w:sz w:val="20"/>
          <w:vertAlign w:val="baseline"/>
        </w:rPr>
        <w:t>Prentice, D.D. (1970).Expulsion of Members from a Company</w:t>
      </w:r>
      <w:r>
        <w:rPr>
          <w:rFonts w:ascii="Calibri"/>
          <w:i/>
          <w:sz w:val="20"/>
          <w:vertAlign w:val="baseline"/>
        </w:rPr>
        <w:t>. The Modern Law Review</w:t>
      </w:r>
      <w:r>
        <w:rPr>
          <w:rFonts w:ascii="Calibri"/>
          <w:sz w:val="20"/>
          <w:vertAlign w:val="baseline"/>
        </w:rPr>
        <w:t>, 33: 700-704,</w:t>
      </w:r>
      <w:r>
        <w:rPr>
          <w:rFonts w:ascii="Calibri"/>
          <w:spacing w:val="40"/>
          <w:sz w:val="20"/>
          <w:vertAlign w:val="baseline"/>
        </w:rPr>
        <w:t> </w:t>
      </w:r>
      <w:r>
        <w:rPr>
          <w:rFonts w:ascii="Calibri"/>
          <w:sz w:val="20"/>
          <w:vertAlign w:val="baseline"/>
        </w:rPr>
        <w:t>at 703.</w:t>
      </w:r>
    </w:p>
    <w:p>
      <w:pPr>
        <w:spacing w:before="1"/>
        <w:ind w:left="308" w:right="230" w:firstLine="0"/>
        <w:jc w:val="both"/>
        <w:rPr>
          <w:rFonts w:ascii="Calibri" w:hAnsi="Calibri"/>
          <w:sz w:val="20"/>
        </w:rPr>
      </w:pPr>
      <w:r>
        <w:rPr>
          <w:rFonts w:ascii="Calibri" w:hAnsi="Calibri"/>
          <w:sz w:val="20"/>
          <w:vertAlign w:val="superscript"/>
        </w:rPr>
        <w:t>216</w:t>
      </w:r>
      <w:r>
        <w:rPr>
          <w:rFonts w:ascii="Calibri" w:hAnsi="Calibri"/>
          <w:sz w:val="20"/>
          <w:vertAlign w:val="baseline"/>
        </w:rPr>
        <w:t> See s. 279(5) and the decision in </w:t>
      </w:r>
      <w:r>
        <w:rPr>
          <w:rFonts w:ascii="Calibri" w:hAnsi="Calibri"/>
          <w:i/>
          <w:sz w:val="20"/>
          <w:vertAlign w:val="baseline"/>
        </w:rPr>
        <w:t>Mills vs. Mills </w:t>
      </w:r>
      <w:r>
        <w:rPr>
          <w:rFonts w:ascii="Calibri" w:hAnsi="Calibri"/>
          <w:sz w:val="20"/>
          <w:vertAlign w:val="baseline"/>
        </w:rPr>
        <w:t>(1938) 60 CLR 150, where it was decided that where the directors’</w:t>
      </w:r>
      <w:r>
        <w:rPr>
          <w:rFonts w:ascii="Calibri" w:hAnsi="Calibri"/>
          <w:spacing w:val="40"/>
          <w:sz w:val="20"/>
          <w:vertAlign w:val="baseline"/>
        </w:rPr>
        <w:t> </w:t>
      </w:r>
      <w:r>
        <w:rPr>
          <w:rFonts w:ascii="Calibri" w:hAnsi="Calibri"/>
          <w:sz w:val="20"/>
          <w:vertAlign w:val="baseline"/>
        </w:rPr>
        <w:t>decision would benefit some but adversely affect other members, they should simply consider what is fair between the two.</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70"/>
        <w:ind w:right="182" w:firstLine="720"/>
        <w:jc w:val="both"/>
      </w:pPr>
      <w:r>
        <w:rPr/>
        <w:t>While s. 279(4) allows directors to consider the interests of the company‘s employees, that consideration is subject to the overriding duty of acting in the best interests of the company. S. 342(5) also suggests that the company may invest in the health, safety and welfare of its employees, which, while being in the latter‘s interest, would obviously</w:t>
      </w:r>
      <w:r>
        <w:rPr>
          <w:spacing w:val="-1"/>
        </w:rPr>
        <w:t> </w:t>
      </w:r>
      <w:r>
        <w:rPr/>
        <w:t>be to the company‘s ultimate benefit. So would any</w:t>
      </w:r>
      <w:r>
        <w:rPr>
          <w:spacing w:val="-1"/>
        </w:rPr>
        <w:t> </w:t>
      </w:r>
      <w:r>
        <w:rPr/>
        <w:t>agreement reached on employee incentives in the form of sharing in corporate profits.</w:t>
      </w:r>
      <w:r>
        <w:rPr>
          <w:vertAlign w:val="superscript"/>
        </w:rPr>
        <w:t>217</w:t>
      </w:r>
      <w:r>
        <w:rPr>
          <w:vertAlign w:val="baseline"/>
        </w:rPr>
        <w:t> Thus, where directors‘ claim to be acting in the interest of the company, they must also show that their action is in fact for its benefit.</w:t>
      </w:r>
    </w:p>
    <w:p>
      <w:pPr>
        <w:pStyle w:val="BodyText"/>
        <w:spacing w:line="480" w:lineRule="auto" w:before="2"/>
        <w:ind w:right="186" w:firstLine="720"/>
        <w:jc w:val="both"/>
      </w:pPr>
      <w:r>
        <w:rPr/>
        <w:t>But the interest of employees has not always been within the contemplation of company law. Back in 1883, Bowen L.J. famously maintained, regarding gratuitous grants to employees, that</w:t>
      </w:r>
    </w:p>
    <w:p>
      <w:pPr>
        <w:spacing w:line="240" w:lineRule="auto" w:before="0"/>
        <w:ind w:left="2007" w:right="1886" w:firstLine="0"/>
        <w:jc w:val="both"/>
        <w:rPr>
          <w:sz w:val="24"/>
        </w:rPr>
      </w:pPr>
      <w:r>
        <w:rPr>
          <w:i/>
          <w:sz w:val="24"/>
        </w:rPr>
        <w:t>As soon as a question is raised by a dissentient shareholder…sympathy must be cut adrift, and we have to consider what the law is…[Directors] can only spend money which is not theirs but </w:t>
      </w:r>
      <w:r>
        <w:rPr>
          <w:i/>
          <w:sz w:val="24"/>
        </w:rPr>
        <w:t>the company‘s, if they are spending it for purposes that are</w:t>
      </w:r>
      <w:r>
        <w:rPr>
          <w:i/>
          <w:spacing w:val="-2"/>
          <w:sz w:val="24"/>
        </w:rPr>
        <w:t> </w:t>
      </w:r>
      <w:r>
        <w:rPr>
          <w:i/>
          <w:sz w:val="24"/>
        </w:rPr>
        <w:t>reasonably</w:t>
      </w:r>
      <w:r>
        <w:rPr>
          <w:i/>
          <w:spacing w:val="-2"/>
          <w:sz w:val="24"/>
        </w:rPr>
        <w:t> </w:t>
      </w:r>
      <w:r>
        <w:rPr>
          <w:i/>
          <w:sz w:val="24"/>
        </w:rPr>
        <w:t>incidental</w:t>
      </w:r>
      <w:r>
        <w:rPr>
          <w:i/>
          <w:spacing w:val="-1"/>
          <w:sz w:val="24"/>
        </w:rPr>
        <w:t> </w:t>
      </w:r>
      <w:r>
        <w:rPr>
          <w:i/>
          <w:sz w:val="24"/>
        </w:rPr>
        <w:t>to</w:t>
      </w:r>
      <w:r>
        <w:rPr>
          <w:i/>
          <w:spacing w:val="-1"/>
          <w:sz w:val="24"/>
        </w:rPr>
        <w:t> </w:t>
      </w:r>
      <w:r>
        <w:rPr>
          <w:i/>
          <w:sz w:val="24"/>
        </w:rPr>
        <w:t>carrying</w:t>
      </w:r>
      <w:r>
        <w:rPr>
          <w:i/>
          <w:spacing w:val="-1"/>
          <w:sz w:val="24"/>
        </w:rPr>
        <w:t> </w:t>
      </w:r>
      <w:r>
        <w:rPr>
          <w:i/>
          <w:sz w:val="24"/>
        </w:rPr>
        <w:t>on</w:t>
      </w:r>
      <w:r>
        <w:rPr>
          <w:i/>
          <w:spacing w:val="-1"/>
          <w:sz w:val="24"/>
        </w:rPr>
        <w:t> </w:t>
      </w:r>
      <w:r>
        <w:rPr>
          <w:i/>
          <w:sz w:val="24"/>
        </w:rPr>
        <w:t>the</w:t>
      </w:r>
      <w:r>
        <w:rPr>
          <w:i/>
          <w:spacing w:val="-2"/>
          <w:sz w:val="24"/>
        </w:rPr>
        <w:t> </w:t>
      </w:r>
      <w:r>
        <w:rPr>
          <w:i/>
          <w:sz w:val="24"/>
        </w:rPr>
        <w:t>business of the company. That is the general doctrine. Bona fides cannot be the sole test, otherwise you might have a lunatic conducting the affairs of the company and paying away its money with both hands in a manner perfectly bona fide yet perfectly</w:t>
      </w:r>
      <w:r>
        <w:rPr>
          <w:i/>
          <w:spacing w:val="40"/>
          <w:sz w:val="24"/>
        </w:rPr>
        <w:t> </w:t>
      </w:r>
      <w:r>
        <w:rPr>
          <w:i/>
          <w:sz w:val="24"/>
        </w:rPr>
        <w:t>irrational…it</w:t>
      </w:r>
      <w:r>
        <w:rPr>
          <w:i/>
          <w:spacing w:val="-1"/>
          <w:sz w:val="24"/>
        </w:rPr>
        <w:t> </w:t>
      </w:r>
      <w:r>
        <w:rPr>
          <w:i/>
          <w:sz w:val="24"/>
        </w:rPr>
        <w:t>is</w:t>
      </w:r>
      <w:r>
        <w:rPr>
          <w:i/>
          <w:spacing w:val="-3"/>
          <w:sz w:val="24"/>
        </w:rPr>
        <w:t> </w:t>
      </w:r>
      <w:r>
        <w:rPr>
          <w:i/>
          <w:sz w:val="24"/>
        </w:rPr>
        <w:t>for</w:t>
      </w:r>
      <w:r>
        <w:rPr>
          <w:i/>
          <w:spacing w:val="-4"/>
          <w:sz w:val="24"/>
        </w:rPr>
        <w:t> </w:t>
      </w:r>
      <w:r>
        <w:rPr>
          <w:i/>
          <w:sz w:val="24"/>
        </w:rPr>
        <w:t>the</w:t>
      </w:r>
      <w:r>
        <w:rPr>
          <w:i/>
          <w:spacing w:val="-2"/>
          <w:sz w:val="24"/>
        </w:rPr>
        <w:t> </w:t>
      </w:r>
      <w:r>
        <w:rPr>
          <w:i/>
          <w:sz w:val="24"/>
        </w:rPr>
        <w:t>directors</w:t>
      </w:r>
      <w:r>
        <w:rPr>
          <w:i/>
          <w:spacing w:val="-4"/>
          <w:sz w:val="24"/>
        </w:rPr>
        <w:t> </w:t>
      </w:r>
      <w:r>
        <w:rPr>
          <w:i/>
          <w:sz w:val="24"/>
        </w:rPr>
        <w:t>to</w:t>
      </w:r>
      <w:r>
        <w:rPr>
          <w:i/>
          <w:spacing w:val="-1"/>
          <w:sz w:val="24"/>
        </w:rPr>
        <w:t> </w:t>
      </w:r>
      <w:r>
        <w:rPr>
          <w:i/>
          <w:sz w:val="24"/>
        </w:rPr>
        <w:t>judge, provided</w:t>
      </w:r>
      <w:r>
        <w:rPr>
          <w:i/>
          <w:spacing w:val="-1"/>
          <w:sz w:val="24"/>
        </w:rPr>
        <w:t> </w:t>
      </w:r>
      <w:r>
        <w:rPr>
          <w:i/>
          <w:sz w:val="24"/>
        </w:rPr>
        <w:t>it is a matter which is reasonably incidental to the carrying on of the business of the company… The</w:t>
      </w:r>
      <w:r>
        <w:rPr>
          <w:i/>
          <w:spacing w:val="40"/>
          <w:sz w:val="24"/>
        </w:rPr>
        <w:t> </w:t>
      </w:r>
      <w:r>
        <w:rPr>
          <w:i/>
          <w:sz w:val="24"/>
        </w:rPr>
        <w:t>law does not say that there are to be no cakes and ale, but there are to be no cakes and ale except such as are required for the benefit of the company. Charity has no business to sit at Boards of directors qua charity. There is however a kind of charitable dealing which is for the interest of those who</w:t>
      </w:r>
      <w:r>
        <w:rPr>
          <w:i/>
          <w:spacing w:val="40"/>
          <w:sz w:val="24"/>
        </w:rPr>
        <w:t> </w:t>
      </w:r>
      <w:r>
        <w:rPr>
          <w:i/>
          <w:sz w:val="24"/>
        </w:rPr>
        <w:t>practice it, and to that extent…charity may sit at the Board, but for no other purpose.</w:t>
      </w:r>
      <w:r>
        <w:rPr>
          <w:sz w:val="24"/>
          <w:vertAlign w:val="superscript"/>
        </w:rPr>
        <w:t>218</w:t>
      </w:r>
    </w:p>
    <w:p>
      <w:pPr>
        <w:pStyle w:val="BodyText"/>
        <w:ind w:left="0"/>
        <w:rPr>
          <w:sz w:val="20"/>
        </w:rPr>
      </w:pPr>
    </w:p>
    <w:p>
      <w:pPr>
        <w:pStyle w:val="BodyText"/>
        <w:spacing w:before="44"/>
        <w:ind w:left="0"/>
        <w:rPr>
          <w:sz w:val="20"/>
        </w:rPr>
      </w:pPr>
      <w:r>
        <w:rPr/>
        <mc:AlternateContent>
          <mc:Choice Requires="wps">
            <w:drawing>
              <wp:anchor distT="0" distB="0" distL="0" distR="0" allowOverlap="1" layoutInCell="1" locked="0" behindDoc="1" simplePos="0" relativeHeight="487661056">
                <wp:simplePos x="0" y="0"/>
                <wp:positionH relativeFrom="page">
                  <wp:posOffset>1262481</wp:posOffset>
                </wp:positionH>
                <wp:positionV relativeFrom="paragraph">
                  <wp:posOffset>189769</wp:posOffset>
                </wp:positionV>
                <wp:extent cx="1829435" cy="9525"/>
                <wp:effectExtent l="0" t="0" r="0" b="0"/>
                <wp:wrapTopAndBottom/>
                <wp:docPr id="159" name="Graphic 159"/>
                <wp:cNvGraphicFramePr>
                  <a:graphicFrameLocks/>
                </wp:cNvGraphicFramePr>
                <a:graphic>
                  <a:graphicData uri="http://schemas.microsoft.com/office/word/2010/wordprocessingShape">
                    <wps:wsp>
                      <wps:cNvPr id="159" name="Graphic 15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942509pt;width:144.050pt;height:.72003pt;mso-position-horizontal-relative:page;mso-position-vertical-relative:paragraph;z-index:-15655424;mso-wrap-distance-left:0;mso-wrap-distance-right:0" id="docshape114" filled="true" fillcolor="#000000" stroked="false">
                <v:fill type="solid"/>
                <w10:wrap type="topAndBottom"/>
              </v:rect>
            </w:pict>
          </mc:Fallback>
        </mc:AlternateContent>
      </w:r>
    </w:p>
    <w:p>
      <w:pPr>
        <w:spacing w:before="103"/>
        <w:ind w:left="308" w:right="0" w:firstLine="0"/>
        <w:jc w:val="both"/>
        <w:rPr>
          <w:rFonts w:ascii="Calibri"/>
          <w:sz w:val="20"/>
        </w:rPr>
      </w:pPr>
      <w:r>
        <w:rPr>
          <w:rFonts w:ascii="Calibri"/>
          <w:sz w:val="20"/>
          <w:vertAlign w:val="superscript"/>
        </w:rPr>
        <w:t>217</w:t>
      </w:r>
      <w:r>
        <w:rPr>
          <w:rFonts w:ascii="Calibri"/>
          <w:sz w:val="20"/>
          <w:vertAlign w:val="baseline"/>
        </w:rPr>
        <w:t>And</w:t>
      </w:r>
      <w:r>
        <w:rPr>
          <w:rFonts w:ascii="Calibri"/>
          <w:spacing w:val="-5"/>
          <w:sz w:val="20"/>
          <w:vertAlign w:val="baseline"/>
        </w:rPr>
        <w:t> </w:t>
      </w:r>
      <w:r>
        <w:rPr>
          <w:rFonts w:ascii="Calibri"/>
          <w:sz w:val="20"/>
          <w:vertAlign w:val="baseline"/>
        </w:rPr>
        <w:t>this,</w:t>
      </w:r>
      <w:r>
        <w:rPr>
          <w:rFonts w:ascii="Calibri"/>
          <w:spacing w:val="-6"/>
          <w:sz w:val="20"/>
          <w:vertAlign w:val="baseline"/>
        </w:rPr>
        <w:t> </w:t>
      </w:r>
      <w:r>
        <w:rPr>
          <w:rFonts w:ascii="Calibri"/>
          <w:sz w:val="20"/>
          <w:vertAlign w:val="baseline"/>
        </w:rPr>
        <w:t>whether</w:t>
      </w:r>
      <w:r>
        <w:rPr>
          <w:rFonts w:ascii="Calibri"/>
          <w:spacing w:val="-2"/>
          <w:sz w:val="20"/>
          <w:vertAlign w:val="baseline"/>
        </w:rPr>
        <w:t> </w:t>
      </w:r>
      <w:r>
        <w:rPr>
          <w:rFonts w:ascii="Calibri"/>
          <w:sz w:val="20"/>
          <w:vertAlign w:val="baseline"/>
        </w:rPr>
        <w:t>or</w:t>
      </w:r>
      <w:r>
        <w:rPr>
          <w:rFonts w:ascii="Calibri"/>
          <w:spacing w:val="-2"/>
          <w:sz w:val="20"/>
          <w:vertAlign w:val="baseline"/>
        </w:rPr>
        <w:t> </w:t>
      </w:r>
      <w:r>
        <w:rPr>
          <w:rFonts w:ascii="Calibri"/>
          <w:sz w:val="20"/>
          <w:vertAlign w:val="baseline"/>
        </w:rPr>
        <w:t>not</w:t>
      </w:r>
      <w:r>
        <w:rPr>
          <w:rFonts w:ascii="Calibri"/>
          <w:spacing w:val="-4"/>
          <w:sz w:val="20"/>
          <w:vertAlign w:val="baseline"/>
        </w:rPr>
        <w:t> </w:t>
      </w:r>
      <w:r>
        <w:rPr>
          <w:rFonts w:ascii="Calibri"/>
          <w:sz w:val="20"/>
          <w:vertAlign w:val="baseline"/>
        </w:rPr>
        <w:t>dividends</w:t>
      </w:r>
      <w:r>
        <w:rPr>
          <w:rFonts w:ascii="Calibri"/>
          <w:spacing w:val="-6"/>
          <w:sz w:val="20"/>
          <w:vertAlign w:val="baseline"/>
        </w:rPr>
        <w:t> </w:t>
      </w:r>
      <w:r>
        <w:rPr>
          <w:rFonts w:ascii="Calibri"/>
          <w:sz w:val="20"/>
          <w:vertAlign w:val="baseline"/>
        </w:rPr>
        <w:t>have</w:t>
      </w:r>
      <w:r>
        <w:rPr>
          <w:rFonts w:ascii="Calibri"/>
          <w:spacing w:val="-5"/>
          <w:sz w:val="20"/>
          <w:vertAlign w:val="baseline"/>
        </w:rPr>
        <w:t> </w:t>
      </w:r>
      <w:r>
        <w:rPr>
          <w:rFonts w:ascii="Calibri"/>
          <w:sz w:val="20"/>
          <w:vertAlign w:val="baseline"/>
        </w:rPr>
        <w:t>been</w:t>
      </w:r>
      <w:r>
        <w:rPr>
          <w:rFonts w:ascii="Calibri"/>
          <w:spacing w:val="-7"/>
          <w:sz w:val="20"/>
          <w:vertAlign w:val="baseline"/>
        </w:rPr>
        <w:t> </w:t>
      </w:r>
      <w:r>
        <w:rPr>
          <w:rFonts w:ascii="Calibri"/>
          <w:sz w:val="20"/>
          <w:vertAlign w:val="baseline"/>
        </w:rPr>
        <w:t>declared.</w:t>
      </w:r>
      <w:r>
        <w:rPr>
          <w:rFonts w:ascii="Calibri"/>
          <w:spacing w:val="-7"/>
          <w:sz w:val="20"/>
          <w:vertAlign w:val="baseline"/>
        </w:rPr>
        <w:t> </w:t>
      </w:r>
      <w:r>
        <w:rPr>
          <w:rFonts w:ascii="Calibri"/>
          <w:sz w:val="20"/>
          <w:vertAlign w:val="baseline"/>
        </w:rPr>
        <w:t>See</w:t>
      </w:r>
      <w:r>
        <w:rPr>
          <w:rFonts w:ascii="Calibri"/>
          <w:spacing w:val="-11"/>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384.</w:t>
      </w:r>
    </w:p>
    <w:p>
      <w:pPr>
        <w:spacing w:before="0"/>
        <w:ind w:left="308" w:right="229" w:firstLine="0"/>
        <w:jc w:val="both"/>
        <w:rPr>
          <w:rFonts w:ascii="Calibri"/>
          <w:sz w:val="20"/>
        </w:rPr>
      </w:pPr>
      <w:r>
        <w:rPr>
          <w:rFonts w:ascii="Calibri"/>
          <w:sz w:val="20"/>
          <w:vertAlign w:val="superscript"/>
        </w:rPr>
        <w:t>218</w:t>
      </w:r>
      <w:r>
        <w:rPr>
          <w:rFonts w:ascii="Calibri"/>
          <w:i/>
          <w:sz w:val="20"/>
          <w:vertAlign w:val="baseline"/>
        </w:rPr>
        <w:t>Hutton vs. West Cork Railway </w:t>
      </w:r>
      <w:r>
        <w:rPr>
          <w:rFonts w:ascii="Calibri"/>
          <w:sz w:val="20"/>
          <w:vertAlign w:val="baseline"/>
        </w:rPr>
        <w:t>(1883) 23 Ch. D. 654 at 673. A similar decision was reached almost a century later in </w:t>
      </w:r>
      <w:r>
        <w:rPr>
          <w:rFonts w:ascii="Calibri"/>
          <w:i/>
          <w:sz w:val="20"/>
          <w:vertAlign w:val="baseline"/>
        </w:rPr>
        <w:t>Re W &amp; M Roith Ltd. </w:t>
      </w:r>
      <w:r>
        <w:rPr>
          <w:rFonts w:ascii="Calibri"/>
          <w:sz w:val="20"/>
          <w:vertAlign w:val="baseline"/>
        </w:rPr>
        <w:t>(1967) 1 W.L.R. 432, where the court refused to allow an</w:t>
      </w:r>
      <w:r>
        <w:rPr>
          <w:rFonts w:ascii="Calibri"/>
          <w:spacing w:val="40"/>
          <w:sz w:val="20"/>
          <w:vertAlign w:val="baseline"/>
        </w:rPr>
        <w:t> </w:t>
      </w:r>
      <w:r>
        <w:rPr>
          <w:rFonts w:ascii="Calibri"/>
          <w:sz w:val="20"/>
          <w:vertAlign w:val="baseline"/>
        </w:rPr>
        <w:t>agreement between the company and its director, in which the company agreed to provide his widow with a pension for life.</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2" w:firstLine="720"/>
        <w:jc w:val="both"/>
      </w:pPr>
      <w:r>
        <w:rPr/>
        <w:t>The dictum above reiterates that directors are first and foremost trustees: they cannot pay away monies other than for the benefit of their</w:t>
      </w:r>
      <w:r>
        <w:rPr>
          <w:spacing w:val="31"/>
        </w:rPr>
        <w:t> </w:t>
      </w:r>
      <w:r>
        <w:rPr>
          <w:i/>
        </w:rPr>
        <w:t>cestuique trust</w:t>
      </w:r>
      <w:r>
        <w:rPr/>
        <w:t>, in this case, the company, however noble the intention. Similarly, in </w:t>
      </w:r>
      <w:r>
        <w:rPr>
          <w:b/>
        </w:rPr>
        <w:t>Parke vs. Daily News Ltd.</w:t>
      </w:r>
      <w:r>
        <w:rPr/>
        <w:t>,</w:t>
      </w:r>
      <w:r>
        <w:rPr>
          <w:vertAlign w:val="superscript"/>
        </w:rPr>
        <w:t>219</w:t>
      </w:r>
      <w:r>
        <w:rPr>
          <w:vertAlign w:val="baseline"/>
        </w:rPr>
        <w:t> the defendant company sold the major part of its business and proposed to use the proceeds</w:t>
      </w:r>
      <w:r>
        <w:rPr>
          <w:spacing w:val="-7"/>
          <w:vertAlign w:val="baseline"/>
        </w:rPr>
        <w:t> </w:t>
      </w:r>
      <w:r>
        <w:rPr>
          <w:vertAlign w:val="baseline"/>
        </w:rPr>
        <w:t>to make</w:t>
      </w:r>
      <w:r>
        <w:rPr>
          <w:spacing w:val="-1"/>
          <w:vertAlign w:val="baseline"/>
        </w:rPr>
        <w:t> </w:t>
      </w:r>
      <w:r>
        <w:rPr>
          <w:vertAlign w:val="baseline"/>
        </w:rPr>
        <w:t>payments</w:t>
      </w:r>
      <w:r>
        <w:rPr>
          <w:spacing w:val="-2"/>
          <w:vertAlign w:val="baseline"/>
        </w:rPr>
        <w:t> </w:t>
      </w:r>
      <w:r>
        <w:rPr>
          <w:vertAlign w:val="baseline"/>
        </w:rPr>
        <w:t>to employees by</w:t>
      </w:r>
      <w:r>
        <w:rPr>
          <w:spacing w:val="-5"/>
          <w:vertAlign w:val="baseline"/>
        </w:rPr>
        <w:t> </w:t>
      </w:r>
      <w:r>
        <w:rPr>
          <w:vertAlign w:val="baseline"/>
        </w:rPr>
        <w:t>way of</w:t>
      </w:r>
      <w:r>
        <w:rPr>
          <w:spacing w:val="-8"/>
          <w:vertAlign w:val="baseline"/>
        </w:rPr>
        <w:t> </w:t>
      </w:r>
      <w:r>
        <w:rPr>
          <w:vertAlign w:val="baseline"/>
        </w:rPr>
        <w:t>redundancy</w:t>
      </w:r>
      <w:r>
        <w:rPr>
          <w:spacing w:val="-10"/>
          <w:vertAlign w:val="baseline"/>
        </w:rPr>
        <w:t> </w:t>
      </w:r>
      <w:r>
        <w:rPr>
          <w:vertAlign w:val="baseline"/>
        </w:rPr>
        <w:t>pay. The</w:t>
      </w:r>
      <w:r>
        <w:rPr>
          <w:spacing w:val="-1"/>
          <w:vertAlign w:val="baseline"/>
        </w:rPr>
        <w:t> </w:t>
      </w:r>
      <w:r>
        <w:rPr>
          <w:vertAlign w:val="baseline"/>
        </w:rPr>
        <w:t>court held that such payments were not for the benefit of the company, but rather for the benefit of the employees and, therefore, the company had no power to make the payments. In other words, the payment failed because it could not be argued that a company about to enter liquidation any longer had any interest in fostering good relations with its employees.</w:t>
      </w:r>
      <w:r>
        <w:rPr>
          <w:vertAlign w:val="superscript"/>
        </w:rPr>
        <w:t>220</w:t>
      </w:r>
    </w:p>
    <w:p>
      <w:pPr>
        <w:pStyle w:val="BodyText"/>
        <w:spacing w:line="480" w:lineRule="auto" w:before="2"/>
        <w:ind w:right="186" w:firstLine="720"/>
        <w:jc w:val="both"/>
      </w:pPr>
      <w:r>
        <w:rPr/>
        <w:t>The provisions in ss. 518 and 566 clearly reject the decision in </w:t>
      </w:r>
      <w:r>
        <w:rPr>
          <w:b/>
        </w:rPr>
        <w:t>Parke</w:t>
      </w:r>
      <w:r>
        <w:rPr/>
        <w:t>above. Consequently, a company may make provision for employees or former employees in connection with the cessation or transfer of the undertaking of the company or its subsidiary, notwithstanding</w:t>
      </w:r>
      <w:r>
        <w:rPr>
          <w:spacing w:val="-2"/>
        </w:rPr>
        <w:t> </w:t>
      </w:r>
      <w:r>
        <w:rPr/>
        <w:t>that this is not in the best interest</w:t>
      </w:r>
      <w:r>
        <w:rPr>
          <w:spacing w:val="-2"/>
        </w:rPr>
        <w:t> </w:t>
      </w:r>
      <w:r>
        <w:rPr/>
        <w:t>of</w:t>
      </w:r>
      <w:r>
        <w:rPr>
          <w:spacing w:val="-5"/>
        </w:rPr>
        <w:t> </w:t>
      </w:r>
      <w:r>
        <w:rPr/>
        <w:t>the</w:t>
      </w:r>
      <w:r>
        <w:rPr>
          <w:spacing w:val="-3"/>
        </w:rPr>
        <w:t> </w:t>
      </w:r>
      <w:r>
        <w:rPr/>
        <w:t>company. However, it is clear from</w:t>
      </w:r>
      <w:r>
        <w:rPr>
          <w:spacing w:val="-1"/>
        </w:rPr>
        <w:t> </w:t>
      </w:r>
      <w:r>
        <w:rPr/>
        <w:t>the tenor of the law that it is merely discretionary for the company to so provide for its employees. In the absence of an independent enforceable agreement between</w:t>
      </w:r>
      <w:r>
        <w:rPr>
          <w:spacing w:val="-6"/>
        </w:rPr>
        <w:t> </w:t>
      </w:r>
      <w:r>
        <w:rPr/>
        <w:t>the</w:t>
      </w:r>
      <w:r>
        <w:rPr>
          <w:spacing w:val="-2"/>
        </w:rPr>
        <w:t> </w:t>
      </w:r>
      <w:r>
        <w:rPr/>
        <w:t>company</w:t>
      </w:r>
      <w:r>
        <w:rPr>
          <w:spacing w:val="-6"/>
        </w:rPr>
        <w:t> </w:t>
      </w:r>
      <w:r>
        <w:rPr/>
        <w:t>and</w:t>
      </w:r>
      <w:r>
        <w:rPr>
          <w:spacing w:val="-2"/>
        </w:rPr>
        <w:t> </w:t>
      </w:r>
      <w:r>
        <w:rPr/>
        <w:t>the</w:t>
      </w:r>
      <w:r>
        <w:rPr>
          <w:spacing w:val="-2"/>
        </w:rPr>
        <w:t> </w:t>
      </w:r>
      <w:r>
        <w:rPr/>
        <w:t>employees to</w:t>
      </w:r>
      <w:r>
        <w:rPr>
          <w:spacing w:val="-2"/>
        </w:rPr>
        <w:t> </w:t>
      </w:r>
      <w:r>
        <w:rPr/>
        <w:t>that effect, it is highly</w:t>
      </w:r>
      <w:r>
        <w:rPr>
          <w:spacing w:val="-10"/>
        </w:rPr>
        <w:t> </w:t>
      </w:r>
      <w:r>
        <w:rPr/>
        <w:t>unlikely</w:t>
      </w:r>
      <w:r>
        <w:rPr>
          <w:spacing w:val="-6"/>
        </w:rPr>
        <w:t> </w:t>
      </w:r>
      <w:r>
        <w:rPr/>
        <w:t>that the</w:t>
      </w:r>
      <w:r>
        <w:rPr>
          <w:spacing w:val="-2"/>
        </w:rPr>
        <w:t> </w:t>
      </w:r>
      <w:r>
        <w:rPr/>
        <w:t>latter can enforce this provision against the company.</w:t>
      </w:r>
    </w:p>
    <w:p>
      <w:pPr>
        <w:pStyle w:val="BodyText"/>
        <w:spacing w:line="480" w:lineRule="auto" w:before="1"/>
        <w:ind w:right="183" w:firstLine="720"/>
        <w:jc w:val="both"/>
      </w:pPr>
      <w:r>
        <w:rPr/>
        <w:t>The case of </w:t>
      </w:r>
      <w:r>
        <w:rPr>
          <w:b/>
        </w:rPr>
        <w:t>Virgin Tech. Ltd. vs. Mohammed and Bank PHB</w:t>
      </w:r>
      <w:r>
        <w:rPr>
          <w:vertAlign w:val="superscript"/>
        </w:rPr>
        <w:t>221</w:t>
      </w:r>
      <w:r>
        <w:rPr>
          <w:vertAlign w:val="baseline"/>
        </w:rPr>
        <w:t> was an apt example of a clear breach of the duty under s.279(3). Unfortunately, the action was not instituted on that section. The respondent in that case, who also happened to be a</w:t>
      </w:r>
      <w:r>
        <w:rPr>
          <w:spacing w:val="40"/>
          <w:vertAlign w:val="baseline"/>
        </w:rPr>
        <w:t> </w:t>
      </w:r>
      <w:r>
        <w:rPr>
          <w:vertAlign w:val="baseline"/>
        </w:rPr>
        <w:t>director and co-signatory to the appellant‘s account, caused the transfer of the sum of N199,660,000.00 from the latter‘s account to her personal account with the second respondent.</w:t>
      </w:r>
      <w:r>
        <w:rPr>
          <w:spacing w:val="16"/>
          <w:vertAlign w:val="baseline"/>
        </w:rPr>
        <w:t> </w:t>
      </w:r>
      <w:r>
        <w:rPr>
          <w:vertAlign w:val="baseline"/>
        </w:rPr>
        <w:t>When attempts at</w:t>
      </w:r>
      <w:r>
        <w:rPr>
          <w:spacing w:val="19"/>
          <w:vertAlign w:val="baseline"/>
        </w:rPr>
        <w:t> </w:t>
      </w:r>
      <w:r>
        <w:rPr>
          <w:vertAlign w:val="baseline"/>
        </w:rPr>
        <w:t>persuading</w:t>
      </w:r>
      <w:r>
        <w:rPr>
          <w:spacing w:val="23"/>
          <w:vertAlign w:val="baseline"/>
        </w:rPr>
        <w:t> </w:t>
      </w:r>
      <w:r>
        <w:rPr>
          <w:vertAlign w:val="baseline"/>
        </w:rPr>
        <w:t>her</w:t>
      </w:r>
      <w:r>
        <w:rPr>
          <w:spacing w:val="16"/>
          <w:vertAlign w:val="baseline"/>
        </w:rPr>
        <w:t> </w:t>
      </w:r>
      <w:r>
        <w:rPr>
          <w:vertAlign w:val="baseline"/>
        </w:rPr>
        <w:t>to</w:t>
      </w:r>
      <w:r>
        <w:rPr>
          <w:spacing w:val="19"/>
          <w:vertAlign w:val="baseline"/>
        </w:rPr>
        <w:t> </w:t>
      </w:r>
      <w:r>
        <w:rPr>
          <w:vertAlign w:val="baseline"/>
        </w:rPr>
        <w:t>return the</w:t>
      </w:r>
      <w:r>
        <w:rPr>
          <w:spacing w:val="18"/>
          <w:vertAlign w:val="baseline"/>
        </w:rPr>
        <w:t> </w:t>
      </w:r>
      <w:r>
        <w:rPr>
          <w:vertAlign w:val="baseline"/>
        </w:rPr>
        <w:t>money failed,</w:t>
      </w:r>
      <w:r>
        <w:rPr>
          <w:spacing w:val="16"/>
          <w:vertAlign w:val="baseline"/>
        </w:rPr>
        <w:t> </w:t>
      </w:r>
      <w:r>
        <w:rPr>
          <w:vertAlign w:val="baseline"/>
        </w:rPr>
        <w:t>the CEO then</w:t>
      </w:r>
    </w:p>
    <w:p>
      <w:pPr>
        <w:pStyle w:val="BodyText"/>
        <w:spacing w:before="212"/>
        <w:ind w:left="0"/>
        <w:rPr>
          <w:sz w:val="20"/>
        </w:rPr>
      </w:pPr>
      <w:r>
        <w:rPr/>
        <mc:AlternateContent>
          <mc:Choice Requires="wps">
            <w:drawing>
              <wp:anchor distT="0" distB="0" distL="0" distR="0" allowOverlap="1" layoutInCell="1" locked="0" behindDoc="1" simplePos="0" relativeHeight="487661568">
                <wp:simplePos x="0" y="0"/>
                <wp:positionH relativeFrom="page">
                  <wp:posOffset>1262481</wp:posOffset>
                </wp:positionH>
                <wp:positionV relativeFrom="paragraph">
                  <wp:posOffset>295959</wp:posOffset>
                </wp:positionV>
                <wp:extent cx="1829435" cy="9525"/>
                <wp:effectExtent l="0" t="0" r="0" b="0"/>
                <wp:wrapTopAndBottom/>
                <wp:docPr id="160" name="Graphic 160"/>
                <wp:cNvGraphicFramePr>
                  <a:graphicFrameLocks/>
                </wp:cNvGraphicFramePr>
                <a:graphic>
                  <a:graphicData uri="http://schemas.microsoft.com/office/word/2010/wordprocessingShape">
                    <wps:wsp>
                      <wps:cNvPr id="160" name="Graphic 16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3.303936pt;width:144.050pt;height:.71997pt;mso-position-horizontal-relative:page;mso-position-vertical-relative:paragraph;z-index:-15654912;mso-wrap-distance-left:0;mso-wrap-distance-right:0" id="docshape115"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219</w:t>
      </w:r>
      <w:r>
        <w:rPr>
          <w:rFonts w:ascii="Calibri"/>
          <w:sz w:val="20"/>
          <w:vertAlign w:val="baseline"/>
        </w:rPr>
        <w:t>(1962)</w:t>
      </w:r>
      <w:r>
        <w:rPr>
          <w:rFonts w:ascii="Calibri"/>
          <w:spacing w:val="-2"/>
          <w:sz w:val="20"/>
          <w:vertAlign w:val="baseline"/>
        </w:rPr>
        <w:t> </w:t>
      </w:r>
      <w:r>
        <w:rPr>
          <w:rFonts w:ascii="Calibri"/>
          <w:sz w:val="20"/>
          <w:vertAlign w:val="baseline"/>
        </w:rPr>
        <w:t>Ch.</w:t>
      </w:r>
      <w:r>
        <w:rPr>
          <w:rFonts w:ascii="Calibri"/>
          <w:spacing w:val="-5"/>
          <w:sz w:val="20"/>
          <w:vertAlign w:val="baseline"/>
        </w:rPr>
        <w:t> </w:t>
      </w:r>
      <w:r>
        <w:rPr>
          <w:rFonts w:ascii="Calibri"/>
          <w:spacing w:val="-4"/>
          <w:sz w:val="20"/>
          <w:vertAlign w:val="baseline"/>
        </w:rPr>
        <w:t>927.</w:t>
      </w:r>
    </w:p>
    <w:p>
      <w:pPr>
        <w:spacing w:before="1"/>
        <w:ind w:left="308" w:right="0" w:firstLine="0"/>
        <w:jc w:val="left"/>
        <w:rPr>
          <w:rFonts w:ascii="Calibri"/>
          <w:sz w:val="20"/>
        </w:rPr>
      </w:pPr>
      <w:r>
        <w:rPr>
          <w:rFonts w:ascii="Calibri"/>
          <w:sz w:val="20"/>
          <w:vertAlign w:val="superscript"/>
        </w:rPr>
        <w:t>220</w:t>
      </w:r>
      <w:r>
        <w:rPr>
          <w:rFonts w:ascii="Calibri"/>
          <w:spacing w:val="-1"/>
          <w:sz w:val="20"/>
          <w:vertAlign w:val="baseline"/>
        </w:rPr>
        <w:t> </w:t>
      </w:r>
      <w:r>
        <w:rPr>
          <w:rFonts w:ascii="Calibri"/>
          <w:sz w:val="20"/>
          <w:vertAlign w:val="baseline"/>
        </w:rPr>
        <w:t>Also</w:t>
      </w:r>
      <w:r>
        <w:rPr>
          <w:rFonts w:ascii="Calibri"/>
          <w:spacing w:val="-3"/>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decisions</w:t>
      </w:r>
      <w:r>
        <w:rPr>
          <w:rFonts w:ascii="Calibri"/>
          <w:spacing w:val="-4"/>
          <w:sz w:val="20"/>
          <w:vertAlign w:val="baseline"/>
        </w:rPr>
        <w:t> </w:t>
      </w:r>
      <w:r>
        <w:rPr>
          <w:rFonts w:ascii="Calibri"/>
          <w:sz w:val="20"/>
          <w:vertAlign w:val="baseline"/>
        </w:rPr>
        <w:t>in</w:t>
      </w:r>
      <w:r>
        <w:rPr>
          <w:rFonts w:ascii="Calibri"/>
          <w:spacing w:val="-5"/>
          <w:sz w:val="20"/>
          <w:vertAlign w:val="baseline"/>
        </w:rPr>
        <w:t> </w:t>
      </w:r>
      <w:r>
        <w:rPr>
          <w:rFonts w:ascii="Calibri"/>
          <w:i/>
          <w:sz w:val="20"/>
          <w:vertAlign w:val="baseline"/>
        </w:rPr>
        <w:t>Dodge</w:t>
      </w:r>
      <w:r>
        <w:rPr>
          <w:rFonts w:ascii="Calibri"/>
          <w:i/>
          <w:spacing w:val="-7"/>
          <w:sz w:val="20"/>
          <w:vertAlign w:val="baseline"/>
        </w:rPr>
        <w:t> </w:t>
      </w:r>
      <w:r>
        <w:rPr>
          <w:rFonts w:ascii="Calibri"/>
          <w:i/>
          <w:sz w:val="20"/>
          <w:vertAlign w:val="baseline"/>
        </w:rPr>
        <w:t>vs. Ford</w:t>
      </w:r>
      <w:r>
        <w:rPr>
          <w:rFonts w:ascii="Calibri"/>
          <w:i/>
          <w:spacing w:val="-5"/>
          <w:sz w:val="20"/>
          <w:vertAlign w:val="baseline"/>
        </w:rPr>
        <w:t> </w:t>
      </w:r>
      <w:r>
        <w:rPr>
          <w:rFonts w:ascii="Calibri"/>
          <w:i/>
          <w:sz w:val="20"/>
          <w:vertAlign w:val="baseline"/>
        </w:rPr>
        <w:t>Motor</w:t>
      </w:r>
      <w:r>
        <w:rPr>
          <w:rFonts w:ascii="Calibri"/>
          <w:i/>
          <w:spacing w:val="-8"/>
          <w:sz w:val="20"/>
          <w:vertAlign w:val="baseline"/>
        </w:rPr>
        <w:t> </w:t>
      </w:r>
      <w:r>
        <w:rPr>
          <w:rFonts w:ascii="Calibri"/>
          <w:i/>
          <w:sz w:val="20"/>
          <w:vertAlign w:val="baseline"/>
        </w:rPr>
        <w:t>Co</w:t>
      </w:r>
      <w:r>
        <w:rPr>
          <w:rFonts w:ascii="Calibri"/>
          <w:sz w:val="20"/>
          <w:vertAlign w:val="baseline"/>
        </w:rPr>
        <w:t>. </w:t>
      </w:r>
      <w:r>
        <w:rPr>
          <w:rFonts w:ascii="Calibri"/>
          <w:spacing w:val="-4"/>
          <w:sz w:val="20"/>
          <w:vertAlign w:val="baseline"/>
        </w:rPr>
        <w:t>supra</w:t>
      </w:r>
    </w:p>
    <w:p>
      <w:pPr>
        <w:spacing w:before="0"/>
        <w:ind w:left="308" w:right="0" w:firstLine="0"/>
        <w:jc w:val="left"/>
        <w:rPr>
          <w:rFonts w:ascii="Calibri"/>
          <w:sz w:val="20"/>
        </w:rPr>
      </w:pPr>
      <w:r>
        <w:rPr>
          <w:rFonts w:ascii="Calibri"/>
          <w:sz w:val="20"/>
          <w:vertAlign w:val="superscript"/>
        </w:rPr>
        <w:t>221</w:t>
      </w:r>
      <w:r>
        <w:rPr>
          <w:rFonts w:ascii="Calibri"/>
          <w:sz w:val="20"/>
          <w:vertAlign w:val="baseline"/>
        </w:rPr>
        <w:t>(2009)</w:t>
      </w:r>
      <w:r>
        <w:rPr>
          <w:rFonts w:ascii="Calibri"/>
          <w:spacing w:val="-3"/>
          <w:sz w:val="20"/>
          <w:vertAlign w:val="baseline"/>
        </w:rPr>
        <w:t> </w:t>
      </w:r>
      <w:r>
        <w:rPr>
          <w:rFonts w:ascii="Calibri"/>
          <w:sz w:val="20"/>
          <w:vertAlign w:val="baseline"/>
        </w:rPr>
        <w:t>11</w:t>
      </w:r>
      <w:r>
        <w:rPr>
          <w:rFonts w:ascii="Calibri"/>
          <w:spacing w:val="-4"/>
          <w:sz w:val="20"/>
          <w:vertAlign w:val="baseline"/>
        </w:rPr>
        <w:t> </w:t>
      </w:r>
      <w:r>
        <w:rPr>
          <w:rFonts w:ascii="Calibri"/>
          <w:sz w:val="20"/>
          <w:vertAlign w:val="baseline"/>
        </w:rPr>
        <w:t>NWLR</w:t>
      </w:r>
      <w:r>
        <w:rPr>
          <w:rFonts w:ascii="Calibri"/>
          <w:spacing w:val="-7"/>
          <w:sz w:val="20"/>
          <w:vertAlign w:val="baseline"/>
        </w:rPr>
        <w:t> </w:t>
      </w:r>
      <w:r>
        <w:rPr>
          <w:rFonts w:ascii="Calibri"/>
          <w:sz w:val="20"/>
          <w:vertAlign w:val="baseline"/>
        </w:rPr>
        <w:t>(Pt.</w:t>
      </w:r>
      <w:r>
        <w:rPr>
          <w:rFonts w:ascii="Calibri"/>
          <w:spacing w:val="-6"/>
          <w:sz w:val="20"/>
          <w:vertAlign w:val="baseline"/>
        </w:rPr>
        <w:t> </w:t>
      </w:r>
      <w:r>
        <w:rPr>
          <w:rFonts w:ascii="Calibri"/>
          <w:sz w:val="20"/>
          <w:vertAlign w:val="baseline"/>
        </w:rPr>
        <w:t>1151)</w:t>
      </w:r>
      <w:r>
        <w:rPr>
          <w:rFonts w:ascii="Calibri"/>
          <w:spacing w:val="-2"/>
          <w:sz w:val="20"/>
          <w:vertAlign w:val="baseline"/>
        </w:rPr>
        <w:t> </w:t>
      </w:r>
      <w:r>
        <w:rPr>
          <w:rFonts w:ascii="Calibri"/>
          <w:sz w:val="20"/>
          <w:vertAlign w:val="baseline"/>
        </w:rPr>
        <w:t>136</w:t>
      </w:r>
      <w:r>
        <w:rPr>
          <w:rFonts w:ascii="Calibri"/>
          <w:spacing w:val="-4"/>
          <w:sz w:val="20"/>
          <w:vertAlign w:val="baseline"/>
        </w:rPr>
        <w:t> C.A.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4"/>
        <w:jc w:val="both"/>
      </w:pPr>
      <w:r>
        <w:rPr/>
        <w:t>instituted an action in the name of the company against the respondents. The court granted judgment for the appellant.</w:t>
      </w:r>
    </w:p>
    <w:p>
      <w:pPr>
        <w:pStyle w:val="BodyText"/>
        <w:spacing w:line="480" w:lineRule="auto"/>
        <w:ind w:right="181" w:firstLine="720"/>
        <w:jc w:val="both"/>
      </w:pPr>
      <w:r>
        <w:rPr/>
        <w:t>Generally, the same observation noted regarding scarcity of local decisions on</w:t>
      </w:r>
      <w:r>
        <w:rPr>
          <w:spacing w:val="40"/>
        </w:rPr>
        <w:t> </w:t>
      </w:r>
      <w:r>
        <w:rPr/>
        <w:t>the duty of care and skill, apply here. Again,</w:t>
      </w:r>
      <w:r>
        <w:rPr>
          <w:spacing w:val="37"/>
        </w:rPr>
        <w:t> </w:t>
      </w:r>
      <w:r>
        <w:rPr/>
        <w:t>government agencies more often left to</w:t>
      </w:r>
      <w:r>
        <w:rPr>
          <w:spacing w:val="40"/>
        </w:rPr>
        <w:t> </w:t>
      </w:r>
      <w:r>
        <w:rPr/>
        <w:t>take charge of cases of erring directors in the area of fiduciary duties, particularly in cases involving financial institutions. A classic example is the case of former Intercontinental BankPlc, where the Economic and Financial Crimes Commission (EFCC) filed fraud related charges against seven of</w:t>
      </w:r>
      <w:r>
        <w:rPr>
          <w:spacing w:val="-1"/>
        </w:rPr>
        <w:t> </w:t>
      </w:r>
      <w:r>
        <w:rPr/>
        <w:t>the directors for, inter alia, granting over 60 billion naira loans to companies in which they allegedly had interests, without adequate collateral.</w:t>
      </w:r>
      <w:r>
        <w:rPr>
          <w:vertAlign w:val="superscript"/>
        </w:rPr>
        <w:t>222</w:t>
      </w:r>
      <w:r>
        <w:rPr>
          <w:vertAlign w:val="baseline"/>
        </w:rPr>
        <w:t> This is quite easily a matter of breach of the duties to act in good faith and in the best interests of the company. A similar case is that involving Cecilia Ibru of former Oceanic Bank Plc. who was sentenced in October 2010 and ordered to handover $1.2 billion in cash and assets, as well as serve 6 months‘ jail term.</w:t>
      </w:r>
      <w:r>
        <w:rPr>
          <w:vertAlign w:val="superscript"/>
        </w:rPr>
        <w:t>223</w:t>
      </w:r>
      <w:r>
        <w:rPr>
          <w:vertAlign w:val="baseline"/>
        </w:rPr>
        <w:t> The Cadbury case mentioned earlier might also have been a case of a breach of fiduciary duties, for the directors did not act in good faith, in the best interests of the company in using the company‘s money to continuously produce products that were not selling and even borrowing in order to do that.</w:t>
      </w:r>
      <w:r>
        <w:rPr>
          <w:vertAlign w:val="superscript"/>
        </w:rPr>
        <w:t>224</w:t>
      </w:r>
      <w:r>
        <w:rPr>
          <w:vertAlign w:val="baseline"/>
        </w:rPr>
        <w:t> The sanction of simply dismissing the directors without more, it has been suggested, fell short of expectation.</w:t>
      </w:r>
      <w:r>
        <w:rPr>
          <w:vertAlign w:val="superscript"/>
        </w:rPr>
        <w:t>225</w:t>
      </w:r>
      <w:r>
        <w:rPr>
          <w:vertAlign w:val="baseline"/>
        </w:rPr>
        <w:t> It is regretful that the erring directors above were not tried under the appropriate sections on directors‘ duties so that we might have a rich case law in that area.</w:t>
      </w:r>
    </w:p>
    <w:p>
      <w:pPr>
        <w:pStyle w:val="BodyText"/>
        <w:spacing w:before="161"/>
        <w:ind w:left="0"/>
        <w:rPr>
          <w:sz w:val="20"/>
        </w:rPr>
      </w:pPr>
      <w:r>
        <w:rPr/>
        <mc:AlternateContent>
          <mc:Choice Requires="wps">
            <w:drawing>
              <wp:anchor distT="0" distB="0" distL="0" distR="0" allowOverlap="1" layoutInCell="1" locked="0" behindDoc="1" simplePos="0" relativeHeight="487662080">
                <wp:simplePos x="0" y="0"/>
                <wp:positionH relativeFrom="page">
                  <wp:posOffset>1262481</wp:posOffset>
                </wp:positionH>
                <wp:positionV relativeFrom="paragraph">
                  <wp:posOffset>263865</wp:posOffset>
                </wp:positionV>
                <wp:extent cx="1829435" cy="9525"/>
                <wp:effectExtent l="0" t="0" r="0" b="0"/>
                <wp:wrapTopAndBottom/>
                <wp:docPr id="161" name="Graphic 161"/>
                <wp:cNvGraphicFramePr>
                  <a:graphicFrameLocks/>
                </wp:cNvGraphicFramePr>
                <a:graphic>
                  <a:graphicData uri="http://schemas.microsoft.com/office/word/2010/wordprocessingShape">
                    <wps:wsp>
                      <wps:cNvPr id="161" name="Graphic 161"/>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776846pt;width:144.050pt;height:.72003pt;mso-position-horizontal-relative:page;mso-position-vertical-relative:paragraph;z-index:-15654400;mso-wrap-distance-left:0;mso-wrap-distance-right:0" id="docshape116" filled="true" fillcolor="#000000" stroked="false">
                <v:fill type="solid"/>
                <w10:wrap type="topAndBottom"/>
              </v:rect>
            </w:pict>
          </mc:Fallback>
        </mc:AlternateContent>
      </w:r>
    </w:p>
    <w:p>
      <w:pPr>
        <w:spacing w:before="102"/>
        <w:ind w:left="308" w:right="734" w:firstLine="0"/>
        <w:jc w:val="left"/>
        <w:rPr>
          <w:rFonts w:ascii="Calibri"/>
          <w:sz w:val="20"/>
        </w:rPr>
      </w:pPr>
      <w:r>
        <w:rPr>
          <w:rFonts w:ascii="Calibri"/>
          <w:sz w:val="20"/>
          <w:vertAlign w:val="superscript"/>
        </w:rPr>
        <w:t>222</w:t>
      </w:r>
      <w:r>
        <w:rPr>
          <w:rFonts w:ascii="Calibri"/>
          <w:sz w:val="20"/>
          <w:vertAlign w:val="baseline"/>
        </w:rPr>
        <w:t> See Anaba, I. and Adeshida, A. (2009). EFCC Files Charges AgainstIbru, Ebong, Thirteen Others. </w:t>
      </w:r>
      <w:r>
        <w:rPr>
          <w:rFonts w:ascii="Calibri"/>
          <w:i/>
          <w:sz w:val="20"/>
          <w:vertAlign w:val="baseline"/>
        </w:rPr>
        <w:t>Vanguard.</w:t>
      </w:r>
      <w:r>
        <w:rPr>
          <w:rFonts w:ascii="Calibri"/>
          <w:sz w:val="20"/>
          <w:vertAlign w:val="baseline"/>
        </w:rPr>
        <w:t>Retrieved</w:t>
      </w:r>
      <w:r>
        <w:rPr>
          <w:rFonts w:ascii="Calibri"/>
          <w:spacing w:val="-9"/>
          <w:sz w:val="20"/>
          <w:vertAlign w:val="baseline"/>
        </w:rPr>
        <w:t> </w:t>
      </w:r>
      <w:r>
        <w:rPr>
          <w:rFonts w:ascii="Calibri"/>
          <w:sz w:val="20"/>
          <w:vertAlign w:val="baseline"/>
        </w:rPr>
        <w:t>May</w:t>
      </w:r>
      <w:r>
        <w:rPr>
          <w:rFonts w:ascii="Calibri"/>
          <w:spacing w:val="-5"/>
          <w:sz w:val="20"/>
          <w:vertAlign w:val="baseline"/>
        </w:rPr>
        <w:t> </w:t>
      </w:r>
      <w:r>
        <w:rPr>
          <w:rFonts w:ascii="Calibri"/>
          <w:sz w:val="20"/>
          <w:vertAlign w:val="baseline"/>
        </w:rPr>
        <w:t>2,</w:t>
      </w:r>
      <w:r>
        <w:rPr>
          <w:rFonts w:ascii="Calibri"/>
          <w:spacing w:val="-7"/>
          <w:sz w:val="20"/>
          <w:vertAlign w:val="baseline"/>
        </w:rPr>
        <w:t> </w:t>
      </w:r>
      <w:r>
        <w:rPr>
          <w:rFonts w:ascii="Calibri"/>
          <w:sz w:val="20"/>
          <w:vertAlign w:val="baseline"/>
        </w:rPr>
        <w:t>2014,</w:t>
      </w:r>
      <w:r>
        <w:rPr>
          <w:rFonts w:ascii="Calibri"/>
          <w:spacing w:val="-7"/>
          <w:sz w:val="20"/>
          <w:vertAlign w:val="baseline"/>
        </w:rPr>
        <w:t> </w:t>
      </w:r>
      <w:r>
        <w:rPr>
          <w:rFonts w:ascii="Calibri"/>
          <w:sz w:val="20"/>
          <w:vertAlign w:val="baseline"/>
        </w:rPr>
        <w:t>from</w:t>
      </w:r>
      <w:r>
        <w:rPr>
          <w:rFonts w:ascii="Calibri"/>
          <w:spacing w:val="-1"/>
          <w:sz w:val="20"/>
          <w:vertAlign w:val="baseline"/>
        </w:rPr>
        <w:t> </w:t>
      </w:r>
      <w:hyperlink r:id="rId36">
        <w:r>
          <w:rPr>
            <w:rFonts w:ascii="Calibri"/>
            <w:color w:val="0000FF"/>
            <w:sz w:val="20"/>
            <w:u w:val="single" w:color="0000FF"/>
            <w:vertAlign w:val="baseline"/>
          </w:rPr>
          <w:t>http://www.vanguardngr.com/2009/08/efcc-files-charges-</w:t>
        </w:r>
      </w:hyperlink>
      <w:r>
        <w:rPr>
          <w:rFonts w:ascii="Calibri"/>
          <w:color w:val="0000FF"/>
          <w:sz w:val="20"/>
          <w:vertAlign w:val="baseline"/>
        </w:rPr>
        <w:t> </w:t>
      </w:r>
      <w:hyperlink r:id="rId36">
        <w:r>
          <w:rPr>
            <w:rFonts w:ascii="Calibri"/>
            <w:color w:val="0000FF"/>
            <w:spacing w:val="-2"/>
            <w:sz w:val="20"/>
            <w:u w:val="single" w:color="0000FF"/>
            <w:vertAlign w:val="baseline"/>
          </w:rPr>
          <w:t>against-ibru-ebong-13-others/</w:t>
        </w:r>
      </w:hyperlink>
    </w:p>
    <w:p>
      <w:pPr>
        <w:spacing w:line="240" w:lineRule="auto" w:before="0"/>
        <w:ind w:left="308" w:right="255" w:firstLine="0"/>
        <w:jc w:val="left"/>
        <w:rPr>
          <w:rFonts w:ascii="Calibri"/>
          <w:sz w:val="20"/>
        </w:rPr>
      </w:pPr>
      <w:r>
        <w:rPr>
          <w:rFonts w:ascii="Calibri"/>
          <w:sz w:val="20"/>
          <w:vertAlign w:val="superscript"/>
        </w:rPr>
        <w:t>223</w:t>
      </w:r>
      <w:r>
        <w:rPr>
          <w:rFonts w:ascii="Calibri"/>
          <w:sz w:val="20"/>
          <w:vertAlign w:val="baseline"/>
        </w:rPr>
        <w:t> See</w:t>
      </w:r>
      <w:r>
        <w:rPr>
          <w:rFonts w:ascii="Calibri"/>
          <w:spacing w:val="-5"/>
          <w:sz w:val="20"/>
          <w:vertAlign w:val="baseline"/>
        </w:rPr>
        <w:t> </w:t>
      </w:r>
      <w:r>
        <w:rPr>
          <w:rFonts w:ascii="Calibri"/>
          <w:sz w:val="20"/>
          <w:vertAlign w:val="baseline"/>
        </w:rPr>
        <w:t>BBC</w:t>
      </w:r>
      <w:r>
        <w:rPr>
          <w:rFonts w:ascii="Calibri"/>
          <w:spacing w:val="-8"/>
          <w:sz w:val="20"/>
          <w:vertAlign w:val="baseline"/>
        </w:rPr>
        <w:t> </w:t>
      </w:r>
      <w:r>
        <w:rPr>
          <w:rFonts w:ascii="Calibri"/>
          <w:sz w:val="20"/>
          <w:vertAlign w:val="baseline"/>
        </w:rPr>
        <w:t>News</w:t>
      </w:r>
      <w:r>
        <w:rPr>
          <w:rFonts w:ascii="Calibri"/>
          <w:spacing w:val="-3"/>
          <w:sz w:val="20"/>
          <w:vertAlign w:val="baseline"/>
        </w:rPr>
        <w:t> </w:t>
      </w:r>
      <w:r>
        <w:rPr>
          <w:rFonts w:ascii="Calibri"/>
          <w:sz w:val="20"/>
          <w:vertAlign w:val="baseline"/>
        </w:rPr>
        <w:t>Africa. Retrieved</w:t>
      </w:r>
      <w:r>
        <w:rPr>
          <w:rFonts w:ascii="Calibri"/>
          <w:spacing w:val="-6"/>
          <w:sz w:val="20"/>
          <w:vertAlign w:val="baseline"/>
        </w:rPr>
        <w:t> </w:t>
      </w:r>
      <w:r>
        <w:rPr>
          <w:rFonts w:ascii="Calibri"/>
          <w:sz w:val="20"/>
          <w:vertAlign w:val="baseline"/>
        </w:rPr>
        <w:t>May</w:t>
      </w:r>
      <w:r>
        <w:rPr>
          <w:rFonts w:ascii="Calibri"/>
          <w:spacing w:val="-2"/>
          <w:sz w:val="20"/>
          <w:vertAlign w:val="baseline"/>
        </w:rPr>
        <w:t> </w:t>
      </w:r>
      <w:r>
        <w:rPr>
          <w:rFonts w:ascii="Calibri"/>
          <w:sz w:val="20"/>
          <w:vertAlign w:val="baseline"/>
        </w:rPr>
        <w:t>5,</w:t>
      </w:r>
      <w:r>
        <w:rPr>
          <w:rFonts w:ascii="Calibri"/>
          <w:spacing w:val="-3"/>
          <w:sz w:val="20"/>
          <w:vertAlign w:val="baseline"/>
        </w:rPr>
        <w:t> </w:t>
      </w:r>
      <w:r>
        <w:rPr>
          <w:rFonts w:ascii="Calibri"/>
          <w:sz w:val="20"/>
          <w:vertAlign w:val="baseline"/>
        </w:rPr>
        <w:t>2014,</w:t>
      </w:r>
      <w:r>
        <w:rPr>
          <w:rFonts w:ascii="Calibri"/>
          <w:spacing w:val="-3"/>
          <w:sz w:val="20"/>
          <w:vertAlign w:val="baseline"/>
        </w:rPr>
        <w:t> </w:t>
      </w:r>
      <w:r>
        <w:rPr>
          <w:rFonts w:ascii="Calibri"/>
          <w:sz w:val="20"/>
          <w:vertAlign w:val="baseline"/>
        </w:rPr>
        <w:t>from </w:t>
      </w:r>
      <w:hyperlink r:id="rId37">
        <w:r>
          <w:rPr>
            <w:rFonts w:ascii="Calibri"/>
            <w:color w:val="0000FF"/>
            <w:sz w:val="20"/>
            <w:u w:val="single" w:color="0000FF"/>
            <w:vertAlign w:val="baseline"/>
          </w:rPr>
          <w:t>http://www.bbc.co.uk/news/world-africa-</w:t>
        </w:r>
      </w:hyperlink>
      <w:r>
        <w:rPr>
          <w:rFonts w:ascii="Calibri"/>
          <w:color w:val="0000FF"/>
          <w:sz w:val="20"/>
          <w:vertAlign w:val="baseline"/>
        </w:rPr>
        <w:t> </w:t>
      </w:r>
      <w:hyperlink r:id="rId37">
        <w:r>
          <w:rPr>
            <w:rFonts w:ascii="Calibri"/>
            <w:color w:val="0000FF"/>
            <w:spacing w:val="-2"/>
            <w:sz w:val="20"/>
            <w:u w:val="single" w:color="0000FF"/>
            <w:vertAlign w:val="baseline"/>
          </w:rPr>
          <w:t>11506421</w:t>
        </w:r>
        <w:r>
          <w:rPr>
            <w:rFonts w:ascii="Calibri"/>
            <w:spacing w:val="-2"/>
            <w:sz w:val="20"/>
            <w:vertAlign w:val="baseline"/>
          </w:rPr>
          <w:t>.</w:t>
        </w:r>
      </w:hyperlink>
    </w:p>
    <w:p>
      <w:pPr>
        <w:spacing w:before="0"/>
        <w:ind w:left="308" w:right="226" w:firstLine="0"/>
        <w:jc w:val="both"/>
        <w:rPr>
          <w:rFonts w:ascii="Calibri" w:hAnsi="Calibri"/>
          <w:sz w:val="20"/>
        </w:rPr>
      </w:pPr>
      <w:r>
        <w:rPr>
          <w:rFonts w:ascii="Calibri" w:hAnsi="Calibri"/>
          <w:sz w:val="20"/>
          <w:vertAlign w:val="superscript"/>
        </w:rPr>
        <w:t>224</w:t>
      </w:r>
      <w:r>
        <w:rPr>
          <w:rFonts w:ascii="Calibri" w:hAnsi="Calibri"/>
          <w:sz w:val="20"/>
          <w:vertAlign w:val="baseline"/>
        </w:rPr>
        <w:t> It was alleged that under the MD’s watch, the company went as far as procuring loans for its customers so as to enable them pay for the products they were not at the time prepared to take, in order that the balance sheet of the company may reflect that the goods had been paid for.</w:t>
      </w:r>
    </w:p>
    <w:p>
      <w:pPr>
        <w:spacing w:before="1"/>
        <w:ind w:left="308" w:right="1243" w:firstLine="0"/>
        <w:jc w:val="both"/>
        <w:rPr>
          <w:rFonts w:ascii="Calibri"/>
          <w:sz w:val="20"/>
        </w:rPr>
      </w:pPr>
      <w:r>
        <w:rPr>
          <w:rFonts w:ascii="Calibri"/>
          <w:sz w:val="20"/>
          <w:vertAlign w:val="superscript"/>
        </w:rPr>
        <w:t>225</w:t>
      </w:r>
      <w:r>
        <w:rPr>
          <w:rFonts w:ascii="Calibri"/>
          <w:sz w:val="20"/>
          <w:vertAlign w:val="baseline"/>
        </w:rPr>
        <w:t> See</w:t>
      </w:r>
      <w:r>
        <w:rPr>
          <w:rFonts w:ascii="Calibri"/>
          <w:spacing w:val="-4"/>
          <w:sz w:val="20"/>
          <w:vertAlign w:val="baseline"/>
        </w:rPr>
        <w:t> </w:t>
      </w:r>
      <w:r>
        <w:rPr>
          <w:rFonts w:ascii="Calibri"/>
          <w:sz w:val="20"/>
          <w:vertAlign w:val="baseline"/>
        </w:rPr>
        <w:t>Why</w:t>
      </w:r>
      <w:r>
        <w:rPr>
          <w:rFonts w:ascii="Calibri"/>
          <w:spacing w:val="-5"/>
          <w:sz w:val="20"/>
          <w:vertAlign w:val="baseline"/>
        </w:rPr>
        <w:t> </w:t>
      </w:r>
      <w:r>
        <w:rPr>
          <w:rFonts w:ascii="Calibri"/>
          <w:sz w:val="20"/>
          <w:vertAlign w:val="baseline"/>
        </w:rPr>
        <w:t>Bunmi</w:t>
      </w:r>
      <w:r>
        <w:rPr>
          <w:rFonts w:ascii="Calibri"/>
          <w:spacing w:val="-3"/>
          <w:sz w:val="20"/>
          <w:vertAlign w:val="baseline"/>
        </w:rPr>
        <w:t> </w:t>
      </w:r>
      <w:r>
        <w:rPr>
          <w:rFonts w:ascii="Calibri"/>
          <w:sz w:val="20"/>
          <w:vertAlign w:val="baseline"/>
        </w:rPr>
        <w:t>Oni,</w:t>
      </w:r>
      <w:r>
        <w:rPr>
          <w:rFonts w:ascii="Calibri"/>
          <w:spacing w:val="-2"/>
          <w:sz w:val="20"/>
          <w:vertAlign w:val="baseline"/>
        </w:rPr>
        <w:t> </w:t>
      </w:r>
      <w:r>
        <w:rPr>
          <w:rFonts w:ascii="Calibri"/>
          <w:sz w:val="20"/>
          <w:vertAlign w:val="baseline"/>
        </w:rPr>
        <w:t>Auditor,</w:t>
      </w:r>
      <w:r>
        <w:rPr>
          <w:rFonts w:ascii="Calibri"/>
          <w:spacing w:val="-2"/>
          <w:sz w:val="20"/>
          <w:vertAlign w:val="baseline"/>
        </w:rPr>
        <w:t> </w:t>
      </w:r>
      <w:r>
        <w:rPr>
          <w:rFonts w:ascii="Calibri"/>
          <w:sz w:val="20"/>
          <w:vertAlign w:val="baseline"/>
        </w:rPr>
        <w:t>Must be</w:t>
      </w:r>
      <w:r>
        <w:rPr>
          <w:rFonts w:ascii="Calibri"/>
          <w:spacing w:val="-4"/>
          <w:sz w:val="20"/>
          <w:vertAlign w:val="baseline"/>
        </w:rPr>
        <w:t> </w:t>
      </w:r>
      <w:r>
        <w:rPr>
          <w:rFonts w:ascii="Calibri"/>
          <w:sz w:val="20"/>
          <w:vertAlign w:val="baseline"/>
        </w:rPr>
        <w:t>Prosecuted.</w:t>
      </w:r>
      <w:r>
        <w:rPr>
          <w:rFonts w:ascii="Calibri"/>
          <w:spacing w:val="-1"/>
          <w:sz w:val="20"/>
          <w:vertAlign w:val="baseline"/>
        </w:rPr>
        <w:t> </w:t>
      </w:r>
      <w:r>
        <w:rPr>
          <w:rFonts w:ascii="Calibri"/>
          <w:i/>
          <w:sz w:val="20"/>
          <w:vertAlign w:val="baseline"/>
        </w:rPr>
        <w:t>Proshare</w:t>
      </w:r>
      <w:r>
        <w:rPr>
          <w:rFonts w:ascii="Calibri"/>
          <w:sz w:val="20"/>
          <w:vertAlign w:val="baseline"/>
        </w:rPr>
        <w:t>.Retrieved</w:t>
      </w:r>
      <w:r>
        <w:rPr>
          <w:rFonts w:ascii="Calibri"/>
          <w:spacing w:val="-5"/>
          <w:sz w:val="20"/>
          <w:vertAlign w:val="baseline"/>
        </w:rPr>
        <w:t> </w:t>
      </w:r>
      <w:r>
        <w:rPr>
          <w:rFonts w:ascii="Calibri"/>
          <w:sz w:val="20"/>
          <w:vertAlign w:val="baseline"/>
        </w:rPr>
        <w:t>May</w:t>
      </w:r>
      <w:r>
        <w:rPr>
          <w:rFonts w:ascii="Calibri"/>
          <w:spacing w:val="-5"/>
          <w:sz w:val="20"/>
          <w:vertAlign w:val="baseline"/>
        </w:rPr>
        <w:t> </w:t>
      </w:r>
      <w:r>
        <w:rPr>
          <w:rFonts w:ascii="Calibri"/>
          <w:sz w:val="20"/>
          <w:vertAlign w:val="baseline"/>
        </w:rPr>
        <w:t>5,</w:t>
      </w:r>
      <w:r>
        <w:rPr>
          <w:rFonts w:ascii="Calibri"/>
          <w:spacing w:val="-2"/>
          <w:sz w:val="20"/>
          <w:vertAlign w:val="baseline"/>
        </w:rPr>
        <w:t> </w:t>
      </w:r>
      <w:r>
        <w:rPr>
          <w:rFonts w:ascii="Calibri"/>
          <w:sz w:val="20"/>
          <w:vertAlign w:val="baseline"/>
        </w:rPr>
        <w:t>2014,</w:t>
      </w:r>
      <w:r>
        <w:rPr>
          <w:rFonts w:ascii="Calibri"/>
          <w:spacing w:val="-2"/>
          <w:sz w:val="20"/>
          <w:vertAlign w:val="baseline"/>
        </w:rPr>
        <w:t> </w:t>
      </w:r>
      <w:r>
        <w:rPr>
          <w:rFonts w:ascii="Calibri"/>
          <w:sz w:val="20"/>
          <w:vertAlign w:val="baseline"/>
        </w:rPr>
        <w:t>from </w:t>
      </w:r>
      <w:hyperlink r:id="rId38">
        <w:r>
          <w:rPr>
            <w:rFonts w:ascii="Calibri"/>
            <w:color w:val="0000FF"/>
            <w:spacing w:val="-2"/>
            <w:sz w:val="20"/>
            <w:u w:val="single" w:color="0000FF"/>
            <w:vertAlign w:val="baseline"/>
          </w:rPr>
          <w:t>http://www.proshareng.com/articles/847/Why-Bunmi-Oni-Auditor-Must-Be-Prosecuted</w:t>
        </w:r>
      </w:hyperlink>
      <w:r>
        <w:rPr>
          <w:rFonts w:ascii="Calibri"/>
          <w:spacing w:val="-2"/>
          <w:sz w:val="20"/>
          <w:vertAlign w:val="baseline"/>
        </w:rPr>
        <w:t>.</w:t>
      </w:r>
    </w:p>
    <w:p>
      <w:pPr>
        <w:spacing w:after="0"/>
        <w:jc w:val="both"/>
        <w:rPr>
          <w:rFonts w:ascii="Calibri"/>
          <w:sz w:val="20"/>
        </w:rPr>
        <w:sectPr>
          <w:pgSz w:w="11910" w:h="16840"/>
          <w:pgMar w:header="0" w:footer="1003" w:top="1320" w:bottom="1200" w:left="1680" w:right="1180"/>
        </w:sectPr>
      </w:pPr>
    </w:p>
    <w:p>
      <w:pPr>
        <w:pStyle w:val="Heading2"/>
        <w:numPr>
          <w:ilvl w:val="1"/>
          <w:numId w:val="12"/>
        </w:numPr>
        <w:tabs>
          <w:tab w:pos="1027" w:val="left" w:leader="none"/>
        </w:tabs>
        <w:spacing w:line="240" w:lineRule="auto" w:before="74" w:after="0"/>
        <w:ind w:left="1027" w:right="0" w:hanging="719"/>
        <w:jc w:val="both"/>
      </w:pPr>
      <w:bookmarkStart w:name="_TOC_250027" w:id="25"/>
      <w:r>
        <w:rPr/>
        <w:t>Duty</w:t>
      </w:r>
      <w:r>
        <w:rPr>
          <w:spacing w:val="1"/>
        </w:rPr>
        <w:t> </w:t>
      </w:r>
      <w:r>
        <w:rPr/>
        <w:t>Not</w:t>
      </w:r>
      <w:r>
        <w:rPr>
          <w:spacing w:val="-2"/>
        </w:rPr>
        <w:t> </w:t>
      </w:r>
      <w:r>
        <w:rPr/>
        <w:t>to</w:t>
      </w:r>
      <w:r>
        <w:rPr>
          <w:spacing w:val="-3"/>
        </w:rPr>
        <w:t> </w:t>
      </w:r>
      <w:r>
        <w:rPr/>
        <w:t>Fetter</w:t>
      </w:r>
      <w:r>
        <w:rPr>
          <w:spacing w:val="-4"/>
        </w:rPr>
        <w:t> </w:t>
      </w:r>
      <w:r>
        <w:rPr/>
        <w:t>Discretion</w:t>
      </w:r>
      <w:r>
        <w:rPr>
          <w:spacing w:val="3"/>
        </w:rPr>
        <w:t> </w:t>
      </w:r>
      <w:r>
        <w:rPr/>
        <w:t>to</w:t>
      </w:r>
      <w:r>
        <w:rPr>
          <w:spacing w:val="2"/>
        </w:rPr>
        <w:t> </w:t>
      </w:r>
      <w:bookmarkEnd w:id="25"/>
      <w:r>
        <w:rPr>
          <w:spacing w:val="-4"/>
        </w:rPr>
        <w:t>Vote</w:t>
      </w:r>
    </w:p>
    <w:p>
      <w:pPr>
        <w:pStyle w:val="BodyText"/>
        <w:spacing w:line="480" w:lineRule="auto" w:before="137"/>
        <w:ind w:right="179"/>
        <w:jc w:val="both"/>
      </w:pPr>
      <w:r>
        <w:rPr/>
        <w:t>This</w:t>
      </w:r>
      <w:r>
        <w:rPr>
          <w:spacing w:val="-2"/>
        </w:rPr>
        <w:t> </w:t>
      </w:r>
      <w:r>
        <w:rPr/>
        <w:t>duty</w:t>
      </w:r>
      <w:r>
        <w:rPr>
          <w:spacing w:val="-9"/>
        </w:rPr>
        <w:t> </w:t>
      </w:r>
      <w:r>
        <w:rPr/>
        <w:t>seeks</w:t>
      </w:r>
      <w:r>
        <w:rPr>
          <w:spacing w:val="-2"/>
        </w:rPr>
        <w:t> </w:t>
      </w:r>
      <w:r>
        <w:rPr/>
        <w:t>to ensure the director‘s loyalty</w:t>
      </w:r>
      <w:r>
        <w:rPr>
          <w:spacing w:val="-4"/>
        </w:rPr>
        <w:t> </w:t>
      </w:r>
      <w:r>
        <w:rPr/>
        <w:t>to the main objective of</w:t>
      </w:r>
      <w:r>
        <w:rPr>
          <w:spacing w:val="-7"/>
        </w:rPr>
        <w:t> </w:t>
      </w:r>
      <w:r>
        <w:rPr/>
        <w:t>acting in</w:t>
      </w:r>
      <w:r>
        <w:rPr>
          <w:spacing w:val="-4"/>
        </w:rPr>
        <w:t> </w:t>
      </w:r>
      <w:r>
        <w:rPr/>
        <w:t>the best interests of the company, which is paramount. The director is bound by the company‘s articles, which state his powers, how they are to be exercised as well as their limits. Thus, when he votes at resolutions, he is only bound by his fiduciary duty to the company and nothing else. Any collateral agreement with any person aiming to restrict the way the director votes at resolutions would be unlawful. The modern phenomena of the requirement for independent nonexecutive directors on the ideal board</w:t>
      </w:r>
      <w:r>
        <w:rPr>
          <w:vertAlign w:val="superscript"/>
        </w:rPr>
        <w:t>226</w:t>
      </w:r>
      <w:r>
        <w:rPr>
          <w:vertAlign w:val="baseline"/>
        </w:rPr>
        <w:t> may have been intended to reinforce this rule.</w:t>
      </w:r>
    </w:p>
    <w:p>
      <w:pPr>
        <w:pStyle w:val="BodyText"/>
        <w:spacing w:line="480" w:lineRule="auto" w:before="2"/>
        <w:ind w:right="182" w:firstLine="720"/>
        <w:jc w:val="both"/>
      </w:pPr>
      <w:r>
        <w:rPr/>
        <w:t>S. 279(6) is emphatic that ―a director shall not fetter his discretion to vote in a particular way.‖ In</w:t>
      </w:r>
      <w:r>
        <w:rPr>
          <w:spacing w:val="-3"/>
        </w:rPr>
        <w:t> </w:t>
      </w:r>
      <w:r>
        <w:rPr/>
        <w:t>ordinary</w:t>
      </w:r>
      <w:r>
        <w:rPr>
          <w:spacing w:val="-3"/>
        </w:rPr>
        <w:t> </w:t>
      </w:r>
      <w:r>
        <w:rPr/>
        <w:t>parlance, to ―fetter‖ means</w:t>
      </w:r>
      <w:r>
        <w:rPr>
          <w:spacing w:val="-1"/>
        </w:rPr>
        <w:t> </w:t>
      </w:r>
      <w:r>
        <w:rPr/>
        <w:t>to restrict, restrain</w:t>
      </w:r>
      <w:r>
        <w:rPr>
          <w:spacing w:val="-3"/>
        </w:rPr>
        <w:t> </w:t>
      </w:r>
      <w:r>
        <w:rPr/>
        <w:t>or limit;</w:t>
      </w:r>
      <w:r>
        <w:rPr>
          <w:vertAlign w:val="superscript"/>
        </w:rPr>
        <w:t>227</w:t>
      </w:r>
      <w:r>
        <w:rPr>
          <w:spacing w:val="-1"/>
          <w:vertAlign w:val="baseline"/>
        </w:rPr>
        <w:t> </w:t>
      </w:r>
      <w:r>
        <w:rPr>
          <w:vertAlign w:val="baseline"/>
        </w:rPr>
        <w:t>to restrict someone‘s freedom and prevent them from doing what they want.</w:t>
      </w:r>
      <w:r>
        <w:rPr>
          <w:vertAlign w:val="superscript"/>
        </w:rPr>
        <w:t>228</w:t>
      </w:r>
      <w:r>
        <w:rPr>
          <w:vertAlign w:val="baseline"/>
        </w:rPr>
        <w:t> By the provision above, even though the CAMA only specifies the director‘s ―vote‖, it is generally intended that the director should maintain his independent judgment at all </w:t>
      </w:r>
      <w:r>
        <w:rPr>
          <w:spacing w:val="-2"/>
          <w:vertAlign w:val="baseline"/>
        </w:rPr>
        <w:t>times.</w:t>
      </w:r>
    </w:p>
    <w:p>
      <w:pPr>
        <w:pStyle w:val="BodyText"/>
        <w:spacing w:line="480" w:lineRule="auto" w:before="1"/>
        <w:ind w:right="175" w:firstLine="720"/>
        <w:jc w:val="both"/>
      </w:pPr>
      <w:r>
        <w:rPr/>
        <w:t>S. 279(6) however, fails to specify what circumstances may amount to fettering the director‘s discretion or how this may come about. A clue can be found in s. 279(5) which warns that the director must not exercise his powers for a collateral purpose. The director agreeing to restrict the manner in which he votes can result in using his voting powers for a collateral purpose as opposed to the proper purpose which should be </w:t>
      </w:r>
      <w:r>
        <w:rPr>
          <w:i/>
        </w:rPr>
        <w:t>at all times what he believes to be the best interests of the company. </w:t>
      </w:r>
      <w:r>
        <w:rPr/>
        <w:t>He must not favour any sectional interests, either.</w:t>
      </w:r>
      <w:r>
        <w:rPr>
          <w:vertAlign w:val="superscript"/>
        </w:rPr>
        <w:t>229</w:t>
      </w:r>
      <w:r>
        <w:rPr>
          <w:vertAlign w:val="baseline"/>
        </w:rPr>
        <w:t> In the case of </w:t>
      </w:r>
      <w:r>
        <w:rPr>
          <w:b/>
          <w:vertAlign w:val="baseline"/>
        </w:rPr>
        <w:t>Clark vs. Workman</w:t>
      </w:r>
      <w:r>
        <w:rPr>
          <w:vertAlign w:val="superscript"/>
        </w:rPr>
        <w:t>230</w:t>
      </w:r>
      <w:r>
        <w:rPr>
          <w:vertAlign w:val="baseline"/>
        </w:rPr>
        <w:t> regarding the refusal</w:t>
      </w:r>
    </w:p>
    <w:p>
      <w:pPr>
        <w:pStyle w:val="BodyText"/>
        <w:spacing w:before="164"/>
        <w:ind w:left="0"/>
        <w:rPr>
          <w:sz w:val="20"/>
        </w:rPr>
      </w:pPr>
      <w:r>
        <w:rPr/>
        <mc:AlternateContent>
          <mc:Choice Requires="wps">
            <w:drawing>
              <wp:anchor distT="0" distB="0" distL="0" distR="0" allowOverlap="1" layoutInCell="1" locked="0" behindDoc="1" simplePos="0" relativeHeight="487662592">
                <wp:simplePos x="0" y="0"/>
                <wp:positionH relativeFrom="page">
                  <wp:posOffset>1262481</wp:posOffset>
                </wp:positionH>
                <wp:positionV relativeFrom="paragraph">
                  <wp:posOffset>265435</wp:posOffset>
                </wp:positionV>
                <wp:extent cx="1829435" cy="9525"/>
                <wp:effectExtent l="0" t="0" r="0" b="0"/>
                <wp:wrapTopAndBottom/>
                <wp:docPr id="162" name="Graphic 162"/>
                <wp:cNvGraphicFramePr>
                  <a:graphicFrameLocks/>
                </wp:cNvGraphicFramePr>
                <a:graphic>
                  <a:graphicData uri="http://schemas.microsoft.com/office/word/2010/wordprocessingShape">
                    <wps:wsp>
                      <wps:cNvPr id="162" name="Graphic 16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900421pt;width:144.050pt;height:.71997pt;mso-position-horizontal-relative:page;mso-position-vertical-relative:paragraph;z-index:-15653888;mso-wrap-distance-left:0;mso-wrap-distance-right:0" id="docshape11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226</w:t>
      </w:r>
      <w:r>
        <w:rPr>
          <w:rFonts w:ascii="Calibri"/>
          <w:spacing w:val="7"/>
          <w:sz w:val="20"/>
          <w:vertAlign w:val="baseline"/>
        </w:rPr>
        <w:t> </w:t>
      </w:r>
      <w:r>
        <w:rPr>
          <w:rFonts w:ascii="Calibri"/>
          <w:sz w:val="20"/>
          <w:vertAlign w:val="baseline"/>
        </w:rPr>
        <w:t>Refer</w:t>
      </w:r>
      <w:r>
        <w:rPr>
          <w:rFonts w:ascii="Calibri"/>
          <w:spacing w:val="4"/>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paragraph</w:t>
      </w:r>
      <w:r>
        <w:rPr>
          <w:rFonts w:ascii="Calibri"/>
          <w:spacing w:val="6"/>
          <w:sz w:val="20"/>
          <w:vertAlign w:val="baseline"/>
        </w:rPr>
        <w:t> </w:t>
      </w:r>
      <w:r>
        <w:rPr>
          <w:rFonts w:ascii="Calibri"/>
          <w:sz w:val="20"/>
          <w:vertAlign w:val="baseline"/>
        </w:rPr>
        <w:t>5.5.(c)</w:t>
      </w:r>
      <w:r>
        <w:rPr>
          <w:rFonts w:ascii="Calibri"/>
          <w:spacing w:val="6"/>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SEC</w:t>
      </w:r>
      <w:r>
        <w:rPr>
          <w:rFonts w:ascii="Calibri"/>
          <w:spacing w:val="5"/>
          <w:sz w:val="20"/>
          <w:vertAlign w:val="baseline"/>
        </w:rPr>
        <w:t> </w:t>
      </w:r>
      <w:r>
        <w:rPr>
          <w:rFonts w:ascii="Calibri"/>
          <w:sz w:val="20"/>
          <w:vertAlign w:val="baseline"/>
        </w:rPr>
        <w:t>Code</w:t>
      </w:r>
      <w:r>
        <w:rPr>
          <w:rFonts w:ascii="Calibri"/>
          <w:spacing w:val="3"/>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Corporate</w:t>
      </w:r>
      <w:r>
        <w:rPr>
          <w:rFonts w:ascii="Calibri"/>
          <w:spacing w:val="2"/>
          <w:sz w:val="20"/>
          <w:vertAlign w:val="baseline"/>
        </w:rPr>
        <w:t> </w:t>
      </w:r>
      <w:r>
        <w:rPr>
          <w:rFonts w:ascii="Calibri"/>
          <w:sz w:val="20"/>
          <w:vertAlign w:val="baseline"/>
        </w:rPr>
        <w:t>Governance</w:t>
      </w:r>
      <w:r>
        <w:rPr>
          <w:rFonts w:ascii="Calibri"/>
          <w:spacing w:val="2"/>
          <w:sz w:val="20"/>
          <w:vertAlign w:val="baseline"/>
        </w:rPr>
        <w:t> </w:t>
      </w:r>
      <w:r>
        <w:rPr>
          <w:rFonts w:ascii="Calibri"/>
          <w:sz w:val="20"/>
          <w:vertAlign w:val="baseline"/>
        </w:rPr>
        <w:t>for</w:t>
      </w:r>
      <w:r>
        <w:rPr>
          <w:rFonts w:ascii="Calibri"/>
          <w:spacing w:val="4"/>
          <w:sz w:val="20"/>
          <w:vertAlign w:val="baseline"/>
        </w:rPr>
        <w:t> </w:t>
      </w:r>
      <w:r>
        <w:rPr>
          <w:rFonts w:ascii="Calibri"/>
          <w:sz w:val="20"/>
          <w:vertAlign w:val="baseline"/>
        </w:rPr>
        <w:t>Public</w:t>
      </w:r>
      <w:r>
        <w:rPr>
          <w:rFonts w:ascii="Calibri"/>
          <w:spacing w:val="8"/>
          <w:sz w:val="20"/>
          <w:vertAlign w:val="baseline"/>
        </w:rPr>
        <w:t> </w:t>
      </w:r>
      <w:r>
        <w:rPr>
          <w:rFonts w:ascii="Calibri"/>
          <w:sz w:val="20"/>
          <w:vertAlign w:val="baseline"/>
        </w:rPr>
        <w:t>Companies</w:t>
      </w:r>
      <w:r>
        <w:rPr>
          <w:rFonts w:ascii="Calibri"/>
          <w:spacing w:val="5"/>
          <w:sz w:val="20"/>
          <w:vertAlign w:val="baseline"/>
        </w:rPr>
        <w:t> </w:t>
      </w:r>
      <w:r>
        <w:rPr>
          <w:rFonts w:ascii="Calibri"/>
          <w:sz w:val="20"/>
          <w:vertAlign w:val="baseline"/>
        </w:rPr>
        <w:t>2011</w:t>
      </w:r>
      <w:r>
        <w:rPr>
          <w:rFonts w:ascii="Calibri"/>
          <w:spacing w:val="5"/>
          <w:sz w:val="20"/>
          <w:vertAlign w:val="baseline"/>
        </w:rPr>
        <w:t> </w:t>
      </w:r>
      <w:r>
        <w:rPr>
          <w:rFonts w:ascii="Calibri"/>
          <w:spacing w:val="-5"/>
          <w:sz w:val="20"/>
          <w:vertAlign w:val="baseline"/>
        </w:rPr>
        <w:t>and</w:t>
      </w:r>
    </w:p>
    <w:p>
      <w:pPr>
        <w:spacing w:before="1"/>
        <w:ind w:left="308" w:right="0" w:firstLine="0"/>
        <w:jc w:val="left"/>
        <w:rPr>
          <w:rFonts w:ascii="Calibri"/>
          <w:sz w:val="20"/>
        </w:rPr>
      </w:pPr>
      <w:r>
        <w:rPr>
          <w:rFonts w:ascii="Calibri"/>
          <w:sz w:val="20"/>
        </w:rPr>
        <w:t>5.3.6</w:t>
      </w:r>
      <w:r>
        <w:rPr>
          <w:rFonts w:ascii="Calibri"/>
          <w:spacing w:val="-7"/>
          <w:sz w:val="20"/>
        </w:rPr>
        <w:t> </w:t>
      </w:r>
      <w:r>
        <w:rPr>
          <w:rFonts w:ascii="Calibri"/>
          <w:sz w:val="20"/>
        </w:rPr>
        <w:t>of</w:t>
      </w:r>
      <w:r>
        <w:rPr>
          <w:rFonts w:ascii="Calibri"/>
          <w:spacing w:val="-3"/>
          <w:sz w:val="20"/>
        </w:rPr>
        <w:t> </w:t>
      </w:r>
      <w:r>
        <w:rPr>
          <w:rFonts w:ascii="Calibri"/>
          <w:sz w:val="20"/>
        </w:rPr>
        <w:t>the</w:t>
      </w:r>
      <w:r>
        <w:rPr>
          <w:rFonts w:ascii="Calibri"/>
          <w:spacing w:val="-3"/>
          <w:sz w:val="20"/>
        </w:rPr>
        <w:t> </w:t>
      </w:r>
      <w:r>
        <w:rPr>
          <w:rFonts w:ascii="Calibri"/>
          <w:sz w:val="20"/>
        </w:rPr>
        <w:t>CBN</w:t>
      </w:r>
      <w:r>
        <w:rPr>
          <w:rFonts w:ascii="Calibri"/>
          <w:spacing w:val="-9"/>
          <w:sz w:val="20"/>
        </w:rPr>
        <w:t> </w:t>
      </w:r>
      <w:r>
        <w:rPr>
          <w:rFonts w:ascii="Calibri"/>
          <w:sz w:val="20"/>
        </w:rPr>
        <w:t>Code</w:t>
      </w:r>
      <w:r>
        <w:rPr>
          <w:rFonts w:ascii="Calibri"/>
          <w:spacing w:val="-7"/>
          <w:sz w:val="20"/>
        </w:rPr>
        <w:t> </w:t>
      </w:r>
      <w:r>
        <w:rPr>
          <w:rFonts w:ascii="Calibri"/>
          <w:sz w:val="20"/>
        </w:rPr>
        <w:t>of</w:t>
      </w:r>
      <w:r>
        <w:rPr>
          <w:rFonts w:ascii="Calibri"/>
          <w:spacing w:val="-8"/>
          <w:sz w:val="20"/>
        </w:rPr>
        <w:t> </w:t>
      </w:r>
      <w:r>
        <w:rPr>
          <w:rFonts w:ascii="Calibri"/>
          <w:sz w:val="20"/>
        </w:rPr>
        <w:t>Corporate</w:t>
      </w:r>
      <w:r>
        <w:rPr>
          <w:rFonts w:ascii="Calibri"/>
          <w:spacing w:val="-7"/>
          <w:sz w:val="20"/>
        </w:rPr>
        <w:t> </w:t>
      </w:r>
      <w:r>
        <w:rPr>
          <w:rFonts w:ascii="Calibri"/>
          <w:sz w:val="20"/>
        </w:rPr>
        <w:t>Governance</w:t>
      </w:r>
      <w:r>
        <w:rPr>
          <w:rFonts w:ascii="Calibri"/>
          <w:spacing w:val="-7"/>
          <w:sz w:val="20"/>
        </w:rPr>
        <w:t> </w:t>
      </w:r>
      <w:r>
        <w:rPr>
          <w:rFonts w:ascii="Calibri"/>
          <w:sz w:val="20"/>
        </w:rPr>
        <w:t>for</w:t>
      </w:r>
      <w:r>
        <w:rPr>
          <w:rFonts w:ascii="Calibri"/>
          <w:spacing w:val="-7"/>
          <w:sz w:val="20"/>
        </w:rPr>
        <w:t> </w:t>
      </w:r>
      <w:r>
        <w:rPr>
          <w:rFonts w:ascii="Calibri"/>
          <w:sz w:val="20"/>
        </w:rPr>
        <w:t>Banks</w:t>
      </w:r>
      <w:r>
        <w:rPr>
          <w:rFonts w:ascii="Calibri"/>
          <w:spacing w:val="-6"/>
          <w:sz w:val="20"/>
        </w:rPr>
        <w:t> </w:t>
      </w:r>
      <w:r>
        <w:rPr>
          <w:rFonts w:ascii="Calibri"/>
          <w:sz w:val="20"/>
        </w:rPr>
        <w:t>Post</w:t>
      </w:r>
      <w:r>
        <w:rPr>
          <w:rFonts w:ascii="Calibri"/>
          <w:spacing w:val="-4"/>
          <w:sz w:val="20"/>
        </w:rPr>
        <w:t> </w:t>
      </w:r>
      <w:r>
        <w:rPr>
          <w:rFonts w:ascii="Calibri"/>
          <w:sz w:val="20"/>
        </w:rPr>
        <w:t>Consolidation</w:t>
      </w:r>
      <w:r>
        <w:rPr>
          <w:rFonts w:ascii="Calibri"/>
          <w:spacing w:val="-3"/>
          <w:sz w:val="20"/>
        </w:rPr>
        <w:t> </w:t>
      </w:r>
      <w:r>
        <w:rPr>
          <w:rFonts w:ascii="Calibri"/>
          <w:spacing w:val="-2"/>
          <w:sz w:val="20"/>
        </w:rPr>
        <w:t>2006.</w:t>
      </w:r>
    </w:p>
    <w:p>
      <w:pPr>
        <w:spacing w:before="1"/>
        <w:ind w:left="308" w:right="3563" w:firstLine="0"/>
        <w:jc w:val="left"/>
        <w:rPr>
          <w:rFonts w:ascii="Calibri"/>
          <w:sz w:val="20"/>
        </w:rPr>
      </w:pPr>
      <w:r>
        <w:rPr>
          <w:rFonts w:ascii="Calibri"/>
          <w:sz w:val="20"/>
          <w:vertAlign w:val="superscript"/>
        </w:rPr>
        <w:t>227</w:t>
      </w:r>
      <w:r>
        <w:rPr>
          <w:rFonts w:ascii="Calibri"/>
          <w:sz w:val="20"/>
          <w:vertAlign w:val="baseline"/>
        </w:rPr>
        <w:t>Encarta</w:t>
      </w:r>
      <w:r>
        <w:rPr>
          <w:rFonts w:ascii="Calibri"/>
          <w:spacing w:val="-6"/>
          <w:sz w:val="20"/>
          <w:vertAlign w:val="baseline"/>
        </w:rPr>
        <w:t> </w:t>
      </w:r>
      <w:r>
        <w:rPr>
          <w:rFonts w:ascii="Calibri"/>
          <w:sz w:val="20"/>
          <w:vertAlign w:val="baseline"/>
        </w:rPr>
        <w:t>Dictionaries</w:t>
      </w:r>
      <w:r>
        <w:rPr>
          <w:rFonts w:ascii="Calibri"/>
          <w:spacing w:val="-7"/>
          <w:sz w:val="20"/>
          <w:vertAlign w:val="baseline"/>
        </w:rPr>
        <w:t> </w:t>
      </w:r>
      <w:r>
        <w:rPr>
          <w:rFonts w:ascii="Calibri"/>
          <w:sz w:val="20"/>
          <w:vertAlign w:val="baseline"/>
        </w:rPr>
        <w:t>(2009).Microsoft</w:t>
      </w:r>
      <w:r>
        <w:rPr>
          <w:rFonts w:ascii="Calibri"/>
          <w:spacing w:val="-6"/>
          <w:sz w:val="20"/>
          <w:vertAlign w:val="baseline"/>
        </w:rPr>
        <w:t> </w:t>
      </w:r>
      <w:r>
        <w:rPr>
          <w:rFonts w:ascii="Calibri"/>
          <w:sz w:val="20"/>
          <w:vertAlign w:val="baseline"/>
        </w:rPr>
        <w:t>Encarta</w:t>
      </w:r>
      <w:r>
        <w:rPr>
          <w:rFonts w:ascii="Calibri"/>
          <w:spacing w:val="-5"/>
          <w:sz w:val="20"/>
          <w:vertAlign w:val="baseline"/>
        </w:rPr>
        <w:t> </w:t>
      </w:r>
      <w:r>
        <w:rPr>
          <w:rFonts w:ascii="Calibri"/>
          <w:sz w:val="20"/>
          <w:vertAlign w:val="baseline"/>
        </w:rPr>
        <w:t>Premium</w:t>
      </w:r>
      <w:r>
        <w:rPr>
          <w:rFonts w:ascii="Calibri"/>
          <w:spacing w:val="-4"/>
          <w:sz w:val="20"/>
          <w:vertAlign w:val="baseline"/>
        </w:rPr>
        <w:t> </w:t>
      </w:r>
      <w:r>
        <w:rPr>
          <w:rFonts w:ascii="Calibri"/>
          <w:sz w:val="20"/>
          <w:vertAlign w:val="baseline"/>
        </w:rPr>
        <w:t>DVD. </w:t>
      </w:r>
      <w:r>
        <w:rPr>
          <w:rFonts w:ascii="Calibri"/>
          <w:sz w:val="20"/>
          <w:vertAlign w:val="superscript"/>
        </w:rPr>
        <w:t>228</w:t>
      </w:r>
      <w:r>
        <w:rPr>
          <w:rFonts w:ascii="Calibri"/>
          <w:sz w:val="20"/>
          <w:vertAlign w:val="baseline"/>
        </w:rPr>
        <w:t>Longman Dictionary of Contemporary English, op.cit.at585. </w:t>
      </w:r>
      <w:r>
        <w:rPr>
          <w:rFonts w:ascii="Calibri"/>
          <w:sz w:val="20"/>
          <w:vertAlign w:val="superscript"/>
        </w:rPr>
        <w:t>229</w:t>
      </w:r>
      <w:r>
        <w:rPr>
          <w:rFonts w:ascii="Calibri"/>
          <w:sz w:val="20"/>
          <w:vertAlign w:val="baseline"/>
        </w:rPr>
        <w:t> See s.283(1).</w:t>
      </w:r>
    </w:p>
    <w:p>
      <w:pPr>
        <w:spacing w:before="2"/>
        <w:ind w:left="308" w:right="0" w:firstLine="0"/>
        <w:jc w:val="left"/>
        <w:rPr>
          <w:rFonts w:ascii="Calibri"/>
          <w:sz w:val="20"/>
        </w:rPr>
      </w:pPr>
      <w:r>
        <w:rPr>
          <w:rFonts w:ascii="Calibri"/>
          <w:sz w:val="20"/>
          <w:vertAlign w:val="superscript"/>
        </w:rPr>
        <w:t>230</w:t>
      </w:r>
      <w:r>
        <w:rPr>
          <w:rFonts w:ascii="Calibri"/>
          <w:sz w:val="20"/>
          <w:vertAlign w:val="baseline"/>
        </w:rPr>
        <w:t>(1920) 1</w:t>
      </w:r>
      <w:r>
        <w:rPr>
          <w:rFonts w:ascii="Calibri"/>
          <w:spacing w:val="-6"/>
          <w:sz w:val="20"/>
          <w:vertAlign w:val="baseline"/>
        </w:rPr>
        <w:t> </w:t>
      </w:r>
      <w:r>
        <w:rPr>
          <w:rFonts w:ascii="Calibri"/>
          <w:sz w:val="20"/>
          <w:vertAlign w:val="baseline"/>
        </w:rPr>
        <w:t>Ir.</w:t>
      </w:r>
      <w:r>
        <w:rPr>
          <w:rFonts w:ascii="Calibri"/>
          <w:spacing w:val="-3"/>
          <w:sz w:val="20"/>
          <w:vertAlign w:val="baseline"/>
        </w:rPr>
        <w:t> </w:t>
      </w:r>
      <w:r>
        <w:rPr>
          <w:rFonts w:ascii="Calibri"/>
          <w:sz w:val="20"/>
          <w:vertAlign w:val="baseline"/>
        </w:rPr>
        <w:t>R.</w:t>
      </w:r>
      <w:r>
        <w:rPr>
          <w:rFonts w:ascii="Calibri"/>
          <w:spacing w:val="-3"/>
          <w:sz w:val="20"/>
          <w:vertAlign w:val="baseline"/>
        </w:rPr>
        <w:t> </w:t>
      </w:r>
      <w:r>
        <w:rPr>
          <w:rFonts w:ascii="Calibri"/>
          <w:spacing w:val="-4"/>
          <w:sz w:val="20"/>
          <w:vertAlign w:val="baseline"/>
        </w:rPr>
        <w:t>107.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0"/>
        <w:jc w:val="both"/>
      </w:pPr>
      <w:r>
        <w:rPr/>
        <w:t>by the directors of a company to register transfer of shares, evidence that the directors were acting upon undertakings given to outsiders was considered evidence that their discretion was being improperly exercised. The court reiterated that the directors of a company must act strictly as trustees in carrying through transfers of shares, unfettered by any undertaking or promise to any intending purchaser.</w:t>
      </w:r>
    </w:p>
    <w:p>
      <w:pPr>
        <w:pStyle w:val="BodyText"/>
        <w:spacing w:line="480" w:lineRule="auto" w:before="1"/>
        <w:ind w:right="180" w:firstLine="720"/>
        <w:jc w:val="both"/>
      </w:pPr>
      <w:r>
        <w:rPr/>
        <w:t>Another possible circumstance that may cause a call upon the director not to fetter his discretion to vote may occur in instances where he happens to be a multiple director,</w:t>
      </w:r>
      <w:r>
        <w:rPr>
          <w:vertAlign w:val="superscript"/>
        </w:rPr>
        <w:t>231</w:t>
      </w:r>
      <w:r>
        <w:rPr>
          <w:vertAlign w:val="baseline"/>
        </w:rPr>
        <w:t> especially of competing companies. In this case, it has been observed that</w:t>
      </w:r>
      <w:r>
        <w:rPr>
          <w:spacing w:val="40"/>
          <w:vertAlign w:val="baseline"/>
        </w:rPr>
        <w:t> </w:t>
      </w:r>
      <w:r>
        <w:rPr>
          <w:vertAlign w:val="baseline"/>
        </w:rPr>
        <w:t>one who</w:t>
      </w:r>
      <w:r>
        <w:rPr>
          <w:spacing w:val="18"/>
          <w:vertAlign w:val="baseline"/>
        </w:rPr>
        <w:t> </w:t>
      </w:r>
      <w:r>
        <w:rPr>
          <w:vertAlign w:val="baseline"/>
        </w:rPr>
        <w:t>is a director of two rival concerns is walking a tight-rope and at risk if he fails to deal fairly with both.</w:t>
      </w:r>
      <w:r>
        <w:rPr>
          <w:vertAlign w:val="superscript"/>
        </w:rPr>
        <w:t>232</w:t>
      </w:r>
      <w:r>
        <w:rPr>
          <w:vertAlign w:val="baseline"/>
        </w:rPr>
        <w:t> The same applies to a representative/nominee director of a member company</w:t>
      </w:r>
      <w:r>
        <w:rPr>
          <w:spacing w:val="-5"/>
          <w:vertAlign w:val="baseline"/>
        </w:rPr>
        <w:t> </w:t>
      </w:r>
      <w:r>
        <w:rPr>
          <w:vertAlign w:val="baseline"/>
        </w:rPr>
        <w:t>who sits</w:t>
      </w:r>
      <w:r>
        <w:rPr>
          <w:spacing w:val="-2"/>
          <w:vertAlign w:val="baseline"/>
        </w:rPr>
        <w:t> </w:t>
      </w:r>
      <w:r>
        <w:rPr>
          <w:vertAlign w:val="baseline"/>
        </w:rPr>
        <w:t>at the</w:t>
      </w:r>
      <w:r>
        <w:rPr>
          <w:spacing w:val="-1"/>
          <w:vertAlign w:val="baseline"/>
        </w:rPr>
        <w:t> </w:t>
      </w:r>
      <w:r>
        <w:rPr>
          <w:vertAlign w:val="baseline"/>
        </w:rPr>
        <w:t>board by</w:t>
      </w:r>
      <w:r>
        <w:rPr>
          <w:spacing w:val="-5"/>
          <w:vertAlign w:val="baseline"/>
        </w:rPr>
        <w:t> </w:t>
      </w:r>
      <w:r>
        <w:rPr>
          <w:vertAlign w:val="baseline"/>
        </w:rPr>
        <w:t>virtue</w:t>
      </w:r>
      <w:r>
        <w:rPr>
          <w:spacing w:val="-1"/>
          <w:vertAlign w:val="baseline"/>
        </w:rPr>
        <w:t> </w:t>
      </w:r>
      <w:r>
        <w:rPr>
          <w:vertAlign w:val="baseline"/>
        </w:rPr>
        <w:t>of</w:t>
      </w:r>
      <w:r>
        <w:rPr>
          <w:spacing w:val="-8"/>
          <w:vertAlign w:val="baseline"/>
        </w:rPr>
        <w:t> </w:t>
      </w:r>
      <w:r>
        <w:rPr>
          <w:vertAlign w:val="baseline"/>
        </w:rPr>
        <w:t>the membership of</w:t>
      </w:r>
      <w:r>
        <w:rPr>
          <w:spacing w:val="-8"/>
          <w:vertAlign w:val="baseline"/>
        </w:rPr>
        <w:t> </w:t>
      </w:r>
      <w:r>
        <w:rPr>
          <w:vertAlign w:val="baseline"/>
        </w:rPr>
        <w:t>another company in the company of which he is a director.</w:t>
      </w:r>
      <w:r>
        <w:rPr>
          <w:vertAlign w:val="superscript"/>
        </w:rPr>
        <w:t>233</w:t>
      </w:r>
      <w:r>
        <w:rPr>
          <w:vertAlign w:val="baseline"/>
        </w:rPr>
        <w:t>This director may not also agree with the company he is representing, to terms fettering his discretion to vote.</w:t>
      </w:r>
      <w:r>
        <w:rPr>
          <w:vertAlign w:val="superscript"/>
        </w:rPr>
        <w:t>234</w:t>
      </w:r>
      <w:r>
        <w:rPr>
          <w:vertAlign w:val="baseline"/>
        </w:rPr>
        <w:t> Where the</w:t>
      </w:r>
      <w:r>
        <w:rPr>
          <w:spacing w:val="40"/>
          <w:vertAlign w:val="baseline"/>
        </w:rPr>
        <w:t> </w:t>
      </w:r>
      <w:r>
        <w:rPr>
          <w:vertAlign w:val="baseline"/>
        </w:rPr>
        <w:t>articles allow a director to appoint a nominee, a nominee so appointed would not be found to have fettered his discretion unless it is found that he put the interests of his appointer above those of the company.</w:t>
      </w:r>
      <w:r>
        <w:rPr>
          <w:vertAlign w:val="superscript"/>
        </w:rPr>
        <w:t>235</w:t>
      </w:r>
    </w:p>
    <w:p>
      <w:pPr>
        <w:pStyle w:val="BodyText"/>
        <w:spacing w:line="480" w:lineRule="auto" w:before="2"/>
        <w:ind w:right="180" w:firstLine="720"/>
        <w:jc w:val="both"/>
      </w:pPr>
      <w:r>
        <w:rPr/>
        <w:t>It is significant that s. 279(8) does not allow any derogation from this rule by means of the company‘s articles, resolutions or through the terms of any contract. Clearly, the law intends that the director should not easily</w:t>
      </w:r>
      <w:r>
        <w:rPr>
          <w:spacing w:val="-1"/>
        </w:rPr>
        <w:t> </w:t>
      </w:r>
      <w:r>
        <w:rPr/>
        <w:t>wriggle out of</w:t>
      </w:r>
      <w:r>
        <w:rPr>
          <w:spacing w:val="-4"/>
        </w:rPr>
        <w:t> </w:t>
      </w:r>
      <w:r>
        <w:rPr/>
        <w:t>this obligation, even with the consent of</w:t>
      </w:r>
      <w:r>
        <w:rPr>
          <w:spacing w:val="-3"/>
        </w:rPr>
        <w:t> </w:t>
      </w:r>
      <w:r>
        <w:rPr/>
        <w:t>the company. However, in modern times, this may not be good for</w:t>
      </w:r>
      <w:r>
        <w:rPr>
          <w:spacing w:val="20"/>
        </w:rPr>
        <w:t> </w:t>
      </w:r>
      <w:r>
        <w:rPr/>
        <w:t>business</w:t>
      </w:r>
      <w:r>
        <w:rPr>
          <w:spacing w:val="24"/>
        </w:rPr>
        <w:t> </w:t>
      </w:r>
      <w:r>
        <w:rPr/>
        <w:t>in</w:t>
      </w:r>
      <w:r>
        <w:rPr>
          <w:spacing w:val="21"/>
        </w:rPr>
        <w:t> </w:t>
      </w:r>
      <w:r>
        <w:rPr/>
        <w:t>certain</w:t>
      </w:r>
      <w:r>
        <w:rPr>
          <w:spacing w:val="17"/>
        </w:rPr>
        <w:t> </w:t>
      </w:r>
      <w:r>
        <w:rPr/>
        <w:t>situations.</w:t>
      </w:r>
      <w:r>
        <w:rPr>
          <w:spacing w:val="24"/>
        </w:rPr>
        <w:t> </w:t>
      </w:r>
      <w:r>
        <w:rPr/>
        <w:t>If</w:t>
      </w:r>
      <w:r>
        <w:rPr>
          <w:spacing w:val="14"/>
        </w:rPr>
        <w:t> </w:t>
      </w:r>
      <w:r>
        <w:rPr/>
        <w:t>the</w:t>
      </w:r>
      <w:r>
        <w:rPr>
          <w:spacing w:val="25"/>
        </w:rPr>
        <w:t> </w:t>
      </w:r>
      <w:r>
        <w:rPr/>
        <w:t>law</w:t>
      </w:r>
      <w:r>
        <w:rPr>
          <w:spacing w:val="26"/>
        </w:rPr>
        <w:t> </w:t>
      </w:r>
      <w:r>
        <w:rPr/>
        <w:t>forbids</w:t>
      </w:r>
      <w:r>
        <w:rPr>
          <w:spacing w:val="20"/>
        </w:rPr>
        <w:t> </w:t>
      </w:r>
      <w:r>
        <w:rPr/>
        <w:t>the</w:t>
      </w:r>
      <w:r>
        <w:rPr>
          <w:spacing w:val="20"/>
        </w:rPr>
        <w:t> </w:t>
      </w:r>
      <w:r>
        <w:rPr/>
        <w:t>directors,</w:t>
      </w:r>
      <w:r>
        <w:rPr>
          <w:spacing w:val="34"/>
        </w:rPr>
        <w:t> </w:t>
      </w:r>
      <w:r>
        <w:rPr>
          <w:i/>
        </w:rPr>
        <w:t>collectively</w:t>
      </w:r>
      <w:r>
        <w:rPr>
          <w:i/>
          <w:spacing w:val="23"/>
        </w:rPr>
        <w:t> </w:t>
      </w:r>
      <w:r>
        <w:rPr/>
        <w:t>acting</w:t>
      </w:r>
      <w:r>
        <w:rPr>
          <w:spacing w:val="26"/>
        </w:rPr>
        <w:t> </w:t>
      </w:r>
      <w:r>
        <w:rPr>
          <w:spacing w:val="-5"/>
        </w:rPr>
        <w:t>in</w:t>
      </w:r>
    </w:p>
    <w:p>
      <w:pPr>
        <w:pStyle w:val="BodyText"/>
        <w:spacing w:before="96"/>
        <w:ind w:left="0"/>
        <w:rPr>
          <w:sz w:val="20"/>
        </w:rPr>
      </w:pPr>
      <w:r>
        <w:rPr/>
        <mc:AlternateContent>
          <mc:Choice Requires="wps">
            <w:drawing>
              <wp:anchor distT="0" distB="0" distL="0" distR="0" allowOverlap="1" layoutInCell="1" locked="0" behindDoc="1" simplePos="0" relativeHeight="487663104">
                <wp:simplePos x="0" y="0"/>
                <wp:positionH relativeFrom="page">
                  <wp:posOffset>1262481</wp:posOffset>
                </wp:positionH>
                <wp:positionV relativeFrom="paragraph">
                  <wp:posOffset>222367</wp:posOffset>
                </wp:positionV>
                <wp:extent cx="1829435" cy="9525"/>
                <wp:effectExtent l="0" t="0" r="0" b="0"/>
                <wp:wrapTopAndBottom/>
                <wp:docPr id="163" name="Graphic 163"/>
                <wp:cNvGraphicFramePr>
                  <a:graphicFrameLocks/>
                </wp:cNvGraphicFramePr>
                <a:graphic>
                  <a:graphicData uri="http://schemas.microsoft.com/office/word/2010/wordprocessingShape">
                    <wps:wsp>
                      <wps:cNvPr id="163" name="Graphic 16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09249pt;width:144.050pt;height:.71997pt;mso-position-horizontal-relative:page;mso-position-vertical-relative:paragraph;z-index:-15653376;mso-wrap-distance-left:0;mso-wrap-distance-right:0" id="docshape118"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231</w:t>
      </w:r>
      <w:r>
        <w:rPr>
          <w:rFonts w:ascii="Calibri"/>
          <w:spacing w:val="-2"/>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CAMA</w:t>
      </w:r>
      <w:r>
        <w:rPr>
          <w:rFonts w:ascii="Calibri"/>
          <w:spacing w:val="-8"/>
          <w:sz w:val="20"/>
          <w:vertAlign w:val="baseline"/>
        </w:rPr>
        <w:t> </w:t>
      </w:r>
      <w:r>
        <w:rPr>
          <w:rFonts w:ascii="Calibri"/>
          <w:sz w:val="20"/>
          <w:vertAlign w:val="baseline"/>
        </w:rPr>
        <w:t>allows</w:t>
      </w:r>
      <w:r>
        <w:rPr>
          <w:rFonts w:ascii="Calibri"/>
          <w:spacing w:val="-4"/>
          <w:sz w:val="20"/>
          <w:vertAlign w:val="baseline"/>
        </w:rPr>
        <w:t> </w:t>
      </w:r>
      <w:r>
        <w:rPr>
          <w:rFonts w:ascii="Calibri"/>
          <w:sz w:val="20"/>
          <w:vertAlign w:val="baseline"/>
        </w:rPr>
        <w:t>this</w:t>
      </w:r>
      <w:r>
        <w:rPr>
          <w:rFonts w:ascii="Calibri"/>
          <w:spacing w:val="-3"/>
          <w:sz w:val="20"/>
          <w:vertAlign w:val="baseline"/>
        </w:rPr>
        <w:t> </w:t>
      </w:r>
      <w:r>
        <w:rPr>
          <w:rFonts w:ascii="Calibri"/>
          <w:sz w:val="20"/>
          <w:vertAlign w:val="baseline"/>
        </w:rPr>
        <w:t>by</w:t>
      </w:r>
      <w:r>
        <w:rPr>
          <w:rFonts w:ascii="Calibri"/>
          <w:spacing w:val="-8"/>
          <w:sz w:val="20"/>
          <w:vertAlign w:val="baseline"/>
        </w:rPr>
        <w:t> </w:t>
      </w:r>
      <w:r>
        <w:rPr>
          <w:rFonts w:ascii="Calibri"/>
          <w:sz w:val="20"/>
          <w:vertAlign w:val="baseline"/>
        </w:rPr>
        <w:t>implication.</w:t>
      </w:r>
      <w:r>
        <w:rPr>
          <w:rFonts w:ascii="Calibri"/>
          <w:spacing w:val="-1"/>
          <w:sz w:val="20"/>
          <w:vertAlign w:val="baseline"/>
        </w:rPr>
        <w:t> </w:t>
      </w:r>
      <w:r>
        <w:rPr>
          <w:rFonts w:ascii="Calibri"/>
          <w:sz w:val="20"/>
          <w:vertAlign w:val="baseline"/>
        </w:rPr>
        <w:t>See</w:t>
      </w:r>
      <w:r>
        <w:rPr>
          <w:rFonts w:ascii="Calibri"/>
          <w:spacing w:val="-2"/>
          <w:sz w:val="20"/>
          <w:vertAlign w:val="baseline"/>
        </w:rPr>
        <w:t> </w:t>
      </w:r>
      <w:r>
        <w:rPr>
          <w:rFonts w:ascii="Calibri"/>
          <w:sz w:val="20"/>
          <w:vertAlign w:val="baseline"/>
        </w:rPr>
        <w:t>s.</w:t>
      </w:r>
      <w:r>
        <w:rPr>
          <w:rFonts w:ascii="Calibri"/>
          <w:spacing w:val="-5"/>
          <w:sz w:val="20"/>
          <w:vertAlign w:val="baseline"/>
        </w:rPr>
        <w:t> </w:t>
      </w:r>
      <w:r>
        <w:rPr>
          <w:rFonts w:ascii="Calibri"/>
          <w:spacing w:val="-4"/>
          <w:sz w:val="20"/>
          <w:vertAlign w:val="baseline"/>
        </w:rPr>
        <w:t>281.</w:t>
      </w:r>
    </w:p>
    <w:p>
      <w:pPr>
        <w:spacing w:line="240" w:lineRule="auto" w:before="0"/>
        <w:ind w:left="308" w:right="227" w:firstLine="0"/>
        <w:jc w:val="left"/>
        <w:rPr>
          <w:rFonts w:ascii="Calibri"/>
          <w:sz w:val="20"/>
        </w:rPr>
      </w:pPr>
      <w:r>
        <w:rPr>
          <w:rFonts w:ascii="Calibri"/>
          <w:sz w:val="20"/>
          <w:vertAlign w:val="superscript"/>
        </w:rPr>
        <w:t>232</w:t>
      </w:r>
      <w:r>
        <w:rPr>
          <w:rFonts w:ascii="Calibri"/>
          <w:spacing w:val="26"/>
          <w:sz w:val="20"/>
          <w:vertAlign w:val="baseline"/>
        </w:rPr>
        <w:t> </w:t>
      </w:r>
      <w:r>
        <w:rPr>
          <w:rFonts w:ascii="Calibri"/>
          <w:sz w:val="20"/>
          <w:vertAlign w:val="baseline"/>
        </w:rPr>
        <w:t>Per</w:t>
      </w:r>
      <w:r>
        <w:rPr>
          <w:rFonts w:ascii="Calibri"/>
          <w:spacing w:val="25"/>
          <w:sz w:val="20"/>
          <w:vertAlign w:val="baseline"/>
        </w:rPr>
        <w:t> </w:t>
      </w:r>
      <w:r>
        <w:rPr>
          <w:rFonts w:ascii="Calibri"/>
          <w:sz w:val="20"/>
          <w:vertAlign w:val="baseline"/>
        </w:rPr>
        <w:t>Lord</w:t>
      </w:r>
      <w:r>
        <w:rPr>
          <w:rFonts w:ascii="Calibri"/>
          <w:spacing w:val="19"/>
          <w:sz w:val="20"/>
          <w:vertAlign w:val="baseline"/>
        </w:rPr>
        <w:t> </w:t>
      </w:r>
      <w:r>
        <w:rPr>
          <w:rFonts w:ascii="Calibri"/>
          <w:sz w:val="20"/>
          <w:vertAlign w:val="baseline"/>
        </w:rPr>
        <w:t>Denning</w:t>
      </w:r>
      <w:r>
        <w:rPr>
          <w:rFonts w:ascii="Calibri"/>
          <w:spacing w:val="20"/>
          <w:sz w:val="20"/>
          <w:vertAlign w:val="baseline"/>
        </w:rPr>
        <w:t> </w:t>
      </w:r>
      <w:r>
        <w:rPr>
          <w:rFonts w:ascii="Calibri"/>
          <w:sz w:val="20"/>
          <w:vertAlign w:val="baseline"/>
        </w:rPr>
        <w:t>in</w:t>
      </w:r>
      <w:r>
        <w:rPr>
          <w:rFonts w:ascii="Calibri"/>
          <w:spacing w:val="22"/>
          <w:sz w:val="20"/>
          <w:vertAlign w:val="baseline"/>
        </w:rPr>
        <w:t> </w:t>
      </w:r>
      <w:r>
        <w:rPr>
          <w:rFonts w:ascii="Calibri"/>
          <w:i/>
          <w:sz w:val="20"/>
          <w:vertAlign w:val="baseline"/>
        </w:rPr>
        <w:t>Scottish</w:t>
      </w:r>
      <w:r>
        <w:rPr>
          <w:rFonts w:ascii="Calibri"/>
          <w:i/>
          <w:spacing w:val="26"/>
          <w:sz w:val="20"/>
          <w:vertAlign w:val="baseline"/>
        </w:rPr>
        <w:t> </w:t>
      </w:r>
      <w:r>
        <w:rPr>
          <w:rFonts w:ascii="Calibri"/>
          <w:i/>
          <w:sz w:val="20"/>
          <w:vertAlign w:val="baseline"/>
        </w:rPr>
        <w:t>Co-operative</w:t>
      </w:r>
      <w:r>
        <w:rPr>
          <w:rFonts w:ascii="Calibri"/>
          <w:i/>
          <w:spacing w:val="24"/>
          <w:sz w:val="20"/>
          <w:vertAlign w:val="baseline"/>
        </w:rPr>
        <w:t> </w:t>
      </w:r>
      <w:r>
        <w:rPr>
          <w:rFonts w:ascii="Calibri"/>
          <w:i/>
          <w:sz w:val="20"/>
          <w:vertAlign w:val="baseline"/>
        </w:rPr>
        <w:t>Wholesale</w:t>
      </w:r>
      <w:r>
        <w:rPr>
          <w:rFonts w:ascii="Calibri"/>
          <w:i/>
          <w:spacing w:val="24"/>
          <w:sz w:val="20"/>
          <w:vertAlign w:val="baseline"/>
        </w:rPr>
        <w:t> </w:t>
      </w:r>
      <w:r>
        <w:rPr>
          <w:rFonts w:ascii="Calibri"/>
          <w:i/>
          <w:sz w:val="20"/>
          <w:vertAlign w:val="baseline"/>
        </w:rPr>
        <w:t>Society</w:t>
      </w:r>
      <w:r>
        <w:rPr>
          <w:rFonts w:ascii="Calibri"/>
          <w:i/>
          <w:spacing w:val="25"/>
          <w:sz w:val="20"/>
          <w:vertAlign w:val="baseline"/>
        </w:rPr>
        <w:t> </w:t>
      </w:r>
      <w:r>
        <w:rPr>
          <w:rFonts w:ascii="Calibri"/>
          <w:i/>
          <w:sz w:val="20"/>
          <w:vertAlign w:val="baseline"/>
        </w:rPr>
        <w:t>Ltd.</w:t>
      </w:r>
      <w:r>
        <w:rPr>
          <w:rFonts w:ascii="Calibri"/>
          <w:i/>
          <w:spacing w:val="21"/>
          <w:sz w:val="20"/>
          <w:vertAlign w:val="baseline"/>
        </w:rPr>
        <w:t> </w:t>
      </w:r>
      <w:r>
        <w:rPr>
          <w:rFonts w:ascii="Calibri"/>
          <w:i/>
          <w:sz w:val="20"/>
          <w:vertAlign w:val="baseline"/>
        </w:rPr>
        <w:t>vs.</w:t>
      </w:r>
      <w:r>
        <w:rPr>
          <w:rFonts w:ascii="Calibri"/>
          <w:i/>
          <w:spacing w:val="21"/>
          <w:sz w:val="20"/>
          <w:vertAlign w:val="baseline"/>
        </w:rPr>
        <w:t> </w:t>
      </w:r>
      <w:r>
        <w:rPr>
          <w:rFonts w:ascii="Calibri"/>
          <w:i/>
          <w:sz w:val="20"/>
          <w:vertAlign w:val="baseline"/>
        </w:rPr>
        <w:t>Meyer</w:t>
      </w:r>
      <w:r>
        <w:rPr>
          <w:rFonts w:ascii="Calibri"/>
          <w:i/>
          <w:spacing w:val="23"/>
          <w:sz w:val="20"/>
          <w:vertAlign w:val="baseline"/>
        </w:rPr>
        <w:t> </w:t>
      </w:r>
      <w:r>
        <w:rPr>
          <w:rFonts w:ascii="Calibri"/>
          <w:sz w:val="20"/>
          <w:vertAlign w:val="baseline"/>
        </w:rPr>
        <w:t>(1959)</w:t>
      </w:r>
      <w:r>
        <w:rPr>
          <w:rFonts w:ascii="Calibri"/>
          <w:spacing w:val="25"/>
          <w:sz w:val="20"/>
          <w:vertAlign w:val="baseline"/>
        </w:rPr>
        <w:t> </w:t>
      </w:r>
      <w:r>
        <w:rPr>
          <w:rFonts w:ascii="Calibri"/>
          <w:sz w:val="20"/>
          <w:vertAlign w:val="baseline"/>
        </w:rPr>
        <w:t>A.C.,</w:t>
      </w:r>
      <w:r>
        <w:rPr>
          <w:rFonts w:ascii="Calibri"/>
          <w:spacing w:val="22"/>
          <w:sz w:val="20"/>
          <w:vertAlign w:val="baseline"/>
        </w:rPr>
        <w:t> </w:t>
      </w:r>
      <w:r>
        <w:rPr>
          <w:rFonts w:ascii="Calibri"/>
          <w:sz w:val="20"/>
          <w:vertAlign w:val="baseline"/>
        </w:rPr>
        <w:t>324</w:t>
      </w:r>
      <w:r>
        <w:rPr>
          <w:rFonts w:ascii="Calibri"/>
          <w:spacing w:val="22"/>
          <w:sz w:val="20"/>
          <w:vertAlign w:val="baseline"/>
        </w:rPr>
        <w:t> </w:t>
      </w:r>
      <w:r>
        <w:rPr>
          <w:rFonts w:ascii="Calibri"/>
          <w:sz w:val="20"/>
          <w:vertAlign w:val="baseline"/>
        </w:rPr>
        <w:t>HL</w:t>
      </w:r>
      <w:r>
        <w:rPr>
          <w:rFonts w:ascii="Calibri"/>
          <w:spacing w:val="25"/>
          <w:sz w:val="20"/>
          <w:vertAlign w:val="baseline"/>
        </w:rPr>
        <w:t> </w:t>
      </w:r>
      <w:r>
        <w:rPr>
          <w:rFonts w:ascii="Calibri"/>
          <w:sz w:val="20"/>
          <w:vertAlign w:val="baseline"/>
        </w:rPr>
        <w:t>at </w:t>
      </w:r>
      <w:r>
        <w:rPr>
          <w:rFonts w:ascii="Calibri"/>
          <w:spacing w:val="-2"/>
          <w:sz w:val="20"/>
          <w:vertAlign w:val="baseline"/>
        </w:rPr>
        <w:t>366-368</w:t>
      </w:r>
    </w:p>
    <w:p>
      <w:pPr>
        <w:spacing w:before="0"/>
        <w:ind w:left="308" w:right="255" w:firstLine="0"/>
        <w:jc w:val="left"/>
        <w:rPr>
          <w:rFonts w:ascii="Calibri"/>
          <w:sz w:val="20"/>
        </w:rPr>
      </w:pPr>
      <w:r>
        <w:rPr>
          <w:rFonts w:ascii="Calibri"/>
          <w:sz w:val="20"/>
          <w:vertAlign w:val="superscript"/>
        </w:rPr>
        <w:t>233</w:t>
      </w:r>
      <w:r>
        <w:rPr>
          <w:rFonts w:ascii="Calibri"/>
          <w:sz w:val="20"/>
          <w:vertAlign w:val="baseline"/>
        </w:rPr>
        <w:t>S.257(1)(d) forbids corporate directorship, but allows the representative of another company to be</w:t>
      </w:r>
      <w:r>
        <w:rPr>
          <w:rFonts w:ascii="Calibri"/>
          <w:spacing w:val="40"/>
          <w:sz w:val="20"/>
          <w:vertAlign w:val="baseline"/>
        </w:rPr>
        <w:t> </w:t>
      </w:r>
      <w:r>
        <w:rPr>
          <w:rFonts w:ascii="Calibri"/>
          <w:sz w:val="20"/>
          <w:vertAlign w:val="baseline"/>
        </w:rPr>
        <w:t>appointed to the board for a given term.</w:t>
      </w:r>
    </w:p>
    <w:p>
      <w:pPr>
        <w:spacing w:before="1"/>
        <w:ind w:left="308" w:right="0" w:firstLine="0"/>
        <w:jc w:val="left"/>
        <w:rPr>
          <w:rFonts w:ascii="Calibri"/>
          <w:sz w:val="20"/>
        </w:rPr>
      </w:pPr>
      <w:r>
        <w:rPr>
          <w:rFonts w:ascii="Calibri"/>
          <w:sz w:val="20"/>
          <w:vertAlign w:val="superscript"/>
        </w:rPr>
        <w:t>234</w:t>
      </w:r>
      <w:r>
        <w:rPr>
          <w:rFonts w:ascii="Calibri"/>
          <w:spacing w:val="-2"/>
          <w:sz w:val="20"/>
          <w:vertAlign w:val="baseline"/>
        </w:rPr>
        <w:t> </w:t>
      </w:r>
      <w:r>
        <w:rPr>
          <w:rFonts w:ascii="Calibri"/>
          <w:sz w:val="20"/>
          <w:vertAlign w:val="baseline"/>
        </w:rPr>
        <w:t>See</w:t>
      </w:r>
      <w:r>
        <w:rPr>
          <w:rFonts w:ascii="Calibri"/>
          <w:spacing w:val="-6"/>
          <w:sz w:val="20"/>
          <w:vertAlign w:val="baseline"/>
        </w:rPr>
        <w:t> </w:t>
      </w:r>
      <w:r>
        <w:rPr>
          <w:rFonts w:ascii="Calibri"/>
          <w:i/>
          <w:sz w:val="20"/>
          <w:vertAlign w:val="baseline"/>
        </w:rPr>
        <w:t>Selangor</w:t>
      </w:r>
      <w:r>
        <w:rPr>
          <w:rFonts w:ascii="Calibri"/>
          <w:i/>
          <w:spacing w:val="-5"/>
          <w:sz w:val="20"/>
          <w:vertAlign w:val="baseline"/>
        </w:rPr>
        <w:t> </w:t>
      </w:r>
      <w:r>
        <w:rPr>
          <w:rFonts w:ascii="Calibri"/>
          <w:i/>
          <w:sz w:val="20"/>
          <w:vertAlign w:val="baseline"/>
        </w:rPr>
        <w:t>United</w:t>
      </w:r>
      <w:r>
        <w:rPr>
          <w:rFonts w:ascii="Calibri"/>
          <w:i/>
          <w:spacing w:val="-6"/>
          <w:sz w:val="20"/>
          <w:vertAlign w:val="baseline"/>
        </w:rPr>
        <w:t> </w:t>
      </w:r>
      <w:r>
        <w:rPr>
          <w:rFonts w:ascii="Calibri"/>
          <w:i/>
          <w:sz w:val="20"/>
          <w:vertAlign w:val="baseline"/>
        </w:rPr>
        <w:t>Rubber</w:t>
      </w:r>
      <w:r>
        <w:rPr>
          <w:rFonts w:ascii="Calibri"/>
          <w:i/>
          <w:spacing w:val="-9"/>
          <w:sz w:val="20"/>
          <w:vertAlign w:val="baseline"/>
        </w:rPr>
        <w:t> </w:t>
      </w:r>
      <w:r>
        <w:rPr>
          <w:rFonts w:ascii="Calibri"/>
          <w:i/>
          <w:sz w:val="20"/>
          <w:vertAlign w:val="baseline"/>
        </w:rPr>
        <w:t>Estates</w:t>
      </w:r>
      <w:r>
        <w:rPr>
          <w:rFonts w:ascii="Calibri"/>
          <w:i/>
          <w:spacing w:val="-9"/>
          <w:sz w:val="20"/>
          <w:vertAlign w:val="baseline"/>
        </w:rPr>
        <w:t> </w:t>
      </w:r>
      <w:r>
        <w:rPr>
          <w:rFonts w:ascii="Calibri"/>
          <w:i/>
          <w:sz w:val="20"/>
          <w:vertAlign w:val="baseline"/>
        </w:rPr>
        <w:t>Ltd.</w:t>
      </w:r>
      <w:r>
        <w:rPr>
          <w:rFonts w:ascii="Calibri"/>
          <w:i/>
          <w:spacing w:val="-5"/>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Craddock</w:t>
      </w:r>
      <w:r>
        <w:rPr>
          <w:rFonts w:ascii="Calibri"/>
          <w:i/>
          <w:spacing w:val="-6"/>
          <w:sz w:val="20"/>
          <w:vertAlign w:val="baseline"/>
        </w:rPr>
        <w:t> </w:t>
      </w:r>
      <w:r>
        <w:rPr>
          <w:rFonts w:ascii="Calibri"/>
          <w:sz w:val="20"/>
          <w:vertAlign w:val="baseline"/>
        </w:rPr>
        <w:t>(1968)</w:t>
      </w:r>
      <w:r>
        <w:rPr>
          <w:rFonts w:ascii="Calibri"/>
          <w:spacing w:val="-3"/>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w:t>
      </w:r>
      <w:r>
        <w:rPr>
          <w:rFonts w:ascii="Calibri"/>
          <w:spacing w:val="-2"/>
          <w:sz w:val="20"/>
          <w:vertAlign w:val="baseline"/>
        </w:rPr>
        <w:t> 1073.</w:t>
      </w:r>
    </w:p>
    <w:p>
      <w:pPr>
        <w:spacing w:before="1"/>
        <w:ind w:left="308" w:right="0" w:firstLine="0"/>
        <w:jc w:val="left"/>
        <w:rPr>
          <w:rFonts w:ascii="Calibri"/>
          <w:i/>
          <w:sz w:val="20"/>
        </w:rPr>
      </w:pPr>
      <w:r>
        <w:rPr>
          <w:rFonts w:ascii="Calibri"/>
          <w:sz w:val="20"/>
          <w:vertAlign w:val="superscript"/>
        </w:rPr>
        <w:t>235</w:t>
      </w:r>
      <w:r>
        <w:rPr>
          <w:rFonts w:ascii="Calibri"/>
          <w:i/>
          <w:sz w:val="20"/>
          <w:vertAlign w:val="baseline"/>
        </w:rPr>
        <w:t>Scottish</w:t>
      </w:r>
      <w:r>
        <w:rPr>
          <w:rFonts w:ascii="Calibri"/>
          <w:i/>
          <w:spacing w:val="33"/>
          <w:sz w:val="20"/>
          <w:vertAlign w:val="baseline"/>
        </w:rPr>
        <w:t> </w:t>
      </w:r>
      <w:r>
        <w:rPr>
          <w:rFonts w:ascii="Calibri"/>
          <w:i/>
          <w:sz w:val="20"/>
          <w:vertAlign w:val="baseline"/>
        </w:rPr>
        <w:t>Co-operative</w:t>
      </w:r>
      <w:r>
        <w:rPr>
          <w:rFonts w:ascii="Calibri"/>
          <w:i/>
          <w:spacing w:val="31"/>
          <w:sz w:val="20"/>
          <w:vertAlign w:val="baseline"/>
        </w:rPr>
        <w:t> </w:t>
      </w:r>
      <w:r>
        <w:rPr>
          <w:rFonts w:ascii="Calibri"/>
          <w:i/>
          <w:sz w:val="20"/>
          <w:vertAlign w:val="baseline"/>
        </w:rPr>
        <w:t>Wholesale</w:t>
      </w:r>
      <w:r>
        <w:rPr>
          <w:rFonts w:ascii="Calibri"/>
          <w:i/>
          <w:spacing w:val="31"/>
          <w:sz w:val="20"/>
          <w:vertAlign w:val="baseline"/>
        </w:rPr>
        <w:t> </w:t>
      </w:r>
      <w:r>
        <w:rPr>
          <w:rFonts w:ascii="Calibri"/>
          <w:i/>
          <w:sz w:val="20"/>
          <w:vertAlign w:val="baseline"/>
        </w:rPr>
        <w:t>Society</w:t>
      </w:r>
      <w:r>
        <w:rPr>
          <w:rFonts w:ascii="Calibri"/>
          <w:i/>
          <w:spacing w:val="32"/>
          <w:sz w:val="20"/>
          <w:vertAlign w:val="baseline"/>
        </w:rPr>
        <w:t> </w:t>
      </w:r>
      <w:r>
        <w:rPr>
          <w:rFonts w:ascii="Calibri"/>
          <w:i/>
          <w:sz w:val="20"/>
          <w:vertAlign w:val="baseline"/>
        </w:rPr>
        <w:t>Ltd.</w:t>
      </w:r>
      <w:r>
        <w:rPr>
          <w:rFonts w:ascii="Calibri"/>
          <w:i/>
          <w:spacing w:val="33"/>
          <w:sz w:val="20"/>
          <w:vertAlign w:val="baseline"/>
        </w:rPr>
        <w:t> </w:t>
      </w:r>
      <w:r>
        <w:rPr>
          <w:rFonts w:ascii="Calibri"/>
          <w:i/>
          <w:sz w:val="20"/>
          <w:vertAlign w:val="baseline"/>
        </w:rPr>
        <w:t>vs.</w:t>
      </w:r>
      <w:r>
        <w:rPr>
          <w:rFonts w:ascii="Calibri"/>
          <w:i/>
          <w:spacing w:val="33"/>
          <w:sz w:val="20"/>
          <w:vertAlign w:val="baseline"/>
        </w:rPr>
        <w:t> </w:t>
      </w:r>
      <w:r>
        <w:rPr>
          <w:rFonts w:ascii="Calibri"/>
          <w:i/>
          <w:sz w:val="20"/>
          <w:vertAlign w:val="baseline"/>
        </w:rPr>
        <w:t>Meyer</w:t>
      </w:r>
      <w:r>
        <w:rPr>
          <w:rFonts w:ascii="Calibri"/>
          <w:i/>
          <w:spacing w:val="31"/>
          <w:sz w:val="20"/>
          <w:vertAlign w:val="baseline"/>
        </w:rPr>
        <w:t> </w:t>
      </w:r>
      <w:r>
        <w:rPr>
          <w:rFonts w:ascii="Calibri"/>
          <w:sz w:val="20"/>
          <w:vertAlign w:val="baseline"/>
        </w:rPr>
        <w:t>(1959)</w:t>
      </w:r>
      <w:r>
        <w:rPr>
          <w:rFonts w:ascii="Calibri"/>
          <w:spacing w:val="38"/>
          <w:sz w:val="20"/>
          <w:vertAlign w:val="baseline"/>
        </w:rPr>
        <w:t> </w:t>
      </w:r>
      <w:r>
        <w:rPr>
          <w:rFonts w:ascii="Calibri"/>
          <w:sz w:val="20"/>
          <w:vertAlign w:val="baseline"/>
        </w:rPr>
        <w:t>A.C.,</w:t>
      </w:r>
      <w:r>
        <w:rPr>
          <w:rFonts w:ascii="Calibri"/>
          <w:spacing w:val="34"/>
          <w:sz w:val="20"/>
          <w:vertAlign w:val="baseline"/>
        </w:rPr>
        <w:t> </w:t>
      </w:r>
      <w:r>
        <w:rPr>
          <w:rFonts w:ascii="Calibri"/>
          <w:sz w:val="20"/>
          <w:vertAlign w:val="baseline"/>
        </w:rPr>
        <w:t>324</w:t>
      </w:r>
      <w:r>
        <w:rPr>
          <w:rFonts w:ascii="Calibri"/>
          <w:spacing w:val="35"/>
          <w:sz w:val="20"/>
          <w:vertAlign w:val="baseline"/>
        </w:rPr>
        <w:t> </w:t>
      </w:r>
      <w:r>
        <w:rPr>
          <w:rFonts w:ascii="Calibri"/>
          <w:sz w:val="20"/>
          <w:vertAlign w:val="baseline"/>
        </w:rPr>
        <w:t>HL;</w:t>
      </w:r>
      <w:r>
        <w:rPr>
          <w:rFonts w:ascii="Calibri"/>
          <w:spacing w:val="32"/>
          <w:sz w:val="20"/>
          <w:vertAlign w:val="baseline"/>
        </w:rPr>
        <w:t> </w:t>
      </w:r>
      <w:r>
        <w:rPr>
          <w:rFonts w:ascii="Calibri"/>
          <w:i/>
          <w:sz w:val="20"/>
          <w:vertAlign w:val="baseline"/>
        </w:rPr>
        <w:t>Re</w:t>
      </w:r>
      <w:r>
        <w:rPr>
          <w:rFonts w:ascii="Calibri"/>
          <w:i/>
          <w:spacing w:val="31"/>
          <w:sz w:val="20"/>
          <w:vertAlign w:val="baseline"/>
        </w:rPr>
        <w:t> </w:t>
      </w:r>
      <w:r>
        <w:rPr>
          <w:rFonts w:ascii="Calibri"/>
          <w:i/>
          <w:sz w:val="20"/>
          <w:vertAlign w:val="baseline"/>
        </w:rPr>
        <w:t>Neath</w:t>
      </w:r>
      <w:r>
        <w:rPr>
          <w:rFonts w:ascii="Calibri"/>
          <w:i/>
          <w:spacing w:val="33"/>
          <w:sz w:val="20"/>
          <w:vertAlign w:val="baseline"/>
        </w:rPr>
        <w:t> </w:t>
      </w:r>
      <w:r>
        <w:rPr>
          <w:rFonts w:ascii="Calibri"/>
          <w:i/>
          <w:sz w:val="20"/>
          <w:vertAlign w:val="baseline"/>
        </w:rPr>
        <w:t>Rugby</w:t>
      </w:r>
      <w:r>
        <w:rPr>
          <w:rFonts w:ascii="Calibri"/>
          <w:i/>
          <w:spacing w:val="37"/>
          <w:sz w:val="20"/>
          <w:vertAlign w:val="baseline"/>
        </w:rPr>
        <w:t> </w:t>
      </w:r>
      <w:r>
        <w:rPr>
          <w:rFonts w:ascii="Calibri"/>
          <w:i/>
          <w:spacing w:val="-4"/>
          <w:sz w:val="20"/>
          <w:vertAlign w:val="baseline"/>
        </w:rPr>
        <w:t>Ltd.</w:t>
      </w:r>
    </w:p>
    <w:p>
      <w:pPr>
        <w:spacing w:before="0"/>
        <w:ind w:left="308" w:right="0" w:firstLine="0"/>
        <w:jc w:val="left"/>
        <w:rPr>
          <w:rFonts w:ascii="Calibri"/>
          <w:sz w:val="20"/>
        </w:rPr>
      </w:pPr>
      <w:r>
        <w:rPr>
          <w:rFonts w:ascii="Calibri"/>
          <w:sz w:val="20"/>
        </w:rPr>
        <w:t>(2008)</w:t>
      </w:r>
      <w:r>
        <w:rPr>
          <w:rFonts w:ascii="Calibri"/>
          <w:spacing w:val="-3"/>
          <w:sz w:val="20"/>
        </w:rPr>
        <w:t> </w:t>
      </w:r>
      <w:r>
        <w:rPr>
          <w:rFonts w:ascii="Calibri"/>
          <w:sz w:val="20"/>
        </w:rPr>
        <w:t>1</w:t>
      </w:r>
      <w:r>
        <w:rPr>
          <w:rFonts w:ascii="Calibri"/>
          <w:spacing w:val="-7"/>
          <w:sz w:val="20"/>
        </w:rPr>
        <w:t> </w:t>
      </w:r>
      <w:r>
        <w:rPr>
          <w:rFonts w:ascii="Calibri"/>
          <w:sz w:val="20"/>
        </w:rPr>
        <w:t>BCLC</w:t>
      </w:r>
      <w:r>
        <w:rPr>
          <w:rFonts w:ascii="Calibri"/>
          <w:spacing w:val="-3"/>
          <w:sz w:val="20"/>
        </w:rPr>
        <w:t> </w:t>
      </w:r>
      <w:r>
        <w:rPr>
          <w:rFonts w:ascii="Calibri"/>
          <w:sz w:val="20"/>
        </w:rPr>
        <w:t>868</w:t>
      </w:r>
      <w:r>
        <w:rPr>
          <w:rFonts w:ascii="Calibri"/>
          <w:spacing w:val="-6"/>
          <w:sz w:val="20"/>
        </w:rPr>
        <w:t> </w:t>
      </w:r>
      <w:r>
        <w:rPr>
          <w:rFonts w:ascii="Calibri"/>
          <w:spacing w:val="-4"/>
          <w:sz w:val="20"/>
        </w:rPr>
        <w:t>(PC)</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0"/>
        <w:jc w:val="both"/>
      </w:pPr>
      <w:r>
        <w:rPr/>
        <w:t>the name of</w:t>
      </w:r>
      <w:r>
        <w:rPr>
          <w:spacing w:val="-7"/>
        </w:rPr>
        <w:t> </w:t>
      </w:r>
      <w:r>
        <w:rPr/>
        <w:t>the company, from</w:t>
      </w:r>
      <w:r>
        <w:rPr>
          <w:spacing w:val="-4"/>
        </w:rPr>
        <w:t> </w:t>
      </w:r>
      <w:r>
        <w:rPr/>
        <w:t>contracting with</w:t>
      </w:r>
      <w:r>
        <w:rPr>
          <w:spacing w:val="-4"/>
        </w:rPr>
        <w:t> </w:t>
      </w:r>
      <w:r>
        <w:rPr/>
        <w:t>third parties</w:t>
      </w:r>
      <w:r>
        <w:rPr>
          <w:spacing w:val="-1"/>
        </w:rPr>
        <w:t> </w:t>
      </w:r>
      <w:r>
        <w:rPr/>
        <w:t>to ensure that the company acts in a certain way in the future for the furtherance of</w:t>
      </w:r>
      <w:r>
        <w:rPr>
          <w:spacing w:val="-2"/>
        </w:rPr>
        <w:t> </w:t>
      </w:r>
      <w:r>
        <w:rPr/>
        <w:t>the company‘s relations with its business partners or fulfilling the terms of its contracts, this may fetter the company‘s </w:t>
      </w:r>
      <w:r>
        <w:rPr>
          <w:spacing w:val="-2"/>
        </w:rPr>
        <w:t>prospects.</w:t>
      </w:r>
    </w:p>
    <w:p>
      <w:pPr>
        <w:pStyle w:val="BodyText"/>
        <w:spacing w:line="480" w:lineRule="auto"/>
        <w:ind w:right="178" w:firstLine="720"/>
        <w:jc w:val="both"/>
      </w:pPr>
      <w:r>
        <w:rPr/>
        <w:t>It is argued that if individuals may contract as to their future behaviour in business matters, it is</w:t>
      </w:r>
      <w:r>
        <w:rPr>
          <w:spacing w:val="-3"/>
        </w:rPr>
        <w:t> </w:t>
      </w:r>
      <w:r>
        <w:rPr/>
        <w:t>desirable that companies, through</w:t>
      </w:r>
      <w:r>
        <w:rPr>
          <w:spacing w:val="-6"/>
        </w:rPr>
        <w:t> </w:t>
      </w:r>
      <w:r>
        <w:rPr/>
        <w:t>their directors, should be able</w:t>
      </w:r>
      <w:r>
        <w:rPr>
          <w:spacing w:val="-2"/>
        </w:rPr>
        <w:t> </w:t>
      </w:r>
      <w:r>
        <w:rPr/>
        <w:t>to do so too, for, deciding otherwise has the potential to make companies unreliable contracting parties or of depriving them of opportunities to enter into long-term</w:t>
      </w:r>
      <w:r>
        <w:rPr>
          <w:spacing w:val="80"/>
        </w:rPr>
        <w:t> </w:t>
      </w:r>
      <w:r>
        <w:rPr/>
        <w:t>contracts which</w:t>
      </w:r>
      <w:r>
        <w:rPr>
          <w:spacing w:val="-1"/>
        </w:rPr>
        <w:t> </w:t>
      </w:r>
      <w:r>
        <w:rPr/>
        <w:t>would be to their benefit.</w:t>
      </w:r>
      <w:r>
        <w:rPr>
          <w:vertAlign w:val="superscript"/>
        </w:rPr>
        <w:t>236</w:t>
      </w:r>
      <w:r>
        <w:rPr>
          <w:vertAlign w:val="baseline"/>
        </w:rPr>
        <w:t> This may be the case, for example, where a company‘s</w:t>
      </w:r>
      <w:r>
        <w:rPr>
          <w:spacing w:val="-1"/>
          <w:vertAlign w:val="baseline"/>
        </w:rPr>
        <w:t> </w:t>
      </w:r>
      <w:r>
        <w:rPr>
          <w:vertAlign w:val="baseline"/>
        </w:rPr>
        <w:t>prospective creditor</w:t>
      </w:r>
      <w:r>
        <w:rPr>
          <w:spacing w:val="-1"/>
          <w:vertAlign w:val="baseline"/>
        </w:rPr>
        <w:t> </w:t>
      </w:r>
      <w:r>
        <w:rPr>
          <w:vertAlign w:val="baseline"/>
        </w:rPr>
        <w:t>requires</w:t>
      </w:r>
      <w:r>
        <w:rPr>
          <w:spacing w:val="-1"/>
          <w:vertAlign w:val="baseline"/>
        </w:rPr>
        <w:t> </w:t>
      </w:r>
      <w:r>
        <w:rPr>
          <w:vertAlign w:val="baseline"/>
        </w:rPr>
        <w:t>a resolution</w:t>
      </w:r>
      <w:r>
        <w:rPr>
          <w:spacing w:val="-3"/>
          <w:vertAlign w:val="baseline"/>
        </w:rPr>
        <w:t> </w:t>
      </w:r>
      <w:r>
        <w:rPr>
          <w:vertAlign w:val="baseline"/>
        </w:rPr>
        <w:t>of</w:t>
      </w:r>
      <w:r>
        <w:rPr>
          <w:spacing w:val="-6"/>
          <w:vertAlign w:val="baseline"/>
        </w:rPr>
        <w:t> </w:t>
      </w:r>
      <w:r>
        <w:rPr>
          <w:vertAlign w:val="baseline"/>
        </w:rPr>
        <w:t>the company‘s board</w:t>
      </w:r>
      <w:r>
        <w:rPr>
          <w:spacing w:val="-3"/>
          <w:vertAlign w:val="baseline"/>
        </w:rPr>
        <w:t> </w:t>
      </w:r>
      <w:r>
        <w:rPr>
          <w:vertAlign w:val="baseline"/>
        </w:rPr>
        <w:t>of</w:t>
      </w:r>
      <w:r>
        <w:rPr>
          <w:spacing w:val="-6"/>
          <w:vertAlign w:val="baseline"/>
        </w:rPr>
        <w:t> </w:t>
      </w:r>
      <w:r>
        <w:rPr>
          <w:vertAlign w:val="baseline"/>
        </w:rPr>
        <w:t>directors to desist from causing the company to incur future debt liabilities, until the proposed</w:t>
      </w:r>
      <w:r>
        <w:rPr>
          <w:spacing w:val="40"/>
          <w:vertAlign w:val="baseline"/>
        </w:rPr>
        <w:t> </w:t>
      </w:r>
      <w:r>
        <w:rPr>
          <w:vertAlign w:val="baseline"/>
        </w:rPr>
        <w:t>loan is repaid, before he/it would agree to give the loan.</w:t>
      </w:r>
    </w:p>
    <w:p>
      <w:pPr>
        <w:pStyle w:val="Heading2"/>
        <w:numPr>
          <w:ilvl w:val="1"/>
          <w:numId w:val="12"/>
        </w:numPr>
        <w:tabs>
          <w:tab w:pos="1748" w:val="left" w:leader="none"/>
        </w:tabs>
        <w:spacing w:line="240" w:lineRule="auto" w:before="209" w:after="0"/>
        <w:ind w:left="1748" w:right="0" w:hanging="1440"/>
        <w:jc w:val="both"/>
      </w:pPr>
      <w:bookmarkStart w:name="_TOC_250026" w:id="26"/>
      <w:r>
        <w:rPr/>
        <w:t>Duty</w:t>
      </w:r>
      <w:r>
        <w:rPr>
          <w:spacing w:val="-3"/>
        </w:rPr>
        <w:t> </w:t>
      </w:r>
      <w:r>
        <w:rPr/>
        <w:t>not</w:t>
      </w:r>
      <w:r>
        <w:rPr>
          <w:spacing w:val="1"/>
        </w:rPr>
        <w:t> </w:t>
      </w:r>
      <w:r>
        <w:rPr/>
        <w:t>to</w:t>
      </w:r>
      <w:r>
        <w:rPr>
          <w:spacing w:val="-5"/>
        </w:rPr>
        <w:t> </w:t>
      </w:r>
      <w:r>
        <w:rPr/>
        <w:t>Allow</w:t>
      </w:r>
      <w:r>
        <w:rPr>
          <w:spacing w:val="-2"/>
        </w:rPr>
        <w:t> </w:t>
      </w:r>
      <w:r>
        <w:rPr/>
        <w:t>Duty</w:t>
      </w:r>
      <w:r>
        <w:rPr>
          <w:spacing w:val="3"/>
        </w:rPr>
        <w:t> </w:t>
      </w:r>
      <w:r>
        <w:rPr/>
        <w:t>to</w:t>
      </w:r>
      <w:r>
        <w:rPr>
          <w:spacing w:val="-1"/>
        </w:rPr>
        <w:t> </w:t>
      </w:r>
      <w:r>
        <w:rPr/>
        <w:t>Conflict</w:t>
      </w:r>
      <w:r>
        <w:rPr>
          <w:spacing w:val="1"/>
        </w:rPr>
        <w:t> </w:t>
      </w:r>
      <w:r>
        <w:rPr/>
        <w:t>with</w:t>
      </w:r>
      <w:r>
        <w:rPr>
          <w:spacing w:val="-4"/>
        </w:rPr>
        <w:t> </w:t>
      </w:r>
      <w:r>
        <w:rPr/>
        <w:t>Personal</w:t>
      </w:r>
      <w:r>
        <w:rPr>
          <w:spacing w:val="-5"/>
        </w:rPr>
        <w:t> </w:t>
      </w:r>
      <w:bookmarkEnd w:id="26"/>
      <w:r>
        <w:rPr>
          <w:spacing w:val="-2"/>
        </w:rPr>
        <w:t>Interest</w:t>
      </w:r>
    </w:p>
    <w:p>
      <w:pPr>
        <w:pStyle w:val="BodyText"/>
        <w:spacing w:line="480" w:lineRule="auto" w:before="132"/>
        <w:ind w:right="181"/>
        <w:jc w:val="both"/>
      </w:pPr>
      <w:r>
        <w:rPr/>
        <w:t>The director of a company, being a fiduciary, is bound by the usual rules applying to fiduciaries generally, including the rule against using the opportunities gained by virtue of the office he holds, for his personal benefit. He must thus avoid a situation whereby his fiduciary</w:t>
      </w:r>
      <w:r>
        <w:rPr>
          <w:spacing w:val="-9"/>
        </w:rPr>
        <w:t> </w:t>
      </w:r>
      <w:r>
        <w:rPr/>
        <w:t>duty</w:t>
      </w:r>
      <w:r>
        <w:rPr>
          <w:spacing w:val="-9"/>
        </w:rPr>
        <w:t> </w:t>
      </w:r>
      <w:r>
        <w:rPr/>
        <w:t>to the</w:t>
      </w:r>
      <w:r>
        <w:rPr>
          <w:spacing w:val="-1"/>
        </w:rPr>
        <w:t> </w:t>
      </w:r>
      <w:r>
        <w:rPr/>
        <w:t>company</w:t>
      </w:r>
      <w:r>
        <w:rPr>
          <w:spacing w:val="-5"/>
        </w:rPr>
        <w:t> </w:t>
      </w:r>
      <w:r>
        <w:rPr/>
        <w:t>conflicts</w:t>
      </w:r>
      <w:r>
        <w:rPr>
          <w:spacing w:val="-2"/>
        </w:rPr>
        <w:t> </w:t>
      </w:r>
      <w:r>
        <w:rPr/>
        <w:t>with</w:t>
      </w:r>
      <w:r>
        <w:rPr>
          <w:spacing w:val="-5"/>
        </w:rPr>
        <w:t> </w:t>
      </w:r>
      <w:r>
        <w:rPr/>
        <w:t>any</w:t>
      </w:r>
      <w:r>
        <w:rPr>
          <w:spacing w:val="-5"/>
        </w:rPr>
        <w:t> </w:t>
      </w:r>
      <w:r>
        <w:rPr/>
        <w:t>personal interest. The idea is</w:t>
      </w:r>
      <w:r>
        <w:rPr>
          <w:spacing w:val="-2"/>
        </w:rPr>
        <w:t> </w:t>
      </w:r>
      <w:r>
        <w:rPr/>
        <w:t>that he must not make any profit out of his position in the company beyond his agreed remuneration, without the consent of the company.</w:t>
      </w:r>
      <w:r>
        <w:rPr>
          <w:vertAlign w:val="superscript"/>
        </w:rPr>
        <w:t>237</w:t>
      </w:r>
      <w:r>
        <w:rPr>
          <w:vertAlign w:val="baseline"/>
        </w:rPr>
        <w:t> The director‘s duty here broadly encompasses situations where he misuses the company‘s information or property; enters into contracts with the company; or receives any benefit from third parties by virtue of his office. The latter aspect will be the proper subject of the next sub-heading in this work. The first</w:t>
      </w:r>
      <w:r>
        <w:rPr>
          <w:spacing w:val="-1"/>
          <w:vertAlign w:val="baseline"/>
        </w:rPr>
        <w:t> </w:t>
      </w:r>
      <w:r>
        <w:rPr>
          <w:vertAlign w:val="baseline"/>
        </w:rPr>
        <w:t>two will form</w:t>
      </w:r>
      <w:r>
        <w:rPr>
          <w:spacing w:val="-10"/>
          <w:vertAlign w:val="baseline"/>
        </w:rPr>
        <w:t> </w:t>
      </w:r>
      <w:r>
        <w:rPr>
          <w:vertAlign w:val="baseline"/>
        </w:rPr>
        <w:t>the subject under discussion</w:t>
      </w:r>
      <w:r>
        <w:rPr>
          <w:spacing w:val="-1"/>
          <w:vertAlign w:val="baseline"/>
        </w:rPr>
        <w:t> </w:t>
      </w:r>
      <w:r>
        <w:rPr>
          <w:vertAlign w:val="baseline"/>
        </w:rPr>
        <w:t>here. The</w:t>
      </w:r>
      <w:r>
        <w:rPr>
          <w:spacing w:val="-2"/>
          <w:vertAlign w:val="baseline"/>
        </w:rPr>
        <w:t> </w:t>
      </w:r>
      <w:r>
        <w:rPr>
          <w:vertAlign w:val="baseline"/>
        </w:rPr>
        <w:t>principles</w:t>
      </w:r>
      <w:r>
        <w:rPr>
          <w:spacing w:val="-3"/>
          <w:vertAlign w:val="baseline"/>
        </w:rPr>
        <w:t> </w:t>
      </w:r>
      <w:r>
        <w:rPr>
          <w:vertAlign w:val="baseline"/>
        </w:rPr>
        <w:t>are</w:t>
      </w:r>
      <w:r>
        <w:rPr>
          <w:spacing w:val="-2"/>
          <w:vertAlign w:val="baseline"/>
        </w:rPr>
        <w:t> </w:t>
      </w:r>
      <w:r>
        <w:rPr>
          <w:vertAlign w:val="baseline"/>
        </w:rPr>
        <w:t>partly codified in s. 280 thus:</w:t>
      </w:r>
    </w:p>
    <w:p>
      <w:pPr>
        <w:pStyle w:val="BodyText"/>
        <w:spacing w:before="3"/>
        <w:ind w:left="0"/>
        <w:rPr>
          <w:sz w:val="6"/>
        </w:rPr>
      </w:pPr>
      <w:r>
        <w:rPr/>
        <mc:AlternateContent>
          <mc:Choice Requires="wps">
            <w:drawing>
              <wp:anchor distT="0" distB="0" distL="0" distR="0" allowOverlap="1" layoutInCell="1" locked="0" behindDoc="1" simplePos="0" relativeHeight="487663616">
                <wp:simplePos x="0" y="0"/>
                <wp:positionH relativeFrom="page">
                  <wp:posOffset>1262481</wp:posOffset>
                </wp:positionH>
                <wp:positionV relativeFrom="paragraph">
                  <wp:posOffset>61532</wp:posOffset>
                </wp:positionV>
                <wp:extent cx="1829435" cy="9525"/>
                <wp:effectExtent l="0" t="0" r="0" b="0"/>
                <wp:wrapTopAndBottom/>
                <wp:docPr id="164" name="Graphic 164"/>
                <wp:cNvGraphicFramePr>
                  <a:graphicFrameLocks/>
                </wp:cNvGraphicFramePr>
                <a:graphic>
                  <a:graphicData uri="http://schemas.microsoft.com/office/word/2010/wordprocessingShape">
                    <wps:wsp>
                      <wps:cNvPr id="164" name="Graphic 16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4.845108pt;width:144.050pt;height:.71997pt;mso-position-horizontal-relative:page;mso-position-vertical-relative:paragraph;z-index:-15652864;mso-wrap-distance-left:0;mso-wrap-distance-right:0" id="docshape11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236</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7"/>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S.op.cit.at</w:t>
      </w:r>
      <w:r>
        <w:rPr>
          <w:rFonts w:ascii="Calibri"/>
          <w:spacing w:val="-3"/>
          <w:sz w:val="20"/>
          <w:vertAlign w:val="baseline"/>
        </w:rPr>
        <w:t> </w:t>
      </w:r>
      <w:r>
        <w:rPr>
          <w:rFonts w:ascii="Calibri"/>
          <w:spacing w:val="-4"/>
          <w:sz w:val="20"/>
          <w:vertAlign w:val="baseline"/>
        </w:rPr>
        <w:t>538.</w:t>
      </w:r>
    </w:p>
    <w:p>
      <w:pPr>
        <w:spacing w:before="1"/>
        <w:ind w:left="308" w:right="0" w:firstLine="0"/>
        <w:jc w:val="left"/>
        <w:rPr>
          <w:rFonts w:ascii="Calibri"/>
          <w:sz w:val="20"/>
        </w:rPr>
      </w:pPr>
      <w:r>
        <w:rPr>
          <w:rFonts w:ascii="Calibri"/>
          <w:sz w:val="20"/>
          <w:vertAlign w:val="superscript"/>
        </w:rPr>
        <w:t>237</w:t>
      </w:r>
      <w:r>
        <w:rPr>
          <w:rFonts w:ascii="Calibri"/>
          <w:i/>
          <w:sz w:val="20"/>
          <w:vertAlign w:val="baseline"/>
        </w:rPr>
        <w:t>Boston</w:t>
      </w:r>
      <w:r>
        <w:rPr>
          <w:rFonts w:ascii="Calibri"/>
          <w:i/>
          <w:spacing w:val="-5"/>
          <w:sz w:val="20"/>
          <w:vertAlign w:val="baseline"/>
        </w:rPr>
        <w:t> </w:t>
      </w:r>
      <w:r>
        <w:rPr>
          <w:rFonts w:ascii="Calibri"/>
          <w:i/>
          <w:sz w:val="20"/>
          <w:vertAlign w:val="baseline"/>
        </w:rPr>
        <w:t>Deep</w:t>
      </w:r>
      <w:r>
        <w:rPr>
          <w:rFonts w:ascii="Calibri"/>
          <w:i/>
          <w:spacing w:val="-1"/>
          <w:sz w:val="20"/>
          <w:vertAlign w:val="baseline"/>
        </w:rPr>
        <w:t> </w:t>
      </w:r>
      <w:r>
        <w:rPr>
          <w:rFonts w:ascii="Calibri"/>
          <w:i/>
          <w:sz w:val="20"/>
          <w:vertAlign w:val="baseline"/>
        </w:rPr>
        <w:t>Sea</w:t>
      </w:r>
      <w:r>
        <w:rPr>
          <w:rFonts w:ascii="Calibri"/>
          <w:i/>
          <w:spacing w:val="-4"/>
          <w:sz w:val="20"/>
          <w:vertAlign w:val="baseline"/>
        </w:rPr>
        <w:t> </w:t>
      </w:r>
      <w:r>
        <w:rPr>
          <w:rFonts w:ascii="Calibri"/>
          <w:i/>
          <w:sz w:val="20"/>
          <w:vertAlign w:val="baseline"/>
        </w:rPr>
        <w:t>Fishing</w:t>
      </w:r>
      <w:r>
        <w:rPr>
          <w:rFonts w:ascii="Calibri"/>
          <w:i/>
          <w:spacing w:val="-5"/>
          <w:sz w:val="20"/>
          <w:vertAlign w:val="baseline"/>
        </w:rPr>
        <w:t> </w:t>
      </w:r>
      <w:r>
        <w:rPr>
          <w:rFonts w:ascii="Calibri"/>
          <w:i/>
          <w:sz w:val="20"/>
          <w:vertAlign w:val="baseline"/>
        </w:rPr>
        <w:t>and</w:t>
      </w:r>
      <w:r>
        <w:rPr>
          <w:rFonts w:ascii="Calibri"/>
          <w:i/>
          <w:spacing w:val="-5"/>
          <w:sz w:val="20"/>
          <w:vertAlign w:val="baseline"/>
        </w:rPr>
        <w:t> </w:t>
      </w:r>
      <w:r>
        <w:rPr>
          <w:rFonts w:ascii="Calibri"/>
          <w:i/>
          <w:sz w:val="20"/>
          <w:vertAlign w:val="baseline"/>
        </w:rPr>
        <w:t>Ice</w:t>
      </w:r>
      <w:r>
        <w:rPr>
          <w:rFonts w:ascii="Calibri"/>
          <w:i/>
          <w:spacing w:val="-7"/>
          <w:sz w:val="20"/>
          <w:vertAlign w:val="baseline"/>
        </w:rPr>
        <w:t> </w:t>
      </w:r>
      <w:r>
        <w:rPr>
          <w:rFonts w:ascii="Calibri"/>
          <w:i/>
          <w:sz w:val="20"/>
          <w:vertAlign w:val="baseline"/>
        </w:rPr>
        <w:t>Co.</w:t>
      </w:r>
      <w:r>
        <w:rPr>
          <w:rFonts w:ascii="Calibri"/>
          <w:i/>
          <w:spacing w:val="-5"/>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Ansell</w:t>
      </w:r>
      <w:r>
        <w:rPr>
          <w:rFonts w:ascii="Calibri"/>
          <w:i/>
          <w:spacing w:val="-4"/>
          <w:sz w:val="20"/>
          <w:vertAlign w:val="baseline"/>
        </w:rPr>
        <w:t> </w:t>
      </w:r>
      <w:r>
        <w:rPr>
          <w:rFonts w:ascii="Calibri"/>
          <w:sz w:val="20"/>
          <w:vertAlign w:val="baseline"/>
        </w:rPr>
        <w:t>(1888)</w:t>
      </w:r>
      <w:r>
        <w:rPr>
          <w:rFonts w:ascii="Calibri"/>
          <w:spacing w:val="-5"/>
          <w:sz w:val="20"/>
          <w:vertAlign w:val="baseline"/>
        </w:rPr>
        <w:t> </w:t>
      </w:r>
      <w:r>
        <w:rPr>
          <w:rFonts w:ascii="Calibri"/>
          <w:sz w:val="20"/>
          <w:vertAlign w:val="baseline"/>
        </w:rPr>
        <w:t>39</w:t>
      </w:r>
      <w:r>
        <w:rPr>
          <w:rFonts w:ascii="Calibri"/>
          <w:spacing w:val="-3"/>
          <w:sz w:val="20"/>
          <w:vertAlign w:val="baseline"/>
        </w:rPr>
        <w:t> </w:t>
      </w:r>
      <w:r>
        <w:rPr>
          <w:rFonts w:ascii="Calibri"/>
          <w:sz w:val="20"/>
          <w:vertAlign w:val="baseline"/>
        </w:rPr>
        <w:t>Ch.</w:t>
      </w:r>
      <w:r>
        <w:rPr>
          <w:rFonts w:ascii="Calibri"/>
          <w:spacing w:val="-10"/>
          <w:sz w:val="20"/>
          <w:vertAlign w:val="baseline"/>
        </w:rPr>
        <w:t> </w:t>
      </w:r>
      <w:r>
        <w:rPr>
          <w:rFonts w:ascii="Calibri"/>
          <w:sz w:val="20"/>
          <w:vertAlign w:val="baseline"/>
        </w:rPr>
        <w:t>D. 339</w:t>
      </w:r>
      <w:r>
        <w:rPr>
          <w:rFonts w:ascii="Calibri"/>
          <w:spacing w:val="-7"/>
          <w:sz w:val="20"/>
          <w:vertAlign w:val="baseline"/>
        </w:rPr>
        <w:t> </w:t>
      </w:r>
      <w:r>
        <w:rPr>
          <w:rFonts w:ascii="Calibri"/>
          <w:spacing w:val="-2"/>
          <w:sz w:val="20"/>
          <w:vertAlign w:val="baseline"/>
        </w:rPr>
        <w:t>(CA).</w:t>
      </w:r>
    </w:p>
    <w:p>
      <w:pPr>
        <w:spacing w:after="0"/>
        <w:jc w:val="left"/>
        <w:rPr>
          <w:rFonts w:ascii="Calibri"/>
          <w:sz w:val="20"/>
        </w:rPr>
        <w:sectPr>
          <w:pgSz w:w="11910" w:h="16840"/>
          <w:pgMar w:header="0" w:footer="1003" w:top="1320" w:bottom="1200" w:left="1680" w:right="1180"/>
        </w:sectPr>
      </w:pPr>
    </w:p>
    <w:p>
      <w:pPr>
        <w:pStyle w:val="ListParagraph"/>
        <w:numPr>
          <w:ilvl w:val="0"/>
          <w:numId w:val="14"/>
        </w:numPr>
        <w:tabs>
          <w:tab w:pos="2571" w:val="left" w:leader="none"/>
          <w:tab w:pos="2574" w:val="left" w:leader="none"/>
        </w:tabs>
        <w:spacing w:line="242" w:lineRule="auto" w:before="70" w:after="0"/>
        <w:ind w:left="2574" w:right="1366" w:hanging="567"/>
        <w:jc w:val="both"/>
        <w:rPr>
          <w:i/>
          <w:sz w:val="24"/>
        </w:rPr>
      </w:pPr>
      <w:r>
        <w:rPr>
          <w:i/>
          <w:sz w:val="24"/>
        </w:rPr>
        <w:t>The personal interest of a director shall not conflict with any of his duties as a director under this Act</w:t>
      </w:r>
    </w:p>
    <w:p>
      <w:pPr>
        <w:pStyle w:val="ListParagraph"/>
        <w:numPr>
          <w:ilvl w:val="0"/>
          <w:numId w:val="14"/>
        </w:numPr>
        <w:tabs>
          <w:tab w:pos="2571" w:val="left" w:leader="none"/>
        </w:tabs>
        <w:spacing w:line="271" w:lineRule="exact" w:before="0" w:after="0"/>
        <w:ind w:left="2571" w:right="0" w:hanging="564"/>
        <w:jc w:val="both"/>
        <w:rPr>
          <w:i/>
          <w:sz w:val="24"/>
        </w:rPr>
      </w:pPr>
      <w:r>
        <w:rPr>
          <w:i/>
          <w:sz w:val="24"/>
        </w:rPr>
        <w:t>A</w:t>
      </w:r>
      <w:r>
        <w:rPr>
          <w:i/>
          <w:spacing w:val="1"/>
          <w:sz w:val="24"/>
        </w:rPr>
        <w:t> </w:t>
      </w:r>
      <w:r>
        <w:rPr>
          <w:i/>
          <w:sz w:val="24"/>
        </w:rPr>
        <w:t>director</w:t>
      </w:r>
      <w:r>
        <w:rPr>
          <w:i/>
          <w:spacing w:val="-2"/>
          <w:sz w:val="24"/>
        </w:rPr>
        <w:t> </w:t>
      </w:r>
      <w:r>
        <w:rPr>
          <w:i/>
          <w:sz w:val="24"/>
        </w:rPr>
        <w:t>shall </w:t>
      </w:r>
      <w:r>
        <w:rPr>
          <w:i/>
          <w:spacing w:val="-5"/>
          <w:sz w:val="24"/>
        </w:rPr>
        <w:t>not</w:t>
      </w:r>
    </w:p>
    <w:p>
      <w:pPr>
        <w:pStyle w:val="ListParagraph"/>
        <w:numPr>
          <w:ilvl w:val="1"/>
          <w:numId w:val="14"/>
        </w:numPr>
        <w:tabs>
          <w:tab w:pos="3187" w:val="left" w:leader="none"/>
        </w:tabs>
        <w:spacing w:line="240" w:lineRule="auto" w:before="2" w:after="0"/>
        <w:ind w:left="2574" w:right="1363" w:firstLine="0"/>
        <w:jc w:val="both"/>
        <w:rPr>
          <w:i/>
          <w:sz w:val="24"/>
        </w:rPr>
      </w:pPr>
      <w:r>
        <w:rPr>
          <w:i/>
          <w:sz w:val="24"/>
        </w:rPr>
        <w:t>in the course of management of affairs of the company; or</w:t>
      </w:r>
    </w:p>
    <w:p>
      <w:pPr>
        <w:pStyle w:val="ListParagraph"/>
        <w:numPr>
          <w:ilvl w:val="1"/>
          <w:numId w:val="14"/>
        </w:numPr>
        <w:tabs>
          <w:tab w:pos="3187" w:val="left" w:leader="none"/>
        </w:tabs>
        <w:spacing w:line="240" w:lineRule="auto" w:before="1" w:after="0"/>
        <w:ind w:left="2574" w:right="1364" w:firstLine="0"/>
        <w:jc w:val="both"/>
        <w:rPr>
          <w:i/>
          <w:sz w:val="24"/>
        </w:rPr>
      </w:pPr>
      <w:r>
        <w:rPr>
          <w:i/>
          <w:sz w:val="24"/>
        </w:rPr>
        <w:t>in the utilisation of the company‘s property, make any secret profit or achieve other unnecessary </w:t>
      </w:r>
      <w:r>
        <w:rPr>
          <w:i/>
          <w:spacing w:val="-2"/>
          <w:sz w:val="24"/>
        </w:rPr>
        <w:t>benefits.</w:t>
      </w:r>
    </w:p>
    <w:p>
      <w:pPr>
        <w:pStyle w:val="ListParagraph"/>
        <w:numPr>
          <w:ilvl w:val="0"/>
          <w:numId w:val="14"/>
        </w:numPr>
        <w:tabs>
          <w:tab w:pos="2571" w:val="left" w:leader="none"/>
          <w:tab w:pos="2574" w:val="left" w:leader="none"/>
        </w:tabs>
        <w:spacing w:line="240" w:lineRule="auto" w:before="0" w:after="0"/>
        <w:ind w:left="2574" w:right="1366" w:hanging="567"/>
        <w:jc w:val="both"/>
        <w:rPr>
          <w:i/>
          <w:sz w:val="24"/>
        </w:rPr>
      </w:pPr>
      <w:r>
        <w:rPr>
          <w:i/>
          <w:sz w:val="24"/>
        </w:rPr>
        <w:t>A director shall be accountable to the company for any secret profit made by him or any unnecessary benefit derived by him contrary to the provisions of subsection (2) of this section.</w:t>
      </w:r>
    </w:p>
    <w:p>
      <w:pPr>
        <w:pStyle w:val="ListParagraph"/>
        <w:numPr>
          <w:ilvl w:val="0"/>
          <w:numId w:val="14"/>
        </w:numPr>
        <w:tabs>
          <w:tab w:pos="2571" w:val="left" w:leader="none"/>
          <w:tab w:pos="2574" w:val="left" w:leader="none"/>
        </w:tabs>
        <w:spacing w:line="240" w:lineRule="auto" w:before="0" w:after="0"/>
        <w:ind w:left="2574" w:right="1365" w:hanging="567"/>
        <w:jc w:val="both"/>
        <w:rPr>
          <w:i/>
          <w:sz w:val="24"/>
        </w:rPr>
      </w:pPr>
      <w:r>
        <w:rPr>
          <w:i/>
          <w:sz w:val="24"/>
        </w:rPr>
        <w:t>The inability or unwillingness of the company to perform any functions or duties under its articles</w:t>
      </w:r>
      <w:r>
        <w:rPr>
          <w:i/>
          <w:spacing w:val="40"/>
          <w:sz w:val="24"/>
        </w:rPr>
        <w:t> </w:t>
      </w:r>
      <w:r>
        <w:rPr>
          <w:i/>
          <w:sz w:val="24"/>
        </w:rPr>
        <w:t>and memorandum shall not constitute a defence to any breach of duty of a director under this Act.</w:t>
      </w:r>
    </w:p>
    <w:p>
      <w:pPr>
        <w:pStyle w:val="ListParagraph"/>
        <w:numPr>
          <w:ilvl w:val="0"/>
          <w:numId w:val="14"/>
        </w:numPr>
        <w:tabs>
          <w:tab w:pos="2571" w:val="left" w:leader="none"/>
          <w:tab w:pos="2574" w:val="left" w:leader="none"/>
        </w:tabs>
        <w:spacing w:line="240" w:lineRule="auto" w:before="0" w:after="0"/>
        <w:ind w:left="2574" w:right="1363" w:hanging="567"/>
        <w:jc w:val="both"/>
        <w:rPr>
          <w:i/>
          <w:sz w:val="24"/>
        </w:rPr>
      </w:pPr>
      <w:r>
        <w:rPr>
          <w:i/>
          <w:sz w:val="24"/>
        </w:rPr>
        <w:t>the duty not to misuse corporate information shall not cease by a director or</w:t>
      </w:r>
      <w:r>
        <w:rPr>
          <w:i/>
          <w:spacing w:val="-1"/>
          <w:sz w:val="24"/>
        </w:rPr>
        <w:t> </w:t>
      </w:r>
      <w:r>
        <w:rPr>
          <w:i/>
          <w:sz w:val="24"/>
        </w:rPr>
        <w:t>an officer having resigned from the company and he shall be accountable and can</w:t>
      </w:r>
      <w:r>
        <w:rPr>
          <w:i/>
          <w:spacing w:val="-1"/>
          <w:sz w:val="24"/>
        </w:rPr>
        <w:t> </w:t>
      </w:r>
      <w:r>
        <w:rPr>
          <w:i/>
          <w:sz w:val="24"/>
        </w:rPr>
        <w:t>be</w:t>
      </w:r>
      <w:r>
        <w:rPr>
          <w:i/>
          <w:spacing w:val="-2"/>
          <w:sz w:val="24"/>
        </w:rPr>
        <w:t> </w:t>
      </w:r>
      <w:r>
        <w:rPr>
          <w:i/>
          <w:sz w:val="24"/>
        </w:rPr>
        <w:t>restrained</w:t>
      </w:r>
      <w:r>
        <w:rPr>
          <w:i/>
          <w:spacing w:val="-2"/>
          <w:sz w:val="24"/>
        </w:rPr>
        <w:t> </w:t>
      </w:r>
      <w:r>
        <w:rPr>
          <w:i/>
          <w:sz w:val="24"/>
        </w:rPr>
        <w:t>by an</w:t>
      </w:r>
      <w:r>
        <w:rPr>
          <w:i/>
          <w:spacing w:val="-1"/>
          <w:sz w:val="24"/>
        </w:rPr>
        <w:t> </w:t>
      </w:r>
      <w:r>
        <w:rPr>
          <w:i/>
          <w:sz w:val="24"/>
        </w:rPr>
        <w:t>injunction</w:t>
      </w:r>
      <w:r>
        <w:rPr>
          <w:i/>
          <w:spacing w:val="-1"/>
          <w:sz w:val="24"/>
        </w:rPr>
        <w:t> </w:t>
      </w:r>
      <w:r>
        <w:rPr>
          <w:i/>
          <w:sz w:val="24"/>
        </w:rPr>
        <w:t>from</w:t>
      </w:r>
      <w:r>
        <w:rPr>
          <w:i/>
          <w:spacing w:val="-2"/>
          <w:sz w:val="24"/>
        </w:rPr>
        <w:t> </w:t>
      </w:r>
      <w:r>
        <w:rPr>
          <w:i/>
          <w:sz w:val="24"/>
        </w:rPr>
        <w:t>misusing</w:t>
      </w:r>
      <w:r>
        <w:rPr>
          <w:i/>
          <w:spacing w:val="-1"/>
          <w:sz w:val="24"/>
        </w:rPr>
        <w:t> </w:t>
      </w:r>
      <w:r>
        <w:rPr>
          <w:i/>
          <w:sz w:val="24"/>
        </w:rPr>
        <w:t>the information received by virtue of his previous </w:t>
      </w:r>
      <w:r>
        <w:rPr>
          <w:i/>
          <w:spacing w:val="-2"/>
          <w:sz w:val="24"/>
        </w:rPr>
        <w:t>position.</w:t>
      </w:r>
    </w:p>
    <w:p>
      <w:pPr>
        <w:pStyle w:val="ListParagraph"/>
        <w:numPr>
          <w:ilvl w:val="0"/>
          <w:numId w:val="14"/>
        </w:numPr>
        <w:tabs>
          <w:tab w:pos="2571" w:val="left" w:leader="none"/>
          <w:tab w:pos="2574" w:val="left" w:leader="none"/>
        </w:tabs>
        <w:spacing w:line="240" w:lineRule="auto" w:before="0" w:after="0"/>
        <w:ind w:left="2574" w:right="1365" w:hanging="567"/>
        <w:jc w:val="both"/>
        <w:rPr>
          <w:i/>
          <w:sz w:val="24"/>
        </w:rPr>
      </w:pPr>
      <w:r>
        <w:rPr>
          <w:i/>
          <w:sz w:val="24"/>
        </w:rPr>
        <w:t>where a director discloses his interests before the transaction and before the secret profits are made before the general meeting, which may or may not authorise any resulting profits, he may escape liability, but he shall not escape liability if he discloses only after he has made the secret profits, and in this case, he shall account for the profits.</w:t>
      </w:r>
    </w:p>
    <w:p>
      <w:pPr>
        <w:pStyle w:val="BodyText"/>
        <w:spacing w:line="480" w:lineRule="auto" w:before="276"/>
        <w:ind w:right="182" w:firstLine="720"/>
        <w:jc w:val="both"/>
      </w:pPr>
      <w:r>
        <w:rPr/>
        <w:t>On a careful analysis of the above provisions, it can be discovered, firstly, that the diction used in subsection (1), in particular, ―shall not‖ is rather inappropriate— considering the fact that the mind of</w:t>
      </w:r>
      <w:r>
        <w:rPr>
          <w:spacing w:val="-3"/>
        </w:rPr>
        <w:t> </w:t>
      </w:r>
      <w:r>
        <w:rPr/>
        <w:t>the director is not something that can be controlled by the law—and amounts to a mere </w:t>
      </w:r>
      <w:r>
        <w:rPr>
          <w:i/>
        </w:rPr>
        <w:t>positive statement </w:t>
      </w:r>
      <w:r>
        <w:rPr/>
        <w:t>at best. A more appropriate</w:t>
      </w:r>
      <w:r>
        <w:rPr>
          <w:spacing w:val="40"/>
        </w:rPr>
        <w:t> </w:t>
      </w:r>
      <w:r>
        <w:rPr/>
        <w:t>choice of words could have been ―must not‖ which is in the tone of an obligation and more emphatic; presumably what the law intends.</w:t>
      </w:r>
      <w:r>
        <w:rPr>
          <w:vertAlign w:val="superscript"/>
        </w:rPr>
        <w:t>238</w:t>
      </w:r>
    </w:p>
    <w:p>
      <w:pPr>
        <w:pStyle w:val="BodyText"/>
        <w:spacing w:line="480" w:lineRule="auto" w:before="1"/>
        <w:ind w:right="196" w:firstLine="720"/>
        <w:jc w:val="both"/>
      </w:pPr>
      <w:r>
        <w:rPr/>
        <w:t>Secondly, s.280(1) is couched in general terms and, without acknowledging exceptions, seems</w:t>
      </w:r>
      <w:r>
        <w:rPr>
          <w:spacing w:val="-1"/>
        </w:rPr>
        <w:t> </w:t>
      </w:r>
      <w:r>
        <w:rPr/>
        <w:t>to neglect the fact that s.277 before it allows</w:t>
      </w:r>
      <w:r>
        <w:rPr>
          <w:spacing w:val="-1"/>
        </w:rPr>
        <w:t> </w:t>
      </w:r>
      <w:r>
        <w:rPr/>
        <w:t>conflict of</w:t>
      </w:r>
      <w:r>
        <w:rPr>
          <w:spacing w:val="-2"/>
        </w:rPr>
        <w:t> </w:t>
      </w:r>
      <w:r>
        <w:rPr/>
        <w:t>interest when the</w:t>
      </w:r>
      <w:r>
        <w:rPr>
          <w:spacing w:val="44"/>
        </w:rPr>
        <w:t> </w:t>
      </w:r>
      <w:r>
        <w:rPr/>
        <w:t>director</w:t>
      </w:r>
      <w:r>
        <w:rPr>
          <w:spacing w:val="48"/>
        </w:rPr>
        <w:t> </w:t>
      </w:r>
      <w:r>
        <w:rPr/>
        <w:t>contracts</w:t>
      </w:r>
      <w:r>
        <w:rPr>
          <w:spacing w:val="46"/>
        </w:rPr>
        <w:t> </w:t>
      </w:r>
      <w:r>
        <w:rPr/>
        <w:t>with</w:t>
      </w:r>
      <w:r>
        <w:rPr>
          <w:spacing w:val="43"/>
        </w:rPr>
        <w:t> </w:t>
      </w:r>
      <w:r>
        <w:rPr/>
        <w:t>the</w:t>
      </w:r>
      <w:r>
        <w:rPr>
          <w:spacing w:val="46"/>
        </w:rPr>
        <w:t> </w:t>
      </w:r>
      <w:r>
        <w:rPr/>
        <w:t>company.</w:t>
      </w:r>
      <w:r>
        <w:rPr>
          <w:spacing w:val="49"/>
        </w:rPr>
        <w:t> </w:t>
      </w:r>
      <w:r>
        <w:rPr/>
        <w:t>If</w:t>
      </w:r>
      <w:r>
        <w:rPr>
          <w:spacing w:val="40"/>
        </w:rPr>
        <w:t> </w:t>
      </w:r>
      <w:r>
        <w:rPr/>
        <w:t>the</w:t>
      </w:r>
      <w:r>
        <w:rPr>
          <w:spacing w:val="47"/>
        </w:rPr>
        <w:t> </w:t>
      </w:r>
      <w:r>
        <w:rPr/>
        <w:t>subsection</w:t>
      </w:r>
      <w:r>
        <w:rPr>
          <w:spacing w:val="47"/>
        </w:rPr>
        <w:t> </w:t>
      </w:r>
      <w:r>
        <w:rPr/>
        <w:t>had</w:t>
      </w:r>
      <w:r>
        <w:rPr>
          <w:spacing w:val="47"/>
        </w:rPr>
        <w:t> </w:t>
      </w:r>
      <w:r>
        <w:rPr/>
        <w:t>clearly</w:t>
      </w:r>
      <w:r>
        <w:rPr>
          <w:spacing w:val="43"/>
        </w:rPr>
        <w:t> </w:t>
      </w:r>
      <w:r>
        <w:rPr/>
        <w:t>identified</w:t>
      </w:r>
      <w:r>
        <w:rPr>
          <w:spacing w:val="48"/>
        </w:rPr>
        <w:t> </w:t>
      </w:r>
      <w:r>
        <w:rPr>
          <w:spacing w:val="-5"/>
        </w:rPr>
        <w:t>the</w:t>
      </w:r>
    </w:p>
    <w:p>
      <w:pPr>
        <w:pStyle w:val="BodyText"/>
        <w:spacing w:before="148"/>
        <w:ind w:left="0"/>
        <w:rPr>
          <w:sz w:val="20"/>
        </w:rPr>
      </w:pPr>
      <w:r>
        <w:rPr/>
        <mc:AlternateContent>
          <mc:Choice Requires="wps">
            <w:drawing>
              <wp:anchor distT="0" distB="0" distL="0" distR="0" allowOverlap="1" layoutInCell="1" locked="0" behindDoc="1" simplePos="0" relativeHeight="487664128">
                <wp:simplePos x="0" y="0"/>
                <wp:positionH relativeFrom="page">
                  <wp:posOffset>1262481</wp:posOffset>
                </wp:positionH>
                <wp:positionV relativeFrom="paragraph">
                  <wp:posOffset>255635</wp:posOffset>
                </wp:positionV>
                <wp:extent cx="1829435" cy="9525"/>
                <wp:effectExtent l="0" t="0" r="0" b="0"/>
                <wp:wrapTopAndBottom/>
                <wp:docPr id="165" name="Graphic 165"/>
                <wp:cNvGraphicFramePr>
                  <a:graphicFrameLocks/>
                </wp:cNvGraphicFramePr>
                <a:graphic>
                  <a:graphicData uri="http://schemas.microsoft.com/office/word/2010/wordprocessingShape">
                    <wps:wsp>
                      <wps:cNvPr id="165" name="Graphic 16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28788pt;width:144.050pt;height:.71997pt;mso-position-horizontal-relative:page;mso-position-vertical-relative:paragraph;z-index:-15652352;mso-wrap-distance-left:0;mso-wrap-distance-right:0" id="docshape12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238</w:t>
      </w:r>
      <w:r>
        <w:rPr>
          <w:rFonts w:ascii="Calibri"/>
          <w:spacing w:val="1"/>
          <w:sz w:val="20"/>
          <w:vertAlign w:val="baseline"/>
        </w:rPr>
        <w:t> </w:t>
      </w:r>
      <w:r>
        <w:rPr>
          <w:rFonts w:ascii="Calibri"/>
          <w:sz w:val="20"/>
          <w:vertAlign w:val="baseline"/>
        </w:rPr>
        <w:t>Refer</w:t>
      </w:r>
      <w:r>
        <w:rPr>
          <w:rFonts w:ascii="Calibri"/>
          <w:spacing w:val="-2"/>
          <w:sz w:val="20"/>
          <w:vertAlign w:val="baseline"/>
        </w:rPr>
        <w:t> </w:t>
      </w:r>
      <w:r>
        <w:rPr>
          <w:rFonts w:ascii="Calibri"/>
          <w:sz w:val="20"/>
          <w:vertAlign w:val="baseline"/>
        </w:rPr>
        <w:t>to</w:t>
      </w:r>
      <w:r>
        <w:rPr>
          <w:rFonts w:ascii="Calibri"/>
          <w:spacing w:val="-5"/>
          <w:sz w:val="20"/>
          <w:vertAlign w:val="baseline"/>
        </w:rPr>
        <w:t> </w:t>
      </w:r>
      <w:r>
        <w:rPr>
          <w:rFonts w:ascii="Calibri"/>
          <w:b/>
          <w:sz w:val="20"/>
          <w:vertAlign w:val="baseline"/>
        </w:rPr>
        <w:t>1.1</w:t>
      </w:r>
      <w:r>
        <w:rPr>
          <w:rFonts w:ascii="Calibri"/>
          <w:b/>
          <w:spacing w:val="-1"/>
          <w:sz w:val="20"/>
          <w:vertAlign w:val="baseline"/>
        </w:rPr>
        <w:t> </w:t>
      </w:r>
      <w:r>
        <w:rPr>
          <w:rFonts w:ascii="Calibri"/>
          <w:sz w:val="20"/>
          <w:vertAlign w:val="baseline"/>
        </w:rPr>
        <w:t>supra</w:t>
      </w:r>
      <w:r>
        <w:rPr>
          <w:rFonts w:ascii="Calibri"/>
          <w:spacing w:val="-5"/>
          <w:sz w:val="20"/>
          <w:vertAlign w:val="baseline"/>
        </w:rPr>
        <w:t> </w:t>
      </w:r>
      <w:r>
        <w:rPr>
          <w:rFonts w:ascii="Calibri"/>
          <w:sz w:val="20"/>
          <w:vertAlign w:val="baseline"/>
        </w:rPr>
        <w:t>on</w:t>
      </w:r>
      <w:r>
        <w:rPr>
          <w:rFonts w:ascii="Calibri"/>
          <w:spacing w:val="-5"/>
          <w:sz w:val="20"/>
          <w:vertAlign w:val="baseline"/>
        </w:rPr>
        <w:t> </w:t>
      </w:r>
      <w:r>
        <w:rPr>
          <w:rFonts w:ascii="Calibri"/>
          <w:sz w:val="20"/>
          <w:vertAlign w:val="baseline"/>
        </w:rPr>
        <w:t>this</w:t>
      </w:r>
      <w:r>
        <w:rPr>
          <w:rFonts w:ascii="Calibri"/>
          <w:spacing w:val="-1"/>
          <w:sz w:val="20"/>
          <w:vertAlign w:val="baseline"/>
        </w:rPr>
        <w:t> </w:t>
      </w:r>
      <w:r>
        <w:rPr>
          <w:rFonts w:ascii="Calibri"/>
          <w:spacing w:val="-2"/>
          <w:sz w:val="20"/>
          <w:vertAlign w:val="baseline"/>
        </w:rPr>
        <w:t>note.</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3"/>
        <w:jc w:val="both"/>
      </w:pPr>
      <w:r>
        <w:rPr/>
        <w:t>situations of conflict being addressed, it would not have appeared so contradictory in comparison with s.277.</w:t>
      </w:r>
    </w:p>
    <w:p>
      <w:pPr>
        <w:pStyle w:val="BodyText"/>
        <w:spacing w:line="480" w:lineRule="auto"/>
        <w:ind w:right="177" w:firstLine="720"/>
        <w:jc w:val="both"/>
      </w:pPr>
      <w:r>
        <w:rPr/>
        <w:t>Thirdly, and related to the point immediately preceding this, subsection (2) mentions ―secret profit‖ and ―unnecessary benefit‖. While the former may</w:t>
      </w:r>
      <w:r>
        <w:rPr>
          <w:spacing w:val="-3"/>
        </w:rPr>
        <w:t> </w:t>
      </w:r>
      <w:r>
        <w:rPr/>
        <w:t>quite easily be understood,</w:t>
      </w:r>
      <w:r>
        <w:rPr>
          <w:spacing w:val="-2"/>
        </w:rPr>
        <w:t> </w:t>
      </w:r>
      <w:r>
        <w:rPr/>
        <w:t>the latter, while being broad enough</w:t>
      </w:r>
      <w:r>
        <w:rPr>
          <w:spacing w:val="-4"/>
        </w:rPr>
        <w:t> </w:t>
      </w:r>
      <w:r>
        <w:rPr/>
        <w:t>to admit a wide variety</w:t>
      </w:r>
      <w:r>
        <w:rPr>
          <w:spacing w:val="-9"/>
        </w:rPr>
        <w:t> </w:t>
      </w:r>
      <w:r>
        <w:rPr/>
        <w:t>of</w:t>
      </w:r>
      <w:r>
        <w:rPr>
          <w:spacing w:val="-7"/>
        </w:rPr>
        <w:t> </w:t>
      </w:r>
      <w:r>
        <w:rPr/>
        <w:t>situations, would appear rather vague to the average director. This becomes apparent especially when one considers that the common law equivalent of the duty covers corporate property, information and opportunity. It is submitted that if the law intends for wider interpretation</w:t>
      </w:r>
      <w:r>
        <w:rPr>
          <w:spacing w:val="-8"/>
        </w:rPr>
        <w:t> </w:t>
      </w:r>
      <w:r>
        <w:rPr/>
        <w:t>as</w:t>
      </w:r>
      <w:r>
        <w:rPr>
          <w:spacing w:val="-10"/>
        </w:rPr>
        <w:t> </w:t>
      </w:r>
      <w:r>
        <w:rPr/>
        <w:t>well</w:t>
      </w:r>
      <w:r>
        <w:rPr>
          <w:spacing w:val="-7"/>
        </w:rPr>
        <w:t> </w:t>
      </w:r>
      <w:r>
        <w:rPr/>
        <w:t>as</w:t>
      </w:r>
      <w:r>
        <w:rPr>
          <w:spacing w:val="-10"/>
        </w:rPr>
        <w:t> </w:t>
      </w:r>
      <w:r>
        <w:rPr/>
        <w:t>guidance,</w:t>
      </w:r>
      <w:r>
        <w:rPr>
          <w:spacing w:val="-6"/>
        </w:rPr>
        <w:t> </w:t>
      </w:r>
      <w:r>
        <w:rPr/>
        <w:t>this</w:t>
      </w:r>
      <w:r>
        <w:rPr>
          <w:spacing w:val="-6"/>
        </w:rPr>
        <w:t> </w:t>
      </w:r>
      <w:r>
        <w:rPr/>
        <w:t>can</w:t>
      </w:r>
      <w:r>
        <w:rPr>
          <w:spacing w:val="-8"/>
        </w:rPr>
        <w:t> </w:t>
      </w:r>
      <w:r>
        <w:rPr/>
        <w:t>be</w:t>
      </w:r>
      <w:r>
        <w:rPr>
          <w:spacing w:val="-5"/>
        </w:rPr>
        <w:t> </w:t>
      </w:r>
      <w:r>
        <w:rPr/>
        <w:t>achieved</w:t>
      </w:r>
      <w:r>
        <w:rPr>
          <w:spacing w:val="-4"/>
        </w:rPr>
        <w:t> </w:t>
      </w:r>
      <w:r>
        <w:rPr/>
        <w:t>by</w:t>
      </w:r>
      <w:r>
        <w:rPr>
          <w:spacing w:val="-8"/>
        </w:rPr>
        <w:t> </w:t>
      </w:r>
      <w:r>
        <w:rPr/>
        <w:t>complementing</w:t>
      </w:r>
      <w:r>
        <w:rPr>
          <w:spacing w:val="-4"/>
        </w:rPr>
        <w:t> </w:t>
      </w:r>
      <w:r>
        <w:rPr/>
        <w:t>―unnecessary benefits‖ with ―such as (or including) the exploitation (or misuse) of corporate information or opportunity‖. In this way, even the most unsophisticated director can</w:t>
      </w:r>
      <w:r>
        <w:rPr>
          <w:spacing w:val="80"/>
        </w:rPr>
        <w:t> </w:t>
      </w:r>
      <w:r>
        <w:rPr/>
        <w:t>have</w:t>
      </w:r>
      <w:r>
        <w:rPr>
          <w:spacing w:val="-4"/>
        </w:rPr>
        <w:t> </w:t>
      </w:r>
      <w:r>
        <w:rPr/>
        <w:t>an</w:t>
      </w:r>
      <w:r>
        <w:rPr>
          <w:spacing w:val="-4"/>
        </w:rPr>
        <w:t> </w:t>
      </w:r>
      <w:r>
        <w:rPr/>
        <w:t>idea</w:t>
      </w:r>
      <w:r>
        <w:rPr>
          <w:spacing w:val="-4"/>
        </w:rPr>
        <w:t> </w:t>
      </w:r>
      <w:r>
        <w:rPr/>
        <w:t>of</w:t>
      </w:r>
      <w:r>
        <w:rPr>
          <w:spacing w:val="-7"/>
        </w:rPr>
        <w:t> </w:t>
      </w:r>
      <w:r>
        <w:rPr/>
        <w:t>instances</w:t>
      </w:r>
      <w:r>
        <w:rPr>
          <w:spacing w:val="-6"/>
        </w:rPr>
        <w:t> </w:t>
      </w:r>
      <w:r>
        <w:rPr/>
        <w:t>that might result in</w:t>
      </w:r>
      <w:r>
        <w:rPr>
          <w:spacing w:val="-4"/>
        </w:rPr>
        <w:t> </w:t>
      </w:r>
      <w:r>
        <w:rPr/>
        <w:t>his</w:t>
      </w:r>
      <w:r>
        <w:rPr>
          <w:spacing w:val="-2"/>
        </w:rPr>
        <w:t> </w:t>
      </w:r>
      <w:r>
        <w:rPr/>
        <w:t>breaching</w:t>
      </w:r>
      <w:r>
        <w:rPr>
          <w:spacing w:val="-4"/>
        </w:rPr>
        <w:t> </w:t>
      </w:r>
      <w:r>
        <w:rPr/>
        <w:t>the</w:t>
      </w:r>
      <w:r>
        <w:rPr>
          <w:spacing w:val="-1"/>
        </w:rPr>
        <w:t> </w:t>
      </w:r>
      <w:r>
        <w:rPr/>
        <w:t>law.</w:t>
      </w:r>
      <w:r>
        <w:rPr>
          <w:spacing w:val="-3"/>
        </w:rPr>
        <w:t> </w:t>
      </w:r>
      <w:r>
        <w:rPr/>
        <w:t>Also,</w:t>
      </w:r>
      <w:r>
        <w:rPr>
          <w:spacing w:val="-2"/>
        </w:rPr>
        <w:t> </w:t>
      </w:r>
      <w:r>
        <w:rPr/>
        <w:t>―unnecessary‖ may not quite be the appropriate qualifier for ―benefit‖ as it would give room for a subjective judgment by the director. In</w:t>
      </w:r>
      <w:r>
        <w:rPr>
          <w:spacing w:val="-2"/>
        </w:rPr>
        <w:t> </w:t>
      </w:r>
      <w:r>
        <w:rPr/>
        <w:t>other words, what makes a benefit </w:t>
      </w:r>
      <w:r>
        <w:rPr>
          <w:i/>
        </w:rPr>
        <w:t>unnecessary</w:t>
      </w:r>
      <w:r>
        <w:rPr/>
        <w:t>? It is submitted that ―unauthorised‖ would be better suited here, especially considering subsection (6) allows authorisation.</w:t>
      </w:r>
    </w:p>
    <w:p>
      <w:pPr>
        <w:pStyle w:val="BodyText"/>
        <w:spacing w:line="480" w:lineRule="auto" w:before="3"/>
        <w:ind w:right="182" w:firstLine="720"/>
        <w:jc w:val="both"/>
      </w:pPr>
      <w:r>
        <w:rPr/>
        <w:t>Fourthly,</w:t>
      </w:r>
      <w:r>
        <w:rPr>
          <w:spacing w:val="-11"/>
        </w:rPr>
        <w:t> </w:t>
      </w:r>
      <w:r>
        <w:rPr/>
        <w:t>and</w:t>
      </w:r>
      <w:r>
        <w:rPr>
          <w:spacing w:val="-5"/>
        </w:rPr>
        <w:t> </w:t>
      </w:r>
      <w:r>
        <w:rPr/>
        <w:t>following</w:t>
      </w:r>
      <w:r>
        <w:rPr>
          <w:spacing w:val="-12"/>
        </w:rPr>
        <w:t> </w:t>
      </w:r>
      <w:r>
        <w:rPr/>
        <w:t>the</w:t>
      </w:r>
      <w:r>
        <w:rPr>
          <w:spacing w:val="-10"/>
        </w:rPr>
        <w:t> </w:t>
      </w:r>
      <w:r>
        <w:rPr/>
        <w:t>above,</w:t>
      </w:r>
      <w:r>
        <w:rPr>
          <w:spacing w:val="-7"/>
        </w:rPr>
        <w:t> </w:t>
      </w:r>
      <w:r>
        <w:rPr/>
        <w:t>subsection</w:t>
      </w:r>
      <w:r>
        <w:rPr>
          <w:spacing w:val="-15"/>
        </w:rPr>
        <w:t> </w:t>
      </w:r>
      <w:r>
        <w:rPr/>
        <w:t>(5)</w:t>
      </w:r>
      <w:r>
        <w:rPr>
          <w:spacing w:val="-7"/>
        </w:rPr>
        <w:t> </w:t>
      </w:r>
      <w:r>
        <w:rPr/>
        <w:t>begins,</w:t>
      </w:r>
      <w:r>
        <w:rPr>
          <w:spacing w:val="-7"/>
        </w:rPr>
        <w:t> </w:t>
      </w:r>
      <w:r>
        <w:rPr/>
        <w:t>―the</w:t>
      </w:r>
      <w:r>
        <w:rPr>
          <w:spacing w:val="-13"/>
        </w:rPr>
        <w:t> </w:t>
      </w:r>
      <w:r>
        <w:rPr/>
        <w:t>duty</w:t>
      </w:r>
      <w:r>
        <w:rPr>
          <w:spacing w:val="-15"/>
        </w:rPr>
        <w:t> </w:t>
      </w:r>
      <w:r>
        <w:rPr/>
        <w:t>not</w:t>
      </w:r>
      <w:r>
        <w:rPr>
          <w:spacing w:val="-12"/>
        </w:rPr>
        <w:t> </w:t>
      </w:r>
      <w:r>
        <w:rPr/>
        <w:t>to</w:t>
      </w:r>
      <w:r>
        <w:rPr>
          <w:spacing w:val="-4"/>
        </w:rPr>
        <w:t> </w:t>
      </w:r>
      <w:r>
        <w:rPr/>
        <w:t>misuse corporate information‖ and subsection</w:t>
      </w:r>
      <w:r>
        <w:rPr>
          <w:spacing w:val="-2"/>
        </w:rPr>
        <w:t> </w:t>
      </w:r>
      <w:r>
        <w:rPr/>
        <w:t>(6) alludes to ―the transaction‖. According to</w:t>
      </w:r>
      <w:r>
        <w:rPr>
          <w:spacing w:val="-2"/>
        </w:rPr>
        <w:t> </w:t>
      </w:r>
      <w:r>
        <w:rPr/>
        <w:t>the rules</w:t>
      </w:r>
      <w:r>
        <w:rPr>
          <w:spacing w:val="-4"/>
        </w:rPr>
        <w:t> </w:t>
      </w:r>
      <w:r>
        <w:rPr/>
        <w:t>of</w:t>
      </w:r>
      <w:r>
        <w:rPr>
          <w:spacing w:val="-9"/>
        </w:rPr>
        <w:t> </w:t>
      </w:r>
      <w:r>
        <w:rPr/>
        <w:t>grammar, the</w:t>
      </w:r>
      <w:r>
        <w:rPr>
          <w:spacing w:val="-2"/>
        </w:rPr>
        <w:t> </w:t>
      </w:r>
      <w:r>
        <w:rPr/>
        <w:t>use</w:t>
      </w:r>
      <w:r>
        <w:rPr>
          <w:spacing w:val="-2"/>
        </w:rPr>
        <w:t> </w:t>
      </w:r>
      <w:r>
        <w:rPr/>
        <w:t>of</w:t>
      </w:r>
      <w:r>
        <w:rPr>
          <w:spacing w:val="-9"/>
        </w:rPr>
        <w:t> </w:t>
      </w:r>
      <w:r>
        <w:rPr/>
        <w:t>the</w:t>
      </w:r>
      <w:r>
        <w:rPr>
          <w:spacing w:val="-2"/>
        </w:rPr>
        <w:t> </w:t>
      </w:r>
      <w:r>
        <w:rPr/>
        <w:t>definite</w:t>
      </w:r>
      <w:r>
        <w:rPr>
          <w:spacing w:val="-2"/>
        </w:rPr>
        <w:t> </w:t>
      </w:r>
      <w:r>
        <w:rPr/>
        <w:t>article ―the‖</w:t>
      </w:r>
      <w:r>
        <w:rPr>
          <w:spacing w:val="-2"/>
        </w:rPr>
        <w:t> </w:t>
      </w:r>
      <w:r>
        <w:rPr/>
        <w:t>presupposes</w:t>
      </w:r>
      <w:r>
        <w:rPr>
          <w:spacing w:val="-4"/>
        </w:rPr>
        <w:t> </w:t>
      </w:r>
      <w:r>
        <w:rPr/>
        <w:t>that the</w:t>
      </w:r>
      <w:r>
        <w:rPr>
          <w:spacing w:val="-2"/>
        </w:rPr>
        <w:t> </w:t>
      </w:r>
      <w:r>
        <w:rPr/>
        <w:t>item</w:t>
      </w:r>
      <w:r>
        <w:rPr>
          <w:spacing w:val="-6"/>
        </w:rPr>
        <w:t> </w:t>
      </w:r>
      <w:r>
        <w:rPr/>
        <w:t>has</w:t>
      </w:r>
      <w:r>
        <w:rPr>
          <w:spacing w:val="-4"/>
        </w:rPr>
        <w:t> </w:t>
      </w:r>
      <w:r>
        <w:rPr/>
        <w:t>been mentioned or discussed before, or otherwise known to the reader. Here the subsections</w:t>
      </w:r>
      <w:r>
        <w:rPr>
          <w:spacing w:val="40"/>
        </w:rPr>
        <w:t> </w:t>
      </w:r>
      <w:r>
        <w:rPr/>
        <w:t>or</w:t>
      </w:r>
      <w:r>
        <w:rPr>
          <w:spacing w:val="42"/>
        </w:rPr>
        <w:t> </w:t>
      </w:r>
      <w:r>
        <w:rPr/>
        <w:t>previous</w:t>
      </w:r>
      <w:r>
        <w:rPr>
          <w:spacing w:val="39"/>
        </w:rPr>
        <w:t> </w:t>
      </w:r>
      <w:r>
        <w:rPr/>
        <w:t>sections</w:t>
      </w:r>
      <w:r>
        <w:rPr>
          <w:spacing w:val="48"/>
        </w:rPr>
        <w:t> </w:t>
      </w:r>
      <w:r>
        <w:rPr/>
        <w:t>have</w:t>
      </w:r>
      <w:r>
        <w:rPr>
          <w:spacing w:val="44"/>
        </w:rPr>
        <w:t> </w:t>
      </w:r>
      <w:r>
        <w:rPr/>
        <w:t>not</w:t>
      </w:r>
      <w:r>
        <w:rPr>
          <w:spacing w:val="46"/>
        </w:rPr>
        <w:t> </w:t>
      </w:r>
      <w:r>
        <w:rPr/>
        <w:t>previously</w:t>
      </w:r>
      <w:r>
        <w:rPr>
          <w:spacing w:val="45"/>
        </w:rPr>
        <w:t> </w:t>
      </w:r>
      <w:r>
        <w:rPr/>
        <w:t>mentioned</w:t>
      </w:r>
      <w:r>
        <w:rPr>
          <w:spacing w:val="52"/>
        </w:rPr>
        <w:t> </w:t>
      </w:r>
      <w:r>
        <w:rPr/>
        <w:t>―corporate</w:t>
      </w:r>
      <w:r>
        <w:rPr>
          <w:spacing w:val="44"/>
        </w:rPr>
        <w:t> </w:t>
      </w:r>
      <w:r>
        <w:rPr/>
        <w:t>information‖</w:t>
      </w:r>
      <w:r>
        <w:rPr>
          <w:spacing w:val="41"/>
        </w:rPr>
        <w:t> </w:t>
      </w:r>
      <w:r>
        <w:rPr/>
        <w:t>or</w:t>
      </w:r>
      <w:r>
        <w:rPr>
          <w:spacing w:val="42"/>
        </w:rPr>
        <w:t> </w:t>
      </w:r>
      <w:r>
        <w:rPr>
          <w:spacing w:val="-5"/>
        </w:rPr>
        <w:t>any</w:t>
      </w:r>
    </w:p>
    <w:p>
      <w:pPr>
        <w:pStyle w:val="BodyText"/>
        <w:spacing w:before="1"/>
        <w:jc w:val="both"/>
      </w:pPr>
      <w:r>
        <w:rPr/>
        <w:t>―transaction.‖</w:t>
      </w:r>
      <w:r>
        <w:rPr>
          <w:spacing w:val="7"/>
        </w:rPr>
        <w:t> </w:t>
      </w:r>
      <w:r>
        <w:rPr/>
        <w:t>Their</w:t>
      </w:r>
      <w:r>
        <w:rPr>
          <w:spacing w:val="14"/>
        </w:rPr>
        <w:t> </w:t>
      </w:r>
      <w:r>
        <w:rPr/>
        <w:t>mention</w:t>
      </w:r>
      <w:r>
        <w:rPr>
          <w:spacing w:val="8"/>
        </w:rPr>
        <w:t> </w:t>
      </w:r>
      <w:r>
        <w:rPr/>
        <w:t>now</w:t>
      </w:r>
      <w:r>
        <w:rPr>
          <w:spacing w:val="8"/>
        </w:rPr>
        <w:t> </w:t>
      </w:r>
      <w:r>
        <w:rPr/>
        <w:t>would</w:t>
      </w:r>
      <w:r>
        <w:rPr>
          <w:spacing w:val="8"/>
        </w:rPr>
        <w:t> </w:t>
      </w:r>
      <w:r>
        <w:rPr/>
        <w:t>therefore</w:t>
      </w:r>
      <w:r>
        <w:rPr>
          <w:spacing w:val="8"/>
        </w:rPr>
        <w:t> </w:t>
      </w:r>
      <w:r>
        <w:rPr/>
        <w:t>seem</w:t>
      </w:r>
      <w:r>
        <w:rPr>
          <w:spacing w:val="5"/>
        </w:rPr>
        <w:t> </w:t>
      </w:r>
      <w:r>
        <w:rPr/>
        <w:t>belated.</w:t>
      </w:r>
      <w:r>
        <w:rPr>
          <w:spacing w:val="10"/>
        </w:rPr>
        <w:t> </w:t>
      </w:r>
      <w:r>
        <w:rPr/>
        <w:t>But</w:t>
      </w:r>
      <w:r>
        <w:rPr>
          <w:spacing w:val="13"/>
        </w:rPr>
        <w:t> </w:t>
      </w:r>
      <w:r>
        <w:rPr/>
        <w:t>if</w:t>
      </w:r>
      <w:r>
        <w:rPr>
          <w:spacing w:val="1"/>
        </w:rPr>
        <w:t> </w:t>
      </w:r>
      <w:r>
        <w:rPr/>
        <w:t>the</w:t>
      </w:r>
      <w:r>
        <w:rPr>
          <w:spacing w:val="12"/>
        </w:rPr>
        <w:t> </w:t>
      </w:r>
      <w:r>
        <w:rPr>
          <w:spacing w:val="-2"/>
        </w:rPr>
        <w:t>suggestions</w:t>
      </w:r>
    </w:p>
    <w:p>
      <w:pPr>
        <w:spacing w:after="0"/>
        <w:jc w:val="both"/>
        <w:sectPr>
          <w:pgSz w:w="11910" w:h="16840"/>
          <w:pgMar w:header="0" w:footer="1003" w:top="1320" w:bottom="1200" w:left="1680" w:right="1180"/>
        </w:sectPr>
      </w:pPr>
    </w:p>
    <w:p>
      <w:pPr>
        <w:pStyle w:val="BodyText"/>
        <w:spacing w:line="480" w:lineRule="auto" w:before="70"/>
        <w:ind w:right="182"/>
        <w:jc w:val="both"/>
      </w:pPr>
      <w:r>
        <w:rPr/>
        <w:t>made as to improving subsection (2) above were to be adopted, this would take care of the perceived inconsistency.</w:t>
      </w:r>
      <w:r>
        <w:rPr>
          <w:vertAlign w:val="superscript"/>
        </w:rPr>
        <w:t>239</w:t>
      </w:r>
    </w:p>
    <w:p>
      <w:pPr>
        <w:pStyle w:val="BodyText"/>
        <w:spacing w:line="480" w:lineRule="auto"/>
        <w:ind w:right="190" w:firstLine="720"/>
        <w:jc w:val="both"/>
      </w:pPr>
      <w:r>
        <w:rPr/>
        <w:t>Finally, again following from the above, subsection (5) imposes a continuing duty only with respect to corporate information. Corporate property and opportunity have been neglected. It is submitted that the spirit of the law with regard to the prohibition of profits and conflicts contemplates profit in every form, whether information, property or opportunity.</w:t>
      </w:r>
    </w:p>
    <w:p>
      <w:pPr>
        <w:pStyle w:val="BodyText"/>
        <w:spacing w:line="480" w:lineRule="auto" w:before="1"/>
        <w:ind w:right="181" w:firstLine="720"/>
        <w:jc w:val="both"/>
      </w:pPr>
      <w:r>
        <w:rPr/>
        <w:t>Although</w:t>
      </w:r>
      <w:r>
        <w:rPr>
          <w:spacing w:val="-2"/>
        </w:rPr>
        <w:t> </w:t>
      </w:r>
      <w:r>
        <w:rPr/>
        <w:t>the above rules are herein described as ―duty‖ in this work as in many others, in the CAMA, their description as </w:t>
      </w:r>
      <w:r>
        <w:rPr>
          <w:i/>
        </w:rPr>
        <w:t>principles </w:t>
      </w:r>
      <w:r>
        <w:rPr/>
        <w:t>would be more apt because of the language in which</w:t>
      </w:r>
      <w:r>
        <w:rPr>
          <w:spacing w:val="-1"/>
        </w:rPr>
        <w:t> </w:t>
      </w:r>
      <w:r>
        <w:rPr/>
        <w:t>they</w:t>
      </w:r>
      <w:r>
        <w:rPr>
          <w:spacing w:val="-1"/>
        </w:rPr>
        <w:t> </w:t>
      </w:r>
      <w:r>
        <w:rPr/>
        <w:t>are stated,</w:t>
      </w:r>
      <w:r>
        <w:rPr>
          <w:vertAlign w:val="superscript"/>
        </w:rPr>
        <w:t>240</w:t>
      </w:r>
      <w:r>
        <w:rPr>
          <w:vertAlign w:val="baseline"/>
        </w:rPr>
        <w:t> though</w:t>
      </w:r>
      <w:r>
        <w:rPr>
          <w:spacing w:val="-6"/>
          <w:vertAlign w:val="baseline"/>
        </w:rPr>
        <w:t> </w:t>
      </w:r>
      <w:r>
        <w:rPr>
          <w:vertAlign w:val="baseline"/>
        </w:rPr>
        <w:t>their application wouldin fact lead to duties imposed, such as duties of disclosure.</w:t>
      </w:r>
      <w:r>
        <w:rPr>
          <w:vertAlign w:val="superscript"/>
        </w:rPr>
        <w:t>241</w:t>
      </w:r>
      <w:r>
        <w:rPr>
          <w:vertAlign w:val="baseline"/>
        </w:rPr>
        <w:t> The principles are grounded in equity as is the nature of the director‘s position in the company. In the course of management, the director has the privilege of being privy to information regarding the company‘s operations, such as trade secrets, or prospective contracts or even having access to the company‘s property. He is more often involved in negotiating business transactions between</w:t>
      </w:r>
      <w:r>
        <w:rPr>
          <w:spacing w:val="-6"/>
          <w:vertAlign w:val="baseline"/>
        </w:rPr>
        <w:t> </w:t>
      </w:r>
      <w:r>
        <w:rPr>
          <w:vertAlign w:val="baseline"/>
        </w:rPr>
        <w:t>his</w:t>
      </w:r>
      <w:r>
        <w:rPr>
          <w:spacing w:val="-3"/>
          <w:vertAlign w:val="baseline"/>
        </w:rPr>
        <w:t> </w:t>
      </w:r>
      <w:r>
        <w:rPr>
          <w:vertAlign w:val="baseline"/>
        </w:rPr>
        <w:t>company</w:t>
      </w:r>
      <w:r>
        <w:rPr>
          <w:spacing w:val="-6"/>
          <w:vertAlign w:val="baseline"/>
        </w:rPr>
        <w:t> </w:t>
      </w:r>
      <w:r>
        <w:rPr>
          <w:vertAlign w:val="baseline"/>
        </w:rPr>
        <w:t>and</w:t>
      </w:r>
      <w:r>
        <w:rPr>
          <w:spacing w:val="-2"/>
          <w:vertAlign w:val="baseline"/>
        </w:rPr>
        <w:t> </w:t>
      </w:r>
      <w:r>
        <w:rPr>
          <w:vertAlign w:val="baseline"/>
        </w:rPr>
        <w:t>others.</w:t>
      </w:r>
      <w:r>
        <w:rPr>
          <w:spacing w:val="-4"/>
          <w:vertAlign w:val="baseline"/>
        </w:rPr>
        <w:t> </w:t>
      </w:r>
      <w:r>
        <w:rPr>
          <w:vertAlign w:val="baseline"/>
        </w:rPr>
        <w:t>The law</w:t>
      </w:r>
      <w:r>
        <w:rPr>
          <w:spacing w:val="-2"/>
          <w:vertAlign w:val="baseline"/>
        </w:rPr>
        <w:t> </w:t>
      </w:r>
      <w:r>
        <w:rPr>
          <w:vertAlign w:val="baseline"/>
        </w:rPr>
        <w:t>considers</w:t>
      </w:r>
      <w:r>
        <w:rPr>
          <w:spacing w:val="-3"/>
          <w:vertAlign w:val="baseline"/>
        </w:rPr>
        <w:t> </w:t>
      </w:r>
      <w:r>
        <w:rPr>
          <w:vertAlign w:val="baseline"/>
        </w:rPr>
        <w:t>that under</w:t>
      </w:r>
      <w:r>
        <w:rPr>
          <w:spacing w:val="-1"/>
          <w:vertAlign w:val="baseline"/>
        </w:rPr>
        <w:t> </w:t>
      </w:r>
      <w:r>
        <w:rPr>
          <w:vertAlign w:val="baseline"/>
        </w:rPr>
        <w:t>such</w:t>
      </w:r>
      <w:r>
        <w:rPr>
          <w:spacing w:val="-6"/>
          <w:vertAlign w:val="baseline"/>
        </w:rPr>
        <w:t> </w:t>
      </w:r>
      <w:r>
        <w:rPr>
          <w:vertAlign w:val="baseline"/>
        </w:rPr>
        <w:t>circumstances, there is the danger of likely conflict between his fiduciary duty to the company and his personal interests. Thus, where a director, though himself not directly or indirectly involved in a contract with the company, has opportunity to benefit in any way during the</w:t>
      </w:r>
      <w:r>
        <w:rPr>
          <w:spacing w:val="-1"/>
          <w:vertAlign w:val="baseline"/>
        </w:rPr>
        <w:t> </w:t>
      </w:r>
      <w:r>
        <w:rPr>
          <w:vertAlign w:val="baseline"/>
        </w:rPr>
        <w:t>course</w:t>
      </w:r>
      <w:r>
        <w:rPr>
          <w:spacing w:val="-6"/>
          <w:vertAlign w:val="baseline"/>
        </w:rPr>
        <w:t> </w:t>
      </w:r>
      <w:r>
        <w:rPr>
          <w:vertAlign w:val="baseline"/>
        </w:rPr>
        <w:t>of</w:t>
      </w:r>
      <w:r>
        <w:rPr>
          <w:spacing w:val="-3"/>
          <w:vertAlign w:val="baseline"/>
        </w:rPr>
        <w:t> </w:t>
      </w:r>
      <w:r>
        <w:rPr>
          <w:vertAlign w:val="baseline"/>
        </w:rPr>
        <w:t>managing the</w:t>
      </w:r>
      <w:r>
        <w:rPr>
          <w:spacing w:val="-1"/>
          <w:vertAlign w:val="baseline"/>
        </w:rPr>
        <w:t> </w:t>
      </w:r>
      <w:r>
        <w:rPr>
          <w:vertAlign w:val="baseline"/>
        </w:rPr>
        <w:t>affairs</w:t>
      </w:r>
      <w:r>
        <w:rPr>
          <w:spacing w:val="-2"/>
          <w:vertAlign w:val="baseline"/>
        </w:rPr>
        <w:t> </w:t>
      </w:r>
      <w:r>
        <w:rPr>
          <w:vertAlign w:val="baseline"/>
        </w:rPr>
        <w:t>of</w:t>
      </w:r>
      <w:r>
        <w:rPr>
          <w:spacing w:val="-8"/>
          <w:vertAlign w:val="baseline"/>
        </w:rPr>
        <w:t> </w:t>
      </w:r>
      <w:r>
        <w:rPr>
          <w:vertAlign w:val="baseline"/>
        </w:rPr>
        <w:t>the</w:t>
      </w:r>
      <w:r>
        <w:rPr>
          <w:spacing w:val="-1"/>
          <w:vertAlign w:val="baseline"/>
        </w:rPr>
        <w:t> </w:t>
      </w:r>
      <w:r>
        <w:rPr>
          <w:vertAlign w:val="baseline"/>
        </w:rPr>
        <w:t>company, it is</w:t>
      </w:r>
      <w:r>
        <w:rPr>
          <w:spacing w:val="-2"/>
          <w:vertAlign w:val="baseline"/>
        </w:rPr>
        <w:t> </w:t>
      </w:r>
      <w:r>
        <w:rPr>
          <w:vertAlign w:val="baseline"/>
        </w:rPr>
        <w:t>the intendment of</w:t>
      </w:r>
      <w:r>
        <w:rPr>
          <w:spacing w:val="-8"/>
          <w:vertAlign w:val="baseline"/>
        </w:rPr>
        <w:t> </w:t>
      </w:r>
      <w:r>
        <w:rPr>
          <w:vertAlign w:val="baseline"/>
        </w:rPr>
        <w:t>the law</w:t>
      </w:r>
      <w:r>
        <w:rPr>
          <w:spacing w:val="-1"/>
          <w:vertAlign w:val="baseline"/>
        </w:rPr>
        <w:t> </w:t>
      </w:r>
      <w:r>
        <w:rPr>
          <w:vertAlign w:val="baseline"/>
        </w:rPr>
        <w:t>that he should</w:t>
      </w:r>
      <w:r>
        <w:rPr>
          <w:spacing w:val="-2"/>
          <w:vertAlign w:val="baseline"/>
        </w:rPr>
        <w:t> </w:t>
      </w:r>
      <w:r>
        <w:rPr>
          <w:vertAlign w:val="baseline"/>
        </w:rPr>
        <w:t>enjoy</w:t>
      </w:r>
      <w:r>
        <w:rPr>
          <w:spacing w:val="-1"/>
          <w:vertAlign w:val="baseline"/>
        </w:rPr>
        <w:t> </w:t>
      </w:r>
      <w:r>
        <w:rPr>
          <w:vertAlign w:val="baseline"/>
        </w:rPr>
        <w:t>no</w:t>
      </w:r>
      <w:r>
        <w:rPr>
          <w:spacing w:val="2"/>
          <w:vertAlign w:val="baseline"/>
        </w:rPr>
        <w:t> </w:t>
      </w:r>
      <w:r>
        <w:rPr>
          <w:vertAlign w:val="baseline"/>
        </w:rPr>
        <w:t>special</w:t>
      </w:r>
      <w:r>
        <w:rPr>
          <w:spacing w:val="-2"/>
          <w:vertAlign w:val="baseline"/>
        </w:rPr>
        <w:t> </w:t>
      </w:r>
      <w:r>
        <w:rPr>
          <w:vertAlign w:val="baseline"/>
        </w:rPr>
        <w:t>benefits</w:t>
      </w:r>
      <w:r>
        <w:rPr>
          <w:spacing w:val="-3"/>
          <w:vertAlign w:val="baseline"/>
        </w:rPr>
        <w:t> </w:t>
      </w:r>
      <w:r>
        <w:rPr>
          <w:vertAlign w:val="baseline"/>
        </w:rPr>
        <w:t>whether</w:t>
      </w:r>
      <w:r>
        <w:rPr>
          <w:spacing w:val="4"/>
          <w:vertAlign w:val="baseline"/>
        </w:rPr>
        <w:t> </w:t>
      </w:r>
      <w:r>
        <w:rPr>
          <w:vertAlign w:val="baseline"/>
        </w:rPr>
        <w:t>in</w:t>
      </w:r>
      <w:r>
        <w:rPr>
          <w:spacing w:val="-6"/>
          <w:vertAlign w:val="baseline"/>
        </w:rPr>
        <w:t> </w:t>
      </w:r>
      <w:r>
        <w:rPr>
          <w:vertAlign w:val="baseline"/>
        </w:rPr>
        <w:t>the</w:t>
      </w:r>
      <w:r>
        <w:rPr>
          <w:spacing w:val="2"/>
          <w:vertAlign w:val="baseline"/>
        </w:rPr>
        <w:t> </w:t>
      </w:r>
      <w:r>
        <w:rPr>
          <w:vertAlign w:val="baseline"/>
        </w:rPr>
        <w:t>nature</w:t>
      </w:r>
      <w:r>
        <w:rPr>
          <w:spacing w:val="-2"/>
          <w:vertAlign w:val="baseline"/>
        </w:rPr>
        <w:t> </w:t>
      </w:r>
      <w:r>
        <w:rPr>
          <w:vertAlign w:val="baseline"/>
        </w:rPr>
        <w:t>of</w:t>
      </w:r>
      <w:r>
        <w:rPr>
          <w:spacing w:val="-9"/>
          <w:vertAlign w:val="baseline"/>
        </w:rPr>
        <w:t> </w:t>
      </w:r>
      <w:r>
        <w:rPr>
          <w:vertAlign w:val="baseline"/>
        </w:rPr>
        <w:t>opportunity, secret</w:t>
      </w:r>
      <w:r>
        <w:rPr>
          <w:spacing w:val="4"/>
          <w:vertAlign w:val="baseline"/>
        </w:rPr>
        <w:t> </w:t>
      </w:r>
      <w:r>
        <w:rPr>
          <w:vertAlign w:val="baseline"/>
        </w:rPr>
        <w:t>profit</w:t>
      </w:r>
      <w:r>
        <w:rPr>
          <w:spacing w:val="3"/>
          <w:vertAlign w:val="baseline"/>
        </w:rPr>
        <w:t> </w:t>
      </w:r>
      <w:r>
        <w:rPr>
          <w:vertAlign w:val="baseline"/>
        </w:rPr>
        <w:t>or </w:t>
      </w:r>
      <w:r>
        <w:rPr>
          <w:spacing w:val="-5"/>
          <w:vertAlign w:val="baseline"/>
        </w:rPr>
        <w:t>use</w:t>
      </w:r>
    </w:p>
    <w:p>
      <w:pPr>
        <w:pStyle w:val="BodyText"/>
        <w:spacing w:before="98"/>
        <w:ind w:left="0"/>
        <w:rPr>
          <w:sz w:val="20"/>
        </w:rPr>
      </w:pPr>
      <w:r>
        <w:rPr/>
        <mc:AlternateContent>
          <mc:Choice Requires="wps">
            <w:drawing>
              <wp:anchor distT="0" distB="0" distL="0" distR="0" allowOverlap="1" layoutInCell="1" locked="0" behindDoc="1" simplePos="0" relativeHeight="487664640">
                <wp:simplePos x="0" y="0"/>
                <wp:positionH relativeFrom="page">
                  <wp:posOffset>1262481</wp:posOffset>
                </wp:positionH>
                <wp:positionV relativeFrom="paragraph">
                  <wp:posOffset>223637</wp:posOffset>
                </wp:positionV>
                <wp:extent cx="1829435" cy="9525"/>
                <wp:effectExtent l="0" t="0" r="0" b="0"/>
                <wp:wrapTopAndBottom/>
                <wp:docPr id="166" name="Graphic 166"/>
                <wp:cNvGraphicFramePr>
                  <a:graphicFrameLocks/>
                </wp:cNvGraphicFramePr>
                <a:graphic>
                  <a:graphicData uri="http://schemas.microsoft.com/office/word/2010/wordprocessingShape">
                    <wps:wsp>
                      <wps:cNvPr id="166" name="Graphic 16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609249pt;width:144.050pt;height:.71997pt;mso-position-horizontal-relative:page;mso-position-vertical-relative:paragraph;z-index:-15651840;mso-wrap-distance-left:0;mso-wrap-distance-right:0" id="docshape121" filled="true" fillcolor="#000000" stroked="false">
                <v:fill type="solid"/>
                <w10:wrap type="topAndBottom"/>
              </v:rect>
            </w:pict>
          </mc:Fallback>
        </mc:AlternateContent>
      </w:r>
    </w:p>
    <w:p>
      <w:pPr>
        <w:spacing w:line="237" w:lineRule="auto" w:before="104"/>
        <w:ind w:left="308" w:right="229" w:firstLine="0"/>
        <w:jc w:val="both"/>
        <w:rPr>
          <w:rFonts w:ascii="Calibri" w:hAnsi="Calibri"/>
          <w:sz w:val="20"/>
        </w:rPr>
      </w:pPr>
      <w:r>
        <w:rPr>
          <w:rFonts w:ascii="Calibri" w:hAnsi="Calibri"/>
          <w:sz w:val="20"/>
          <w:vertAlign w:val="superscript"/>
        </w:rPr>
        <w:t>239</w:t>
      </w:r>
      <w:r>
        <w:rPr>
          <w:rFonts w:ascii="Calibri" w:hAnsi="Calibri"/>
          <w:sz w:val="20"/>
          <w:vertAlign w:val="baseline"/>
        </w:rPr>
        <w:t> Alternatively,</w:t>
      </w:r>
      <w:r>
        <w:rPr>
          <w:rFonts w:ascii="Calibri" w:hAnsi="Calibri"/>
          <w:spacing w:val="-1"/>
          <w:sz w:val="20"/>
          <w:vertAlign w:val="baseline"/>
        </w:rPr>
        <w:t> </w:t>
      </w:r>
      <w:r>
        <w:rPr>
          <w:rFonts w:ascii="Calibri" w:hAnsi="Calibri"/>
          <w:sz w:val="20"/>
          <w:vertAlign w:val="baseline"/>
        </w:rPr>
        <w:t>subsection</w:t>
      </w:r>
      <w:r>
        <w:rPr>
          <w:rFonts w:ascii="Calibri" w:hAnsi="Calibri"/>
          <w:spacing w:val="-4"/>
          <w:sz w:val="20"/>
          <w:vertAlign w:val="baseline"/>
        </w:rPr>
        <w:t> </w:t>
      </w:r>
      <w:r>
        <w:rPr>
          <w:rFonts w:ascii="Calibri" w:hAnsi="Calibri"/>
          <w:sz w:val="20"/>
          <w:vertAlign w:val="baseline"/>
        </w:rPr>
        <w:t>(6)</w:t>
      </w:r>
      <w:r>
        <w:rPr>
          <w:rFonts w:ascii="Calibri" w:hAnsi="Calibri"/>
          <w:spacing w:val="-2"/>
          <w:sz w:val="20"/>
          <w:vertAlign w:val="baseline"/>
        </w:rPr>
        <w:t> </w:t>
      </w:r>
      <w:r>
        <w:rPr>
          <w:rFonts w:ascii="Calibri" w:hAnsi="Calibri"/>
          <w:sz w:val="20"/>
          <w:vertAlign w:val="baseline"/>
        </w:rPr>
        <w:t>could,</w:t>
      </w:r>
      <w:r>
        <w:rPr>
          <w:rFonts w:ascii="Calibri" w:hAnsi="Calibri"/>
          <w:spacing w:val="-6"/>
          <w:sz w:val="20"/>
          <w:vertAlign w:val="baseline"/>
        </w:rPr>
        <w:t> </w:t>
      </w:r>
      <w:r>
        <w:rPr>
          <w:rFonts w:ascii="Calibri" w:hAnsi="Calibri"/>
          <w:sz w:val="20"/>
          <w:vertAlign w:val="baseline"/>
        </w:rPr>
        <w:t>inter</w:t>
      </w:r>
      <w:r>
        <w:rPr>
          <w:rFonts w:ascii="Calibri" w:hAnsi="Calibri"/>
          <w:spacing w:val="-2"/>
          <w:sz w:val="20"/>
          <w:vertAlign w:val="baseline"/>
        </w:rPr>
        <w:t> </w:t>
      </w:r>
      <w:r>
        <w:rPr>
          <w:rFonts w:ascii="Calibri" w:hAnsi="Calibri"/>
          <w:sz w:val="20"/>
          <w:vertAlign w:val="baseline"/>
        </w:rPr>
        <w:t>alia,</w:t>
      </w:r>
      <w:r>
        <w:rPr>
          <w:rFonts w:ascii="Calibri" w:hAnsi="Calibri"/>
          <w:spacing w:val="-2"/>
          <w:sz w:val="20"/>
          <w:vertAlign w:val="baseline"/>
        </w:rPr>
        <w:t> </w:t>
      </w:r>
      <w:r>
        <w:rPr>
          <w:rFonts w:ascii="Calibri" w:hAnsi="Calibri"/>
          <w:sz w:val="20"/>
          <w:vertAlign w:val="baseline"/>
        </w:rPr>
        <w:t>read “where a</w:t>
      </w:r>
      <w:r>
        <w:rPr>
          <w:rFonts w:ascii="Calibri" w:hAnsi="Calibri"/>
          <w:spacing w:val="-4"/>
          <w:sz w:val="20"/>
          <w:vertAlign w:val="baseline"/>
        </w:rPr>
        <w:t> </w:t>
      </w:r>
      <w:r>
        <w:rPr>
          <w:rFonts w:ascii="Calibri" w:hAnsi="Calibri"/>
          <w:sz w:val="20"/>
          <w:vertAlign w:val="baseline"/>
        </w:rPr>
        <w:t>director discloses</w:t>
      </w:r>
      <w:r>
        <w:rPr>
          <w:rFonts w:ascii="Calibri" w:hAnsi="Calibri"/>
          <w:spacing w:val="-1"/>
          <w:sz w:val="20"/>
          <w:vertAlign w:val="baseline"/>
        </w:rPr>
        <w:t> </w:t>
      </w:r>
      <w:r>
        <w:rPr>
          <w:rFonts w:ascii="Calibri" w:hAnsi="Calibri"/>
          <w:sz w:val="20"/>
          <w:vertAlign w:val="baseline"/>
        </w:rPr>
        <w:t>his</w:t>
      </w:r>
      <w:r>
        <w:rPr>
          <w:rFonts w:ascii="Calibri" w:hAnsi="Calibri"/>
          <w:spacing w:val="-6"/>
          <w:sz w:val="20"/>
          <w:vertAlign w:val="baseline"/>
        </w:rPr>
        <w:t> </w:t>
      </w:r>
      <w:r>
        <w:rPr>
          <w:rFonts w:ascii="Calibri" w:hAnsi="Calibri"/>
          <w:sz w:val="20"/>
          <w:vertAlign w:val="baseline"/>
        </w:rPr>
        <w:t>interests</w:t>
      </w:r>
      <w:r>
        <w:rPr>
          <w:rFonts w:ascii="Calibri" w:hAnsi="Calibri"/>
          <w:spacing w:val="-1"/>
          <w:sz w:val="20"/>
          <w:vertAlign w:val="baseline"/>
        </w:rPr>
        <w:t> </w:t>
      </w:r>
      <w:r>
        <w:rPr>
          <w:rFonts w:ascii="Calibri" w:hAnsi="Calibri"/>
          <w:sz w:val="20"/>
          <w:vertAlign w:val="baseline"/>
        </w:rPr>
        <w:t>before</w:t>
      </w:r>
      <w:r>
        <w:rPr>
          <w:rFonts w:ascii="Calibri" w:hAnsi="Calibri"/>
          <w:spacing w:val="-3"/>
          <w:sz w:val="20"/>
          <w:vertAlign w:val="baseline"/>
        </w:rPr>
        <w:t> </w:t>
      </w:r>
      <w:r>
        <w:rPr>
          <w:rFonts w:ascii="Calibri" w:hAnsi="Calibri"/>
          <w:sz w:val="20"/>
          <w:vertAlign w:val="baseline"/>
        </w:rPr>
        <w:t>any transaction that may cause a breach of duty not to misuse corporate information, property or opportunity, and before any secret profits are made...”</w:t>
      </w:r>
    </w:p>
    <w:p>
      <w:pPr>
        <w:spacing w:before="3"/>
        <w:ind w:left="308" w:right="0" w:firstLine="0"/>
        <w:jc w:val="left"/>
        <w:rPr>
          <w:rFonts w:ascii="Calibri" w:hAnsi="Calibri"/>
          <w:sz w:val="20"/>
        </w:rPr>
      </w:pPr>
      <w:r>
        <w:rPr>
          <w:rFonts w:ascii="Calibri" w:hAnsi="Calibri"/>
          <w:sz w:val="20"/>
          <w:vertAlign w:val="superscript"/>
        </w:rPr>
        <w:t>240</w:t>
      </w:r>
      <w:r>
        <w:rPr>
          <w:rFonts w:ascii="Calibri" w:hAnsi="Calibri"/>
          <w:spacing w:val="33"/>
          <w:sz w:val="20"/>
          <w:vertAlign w:val="baseline"/>
        </w:rPr>
        <w:t> </w:t>
      </w:r>
      <w:r>
        <w:rPr>
          <w:rFonts w:ascii="Calibri" w:hAnsi="Calibri"/>
          <w:sz w:val="20"/>
          <w:vertAlign w:val="baseline"/>
        </w:rPr>
        <w:t>Indeed,</w:t>
      </w:r>
      <w:r>
        <w:rPr>
          <w:rFonts w:ascii="Calibri" w:hAnsi="Calibri"/>
          <w:spacing w:val="30"/>
          <w:sz w:val="20"/>
          <w:vertAlign w:val="baseline"/>
        </w:rPr>
        <w:t> </w:t>
      </w:r>
      <w:r>
        <w:rPr>
          <w:rFonts w:ascii="Calibri" w:hAnsi="Calibri"/>
          <w:sz w:val="20"/>
          <w:vertAlign w:val="baseline"/>
        </w:rPr>
        <w:t>it</w:t>
      </w:r>
      <w:r>
        <w:rPr>
          <w:rFonts w:ascii="Calibri" w:hAnsi="Calibri"/>
          <w:spacing w:val="31"/>
          <w:sz w:val="20"/>
          <w:vertAlign w:val="baseline"/>
        </w:rPr>
        <w:t> </w:t>
      </w:r>
      <w:r>
        <w:rPr>
          <w:rFonts w:ascii="Calibri" w:hAnsi="Calibri"/>
          <w:sz w:val="20"/>
          <w:vertAlign w:val="baseline"/>
        </w:rPr>
        <w:t>has</w:t>
      </w:r>
      <w:r>
        <w:rPr>
          <w:rFonts w:ascii="Calibri" w:hAnsi="Calibri"/>
          <w:spacing w:val="30"/>
          <w:sz w:val="20"/>
          <w:vertAlign w:val="baseline"/>
        </w:rPr>
        <w:t> </w:t>
      </w:r>
      <w:r>
        <w:rPr>
          <w:rFonts w:ascii="Calibri" w:hAnsi="Calibri"/>
          <w:sz w:val="20"/>
          <w:vertAlign w:val="baseline"/>
        </w:rPr>
        <w:t>been</w:t>
      </w:r>
      <w:r>
        <w:rPr>
          <w:rFonts w:ascii="Calibri" w:hAnsi="Calibri"/>
          <w:spacing w:val="32"/>
          <w:sz w:val="20"/>
          <w:vertAlign w:val="baseline"/>
        </w:rPr>
        <w:t> </w:t>
      </w:r>
      <w:r>
        <w:rPr>
          <w:rFonts w:ascii="Calibri" w:hAnsi="Calibri"/>
          <w:sz w:val="20"/>
          <w:vertAlign w:val="baseline"/>
        </w:rPr>
        <w:t>suggested</w:t>
      </w:r>
      <w:r>
        <w:rPr>
          <w:rFonts w:ascii="Calibri" w:hAnsi="Calibri"/>
          <w:spacing w:val="31"/>
          <w:sz w:val="20"/>
          <w:vertAlign w:val="baseline"/>
        </w:rPr>
        <w:t> </w:t>
      </w:r>
      <w:r>
        <w:rPr>
          <w:rFonts w:ascii="Calibri" w:hAnsi="Calibri"/>
          <w:sz w:val="20"/>
          <w:vertAlign w:val="baseline"/>
        </w:rPr>
        <w:t>that</w:t>
      </w:r>
      <w:r>
        <w:rPr>
          <w:rFonts w:ascii="Calibri" w:hAnsi="Calibri"/>
          <w:spacing w:val="34"/>
          <w:sz w:val="20"/>
          <w:vertAlign w:val="baseline"/>
        </w:rPr>
        <w:t> </w:t>
      </w:r>
      <w:r>
        <w:rPr>
          <w:rFonts w:ascii="Calibri" w:hAnsi="Calibri"/>
          <w:sz w:val="20"/>
          <w:vertAlign w:val="baseline"/>
        </w:rPr>
        <w:t>to</w:t>
      </w:r>
      <w:r>
        <w:rPr>
          <w:rFonts w:ascii="Calibri" w:hAnsi="Calibri"/>
          <w:spacing w:val="31"/>
          <w:sz w:val="20"/>
          <w:vertAlign w:val="baseline"/>
        </w:rPr>
        <w:t> </w:t>
      </w:r>
      <w:r>
        <w:rPr>
          <w:rFonts w:ascii="Calibri" w:hAnsi="Calibri"/>
          <w:sz w:val="20"/>
          <w:vertAlign w:val="baseline"/>
        </w:rPr>
        <w:t>talk</w:t>
      </w:r>
      <w:r>
        <w:rPr>
          <w:rFonts w:ascii="Calibri" w:hAnsi="Calibri"/>
          <w:spacing w:val="31"/>
          <w:sz w:val="20"/>
          <w:vertAlign w:val="baseline"/>
        </w:rPr>
        <w:t> </w:t>
      </w:r>
      <w:r>
        <w:rPr>
          <w:rFonts w:ascii="Calibri" w:hAnsi="Calibri"/>
          <w:sz w:val="20"/>
          <w:vertAlign w:val="baseline"/>
        </w:rPr>
        <w:t>of</w:t>
      </w:r>
      <w:r>
        <w:rPr>
          <w:rFonts w:ascii="Calibri" w:hAnsi="Calibri"/>
          <w:spacing w:val="32"/>
          <w:sz w:val="20"/>
          <w:vertAlign w:val="baseline"/>
        </w:rPr>
        <w:t> </w:t>
      </w:r>
      <w:r>
        <w:rPr>
          <w:rFonts w:ascii="Calibri" w:hAnsi="Calibri"/>
          <w:sz w:val="20"/>
          <w:vertAlign w:val="baseline"/>
        </w:rPr>
        <w:t>directors’</w:t>
      </w:r>
      <w:r>
        <w:rPr>
          <w:rFonts w:ascii="Calibri" w:hAnsi="Calibri"/>
          <w:spacing w:val="32"/>
          <w:sz w:val="20"/>
          <w:vertAlign w:val="baseline"/>
        </w:rPr>
        <w:t> </w:t>
      </w:r>
      <w:r>
        <w:rPr>
          <w:rFonts w:ascii="Calibri" w:hAnsi="Calibri"/>
          <w:sz w:val="20"/>
          <w:vertAlign w:val="baseline"/>
        </w:rPr>
        <w:t>duties</w:t>
      </w:r>
      <w:r>
        <w:rPr>
          <w:rFonts w:ascii="Calibri" w:hAnsi="Calibri"/>
          <w:spacing w:val="30"/>
          <w:sz w:val="20"/>
          <w:vertAlign w:val="baseline"/>
        </w:rPr>
        <w:t> </w:t>
      </w:r>
      <w:r>
        <w:rPr>
          <w:rFonts w:ascii="Calibri" w:hAnsi="Calibri"/>
          <w:sz w:val="20"/>
          <w:vertAlign w:val="baseline"/>
        </w:rPr>
        <w:t>is</w:t>
      </w:r>
      <w:r>
        <w:rPr>
          <w:rFonts w:ascii="Calibri" w:hAnsi="Calibri"/>
          <w:spacing w:val="30"/>
          <w:sz w:val="20"/>
          <w:vertAlign w:val="baseline"/>
        </w:rPr>
        <w:t> </w:t>
      </w:r>
      <w:r>
        <w:rPr>
          <w:rFonts w:ascii="Calibri" w:hAnsi="Calibri"/>
          <w:sz w:val="20"/>
          <w:vertAlign w:val="baseline"/>
        </w:rPr>
        <w:t>a</w:t>
      </w:r>
      <w:r>
        <w:rPr>
          <w:rFonts w:ascii="Calibri" w:hAnsi="Calibri"/>
          <w:spacing w:val="31"/>
          <w:sz w:val="20"/>
          <w:vertAlign w:val="baseline"/>
        </w:rPr>
        <w:t> </w:t>
      </w:r>
      <w:r>
        <w:rPr>
          <w:rFonts w:ascii="Calibri" w:hAnsi="Calibri"/>
          <w:sz w:val="20"/>
          <w:vertAlign w:val="baseline"/>
        </w:rPr>
        <w:t>slight</w:t>
      </w:r>
      <w:r>
        <w:rPr>
          <w:rFonts w:ascii="Calibri" w:hAnsi="Calibri"/>
          <w:spacing w:val="31"/>
          <w:sz w:val="20"/>
          <w:vertAlign w:val="baseline"/>
        </w:rPr>
        <w:t> </w:t>
      </w:r>
      <w:r>
        <w:rPr>
          <w:rFonts w:ascii="Calibri" w:hAnsi="Calibri"/>
          <w:sz w:val="20"/>
          <w:vertAlign w:val="baseline"/>
        </w:rPr>
        <w:t>misnomer,</w:t>
      </w:r>
      <w:r>
        <w:rPr>
          <w:rFonts w:ascii="Calibri" w:hAnsi="Calibri"/>
          <w:spacing w:val="29"/>
          <w:sz w:val="20"/>
          <w:vertAlign w:val="baseline"/>
        </w:rPr>
        <w:t> </w:t>
      </w:r>
      <w:r>
        <w:rPr>
          <w:rFonts w:ascii="Calibri" w:hAnsi="Calibri"/>
          <w:sz w:val="20"/>
          <w:vertAlign w:val="baseline"/>
        </w:rPr>
        <w:t>as</w:t>
      </w:r>
      <w:r>
        <w:rPr>
          <w:rFonts w:ascii="Calibri" w:hAnsi="Calibri"/>
          <w:spacing w:val="29"/>
          <w:sz w:val="20"/>
          <w:vertAlign w:val="baseline"/>
        </w:rPr>
        <w:t> </w:t>
      </w:r>
      <w:r>
        <w:rPr>
          <w:rFonts w:ascii="Calibri" w:hAnsi="Calibri"/>
          <w:sz w:val="20"/>
          <w:vertAlign w:val="baseline"/>
        </w:rPr>
        <w:t>there</w:t>
      </w:r>
      <w:r>
        <w:rPr>
          <w:rFonts w:ascii="Calibri" w:hAnsi="Calibri"/>
          <w:spacing w:val="32"/>
          <w:sz w:val="20"/>
          <w:vertAlign w:val="baseline"/>
        </w:rPr>
        <w:t> </w:t>
      </w:r>
      <w:r>
        <w:rPr>
          <w:rFonts w:ascii="Calibri" w:hAnsi="Calibri"/>
          <w:sz w:val="20"/>
          <w:vertAlign w:val="baseline"/>
        </w:rPr>
        <w:t>are normally</w:t>
      </w:r>
      <w:r>
        <w:rPr>
          <w:rFonts w:ascii="Calibri" w:hAnsi="Calibri"/>
          <w:spacing w:val="27"/>
          <w:sz w:val="20"/>
          <w:vertAlign w:val="baseline"/>
        </w:rPr>
        <w:t> </w:t>
      </w:r>
      <w:r>
        <w:rPr>
          <w:rFonts w:ascii="Calibri" w:hAnsi="Calibri"/>
          <w:sz w:val="20"/>
          <w:vertAlign w:val="baseline"/>
        </w:rPr>
        <w:t>no</w:t>
      </w:r>
      <w:r>
        <w:rPr>
          <w:rFonts w:ascii="Calibri" w:hAnsi="Calibri"/>
          <w:spacing w:val="26"/>
          <w:sz w:val="20"/>
          <w:vertAlign w:val="baseline"/>
        </w:rPr>
        <w:t> </w:t>
      </w:r>
      <w:r>
        <w:rPr>
          <w:rFonts w:ascii="Calibri" w:hAnsi="Calibri"/>
          <w:sz w:val="20"/>
          <w:vertAlign w:val="baseline"/>
        </w:rPr>
        <w:t>positive</w:t>
      </w:r>
      <w:r>
        <w:rPr>
          <w:rFonts w:ascii="Calibri" w:hAnsi="Calibri"/>
          <w:spacing w:val="27"/>
          <w:sz w:val="20"/>
          <w:vertAlign w:val="baseline"/>
        </w:rPr>
        <w:t> </w:t>
      </w:r>
      <w:r>
        <w:rPr>
          <w:rFonts w:ascii="Calibri" w:hAnsi="Calibri"/>
          <w:sz w:val="20"/>
          <w:vertAlign w:val="baseline"/>
        </w:rPr>
        <w:t>duties</w:t>
      </w:r>
      <w:r>
        <w:rPr>
          <w:rFonts w:ascii="Calibri" w:hAnsi="Calibri"/>
          <w:spacing w:val="25"/>
          <w:sz w:val="20"/>
          <w:vertAlign w:val="baseline"/>
        </w:rPr>
        <w:t> </w:t>
      </w:r>
      <w:r>
        <w:rPr>
          <w:rFonts w:ascii="Calibri" w:hAnsi="Calibri"/>
          <w:sz w:val="20"/>
          <w:vertAlign w:val="baseline"/>
        </w:rPr>
        <w:t>on</w:t>
      </w:r>
      <w:r>
        <w:rPr>
          <w:rFonts w:ascii="Calibri" w:hAnsi="Calibri"/>
          <w:spacing w:val="27"/>
          <w:sz w:val="20"/>
          <w:vertAlign w:val="baseline"/>
        </w:rPr>
        <w:t> </w:t>
      </w:r>
      <w:r>
        <w:rPr>
          <w:rFonts w:ascii="Calibri" w:hAnsi="Calibri"/>
          <w:sz w:val="20"/>
          <w:vertAlign w:val="baseline"/>
        </w:rPr>
        <w:t>directors</w:t>
      </w:r>
      <w:r>
        <w:rPr>
          <w:rFonts w:ascii="Calibri" w:hAnsi="Calibri"/>
          <w:spacing w:val="25"/>
          <w:sz w:val="20"/>
          <w:vertAlign w:val="baseline"/>
        </w:rPr>
        <w:t> </w:t>
      </w:r>
      <w:r>
        <w:rPr>
          <w:rFonts w:ascii="Calibri" w:hAnsi="Calibri"/>
          <w:sz w:val="20"/>
          <w:vertAlign w:val="baseline"/>
        </w:rPr>
        <w:t>to</w:t>
      </w:r>
      <w:r>
        <w:rPr>
          <w:rFonts w:ascii="Calibri" w:hAnsi="Calibri"/>
          <w:spacing w:val="26"/>
          <w:sz w:val="20"/>
          <w:vertAlign w:val="baseline"/>
        </w:rPr>
        <w:t> </w:t>
      </w:r>
      <w:r>
        <w:rPr>
          <w:rFonts w:ascii="Calibri" w:hAnsi="Calibri"/>
          <w:sz w:val="20"/>
          <w:vertAlign w:val="baseline"/>
        </w:rPr>
        <w:t>act</w:t>
      </w:r>
      <w:r>
        <w:rPr>
          <w:rFonts w:ascii="Calibri" w:hAnsi="Calibri"/>
          <w:spacing w:val="27"/>
          <w:sz w:val="20"/>
          <w:vertAlign w:val="baseline"/>
        </w:rPr>
        <w:t> </w:t>
      </w:r>
      <w:r>
        <w:rPr>
          <w:rFonts w:ascii="Calibri" w:hAnsi="Calibri"/>
          <w:sz w:val="20"/>
          <w:vertAlign w:val="baseline"/>
        </w:rPr>
        <w:t>at</w:t>
      </w:r>
      <w:r>
        <w:rPr>
          <w:rFonts w:ascii="Calibri" w:hAnsi="Calibri"/>
          <w:spacing w:val="26"/>
          <w:sz w:val="20"/>
          <w:vertAlign w:val="baseline"/>
        </w:rPr>
        <w:t> </w:t>
      </w:r>
      <w:r>
        <w:rPr>
          <w:rFonts w:ascii="Calibri" w:hAnsi="Calibri"/>
          <w:sz w:val="20"/>
          <w:vertAlign w:val="baseline"/>
        </w:rPr>
        <w:t>all,</w:t>
      </w:r>
      <w:r>
        <w:rPr>
          <w:rFonts w:ascii="Calibri" w:hAnsi="Calibri"/>
          <w:spacing w:val="25"/>
          <w:sz w:val="20"/>
          <w:vertAlign w:val="baseline"/>
        </w:rPr>
        <w:t> </w:t>
      </w:r>
      <w:r>
        <w:rPr>
          <w:rFonts w:ascii="Calibri" w:hAnsi="Calibri"/>
          <w:sz w:val="20"/>
          <w:vertAlign w:val="baseline"/>
        </w:rPr>
        <w:t>but</w:t>
      </w:r>
      <w:r>
        <w:rPr>
          <w:rFonts w:ascii="Calibri" w:hAnsi="Calibri"/>
          <w:spacing w:val="21"/>
          <w:sz w:val="20"/>
          <w:vertAlign w:val="baseline"/>
        </w:rPr>
        <w:t> </w:t>
      </w:r>
      <w:r>
        <w:rPr>
          <w:rFonts w:ascii="Calibri" w:hAnsi="Calibri"/>
          <w:sz w:val="20"/>
          <w:vertAlign w:val="baseline"/>
        </w:rPr>
        <w:t>merely</w:t>
      </w:r>
      <w:r>
        <w:rPr>
          <w:rFonts w:ascii="Calibri" w:hAnsi="Calibri"/>
          <w:spacing w:val="27"/>
          <w:sz w:val="20"/>
          <w:vertAlign w:val="baseline"/>
        </w:rPr>
        <w:t> </w:t>
      </w:r>
      <w:r>
        <w:rPr>
          <w:rFonts w:ascii="Calibri" w:hAnsi="Calibri"/>
          <w:sz w:val="20"/>
          <w:vertAlign w:val="baseline"/>
        </w:rPr>
        <w:t>a</w:t>
      </w:r>
      <w:r>
        <w:rPr>
          <w:rFonts w:ascii="Calibri" w:hAnsi="Calibri"/>
          <w:spacing w:val="26"/>
          <w:sz w:val="20"/>
          <w:vertAlign w:val="baseline"/>
        </w:rPr>
        <w:t> </w:t>
      </w:r>
      <w:r>
        <w:rPr>
          <w:rFonts w:ascii="Calibri" w:hAnsi="Calibri"/>
          <w:sz w:val="20"/>
          <w:vertAlign w:val="baseline"/>
        </w:rPr>
        <w:t>prohibition</w:t>
      </w:r>
      <w:r>
        <w:rPr>
          <w:rFonts w:ascii="Calibri" w:hAnsi="Calibri"/>
          <w:spacing w:val="27"/>
          <w:sz w:val="20"/>
          <w:vertAlign w:val="baseline"/>
        </w:rPr>
        <w:t> </w:t>
      </w:r>
      <w:r>
        <w:rPr>
          <w:rFonts w:ascii="Calibri" w:hAnsi="Calibri"/>
          <w:sz w:val="20"/>
          <w:vertAlign w:val="baseline"/>
        </w:rPr>
        <w:t>on</w:t>
      </w:r>
      <w:r>
        <w:rPr>
          <w:rFonts w:ascii="Calibri" w:hAnsi="Calibri"/>
          <w:spacing w:val="22"/>
          <w:sz w:val="20"/>
          <w:vertAlign w:val="baseline"/>
        </w:rPr>
        <w:t> </w:t>
      </w:r>
      <w:r>
        <w:rPr>
          <w:rFonts w:ascii="Calibri" w:hAnsi="Calibri"/>
          <w:sz w:val="20"/>
          <w:vertAlign w:val="baseline"/>
        </w:rPr>
        <w:t>what</w:t>
      </w:r>
      <w:r>
        <w:rPr>
          <w:rFonts w:ascii="Calibri" w:hAnsi="Calibri"/>
          <w:spacing w:val="26"/>
          <w:sz w:val="20"/>
          <w:vertAlign w:val="baseline"/>
        </w:rPr>
        <w:t> </w:t>
      </w:r>
      <w:r>
        <w:rPr>
          <w:rFonts w:ascii="Calibri" w:hAnsi="Calibri"/>
          <w:sz w:val="20"/>
          <w:vertAlign w:val="baseline"/>
        </w:rPr>
        <w:t>they</w:t>
      </w:r>
      <w:r>
        <w:rPr>
          <w:rFonts w:ascii="Calibri" w:hAnsi="Calibri"/>
          <w:spacing w:val="27"/>
          <w:sz w:val="20"/>
          <w:vertAlign w:val="baseline"/>
        </w:rPr>
        <w:t> </w:t>
      </w:r>
      <w:r>
        <w:rPr>
          <w:rFonts w:ascii="Calibri" w:hAnsi="Calibri"/>
          <w:sz w:val="20"/>
          <w:vertAlign w:val="baseline"/>
        </w:rPr>
        <w:t>can</w:t>
      </w:r>
      <w:r>
        <w:rPr>
          <w:rFonts w:ascii="Calibri" w:hAnsi="Calibri"/>
          <w:spacing w:val="26"/>
          <w:sz w:val="20"/>
          <w:vertAlign w:val="baseline"/>
        </w:rPr>
        <w:t> </w:t>
      </w:r>
      <w:r>
        <w:rPr>
          <w:rFonts w:ascii="Calibri" w:hAnsi="Calibri"/>
          <w:sz w:val="20"/>
          <w:vertAlign w:val="baseline"/>
        </w:rPr>
        <w:t>do, should they decide to act. Thus the directors’ duties are enforced negatively. See Prentice, D.D. (1967). Regal (Hastings) Ltd. vs. Gulliver: The Canadian</w:t>
      </w:r>
      <w:r>
        <w:rPr>
          <w:rFonts w:ascii="Calibri" w:hAnsi="Calibri"/>
          <w:spacing w:val="-2"/>
          <w:sz w:val="20"/>
          <w:vertAlign w:val="baseline"/>
        </w:rPr>
        <w:t> </w:t>
      </w:r>
      <w:r>
        <w:rPr>
          <w:rFonts w:ascii="Calibri" w:hAnsi="Calibri"/>
          <w:sz w:val="20"/>
          <w:vertAlign w:val="baseline"/>
        </w:rPr>
        <w:t>Experience. The </w:t>
      </w:r>
      <w:r>
        <w:rPr>
          <w:rFonts w:ascii="Calibri" w:hAnsi="Calibri"/>
          <w:i/>
          <w:sz w:val="20"/>
          <w:vertAlign w:val="baseline"/>
        </w:rPr>
        <w:t>Modern Law Review, </w:t>
      </w:r>
      <w:r>
        <w:rPr>
          <w:rFonts w:ascii="Calibri" w:hAnsi="Calibri"/>
          <w:sz w:val="20"/>
          <w:vertAlign w:val="baseline"/>
        </w:rPr>
        <w:t>30: 450 at p. 455. </w:t>
      </w:r>
      <w:r>
        <w:rPr>
          <w:rFonts w:ascii="Calibri" w:hAnsi="Calibri"/>
          <w:sz w:val="20"/>
          <w:vertAlign w:val="superscript"/>
        </w:rPr>
        <w:t>241</w:t>
      </w:r>
      <w:r>
        <w:rPr>
          <w:rFonts w:ascii="Calibri" w:hAnsi="Calibri"/>
          <w:sz w:val="20"/>
          <w:vertAlign w:val="baseline"/>
        </w:rPr>
        <w:t>See Birds, J. et al.op.cit. note 111 atp. 645 on this note.</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195"/>
        <w:jc w:val="both"/>
      </w:pPr>
      <w:r>
        <w:rPr/>
        <w:t>of information which otherwise he wouldn‘t have, if he were not that company‘s director. This is in fact directly linked to the fiduciary‘s duty to account.</w:t>
      </w:r>
    </w:p>
    <w:p>
      <w:pPr>
        <w:pStyle w:val="BodyText"/>
        <w:spacing w:line="480" w:lineRule="auto"/>
        <w:ind w:right="185" w:firstLine="720"/>
        <w:jc w:val="both"/>
      </w:pPr>
      <w:r>
        <w:rPr/>
        <w:t>Unarguably,</w:t>
      </w:r>
      <w:r>
        <w:rPr>
          <w:spacing w:val="-1"/>
        </w:rPr>
        <w:t> </w:t>
      </w:r>
      <w:r>
        <w:rPr/>
        <w:t>the</w:t>
      </w:r>
      <w:r>
        <w:rPr>
          <w:spacing w:val="-3"/>
        </w:rPr>
        <w:t> </w:t>
      </w:r>
      <w:r>
        <w:rPr/>
        <w:t>rule</w:t>
      </w:r>
      <w:r>
        <w:rPr>
          <w:spacing w:val="-3"/>
        </w:rPr>
        <w:t> </w:t>
      </w:r>
      <w:r>
        <w:rPr/>
        <w:t>against making</w:t>
      </w:r>
      <w:r>
        <w:rPr>
          <w:spacing w:val="-3"/>
        </w:rPr>
        <w:t> </w:t>
      </w:r>
      <w:r>
        <w:rPr/>
        <w:t>any</w:t>
      </w:r>
      <w:r>
        <w:rPr>
          <w:spacing w:val="-7"/>
        </w:rPr>
        <w:t> </w:t>
      </w:r>
      <w:r>
        <w:rPr/>
        <w:t>personal</w:t>
      </w:r>
      <w:r>
        <w:rPr>
          <w:spacing w:val="-7"/>
        </w:rPr>
        <w:t> </w:t>
      </w:r>
      <w:r>
        <w:rPr/>
        <w:t>gain</w:t>
      </w:r>
      <w:r>
        <w:rPr>
          <w:spacing w:val="-3"/>
        </w:rPr>
        <w:t> </w:t>
      </w:r>
      <w:r>
        <w:rPr/>
        <w:t>in</w:t>
      </w:r>
      <w:r>
        <w:rPr>
          <w:spacing w:val="-7"/>
        </w:rPr>
        <w:t> </w:t>
      </w:r>
      <w:r>
        <w:rPr/>
        <w:t>utilizing</w:t>
      </w:r>
      <w:r>
        <w:rPr>
          <w:spacing w:val="-3"/>
        </w:rPr>
        <w:t> </w:t>
      </w:r>
      <w:r>
        <w:rPr/>
        <w:t>the</w:t>
      </w:r>
      <w:r>
        <w:rPr>
          <w:spacing w:val="-3"/>
        </w:rPr>
        <w:t> </w:t>
      </w:r>
      <w:r>
        <w:rPr/>
        <w:t>company‘s property</w:t>
      </w:r>
      <w:r>
        <w:rPr>
          <w:spacing w:val="-7"/>
        </w:rPr>
        <w:t> </w:t>
      </w:r>
      <w:r>
        <w:rPr/>
        <w:t>is straightforward.</w:t>
      </w:r>
      <w:r>
        <w:rPr>
          <w:spacing w:val="-5"/>
        </w:rPr>
        <w:t> </w:t>
      </w:r>
      <w:r>
        <w:rPr/>
        <w:t>This is</w:t>
      </w:r>
      <w:r>
        <w:rPr>
          <w:spacing w:val="-4"/>
        </w:rPr>
        <w:t> </w:t>
      </w:r>
      <w:r>
        <w:rPr/>
        <w:t>reinforced by</w:t>
      </w:r>
      <w:r>
        <w:rPr>
          <w:spacing w:val="-11"/>
        </w:rPr>
        <w:t> </w:t>
      </w:r>
      <w:r>
        <w:rPr/>
        <w:t>the fact that s. 283(1)</w:t>
      </w:r>
      <w:r>
        <w:rPr>
          <w:spacing w:val="-1"/>
        </w:rPr>
        <w:t> </w:t>
      </w:r>
      <w:r>
        <w:rPr/>
        <w:t>clearly</w:t>
      </w:r>
      <w:r>
        <w:rPr>
          <w:spacing w:val="-2"/>
        </w:rPr>
        <w:t> </w:t>
      </w:r>
      <w:r>
        <w:rPr/>
        <w:t>makes</w:t>
      </w:r>
      <w:r>
        <w:rPr>
          <w:spacing w:val="-4"/>
        </w:rPr>
        <w:t> </w:t>
      </w:r>
      <w:r>
        <w:rPr/>
        <w:t>the directors trustees of the company‘s monies and properties. There is thus obviously no room</w:t>
      </w:r>
      <w:r>
        <w:rPr>
          <w:spacing w:val="-4"/>
        </w:rPr>
        <w:t> </w:t>
      </w:r>
      <w:r>
        <w:rPr/>
        <w:t>for personal</w:t>
      </w:r>
      <w:r>
        <w:rPr>
          <w:spacing w:val="-4"/>
        </w:rPr>
        <w:t> </w:t>
      </w:r>
      <w:r>
        <w:rPr/>
        <w:t>gain where the company‘s</w:t>
      </w:r>
      <w:r>
        <w:rPr>
          <w:spacing w:val="-2"/>
        </w:rPr>
        <w:t> </w:t>
      </w:r>
      <w:r>
        <w:rPr/>
        <w:t>properties are concerned.</w:t>
      </w:r>
      <w:r>
        <w:rPr>
          <w:vertAlign w:val="superscript"/>
        </w:rPr>
        <w:t>242</w:t>
      </w:r>
      <w:r>
        <w:rPr>
          <w:vertAlign w:val="baseline"/>
        </w:rPr>
        <w:t> The tricky</w:t>
      </w:r>
      <w:r>
        <w:rPr>
          <w:spacing w:val="-4"/>
          <w:vertAlign w:val="baseline"/>
        </w:rPr>
        <w:t> </w:t>
      </w:r>
      <w:r>
        <w:rPr>
          <w:vertAlign w:val="baseline"/>
        </w:rPr>
        <w:t>part is when ―unnecessary benefit‖ can be broadly interpreted to incorporate misuse of corporate opportunity and information. Most cases involve either or both of these two.</w:t>
      </w:r>
    </w:p>
    <w:p>
      <w:pPr>
        <w:pStyle w:val="BodyText"/>
        <w:spacing w:line="480" w:lineRule="auto" w:before="2"/>
        <w:ind w:right="183" w:firstLine="720"/>
        <w:jc w:val="both"/>
      </w:pPr>
      <w:r>
        <w:rPr/>
        <w:t>In </w:t>
      </w:r>
      <w:r>
        <w:rPr>
          <w:b/>
        </w:rPr>
        <w:t>Nasr vs. Berini (Beirut-Riyadh) Bank (Nigeria) Ltd.</w:t>
      </w:r>
      <w:r>
        <w:rPr/>
        <w:t>,</w:t>
      </w:r>
      <w:r>
        <w:rPr>
          <w:vertAlign w:val="superscript"/>
        </w:rPr>
        <w:t>243</w:t>
      </w:r>
      <w:r>
        <w:rPr>
          <w:vertAlign w:val="baseline"/>
        </w:rPr>
        <w:t> the plaintiff was a director to the defendant. Through an account opened in his nephew‘s name but in fact operated by him, he caused the defendant to advance money for the development of a property</w:t>
      </w:r>
      <w:r>
        <w:rPr>
          <w:spacing w:val="-6"/>
          <w:vertAlign w:val="baseline"/>
        </w:rPr>
        <w:t> </w:t>
      </w:r>
      <w:r>
        <w:rPr>
          <w:vertAlign w:val="baseline"/>
        </w:rPr>
        <w:t>he</w:t>
      </w:r>
      <w:r>
        <w:rPr>
          <w:spacing w:val="-3"/>
          <w:vertAlign w:val="baseline"/>
        </w:rPr>
        <w:t> </w:t>
      </w:r>
      <w:r>
        <w:rPr>
          <w:vertAlign w:val="baseline"/>
        </w:rPr>
        <w:t>owned. It was</w:t>
      </w:r>
      <w:r>
        <w:rPr>
          <w:spacing w:val="-3"/>
          <w:vertAlign w:val="baseline"/>
        </w:rPr>
        <w:t> </w:t>
      </w:r>
      <w:r>
        <w:rPr>
          <w:vertAlign w:val="baseline"/>
        </w:rPr>
        <w:t>held</w:t>
      </w:r>
      <w:r>
        <w:rPr>
          <w:spacing w:val="-2"/>
          <w:vertAlign w:val="baseline"/>
        </w:rPr>
        <w:t> </w:t>
      </w:r>
      <w:r>
        <w:rPr>
          <w:vertAlign w:val="baseline"/>
        </w:rPr>
        <w:t>that a</w:t>
      </w:r>
      <w:r>
        <w:rPr>
          <w:spacing w:val="-3"/>
          <w:vertAlign w:val="baseline"/>
        </w:rPr>
        <w:t> </w:t>
      </w:r>
      <w:r>
        <w:rPr>
          <w:vertAlign w:val="baseline"/>
        </w:rPr>
        <w:t>director</w:t>
      </w:r>
      <w:r>
        <w:rPr>
          <w:spacing w:val="-1"/>
          <w:vertAlign w:val="baseline"/>
        </w:rPr>
        <w:t> </w:t>
      </w:r>
      <w:r>
        <w:rPr>
          <w:vertAlign w:val="baseline"/>
        </w:rPr>
        <w:t>cannot cause</w:t>
      </w:r>
      <w:r>
        <w:rPr>
          <w:spacing w:val="-7"/>
          <w:vertAlign w:val="baseline"/>
        </w:rPr>
        <w:t> </w:t>
      </w:r>
      <w:r>
        <w:rPr>
          <w:vertAlign w:val="baseline"/>
        </w:rPr>
        <w:t>the</w:t>
      </w:r>
      <w:r>
        <w:rPr>
          <w:spacing w:val="-3"/>
          <w:vertAlign w:val="baseline"/>
        </w:rPr>
        <w:t> </w:t>
      </w:r>
      <w:r>
        <w:rPr>
          <w:vertAlign w:val="baseline"/>
        </w:rPr>
        <w:t>company</w:t>
      </w:r>
      <w:r>
        <w:rPr>
          <w:spacing w:val="-6"/>
          <w:vertAlign w:val="baseline"/>
        </w:rPr>
        <w:t> </w:t>
      </w:r>
      <w:r>
        <w:rPr>
          <w:vertAlign w:val="baseline"/>
        </w:rPr>
        <w:t>to spend money on developing his own property without proper disclosure. The Supreme Court restated with approval the statement by the trial court that</w:t>
      </w:r>
    </w:p>
    <w:p>
      <w:pPr>
        <w:spacing w:line="240" w:lineRule="auto" w:before="1"/>
        <w:ind w:left="2007" w:right="1887" w:firstLine="0"/>
        <w:jc w:val="both"/>
        <w:rPr>
          <w:i/>
          <w:sz w:val="24"/>
        </w:rPr>
      </w:pPr>
      <w:r>
        <w:rPr>
          <w:i/>
          <w:sz w:val="24"/>
        </w:rPr>
        <w:t>It is a fundamental principle of company law that </w:t>
      </w:r>
      <w:r>
        <w:rPr>
          <w:i/>
          <w:sz w:val="24"/>
        </w:rPr>
        <w:t>a director is precluded from dealing on behalf of the company with himself and from entering into engagements in which he has a personal interest conflicting or which possibly may conflict with the interest of those whom he is bound by fiduciary duty to protect...Any such dealing or engagement may however be affirmed or adopted by the company, provided such affirmation or adoption is not brought about by unfair or improper means.</w:t>
      </w:r>
      <w:r>
        <w:rPr>
          <w:i/>
          <w:sz w:val="24"/>
          <w:vertAlign w:val="superscript"/>
        </w:rPr>
        <w:t>244</w:t>
      </w:r>
    </w:p>
    <w:p>
      <w:pPr>
        <w:pStyle w:val="BodyText"/>
        <w:spacing w:before="3"/>
        <w:ind w:left="0"/>
        <w:rPr>
          <w:i/>
        </w:rPr>
      </w:pPr>
    </w:p>
    <w:p>
      <w:pPr>
        <w:pStyle w:val="BodyText"/>
        <w:spacing w:line="480" w:lineRule="auto"/>
        <w:ind w:right="186"/>
        <w:jc w:val="both"/>
      </w:pPr>
      <w:r>
        <w:rPr/>
        <w:t>Thus, the law recognises the right of the company to decide whether or not to let the director benefit from any transactions or use of corporate property. In line with s.280(6) the proper procedure is for the director to simply make a disclosure at the general meeting</w:t>
      </w:r>
      <w:r>
        <w:rPr>
          <w:spacing w:val="13"/>
        </w:rPr>
        <w:t> </w:t>
      </w:r>
      <w:r>
        <w:rPr>
          <w:i/>
        </w:rPr>
        <w:t>before</w:t>
      </w:r>
      <w:r>
        <w:rPr>
          <w:i/>
          <w:spacing w:val="14"/>
        </w:rPr>
        <w:t> </w:t>
      </w:r>
      <w:r>
        <w:rPr>
          <w:i/>
        </w:rPr>
        <w:t>the</w:t>
      </w:r>
      <w:r>
        <w:rPr>
          <w:i/>
          <w:spacing w:val="15"/>
        </w:rPr>
        <w:t> </w:t>
      </w:r>
      <w:r>
        <w:rPr>
          <w:i/>
        </w:rPr>
        <w:t>transaction</w:t>
      </w:r>
      <w:r>
        <w:rPr>
          <w:i/>
          <w:spacing w:val="14"/>
        </w:rPr>
        <w:t> </w:t>
      </w:r>
      <w:r>
        <w:rPr>
          <w:i/>
        </w:rPr>
        <w:t>or</w:t>
      </w:r>
      <w:r>
        <w:rPr>
          <w:i/>
          <w:spacing w:val="13"/>
        </w:rPr>
        <w:t> </w:t>
      </w:r>
      <w:r>
        <w:rPr>
          <w:i/>
        </w:rPr>
        <w:t>secret</w:t>
      </w:r>
      <w:r>
        <w:rPr>
          <w:i/>
          <w:spacing w:val="16"/>
        </w:rPr>
        <w:t> </w:t>
      </w:r>
      <w:r>
        <w:rPr>
          <w:i/>
        </w:rPr>
        <w:t>profit</w:t>
      </w:r>
      <w:r>
        <w:rPr>
          <w:i/>
          <w:spacing w:val="16"/>
        </w:rPr>
        <w:t> </w:t>
      </w:r>
      <w:r>
        <w:rPr>
          <w:i/>
        </w:rPr>
        <w:t>is</w:t>
      </w:r>
      <w:r>
        <w:rPr>
          <w:i/>
          <w:spacing w:val="12"/>
        </w:rPr>
        <w:t> </w:t>
      </w:r>
      <w:r>
        <w:rPr>
          <w:i/>
        </w:rPr>
        <w:t>made</w:t>
      </w:r>
      <w:r>
        <w:rPr>
          <w:i/>
          <w:spacing w:val="20"/>
        </w:rPr>
        <w:t> </w:t>
      </w:r>
      <w:r>
        <w:rPr/>
        <w:t>and</w:t>
      </w:r>
      <w:r>
        <w:rPr>
          <w:spacing w:val="15"/>
        </w:rPr>
        <w:t> </w:t>
      </w:r>
      <w:r>
        <w:rPr/>
        <w:t>the</w:t>
      </w:r>
      <w:r>
        <w:rPr>
          <w:spacing w:val="13"/>
        </w:rPr>
        <w:t> </w:t>
      </w:r>
      <w:r>
        <w:rPr/>
        <w:t>general</w:t>
      </w:r>
      <w:r>
        <w:rPr>
          <w:spacing w:val="16"/>
        </w:rPr>
        <w:t> </w:t>
      </w:r>
      <w:r>
        <w:rPr/>
        <w:t>meeting</w:t>
      </w:r>
      <w:r>
        <w:rPr>
          <w:spacing w:val="20"/>
        </w:rPr>
        <w:t> </w:t>
      </w:r>
      <w:r>
        <w:rPr/>
        <w:t>in</w:t>
      </w:r>
      <w:r>
        <w:rPr>
          <w:spacing w:val="15"/>
        </w:rPr>
        <w:t> </w:t>
      </w:r>
      <w:r>
        <w:rPr>
          <w:spacing w:val="-4"/>
        </w:rPr>
        <w:t>turn</w:t>
      </w:r>
    </w:p>
    <w:p>
      <w:pPr>
        <w:pStyle w:val="BodyText"/>
        <w:spacing w:before="2"/>
        <w:ind w:left="0"/>
        <w:rPr>
          <w:sz w:val="14"/>
        </w:rPr>
      </w:pPr>
      <w:r>
        <w:rPr/>
        <mc:AlternateContent>
          <mc:Choice Requires="wps">
            <w:drawing>
              <wp:anchor distT="0" distB="0" distL="0" distR="0" allowOverlap="1" layoutInCell="1" locked="0" behindDoc="1" simplePos="0" relativeHeight="487665152">
                <wp:simplePos x="0" y="0"/>
                <wp:positionH relativeFrom="page">
                  <wp:posOffset>1262481</wp:posOffset>
                </wp:positionH>
                <wp:positionV relativeFrom="paragraph">
                  <wp:posOffset>118809</wp:posOffset>
                </wp:positionV>
                <wp:extent cx="1829435" cy="9525"/>
                <wp:effectExtent l="0" t="0" r="0" b="0"/>
                <wp:wrapTopAndBottom/>
                <wp:docPr id="167" name="Graphic 167"/>
                <wp:cNvGraphicFramePr>
                  <a:graphicFrameLocks/>
                </wp:cNvGraphicFramePr>
                <a:graphic>
                  <a:graphicData uri="http://schemas.microsoft.com/office/word/2010/wordprocessingShape">
                    <wps:wsp>
                      <wps:cNvPr id="167" name="Graphic 16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355108pt;width:144.050pt;height:.71997pt;mso-position-horizontal-relative:page;mso-position-vertical-relative:paragraph;z-index:-15651328;mso-wrap-distance-left:0;mso-wrap-distance-right:0" id="docshape12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242</w:t>
      </w:r>
      <w:r>
        <w:rPr>
          <w:rFonts w:ascii="Calibri"/>
          <w:sz w:val="20"/>
          <w:vertAlign w:val="baseline"/>
        </w:rPr>
        <w:t>Unless</w:t>
      </w:r>
      <w:r>
        <w:rPr>
          <w:rFonts w:ascii="Calibri"/>
          <w:spacing w:val="-4"/>
          <w:sz w:val="20"/>
          <w:vertAlign w:val="baseline"/>
        </w:rPr>
        <w:t> </w:t>
      </w:r>
      <w:r>
        <w:rPr>
          <w:rFonts w:ascii="Calibri"/>
          <w:sz w:val="20"/>
          <w:vertAlign w:val="baseline"/>
        </w:rPr>
        <w:t>the</w:t>
      </w:r>
      <w:r>
        <w:rPr>
          <w:rFonts w:ascii="Calibri"/>
          <w:spacing w:val="-1"/>
          <w:sz w:val="20"/>
          <w:vertAlign w:val="baseline"/>
        </w:rPr>
        <w:t> </w:t>
      </w:r>
      <w:r>
        <w:rPr>
          <w:rFonts w:ascii="Calibri"/>
          <w:sz w:val="20"/>
          <w:vertAlign w:val="baseline"/>
        </w:rPr>
        <w:t>company</w:t>
      </w:r>
      <w:r>
        <w:rPr>
          <w:rFonts w:ascii="Calibri"/>
          <w:spacing w:val="-7"/>
          <w:sz w:val="20"/>
          <w:vertAlign w:val="baseline"/>
        </w:rPr>
        <w:t> </w:t>
      </w:r>
      <w:r>
        <w:rPr>
          <w:rFonts w:ascii="Calibri"/>
          <w:sz w:val="20"/>
          <w:vertAlign w:val="baseline"/>
        </w:rPr>
        <w:t>is</w:t>
      </w:r>
      <w:r>
        <w:rPr>
          <w:rFonts w:ascii="Calibri"/>
          <w:spacing w:val="-3"/>
          <w:sz w:val="20"/>
          <w:vertAlign w:val="baseline"/>
        </w:rPr>
        <w:t> </w:t>
      </w:r>
      <w:r>
        <w:rPr>
          <w:rFonts w:ascii="Calibri"/>
          <w:sz w:val="20"/>
          <w:vertAlign w:val="baseline"/>
        </w:rPr>
        <w:t>privately</w:t>
      </w:r>
      <w:r>
        <w:rPr>
          <w:rFonts w:ascii="Calibri"/>
          <w:spacing w:val="-7"/>
          <w:sz w:val="20"/>
          <w:vertAlign w:val="baseline"/>
        </w:rPr>
        <w:t> </w:t>
      </w:r>
      <w:r>
        <w:rPr>
          <w:rFonts w:ascii="Calibri"/>
          <w:sz w:val="20"/>
          <w:vertAlign w:val="baseline"/>
        </w:rPr>
        <w:t>owned</w:t>
      </w:r>
      <w:r>
        <w:rPr>
          <w:rFonts w:ascii="Calibri"/>
          <w:spacing w:val="-6"/>
          <w:sz w:val="20"/>
          <w:vertAlign w:val="baseline"/>
        </w:rPr>
        <w:t> </w:t>
      </w:r>
      <w:r>
        <w:rPr>
          <w:rFonts w:ascii="Calibri"/>
          <w:sz w:val="20"/>
          <w:vertAlign w:val="baseline"/>
        </w:rPr>
        <w:t>by</w:t>
      </w:r>
      <w:r>
        <w:rPr>
          <w:rFonts w:ascii="Calibri"/>
          <w:spacing w:val="-7"/>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same</w:t>
      </w:r>
      <w:r>
        <w:rPr>
          <w:rFonts w:ascii="Calibri"/>
          <w:spacing w:val="-1"/>
          <w:sz w:val="20"/>
          <w:vertAlign w:val="baseline"/>
        </w:rPr>
        <w:t> </w:t>
      </w:r>
      <w:r>
        <w:rPr>
          <w:rFonts w:ascii="Calibri"/>
          <w:sz w:val="20"/>
          <w:vertAlign w:val="baseline"/>
        </w:rPr>
        <w:t>persons</w:t>
      </w:r>
      <w:r>
        <w:rPr>
          <w:rFonts w:ascii="Calibri"/>
          <w:spacing w:val="-8"/>
          <w:sz w:val="20"/>
          <w:vertAlign w:val="baseline"/>
        </w:rPr>
        <w:t> </w:t>
      </w:r>
      <w:r>
        <w:rPr>
          <w:rFonts w:ascii="Calibri"/>
          <w:sz w:val="20"/>
          <w:vertAlign w:val="baseline"/>
        </w:rPr>
        <w:t>who</w:t>
      </w:r>
      <w:r>
        <w:rPr>
          <w:rFonts w:ascii="Calibri"/>
          <w:spacing w:val="-7"/>
          <w:sz w:val="20"/>
          <w:vertAlign w:val="baseline"/>
        </w:rPr>
        <w:t> </w:t>
      </w:r>
      <w:r>
        <w:rPr>
          <w:rFonts w:ascii="Calibri"/>
          <w:sz w:val="20"/>
          <w:vertAlign w:val="baseline"/>
        </w:rPr>
        <w:t>happen</w:t>
      </w:r>
      <w:r>
        <w:rPr>
          <w:rFonts w:ascii="Calibri"/>
          <w:spacing w:val="-7"/>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be</w:t>
      </w:r>
      <w:r>
        <w:rPr>
          <w:rFonts w:ascii="Calibri"/>
          <w:spacing w:val="-6"/>
          <w:sz w:val="20"/>
          <w:vertAlign w:val="baseline"/>
        </w:rPr>
        <w:t> </w:t>
      </w:r>
      <w:r>
        <w:rPr>
          <w:rFonts w:ascii="Calibri"/>
          <w:sz w:val="20"/>
          <w:vertAlign w:val="baseline"/>
        </w:rPr>
        <w:t>its</w:t>
      </w:r>
      <w:r>
        <w:rPr>
          <w:rFonts w:ascii="Calibri"/>
          <w:spacing w:val="-3"/>
          <w:sz w:val="20"/>
          <w:vertAlign w:val="baseline"/>
        </w:rPr>
        <w:t> </w:t>
      </w:r>
      <w:r>
        <w:rPr>
          <w:rFonts w:ascii="Calibri"/>
          <w:spacing w:val="-2"/>
          <w:sz w:val="20"/>
          <w:vertAlign w:val="baseline"/>
        </w:rPr>
        <w:t>directors.</w:t>
      </w:r>
    </w:p>
    <w:p>
      <w:pPr>
        <w:spacing w:before="1"/>
        <w:ind w:left="308" w:right="0" w:firstLine="0"/>
        <w:jc w:val="left"/>
        <w:rPr>
          <w:rFonts w:ascii="Calibri"/>
          <w:sz w:val="20"/>
        </w:rPr>
      </w:pPr>
      <w:r>
        <w:rPr>
          <w:rFonts w:ascii="Calibri"/>
          <w:sz w:val="20"/>
          <w:vertAlign w:val="superscript"/>
        </w:rPr>
        <w:t>243</w:t>
      </w:r>
      <w:r>
        <w:rPr>
          <w:rFonts w:ascii="Calibri"/>
          <w:sz w:val="20"/>
          <w:vertAlign w:val="baseline"/>
        </w:rPr>
        <w:t>(1968)</w:t>
      </w:r>
      <w:r>
        <w:rPr>
          <w:rFonts w:ascii="Calibri"/>
          <w:spacing w:val="-2"/>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NLR,</w:t>
      </w:r>
      <w:r>
        <w:rPr>
          <w:rFonts w:ascii="Calibri"/>
          <w:spacing w:val="-4"/>
          <w:sz w:val="20"/>
          <w:vertAlign w:val="baseline"/>
        </w:rPr>
        <w:t> 274.</w:t>
      </w:r>
    </w:p>
    <w:p>
      <w:pPr>
        <w:spacing w:before="0"/>
        <w:ind w:left="308" w:right="0" w:firstLine="0"/>
        <w:jc w:val="left"/>
        <w:rPr>
          <w:rFonts w:ascii="Calibri"/>
          <w:sz w:val="20"/>
        </w:rPr>
      </w:pPr>
      <w:r>
        <w:rPr>
          <w:rFonts w:ascii="Calibri"/>
          <w:sz w:val="20"/>
          <w:vertAlign w:val="superscript"/>
        </w:rPr>
        <w:t>244</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289.</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00"/>
        <w:jc w:val="both"/>
      </w:pPr>
      <w:r>
        <w:rPr/>
        <w:t>would decide whether or not to authorise it. Otherwise, the company would be entitled</w:t>
      </w:r>
      <w:r>
        <w:rPr>
          <w:spacing w:val="40"/>
        </w:rPr>
        <w:t> </w:t>
      </w:r>
      <w:r>
        <w:rPr/>
        <w:t>to an account of any resulting profits.</w:t>
      </w:r>
    </w:p>
    <w:p>
      <w:pPr>
        <w:pStyle w:val="BodyText"/>
        <w:spacing w:line="480" w:lineRule="auto"/>
        <w:ind w:right="181" w:firstLine="720"/>
        <w:jc w:val="both"/>
      </w:pPr>
      <w:r>
        <w:rPr/>
        <w:t>A</w:t>
      </w:r>
      <w:r>
        <w:rPr>
          <w:spacing w:val="-6"/>
        </w:rPr>
        <w:t> </w:t>
      </w:r>
      <w:r>
        <w:rPr/>
        <w:t>common</w:t>
      </w:r>
      <w:r>
        <w:rPr>
          <w:spacing w:val="-1"/>
        </w:rPr>
        <w:t> </w:t>
      </w:r>
      <w:r>
        <w:rPr/>
        <w:t>law case</w:t>
      </w:r>
      <w:r>
        <w:rPr>
          <w:spacing w:val="-2"/>
        </w:rPr>
        <w:t> </w:t>
      </w:r>
      <w:r>
        <w:rPr/>
        <w:t>often</w:t>
      </w:r>
      <w:r>
        <w:rPr>
          <w:spacing w:val="-6"/>
        </w:rPr>
        <w:t> </w:t>
      </w:r>
      <w:r>
        <w:rPr/>
        <w:t>cited</w:t>
      </w:r>
      <w:r>
        <w:rPr>
          <w:spacing w:val="-1"/>
        </w:rPr>
        <w:t> </w:t>
      </w:r>
      <w:r>
        <w:rPr/>
        <w:t>as</w:t>
      </w:r>
      <w:r>
        <w:rPr>
          <w:spacing w:val="-3"/>
        </w:rPr>
        <w:t> </w:t>
      </w:r>
      <w:r>
        <w:rPr/>
        <w:t>a</w:t>
      </w:r>
      <w:r>
        <w:rPr>
          <w:spacing w:val="-2"/>
        </w:rPr>
        <w:t> </w:t>
      </w:r>
      <w:r>
        <w:rPr/>
        <w:t>good</w:t>
      </w:r>
      <w:r>
        <w:rPr>
          <w:spacing w:val="-1"/>
        </w:rPr>
        <w:t> </w:t>
      </w:r>
      <w:r>
        <w:rPr/>
        <w:t>illustration</w:t>
      </w:r>
      <w:r>
        <w:rPr>
          <w:spacing w:val="-6"/>
        </w:rPr>
        <w:t> </w:t>
      </w:r>
      <w:r>
        <w:rPr/>
        <w:t>of</w:t>
      </w:r>
      <w:r>
        <w:rPr>
          <w:spacing w:val="-8"/>
        </w:rPr>
        <w:t> </w:t>
      </w:r>
      <w:r>
        <w:rPr/>
        <w:t>the</w:t>
      </w:r>
      <w:r>
        <w:rPr>
          <w:spacing w:val="-2"/>
        </w:rPr>
        <w:t> </w:t>
      </w:r>
      <w:r>
        <w:rPr/>
        <w:t>principles in s. 280 is </w:t>
      </w:r>
      <w:r>
        <w:rPr>
          <w:b/>
        </w:rPr>
        <w:t>Industrial</w:t>
      </w:r>
      <w:r>
        <w:rPr>
          <w:b/>
          <w:spacing w:val="-1"/>
        </w:rPr>
        <w:t> </w:t>
      </w:r>
      <w:r>
        <w:rPr>
          <w:b/>
        </w:rPr>
        <w:t>Development Consultants vs. Cooley</w:t>
      </w:r>
      <w:r>
        <w:rPr/>
        <w:t>.</w:t>
      </w:r>
      <w:r>
        <w:rPr>
          <w:vertAlign w:val="superscript"/>
        </w:rPr>
        <w:t>245</w:t>
      </w:r>
      <w:r>
        <w:rPr>
          <w:vertAlign w:val="baseline"/>
        </w:rPr>
        <w:t> In</w:t>
      </w:r>
      <w:r>
        <w:rPr>
          <w:spacing w:val="-1"/>
          <w:vertAlign w:val="baseline"/>
        </w:rPr>
        <w:t> </w:t>
      </w:r>
      <w:r>
        <w:rPr>
          <w:vertAlign w:val="baseline"/>
        </w:rPr>
        <w:t>that case, the defendant was the managing director of</w:t>
      </w:r>
      <w:r>
        <w:rPr>
          <w:spacing w:val="-2"/>
          <w:vertAlign w:val="baseline"/>
        </w:rPr>
        <w:t> </w:t>
      </w:r>
      <w:r>
        <w:rPr>
          <w:vertAlign w:val="baseline"/>
        </w:rPr>
        <w:t>the plaintiff, which was a design and construction company. Being himself an</w:t>
      </w:r>
      <w:r>
        <w:rPr>
          <w:spacing w:val="-4"/>
          <w:vertAlign w:val="baseline"/>
        </w:rPr>
        <w:t> </w:t>
      </w:r>
      <w:r>
        <w:rPr>
          <w:vertAlign w:val="baseline"/>
        </w:rPr>
        <w:t>architect of</w:t>
      </w:r>
      <w:r>
        <w:rPr>
          <w:spacing w:val="-2"/>
          <w:vertAlign w:val="baseline"/>
        </w:rPr>
        <w:t> </w:t>
      </w:r>
      <w:r>
        <w:rPr>
          <w:vertAlign w:val="baseline"/>
        </w:rPr>
        <w:t>considerable distinction</w:t>
      </w:r>
      <w:r>
        <w:rPr>
          <w:spacing w:val="-4"/>
          <w:vertAlign w:val="baseline"/>
        </w:rPr>
        <w:t> </w:t>
      </w:r>
      <w:r>
        <w:rPr>
          <w:vertAlign w:val="baseline"/>
        </w:rPr>
        <w:t>and attainment, he failed in an</w:t>
      </w:r>
      <w:r>
        <w:rPr>
          <w:spacing w:val="-4"/>
          <w:vertAlign w:val="baseline"/>
        </w:rPr>
        <w:t> </w:t>
      </w:r>
      <w:r>
        <w:rPr>
          <w:vertAlign w:val="baseline"/>
        </w:rPr>
        <w:t>attempt to obtain for the plaintiff, a lucrative contract in regard to the building of four depots for a local gas board, which contract the plaintiff was very</w:t>
      </w:r>
      <w:r>
        <w:rPr>
          <w:spacing w:val="-4"/>
          <w:vertAlign w:val="baseline"/>
        </w:rPr>
        <w:t> </w:t>
      </w:r>
      <w:r>
        <w:rPr>
          <w:vertAlign w:val="baseline"/>
        </w:rPr>
        <w:t>keen to obtain. The defendant was subsequently approached by the gas board with an offer to take up the contract in his private capacity, the gas board having made it clear to the defendant that it would not engage the plaintiff for the job, either way. He however concealed this offer from the plaintiff. Feigning illness, and because the board of the plaintiff was of the opinion that the defendant was near to a nervous breakdown, he was allowed to terminate his employment with them on short notice. Subsequently, the defendant took steps which resulted in his obtaining the contract for himself. The plaintiff thus sued him for an account of the profits he made on the contract.</w:t>
      </w:r>
    </w:p>
    <w:p>
      <w:pPr>
        <w:pStyle w:val="BodyText"/>
        <w:spacing w:line="480" w:lineRule="auto" w:before="3"/>
        <w:ind w:right="194" w:firstLine="720"/>
        <w:jc w:val="both"/>
      </w:pPr>
      <w:r>
        <w:rPr/>
        <w:t>In holding that the defendant had acted in breach of his duty to the plaintiff and must account, Roskill</w:t>
      </w:r>
      <w:r>
        <w:rPr>
          <w:spacing w:val="-1"/>
        </w:rPr>
        <w:t> </w:t>
      </w:r>
      <w:r>
        <w:rPr/>
        <w:t>J. stated</w:t>
      </w:r>
      <w:r>
        <w:rPr>
          <w:spacing w:val="-2"/>
        </w:rPr>
        <w:t> </w:t>
      </w:r>
      <w:r>
        <w:rPr/>
        <w:t>that the fact that the plaintiff might not have obtained the contract itself, was immaterial. ―...there was always the possibility of the plaintiff persuading the gas board</w:t>
      </w:r>
      <w:r>
        <w:rPr>
          <w:spacing w:val="-2"/>
        </w:rPr>
        <w:t> </w:t>
      </w:r>
      <w:r>
        <w:rPr/>
        <w:t>to change their minds</w:t>
      </w:r>
      <w:r>
        <w:rPr>
          <w:spacing w:val="-1"/>
        </w:rPr>
        <w:t> </w:t>
      </w:r>
      <w:r>
        <w:rPr/>
        <w:t>and...it would have been</w:t>
      </w:r>
      <w:r>
        <w:rPr>
          <w:spacing w:val="-2"/>
        </w:rPr>
        <w:t> </w:t>
      </w:r>
      <w:r>
        <w:rPr/>
        <w:t>the defendant‘s duty</w:t>
      </w:r>
      <w:r>
        <w:rPr>
          <w:spacing w:val="-7"/>
        </w:rPr>
        <w:t> </w:t>
      </w:r>
      <w:r>
        <w:rPr/>
        <w:t>to try</w:t>
      </w:r>
      <w:r>
        <w:rPr>
          <w:spacing w:val="-7"/>
        </w:rPr>
        <w:t> </w:t>
      </w:r>
      <w:r>
        <w:rPr/>
        <w:t>and persuade them</w:t>
      </w:r>
      <w:r>
        <w:rPr>
          <w:spacing w:val="-2"/>
        </w:rPr>
        <w:t> </w:t>
      </w:r>
      <w:r>
        <w:rPr/>
        <w:t>to change their minds.‖ The defendant was thus still liable to account</w:t>
      </w:r>
      <w:r>
        <w:rPr>
          <w:spacing w:val="-1"/>
        </w:rPr>
        <w:t> </w:t>
      </w:r>
      <w:r>
        <w:rPr/>
        <w:t>to</w:t>
      </w:r>
      <w:r>
        <w:rPr>
          <w:spacing w:val="-1"/>
        </w:rPr>
        <w:t> </w:t>
      </w:r>
      <w:r>
        <w:rPr/>
        <w:t>the</w:t>
      </w:r>
      <w:r>
        <w:rPr>
          <w:spacing w:val="-2"/>
        </w:rPr>
        <w:t> </w:t>
      </w:r>
      <w:r>
        <w:rPr/>
        <w:t>company</w:t>
      </w:r>
      <w:r>
        <w:rPr>
          <w:spacing w:val="-1"/>
        </w:rPr>
        <w:t> </w:t>
      </w:r>
      <w:r>
        <w:rPr/>
        <w:t>for the</w:t>
      </w:r>
      <w:r>
        <w:rPr>
          <w:spacing w:val="-2"/>
        </w:rPr>
        <w:t> </w:t>
      </w:r>
      <w:r>
        <w:rPr/>
        <w:t>profit he made from</w:t>
      </w:r>
      <w:r>
        <w:rPr>
          <w:spacing w:val="-10"/>
        </w:rPr>
        <w:t> </w:t>
      </w:r>
      <w:r>
        <w:rPr/>
        <w:t>the</w:t>
      </w:r>
      <w:r>
        <w:rPr>
          <w:spacing w:val="-2"/>
        </w:rPr>
        <w:t> </w:t>
      </w:r>
      <w:r>
        <w:rPr/>
        <w:t>contract</w:t>
      </w:r>
      <w:r>
        <w:rPr>
          <w:spacing w:val="-5"/>
        </w:rPr>
        <w:t> </w:t>
      </w:r>
      <w:r>
        <w:rPr/>
        <w:t>on</w:t>
      </w:r>
      <w:r>
        <w:rPr>
          <w:spacing w:val="-6"/>
        </w:rPr>
        <w:t> </w:t>
      </w:r>
      <w:r>
        <w:rPr/>
        <w:t>the footing</w:t>
      </w:r>
      <w:r>
        <w:rPr>
          <w:spacing w:val="-1"/>
        </w:rPr>
        <w:t> </w:t>
      </w:r>
      <w:r>
        <w:rPr/>
        <w:t>that he should have informed the company of the board‘s offer to him and that, after the offer was</w:t>
      </w:r>
      <w:r>
        <w:rPr>
          <w:spacing w:val="25"/>
        </w:rPr>
        <w:t> </w:t>
      </w:r>
      <w:r>
        <w:rPr/>
        <w:t>made,</w:t>
      </w:r>
      <w:r>
        <w:rPr>
          <w:spacing w:val="24"/>
        </w:rPr>
        <w:t> </w:t>
      </w:r>
      <w:r>
        <w:rPr/>
        <w:t>he</w:t>
      </w:r>
      <w:r>
        <w:rPr>
          <w:spacing w:val="26"/>
        </w:rPr>
        <w:t> </w:t>
      </w:r>
      <w:r>
        <w:rPr/>
        <w:t>―embarked</w:t>
      </w:r>
      <w:r>
        <w:rPr>
          <w:spacing w:val="22"/>
        </w:rPr>
        <w:t> </w:t>
      </w:r>
      <w:r>
        <w:rPr/>
        <w:t>on</w:t>
      </w:r>
      <w:r>
        <w:rPr>
          <w:spacing w:val="18"/>
        </w:rPr>
        <w:t> </w:t>
      </w:r>
      <w:r>
        <w:rPr/>
        <w:t>a</w:t>
      </w:r>
      <w:r>
        <w:rPr>
          <w:spacing w:val="22"/>
        </w:rPr>
        <w:t> </w:t>
      </w:r>
      <w:r>
        <w:rPr/>
        <w:t>deliberate</w:t>
      </w:r>
      <w:r>
        <w:rPr>
          <w:spacing w:val="21"/>
        </w:rPr>
        <w:t> </w:t>
      </w:r>
      <w:r>
        <w:rPr/>
        <w:t>policy</w:t>
      </w:r>
      <w:r>
        <w:rPr>
          <w:spacing w:val="23"/>
        </w:rPr>
        <w:t> </w:t>
      </w:r>
      <w:r>
        <w:rPr/>
        <w:t>and</w:t>
      </w:r>
      <w:r>
        <w:rPr>
          <w:spacing w:val="22"/>
        </w:rPr>
        <w:t> </w:t>
      </w:r>
      <w:r>
        <w:rPr/>
        <w:t>course</w:t>
      </w:r>
      <w:r>
        <w:rPr>
          <w:spacing w:val="22"/>
        </w:rPr>
        <w:t> </w:t>
      </w:r>
      <w:r>
        <w:rPr/>
        <w:t>of</w:t>
      </w:r>
      <w:r>
        <w:rPr>
          <w:spacing w:val="15"/>
        </w:rPr>
        <w:t> </w:t>
      </w:r>
      <w:r>
        <w:rPr/>
        <w:t>conduct</w:t>
      </w:r>
      <w:r>
        <w:rPr>
          <w:spacing w:val="27"/>
        </w:rPr>
        <w:t> </w:t>
      </w:r>
      <w:r>
        <w:rPr/>
        <w:t>which</w:t>
      </w:r>
      <w:r>
        <w:rPr>
          <w:spacing w:val="18"/>
        </w:rPr>
        <w:t> </w:t>
      </w:r>
      <w:r>
        <w:rPr/>
        <w:t>put</w:t>
      </w:r>
      <w:r>
        <w:rPr>
          <w:spacing w:val="27"/>
        </w:rPr>
        <w:t> </w:t>
      </w:r>
      <w:r>
        <w:rPr>
          <w:spacing w:val="-5"/>
        </w:rPr>
        <w:t>his</w:t>
      </w:r>
    </w:p>
    <w:p>
      <w:pPr>
        <w:pStyle w:val="BodyText"/>
        <w:spacing w:before="149"/>
        <w:ind w:left="0"/>
        <w:rPr>
          <w:sz w:val="20"/>
        </w:rPr>
      </w:pPr>
      <w:r>
        <w:rPr/>
        <mc:AlternateContent>
          <mc:Choice Requires="wps">
            <w:drawing>
              <wp:anchor distT="0" distB="0" distL="0" distR="0" allowOverlap="1" layoutInCell="1" locked="0" behindDoc="1" simplePos="0" relativeHeight="487665664">
                <wp:simplePos x="0" y="0"/>
                <wp:positionH relativeFrom="page">
                  <wp:posOffset>1262481</wp:posOffset>
                </wp:positionH>
                <wp:positionV relativeFrom="paragraph">
                  <wp:posOffset>255892</wp:posOffset>
                </wp:positionV>
                <wp:extent cx="1829435" cy="9525"/>
                <wp:effectExtent l="0" t="0" r="0" b="0"/>
                <wp:wrapTopAndBottom/>
                <wp:docPr id="170" name="Graphic 170"/>
                <wp:cNvGraphicFramePr>
                  <a:graphicFrameLocks/>
                </wp:cNvGraphicFramePr>
                <a:graphic>
                  <a:graphicData uri="http://schemas.microsoft.com/office/word/2010/wordprocessingShape">
                    <wps:wsp>
                      <wps:cNvPr id="170" name="Graphic 17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49023pt;width:144.050pt;height:.71997pt;mso-position-horizontal-relative:page;mso-position-vertical-relative:paragraph;z-index:-15650816;mso-wrap-distance-left:0;mso-wrap-distance-right:0" id="docshape125" filled="true" fillcolor="#000000" stroked="false">
                <v:fill type="solid"/>
                <w10:wrap type="topAndBottom"/>
              </v:rect>
            </w:pict>
          </mc:Fallback>
        </mc:AlternateContent>
      </w:r>
    </w:p>
    <w:p>
      <w:pPr>
        <w:spacing w:after="0"/>
        <w:rPr>
          <w:sz w:val="20"/>
        </w:rPr>
        <w:sectPr>
          <w:footerReference w:type="default" r:id="rId39"/>
          <w:pgSz w:w="11910" w:h="16840"/>
          <w:pgMar w:header="0" w:footer="1384" w:top="1320" w:bottom="1580" w:left="1680" w:right="1180"/>
        </w:sectPr>
      </w:pPr>
    </w:p>
    <w:p>
      <w:pPr>
        <w:pStyle w:val="BodyText"/>
        <w:spacing w:line="480" w:lineRule="auto" w:before="70"/>
        <w:ind w:right="205"/>
        <w:jc w:val="both"/>
      </w:pPr>
      <w:r>
        <w:rPr/>
        <w:t>personal interests as a potential contracting party with the gas board in direct conflict with his pre-existing and continuing duty as managing director of the plaintiff.</w:t>
      </w:r>
      <w:r>
        <w:rPr>
          <w:vertAlign w:val="superscript"/>
        </w:rPr>
        <w:t>246</w:t>
      </w:r>
    </w:p>
    <w:p>
      <w:pPr>
        <w:pStyle w:val="BodyText"/>
        <w:spacing w:line="480" w:lineRule="auto"/>
        <w:ind w:right="189" w:firstLine="720"/>
        <w:jc w:val="both"/>
      </w:pPr>
      <w:r>
        <w:rPr/>
        <w:t>This case illustrates two principles considered by the CAMA. First, the duty clearly survives the director‘s office so that he may not resign simply in order to avail himself of corporate opportunities.</w:t>
      </w:r>
      <w:r>
        <w:rPr>
          <w:vertAlign w:val="superscript"/>
        </w:rPr>
        <w:t>247</w:t>
      </w:r>
      <w:r>
        <w:rPr>
          <w:vertAlign w:val="baseline"/>
        </w:rPr>
        <w:t> Second, in such situations, it is no defence for the director to show that the company might not have made use of the information or </w:t>
      </w:r>
      <w:r>
        <w:rPr>
          <w:spacing w:val="-2"/>
          <w:vertAlign w:val="baseline"/>
        </w:rPr>
        <w:t>opportunity.</w:t>
      </w:r>
      <w:r>
        <w:rPr>
          <w:spacing w:val="-2"/>
          <w:vertAlign w:val="superscript"/>
        </w:rPr>
        <w:t>248</w:t>
      </w:r>
    </w:p>
    <w:p>
      <w:pPr>
        <w:pStyle w:val="BodyText"/>
        <w:spacing w:line="480" w:lineRule="auto" w:before="1"/>
        <w:ind w:right="182" w:firstLine="720"/>
        <w:jc w:val="both"/>
      </w:pPr>
      <w:r>
        <w:rPr/>
        <w:t>The application of the latter principle in </w:t>
      </w:r>
      <w:r>
        <w:rPr>
          <w:b/>
        </w:rPr>
        <w:t>Regal (Hastings) Ltd. vs. Gulliver</w:t>
      </w:r>
      <w:r>
        <w:rPr>
          <w:vertAlign w:val="superscript"/>
        </w:rPr>
        <w:t>249</w:t>
      </w:r>
      <w:r>
        <w:rPr>
          <w:vertAlign w:val="baseline"/>
        </w:rPr>
        <w:t> was considered by many to have gone too far. In that case, the appellant company</w:t>
      </w:r>
      <w:r>
        <w:rPr>
          <w:spacing w:val="80"/>
          <w:vertAlign w:val="baseline"/>
        </w:rPr>
        <w:t> </w:t>
      </w:r>
      <w:r>
        <w:rPr>
          <w:vertAlign w:val="baseline"/>
        </w:rPr>
        <w:t>owned one cinema in Hastings and wanted to buy two others with the intention of</w:t>
      </w:r>
      <w:r>
        <w:rPr>
          <w:spacing w:val="80"/>
          <w:vertAlign w:val="baseline"/>
        </w:rPr>
        <w:t> </w:t>
      </w:r>
      <w:r>
        <w:rPr>
          <w:vertAlign w:val="baseline"/>
        </w:rPr>
        <w:t>selling all three together. The Regal company then formed a subsidiary so that the subsidiary could buy the two cinemas in question. However, the landlord required a guarantee</w:t>
      </w:r>
      <w:r>
        <w:rPr>
          <w:spacing w:val="24"/>
          <w:vertAlign w:val="baseline"/>
        </w:rPr>
        <w:t> </w:t>
      </w:r>
      <w:r>
        <w:rPr>
          <w:vertAlign w:val="baseline"/>
        </w:rPr>
        <w:t>of</w:t>
      </w:r>
      <w:r>
        <w:rPr>
          <w:spacing w:val="17"/>
          <w:vertAlign w:val="baseline"/>
        </w:rPr>
        <w:t> </w:t>
      </w:r>
      <w:r>
        <w:rPr>
          <w:vertAlign w:val="baseline"/>
        </w:rPr>
        <w:t>the</w:t>
      </w:r>
      <w:r>
        <w:rPr>
          <w:spacing w:val="27"/>
          <w:vertAlign w:val="baseline"/>
        </w:rPr>
        <w:t> </w:t>
      </w:r>
      <w:r>
        <w:rPr>
          <w:vertAlign w:val="baseline"/>
        </w:rPr>
        <w:t>rent</w:t>
      </w:r>
      <w:r>
        <w:rPr>
          <w:spacing w:val="30"/>
          <w:vertAlign w:val="baseline"/>
        </w:rPr>
        <w:t> </w:t>
      </w:r>
      <w:r>
        <w:rPr>
          <w:vertAlign w:val="baseline"/>
        </w:rPr>
        <w:t>by</w:t>
      </w:r>
      <w:r>
        <w:rPr>
          <w:spacing w:val="16"/>
          <w:vertAlign w:val="baseline"/>
        </w:rPr>
        <w:t> </w:t>
      </w:r>
      <w:r>
        <w:rPr>
          <w:vertAlign w:val="baseline"/>
        </w:rPr>
        <w:t>the</w:t>
      </w:r>
      <w:r>
        <w:rPr>
          <w:spacing w:val="24"/>
          <w:vertAlign w:val="baseline"/>
        </w:rPr>
        <w:t> </w:t>
      </w:r>
      <w:r>
        <w:rPr>
          <w:vertAlign w:val="baseline"/>
        </w:rPr>
        <w:t>directors,</w:t>
      </w:r>
      <w:r>
        <w:rPr>
          <w:spacing w:val="23"/>
          <w:vertAlign w:val="baseline"/>
        </w:rPr>
        <w:t> </w:t>
      </w:r>
      <w:r>
        <w:rPr>
          <w:vertAlign w:val="baseline"/>
        </w:rPr>
        <w:t>unless</w:t>
      </w:r>
      <w:r>
        <w:rPr>
          <w:spacing w:val="23"/>
          <w:vertAlign w:val="baseline"/>
        </w:rPr>
        <w:t> </w:t>
      </w:r>
      <w:r>
        <w:rPr>
          <w:vertAlign w:val="baseline"/>
        </w:rPr>
        <w:t>the</w:t>
      </w:r>
      <w:r>
        <w:rPr>
          <w:spacing w:val="30"/>
          <w:vertAlign w:val="baseline"/>
        </w:rPr>
        <w:t> </w:t>
      </w:r>
      <w:r>
        <w:rPr>
          <w:vertAlign w:val="baseline"/>
        </w:rPr>
        <w:t>paid</w:t>
      </w:r>
      <w:r>
        <w:rPr>
          <w:spacing w:val="25"/>
          <w:vertAlign w:val="baseline"/>
        </w:rPr>
        <w:t> </w:t>
      </w:r>
      <w:r>
        <w:rPr>
          <w:vertAlign w:val="baseline"/>
        </w:rPr>
        <w:t>up</w:t>
      </w:r>
      <w:r>
        <w:rPr>
          <w:spacing w:val="26"/>
          <w:vertAlign w:val="baseline"/>
        </w:rPr>
        <w:t> </w:t>
      </w:r>
      <w:r>
        <w:rPr>
          <w:vertAlign w:val="baseline"/>
        </w:rPr>
        <w:t>capital</w:t>
      </w:r>
      <w:r>
        <w:rPr>
          <w:spacing w:val="20"/>
          <w:vertAlign w:val="baseline"/>
        </w:rPr>
        <w:t> </w:t>
      </w:r>
      <w:r>
        <w:rPr>
          <w:vertAlign w:val="baseline"/>
        </w:rPr>
        <w:t>of</w:t>
      </w:r>
      <w:r>
        <w:rPr>
          <w:spacing w:val="18"/>
          <w:vertAlign w:val="baseline"/>
        </w:rPr>
        <w:t> </w:t>
      </w:r>
      <w:r>
        <w:rPr>
          <w:vertAlign w:val="baseline"/>
        </w:rPr>
        <w:t>the</w:t>
      </w:r>
      <w:r>
        <w:rPr>
          <w:spacing w:val="24"/>
          <w:vertAlign w:val="baseline"/>
        </w:rPr>
        <w:t> </w:t>
      </w:r>
      <w:r>
        <w:rPr>
          <w:vertAlign w:val="baseline"/>
        </w:rPr>
        <w:t>subsidiary</w:t>
      </w:r>
      <w:r>
        <w:rPr>
          <w:spacing w:val="16"/>
          <w:vertAlign w:val="baseline"/>
        </w:rPr>
        <w:t> </w:t>
      </w:r>
      <w:r>
        <w:rPr>
          <w:spacing w:val="-5"/>
          <w:vertAlign w:val="baseline"/>
        </w:rPr>
        <w:t>was</w:t>
      </w:r>
    </w:p>
    <w:p>
      <w:pPr>
        <w:pStyle w:val="BodyText"/>
        <w:spacing w:line="480" w:lineRule="auto" w:before="1"/>
        <w:ind w:right="189"/>
        <w:jc w:val="both"/>
      </w:pPr>
      <w:r>
        <w:rPr/>
        <mc:AlternateContent>
          <mc:Choice Requires="wps">
            <w:drawing>
              <wp:anchor distT="0" distB="0" distL="0" distR="0" allowOverlap="1" layoutInCell="1" locked="0" behindDoc="1" simplePos="0" relativeHeight="487666176">
                <wp:simplePos x="0" y="0"/>
                <wp:positionH relativeFrom="page">
                  <wp:posOffset>1262481</wp:posOffset>
                </wp:positionH>
                <wp:positionV relativeFrom="paragraph">
                  <wp:posOffset>3183007</wp:posOffset>
                </wp:positionV>
                <wp:extent cx="1829435" cy="9525"/>
                <wp:effectExtent l="0" t="0" r="0" b="0"/>
                <wp:wrapTopAndBottom/>
                <wp:docPr id="171" name="Graphic 171"/>
                <wp:cNvGraphicFramePr>
                  <a:graphicFrameLocks/>
                </wp:cNvGraphicFramePr>
                <a:graphic>
                  <a:graphicData uri="http://schemas.microsoft.com/office/word/2010/wordprocessingShape">
                    <wps:wsp>
                      <wps:cNvPr id="171" name="Graphic 17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50.630493pt;width:144.050pt;height:.71997pt;mso-position-horizontal-relative:page;mso-position-vertical-relative:paragraph;z-index:-15650304;mso-wrap-distance-left:0;mso-wrap-distance-right:0" id="docshape126" filled="true" fillcolor="#000000" stroked="false">
                <v:fill type="solid"/>
                <w10:wrap type="topAndBottom"/>
              </v:rect>
            </w:pict>
          </mc:Fallback>
        </mc:AlternateContent>
      </w:r>
      <w:r>
        <w:rPr/>
        <w:t>£5,000. Since the directors were averse to providing a guarantee and the regal company could not provide £3,000 of the £5,000 required, the directors arranged it so that Regal company subscribed to 2000 shares and each of the five directors and Garton, the company‘s solicitor,</w:t>
      </w:r>
      <w:r>
        <w:rPr>
          <w:spacing w:val="-3"/>
        </w:rPr>
        <w:t> </w:t>
      </w:r>
      <w:r>
        <w:rPr/>
        <w:t>took up 500 shares</w:t>
      </w:r>
      <w:r>
        <w:rPr>
          <w:spacing w:val="-3"/>
        </w:rPr>
        <w:t> </w:t>
      </w:r>
      <w:r>
        <w:rPr/>
        <w:t>each. The subsidiary</w:t>
      </w:r>
      <w:r>
        <w:rPr>
          <w:spacing w:val="-5"/>
        </w:rPr>
        <w:t> </w:t>
      </w:r>
      <w:r>
        <w:rPr/>
        <w:t>company</w:t>
      </w:r>
      <w:r>
        <w:rPr>
          <w:spacing w:val="-5"/>
        </w:rPr>
        <w:t> </w:t>
      </w:r>
      <w:r>
        <w:rPr/>
        <w:t>then successfully acquired the two cinemas. Eventually, the transaction was not carried through by the</w:t>
      </w:r>
      <w:r>
        <w:rPr>
          <w:spacing w:val="80"/>
        </w:rPr>
        <w:t> </w:t>
      </w:r>
      <w:r>
        <w:rPr/>
        <w:t>sale of the property of the company as a going concern, but</w:t>
      </w:r>
      <w:r>
        <w:rPr>
          <w:spacing w:val="16"/>
        </w:rPr>
        <w:t> </w:t>
      </w:r>
      <w:r>
        <w:rPr/>
        <w:t>by the sale of all the shares in the appellant company and the subsidiary at a profit of almost £3 each. The new controllers of the Regal company then sued to recover the profit made by the directors and Garton.</w:t>
      </w:r>
    </w:p>
    <w:p>
      <w:pPr>
        <w:spacing w:before="97"/>
        <w:ind w:left="308" w:right="0" w:firstLine="0"/>
        <w:jc w:val="both"/>
        <w:rPr>
          <w:rFonts w:ascii="Calibri"/>
          <w:sz w:val="20"/>
        </w:rPr>
      </w:pPr>
      <w:r>
        <w:rPr>
          <w:rFonts w:ascii="Calibri"/>
          <w:sz w:val="20"/>
          <w:vertAlign w:val="superscript"/>
        </w:rPr>
        <w:t>246</w:t>
      </w:r>
      <w:r>
        <w:rPr>
          <w:rFonts w:ascii="Calibri"/>
          <w:sz w:val="20"/>
          <w:vertAlign w:val="baseline"/>
        </w:rPr>
        <w:t> Ibid.</w:t>
      </w:r>
      <w:r>
        <w:rPr>
          <w:rFonts w:ascii="Calibri"/>
          <w:spacing w:val="-4"/>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173-</w:t>
      </w:r>
      <w:r>
        <w:rPr>
          <w:rFonts w:ascii="Calibri"/>
          <w:spacing w:val="-4"/>
          <w:sz w:val="20"/>
          <w:vertAlign w:val="baseline"/>
        </w:rPr>
        <w:t>174.</w:t>
      </w:r>
    </w:p>
    <w:p>
      <w:pPr>
        <w:spacing w:before="1"/>
        <w:ind w:left="308" w:right="225" w:firstLine="0"/>
        <w:jc w:val="both"/>
        <w:rPr>
          <w:rFonts w:ascii="Calibri" w:hAnsi="Calibri"/>
          <w:sz w:val="20"/>
        </w:rPr>
      </w:pPr>
      <w:r>
        <w:rPr>
          <w:rFonts w:ascii="Calibri" w:hAnsi="Calibri"/>
          <w:sz w:val="20"/>
          <w:vertAlign w:val="superscript"/>
        </w:rPr>
        <w:t>247</w:t>
      </w:r>
      <w:r>
        <w:rPr>
          <w:rFonts w:ascii="Calibri" w:hAnsi="Calibri"/>
          <w:sz w:val="20"/>
          <w:vertAlign w:val="baseline"/>
        </w:rPr>
        <w:t>S.280(5). Prentice remarked, regarding the duty under consideration that “It would be fatuous to</w:t>
      </w:r>
      <w:r>
        <w:rPr>
          <w:rFonts w:ascii="Calibri" w:hAnsi="Calibri"/>
          <w:spacing w:val="40"/>
          <w:sz w:val="20"/>
          <w:vertAlign w:val="baseline"/>
        </w:rPr>
        <w:t> </w:t>
      </w:r>
      <w:r>
        <w:rPr>
          <w:rFonts w:ascii="Calibri" w:hAnsi="Calibri"/>
          <w:sz w:val="20"/>
          <w:vertAlign w:val="baseline"/>
        </w:rPr>
        <w:t>allow</w:t>
      </w:r>
      <w:r>
        <w:rPr>
          <w:rFonts w:ascii="Calibri" w:hAnsi="Calibri"/>
          <w:spacing w:val="-5"/>
          <w:sz w:val="20"/>
          <w:vertAlign w:val="baseline"/>
        </w:rPr>
        <w:t> </w:t>
      </w:r>
      <w:r>
        <w:rPr>
          <w:rFonts w:ascii="Calibri" w:hAnsi="Calibri"/>
          <w:sz w:val="20"/>
          <w:vertAlign w:val="baseline"/>
        </w:rPr>
        <w:t>directors</w:t>
      </w:r>
      <w:r>
        <w:rPr>
          <w:rFonts w:ascii="Calibri" w:hAnsi="Calibri"/>
          <w:spacing w:val="-2"/>
          <w:sz w:val="20"/>
          <w:vertAlign w:val="baseline"/>
        </w:rPr>
        <w:t> </w:t>
      </w:r>
      <w:r>
        <w:rPr>
          <w:rFonts w:ascii="Calibri" w:hAnsi="Calibri"/>
          <w:sz w:val="20"/>
          <w:vertAlign w:val="baseline"/>
        </w:rPr>
        <w:t>to</w:t>
      </w:r>
      <w:r>
        <w:rPr>
          <w:rFonts w:ascii="Calibri" w:hAnsi="Calibri"/>
          <w:spacing w:val="-6"/>
          <w:sz w:val="20"/>
          <w:vertAlign w:val="baseline"/>
        </w:rPr>
        <w:t> </w:t>
      </w:r>
      <w:r>
        <w:rPr>
          <w:rFonts w:ascii="Calibri" w:hAnsi="Calibri"/>
          <w:sz w:val="20"/>
          <w:vertAlign w:val="baseline"/>
        </w:rPr>
        <w:t>immunise themselves</w:t>
      </w:r>
      <w:r>
        <w:rPr>
          <w:rFonts w:ascii="Calibri" w:hAnsi="Calibri"/>
          <w:spacing w:val="-2"/>
          <w:sz w:val="20"/>
          <w:vertAlign w:val="baseline"/>
        </w:rPr>
        <w:t> </w:t>
      </w:r>
      <w:r>
        <w:rPr>
          <w:rFonts w:ascii="Calibri" w:hAnsi="Calibri"/>
          <w:sz w:val="20"/>
          <w:vertAlign w:val="baseline"/>
        </w:rPr>
        <w:t>against liability by</w:t>
      </w:r>
      <w:r>
        <w:rPr>
          <w:rFonts w:ascii="Calibri" w:hAnsi="Calibri"/>
          <w:spacing w:val="-5"/>
          <w:sz w:val="20"/>
          <w:vertAlign w:val="baseline"/>
        </w:rPr>
        <w:t> </w:t>
      </w:r>
      <w:r>
        <w:rPr>
          <w:rFonts w:ascii="Calibri" w:hAnsi="Calibri"/>
          <w:sz w:val="20"/>
          <w:vertAlign w:val="baseline"/>
        </w:rPr>
        <w:t>resigning immediately prior to</w:t>
      </w:r>
      <w:r>
        <w:rPr>
          <w:rFonts w:ascii="Calibri" w:hAnsi="Calibri"/>
          <w:spacing w:val="-1"/>
          <w:sz w:val="20"/>
          <w:vertAlign w:val="baseline"/>
        </w:rPr>
        <w:t> </w:t>
      </w:r>
      <w:r>
        <w:rPr>
          <w:rFonts w:ascii="Calibri" w:hAnsi="Calibri"/>
          <w:sz w:val="20"/>
          <w:vertAlign w:val="baseline"/>
        </w:rPr>
        <w:t>the acquisition of the opportunity.” See Prentice, D.D.</w:t>
      </w:r>
      <w:r>
        <w:rPr>
          <w:rFonts w:ascii="Calibri" w:hAnsi="Calibri"/>
          <w:spacing w:val="40"/>
          <w:sz w:val="20"/>
          <w:vertAlign w:val="baseline"/>
        </w:rPr>
        <w:t> </w:t>
      </w:r>
      <w:r>
        <w:rPr>
          <w:rFonts w:ascii="Calibri" w:hAnsi="Calibri"/>
          <w:sz w:val="20"/>
          <w:vertAlign w:val="baseline"/>
        </w:rPr>
        <w:t>(1974). The Corporate Opportunity Doctrine. </w:t>
      </w:r>
      <w:r>
        <w:rPr>
          <w:rFonts w:ascii="Calibri" w:hAnsi="Calibri"/>
          <w:i/>
          <w:sz w:val="20"/>
          <w:vertAlign w:val="baseline"/>
        </w:rPr>
        <w:t>The Modern Law Review, </w:t>
      </w:r>
      <w:r>
        <w:rPr>
          <w:rFonts w:ascii="Calibri" w:hAnsi="Calibri"/>
          <w:sz w:val="20"/>
          <w:vertAlign w:val="baseline"/>
        </w:rPr>
        <w:t>37: 464 at 467.</w:t>
      </w:r>
    </w:p>
    <w:p>
      <w:pPr>
        <w:spacing w:before="3"/>
        <w:ind w:left="308" w:right="0" w:firstLine="0"/>
        <w:jc w:val="both"/>
        <w:rPr>
          <w:rFonts w:ascii="Calibri"/>
          <w:sz w:val="20"/>
        </w:rPr>
      </w:pPr>
      <w:r>
        <w:rPr>
          <w:rFonts w:ascii="Calibri"/>
          <w:sz w:val="20"/>
          <w:vertAlign w:val="superscript"/>
        </w:rPr>
        <w:t>248</w:t>
      </w:r>
      <w:r>
        <w:rPr>
          <w:rFonts w:ascii="Calibri"/>
          <w:spacing w:val="2"/>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w:t>
      </w:r>
      <w:r>
        <w:rPr>
          <w:rFonts w:ascii="Calibri"/>
          <w:spacing w:val="4"/>
          <w:sz w:val="20"/>
          <w:vertAlign w:val="baseline"/>
        </w:rPr>
        <w:t> </w:t>
      </w:r>
      <w:r>
        <w:rPr>
          <w:rFonts w:ascii="Calibri"/>
          <w:spacing w:val="-2"/>
          <w:sz w:val="20"/>
          <w:vertAlign w:val="baseline"/>
        </w:rPr>
        <w:t>280(4).</w:t>
      </w:r>
    </w:p>
    <w:p>
      <w:pPr>
        <w:spacing w:after="0"/>
        <w:jc w:val="both"/>
        <w:rPr>
          <w:rFonts w:ascii="Calibri"/>
          <w:sz w:val="20"/>
        </w:rPr>
        <w:sectPr>
          <w:pgSz w:w="11910" w:h="16840"/>
          <w:pgMar w:header="0" w:footer="1384" w:top="1320" w:bottom="1580" w:left="1680" w:right="1180"/>
        </w:sectPr>
      </w:pPr>
    </w:p>
    <w:p>
      <w:pPr>
        <w:pStyle w:val="BodyText"/>
        <w:spacing w:line="480" w:lineRule="auto" w:before="70"/>
        <w:ind w:right="187" w:firstLine="720"/>
        <w:jc w:val="both"/>
      </w:pPr>
      <w:r>
        <w:rPr/>
        <w:t>Although it was found as a fact that all the transactions were bona fide, the</w:t>
      </w:r>
      <w:r>
        <w:rPr>
          <w:spacing w:val="40"/>
        </w:rPr>
        <w:t> </w:t>
      </w:r>
      <w:r>
        <w:rPr/>
        <w:t>House of Lords still held that the directors must account to the Regal Company for the profit on the grounds that it was only through the knowledge and opportunity they</w:t>
      </w:r>
      <w:r>
        <w:rPr>
          <w:spacing w:val="40"/>
        </w:rPr>
        <w:t> </w:t>
      </w:r>
      <w:r>
        <w:rPr/>
        <w:t>gained as its directors</w:t>
      </w:r>
      <w:r>
        <w:rPr>
          <w:spacing w:val="-7"/>
        </w:rPr>
        <w:t> </w:t>
      </w:r>
      <w:r>
        <w:rPr/>
        <w:t>that they</w:t>
      </w:r>
      <w:r>
        <w:rPr>
          <w:spacing w:val="-10"/>
        </w:rPr>
        <w:t> </w:t>
      </w:r>
      <w:r>
        <w:rPr/>
        <w:t>were</w:t>
      </w:r>
      <w:r>
        <w:rPr>
          <w:spacing w:val="-1"/>
        </w:rPr>
        <w:t> </w:t>
      </w:r>
      <w:r>
        <w:rPr/>
        <w:t>able</w:t>
      </w:r>
      <w:r>
        <w:rPr>
          <w:spacing w:val="-1"/>
        </w:rPr>
        <w:t> </w:t>
      </w:r>
      <w:r>
        <w:rPr/>
        <w:t>to obtain the</w:t>
      </w:r>
      <w:r>
        <w:rPr>
          <w:spacing w:val="-1"/>
        </w:rPr>
        <w:t> </w:t>
      </w:r>
      <w:r>
        <w:rPr/>
        <w:t>shares and consequently, to make the profit. In particular, the court stated that the directors were liable to account to the company once it was established that (a) what the directors did was so related to the affairs of the company that it could properly be said to have been done in the course of their management and in utilisation of their opportunities and special knowledge as directors; and (b) what they did resulted in a profit to themselves. Their lordships also suggested that no question as to the right to retain this profit could have arisen if the directors had taken the precaution of</w:t>
      </w:r>
      <w:r>
        <w:rPr>
          <w:spacing w:val="-2"/>
        </w:rPr>
        <w:t> </w:t>
      </w:r>
      <w:r>
        <w:rPr/>
        <w:t>obtaining the approval</w:t>
      </w:r>
      <w:r>
        <w:rPr>
          <w:spacing w:val="-4"/>
        </w:rPr>
        <w:t> </w:t>
      </w:r>
      <w:r>
        <w:rPr/>
        <w:t>of</w:t>
      </w:r>
      <w:r>
        <w:rPr>
          <w:spacing w:val="-2"/>
        </w:rPr>
        <w:t> </w:t>
      </w:r>
      <w:r>
        <w:rPr/>
        <w:t>the appellant company in general meeting, which would have been easy since they in fact controlled the voting.</w:t>
      </w:r>
    </w:p>
    <w:p>
      <w:pPr>
        <w:pStyle w:val="BodyText"/>
        <w:spacing w:line="480" w:lineRule="auto" w:before="2"/>
        <w:ind w:right="183" w:firstLine="720"/>
        <w:jc w:val="both"/>
      </w:pPr>
      <w:r>
        <w:rPr/>
        <w:t>As</w:t>
      </w:r>
      <w:r>
        <w:rPr>
          <w:spacing w:val="-3"/>
        </w:rPr>
        <w:t> </w:t>
      </w:r>
      <w:r>
        <w:rPr/>
        <w:t>aforesaid, there have been</w:t>
      </w:r>
      <w:r>
        <w:rPr>
          <w:spacing w:val="-5"/>
        </w:rPr>
        <w:t> </w:t>
      </w:r>
      <w:r>
        <w:rPr/>
        <w:t>criticisms regarding the</w:t>
      </w:r>
      <w:r>
        <w:rPr>
          <w:spacing w:val="-1"/>
        </w:rPr>
        <w:t> </w:t>
      </w:r>
      <w:r>
        <w:rPr/>
        <w:t>decision above. The</w:t>
      </w:r>
      <w:r>
        <w:rPr>
          <w:spacing w:val="-1"/>
        </w:rPr>
        <w:t> </w:t>
      </w:r>
      <w:r>
        <w:rPr/>
        <w:t>ruling suggested that the mere possession of information which results from the holding of office as a director is sufficient to raise the duty to account. Also, in this case, the directors already held majority of the shares, so that it would have been possible for</w:t>
      </w:r>
      <w:r>
        <w:rPr>
          <w:spacing w:val="40"/>
        </w:rPr>
        <w:t> </w:t>
      </w:r>
      <w:r>
        <w:rPr/>
        <w:t>them to obtain ratification of their acts by the company in general meeting anyway. Further,</w:t>
      </w:r>
      <w:r>
        <w:rPr>
          <w:spacing w:val="-2"/>
        </w:rPr>
        <w:t> </w:t>
      </w:r>
      <w:r>
        <w:rPr/>
        <w:t>they</w:t>
      </w:r>
      <w:r>
        <w:rPr>
          <w:spacing w:val="-4"/>
        </w:rPr>
        <w:t> </w:t>
      </w:r>
      <w:r>
        <w:rPr/>
        <w:t>had not really</w:t>
      </w:r>
      <w:r>
        <w:rPr>
          <w:spacing w:val="-4"/>
        </w:rPr>
        <w:t> </w:t>
      </w:r>
      <w:r>
        <w:rPr/>
        <w:t>deprived the company of</w:t>
      </w:r>
      <w:r>
        <w:rPr>
          <w:spacing w:val="-7"/>
        </w:rPr>
        <w:t> </w:t>
      </w:r>
      <w:r>
        <w:rPr/>
        <w:t>any</w:t>
      </w:r>
      <w:r>
        <w:rPr>
          <w:spacing w:val="-4"/>
        </w:rPr>
        <w:t> </w:t>
      </w:r>
      <w:r>
        <w:rPr/>
        <w:t>of</w:t>
      </w:r>
      <w:r>
        <w:rPr>
          <w:spacing w:val="-2"/>
        </w:rPr>
        <w:t> </w:t>
      </w:r>
      <w:r>
        <w:rPr/>
        <w:t>its</w:t>
      </w:r>
      <w:r>
        <w:rPr>
          <w:spacing w:val="-1"/>
        </w:rPr>
        <w:t> </w:t>
      </w:r>
      <w:r>
        <w:rPr/>
        <w:t>property, since the shares in the subsidiary were bought with their own money and those shares had never in fact been the company‘s property.</w:t>
      </w:r>
      <w:r>
        <w:rPr>
          <w:vertAlign w:val="superscript"/>
        </w:rPr>
        <w:t>250</w:t>
      </w:r>
      <w:r>
        <w:rPr>
          <w:vertAlign w:val="baseline"/>
        </w:rPr>
        <w:t> Besides, the chairman was not ordered to account because he didn‘t take the 500 shares as beneficial owner, but caused two private companies of which he was a member and director, and his personal friend to take beneficially</w:t>
      </w:r>
      <w:r>
        <w:rPr>
          <w:spacing w:val="-6"/>
          <w:vertAlign w:val="baseline"/>
        </w:rPr>
        <w:t> </w:t>
      </w:r>
      <w:r>
        <w:rPr>
          <w:vertAlign w:val="baseline"/>
        </w:rPr>
        <w:t>and not as</w:t>
      </w:r>
      <w:r>
        <w:rPr>
          <w:spacing w:val="-3"/>
          <w:vertAlign w:val="baseline"/>
        </w:rPr>
        <w:t> </w:t>
      </w:r>
      <w:r>
        <w:rPr>
          <w:vertAlign w:val="baseline"/>
        </w:rPr>
        <w:t>his nominees. Likewise, the</w:t>
      </w:r>
      <w:r>
        <w:rPr>
          <w:spacing w:val="-2"/>
          <w:vertAlign w:val="baseline"/>
        </w:rPr>
        <w:t> </w:t>
      </w:r>
      <w:r>
        <w:rPr>
          <w:vertAlign w:val="baseline"/>
        </w:rPr>
        <w:t>solicitor escaped because he</w:t>
      </w:r>
      <w:r>
        <w:rPr>
          <w:spacing w:val="-2"/>
          <w:vertAlign w:val="baseline"/>
        </w:rPr>
        <w:t> </w:t>
      </w:r>
      <w:r>
        <w:rPr>
          <w:vertAlign w:val="baseline"/>
        </w:rPr>
        <w:t>took</w:t>
      </w:r>
      <w:r>
        <w:rPr>
          <w:spacing w:val="-6"/>
          <w:vertAlign w:val="baseline"/>
        </w:rPr>
        <w:t> </w:t>
      </w:r>
      <w:r>
        <w:rPr>
          <w:vertAlign w:val="baseline"/>
        </w:rPr>
        <w:t>the shares</w:t>
      </w:r>
      <w:r>
        <w:rPr>
          <w:spacing w:val="16"/>
          <w:vertAlign w:val="baseline"/>
        </w:rPr>
        <w:t> </w:t>
      </w:r>
      <w:r>
        <w:rPr>
          <w:vertAlign w:val="baseline"/>
        </w:rPr>
        <w:t>at</w:t>
      </w:r>
      <w:r>
        <w:rPr>
          <w:spacing w:val="21"/>
          <w:vertAlign w:val="baseline"/>
        </w:rPr>
        <w:t> </w:t>
      </w:r>
      <w:r>
        <w:rPr>
          <w:vertAlign w:val="baseline"/>
        </w:rPr>
        <w:t>the</w:t>
      </w:r>
      <w:r>
        <w:rPr>
          <w:spacing w:val="14"/>
          <w:vertAlign w:val="baseline"/>
        </w:rPr>
        <w:t> </w:t>
      </w:r>
      <w:r>
        <w:rPr>
          <w:vertAlign w:val="baseline"/>
        </w:rPr>
        <w:t>express</w:t>
      </w:r>
      <w:r>
        <w:rPr>
          <w:spacing w:val="18"/>
          <w:vertAlign w:val="baseline"/>
        </w:rPr>
        <w:t> </w:t>
      </w:r>
      <w:r>
        <w:rPr>
          <w:vertAlign w:val="baseline"/>
        </w:rPr>
        <w:t>request</w:t>
      </w:r>
      <w:r>
        <w:rPr>
          <w:spacing w:val="20"/>
          <w:vertAlign w:val="baseline"/>
        </w:rPr>
        <w:t> </w:t>
      </w:r>
      <w:r>
        <w:rPr>
          <w:vertAlign w:val="baseline"/>
        </w:rPr>
        <w:t>of</w:t>
      </w:r>
      <w:r>
        <w:rPr>
          <w:spacing w:val="13"/>
          <w:vertAlign w:val="baseline"/>
        </w:rPr>
        <w:t> </w:t>
      </w:r>
      <w:r>
        <w:rPr>
          <w:vertAlign w:val="baseline"/>
        </w:rPr>
        <w:t>the</w:t>
      </w:r>
      <w:r>
        <w:rPr>
          <w:spacing w:val="19"/>
          <w:vertAlign w:val="baseline"/>
        </w:rPr>
        <w:t> </w:t>
      </w:r>
      <w:r>
        <w:rPr>
          <w:vertAlign w:val="baseline"/>
        </w:rPr>
        <w:t>board,</w:t>
      </w:r>
      <w:r>
        <w:rPr>
          <w:spacing w:val="18"/>
          <w:vertAlign w:val="baseline"/>
        </w:rPr>
        <w:t> </w:t>
      </w:r>
      <w:r>
        <w:rPr>
          <w:vertAlign w:val="baseline"/>
        </w:rPr>
        <w:t>even</w:t>
      </w:r>
      <w:r>
        <w:rPr>
          <w:spacing w:val="16"/>
          <w:vertAlign w:val="baseline"/>
        </w:rPr>
        <w:t> </w:t>
      </w:r>
      <w:r>
        <w:rPr>
          <w:vertAlign w:val="baseline"/>
        </w:rPr>
        <w:t>though</w:t>
      </w:r>
      <w:r>
        <w:rPr>
          <w:spacing w:val="10"/>
          <w:vertAlign w:val="baseline"/>
        </w:rPr>
        <w:t> </w:t>
      </w:r>
      <w:r>
        <w:rPr>
          <w:vertAlign w:val="baseline"/>
        </w:rPr>
        <w:t>the</w:t>
      </w:r>
      <w:r>
        <w:rPr>
          <w:spacing w:val="24"/>
          <w:vertAlign w:val="baseline"/>
        </w:rPr>
        <w:t> </w:t>
      </w:r>
      <w:r>
        <w:rPr>
          <w:vertAlign w:val="baseline"/>
        </w:rPr>
        <w:t>board</w:t>
      </w:r>
      <w:r>
        <w:rPr>
          <w:spacing w:val="15"/>
          <w:vertAlign w:val="baseline"/>
        </w:rPr>
        <w:t> </w:t>
      </w:r>
      <w:r>
        <w:rPr>
          <w:vertAlign w:val="baseline"/>
        </w:rPr>
        <w:t>had</w:t>
      </w:r>
      <w:r>
        <w:rPr>
          <w:spacing w:val="21"/>
          <w:vertAlign w:val="baseline"/>
        </w:rPr>
        <w:t> </w:t>
      </w:r>
      <w:r>
        <w:rPr>
          <w:vertAlign w:val="baseline"/>
        </w:rPr>
        <w:t>acted</w:t>
      </w:r>
      <w:r>
        <w:rPr>
          <w:spacing w:val="16"/>
          <w:vertAlign w:val="baseline"/>
        </w:rPr>
        <w:t> </w:t>
      </w:r>
      <w:r>
        <w:rPr>
          <w:spacing w:val="-2"/>
          <w:vertAlign w:val="baseline"/>
        </w:rPr>
        <w:t>throughout</w:t>
      </w:r>
    </w:p>
    <w:p>
      <w:pPr>
        <w:pStyle w:val="BodyText"/>
        <w:spacing w:before="150"/>
        <w:ind w:left="0"/>
        <w:rPr>
          <w:sz w:val="20"/>
        </w:rPr>
      </w:pPr>
      <w:r>
        <w:rPr/>
        <mc:AlternateContent>
          <mc:Choice Requires="wps">
            <w:drawing>
              <wp:anchor distT="0" distB="0" distL="0" distR="0" allowOverlap="1" layoutInCell="1" locked="0" behindDoc="1" simplePos="0" relativeHeight="487666688">
                <wp:simplePos x="0" y="0"/>
                <wp:positionH relativeFrom="page">
                  <wp:posOffset>1262481</wp:posOffset>
                </wp:positionH>
                <wp:positionV relativeFrom="paragraph">
                  <wp:posOffset>256527</wp:posOffset>
                </wp:positionV>
                <wp:extent cx="1829435" cy="9525"/>
                <wp:effectExtent l="0" t="0" r="0" b="0"/>
                <wp:wrapTopAndBottom/>
                <wp:docPr id="174" name="Graphic 174"/>
                <wp:cNvGraphicFramePr>
                  <a:graphicFrameLocks/>
                </wp:cNvGraphicFramePr>
                <a:graphic>
                  <a:graphicData uri="http://schemas.microsoft.com/office/word/2010/wordprocessingShape">
                    <wps:wsp>
                      <wps:cNvPr id="174" name="Graphic 17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99024pt;width:144.050pt;height:.71997pt;mso-position-horizontal-relative:page;mso-position-vertical-relative:paragraph;z-index:-15649792;mso-wrap-distance-left:0;mso-wrap-distance-right:0" id="docshape129" filled="true" fillcolor="#000000" stroked="false">
                <v:fill type="solid"/>
                <w10:wrap type="topAndBottom"/>
              </v:rect>
            </w:pict>
          </mc:Fallback>
        </mc:AlternateContent>
      </w:r>
    </w:p>
    <w:p>
      <w:pPr>
        <w:spacing w:after="0"/>
        <w:rPr>
          <w:sz w:val="20"/>
        </w:rPr>
        <w:sectPr>
          <w:footerReference w:type="default" r:id="rId40"/>
          <w:pgSz w:w="11910" w:h="16840"/>
          <w:pgMar w:header="0" w:footer="1467" w:top="1320" w:bottom="1660" w:left="1680" w:right="1180"/>
        </w:sectPr>
      </w:pPr>
    </w:p>
    <w:p>
      <w:pPr>
        <w:pStyle w:val="BodyText"/>
        <w:spacing w:line="480" w:lineRule="auto" w:before="70"/>
        <w:ind w:right="181"/>
        <w:jc w:val="both"/>
      </w:pPr>
      <w:r>
        <w:rPr/>
        <w:t>on his advice. Thus, the two men most responsible for what had been done escaped liability, while those who had followed their lead, paid up. And now, recovery by the company benefited only the purchasers, who only just came on the scene.</w:t>
      </w:r>
      <w:r>
        <w:rPr>
          <w:vertAlign w:val="superscript"/>
        </w:rPr>
        <w:t>251</w:t>
      </w:r>
      <w:r>
        <w:rPr>
          <w:vertAlign w:val="baseline"/>
        </w:rPr>
        <w:t> Consequently, it has been</w:t>
      </w:r>
      <w:r>
        <w:rPr>
          <w:spacing w:val="-6"/>
          <w:vertAlign w:val="baseline"/>
        </w:rPr>
        <w:t> </w:t>
      </w:r>
      <w:r>
        <w:rPr>
          <w:vertAlign w:val="baseline"/>
        </w:rPr>
        <w:t>posited</w:t>
      </w:r>
      <w:r>
        <w:rPr>
          <w:spacing w:val="-1"/>
          <w:vertAlign w:val="baseline"/>
        </w:rPr>
        <w:t> </w:t>
      </w:r>
      <w:r>
        <w:rPr>
          <w:vertAlign w:val="baseline"/>
        </w:rPr>
        <w:t>that</w:t>
      </w:r>
      <w:r>
        <w:rPr>
          <w:spacing w:val="-1"/>
          <w:vertAlign w:val="baseline"/>
        </w:rPr>
        <w:t> </w:t>
      </w:r>
      <w:r>
        <w:rPr>
          <w:vertAlign w:val="baseline"/>
        </w:rPr>
        <w:t>this</w:t>
      </w:r>
      <w:r>
        <w:rPr>
          <w:spacing w:val="-3"/>
          <w:vertAlign w:val="baseline"/>
        </w:rPr>
        <w:t> </w:t>
      </w:r>
      <w:r>
        <w:rPr>
          <w:vertAlign w:val="baseline"/>
        </w:rPr>
        <w:t>case has</w:t>
      </w:r>
      <w:r>
        <w:rPr>
          <w:spacing w:val="-3"/>
          <w:vertAlign w:val="baseline"/>
        </w:rPr>
        <w:t> </w:t>
      </w:r>
      <w:r>
        <w:rPr>
          <w:vertAlign w:val="baseline"/>
        </w:rPr>
        <w:t>allowed ―equitable</w:t>
      </w:r>
      <w:r>
        <w:rPr>
          <w:spacing w:val="-2"/>
          <w:vertAlign w:val="baseline"/>
        </w:rPr>
        <w:t> </w:t>
      </w:r>
      <w:r>
        <w:rPr>
          <w:vertAlign w:val="baseline"/>
        </w:rPr>
        <w:t>principles‖</w:t>
      </w:r>
      <w:r>
        <w:rPr>
          <w:spacing w:val="-1"/>
          <w:vertAlign w:val="baseline"/>
        </w:rPr>
        <w:t> </w:t>
      </w:r>
      <w:r>
        <w:rPr>
          <w:vertAlign w:val="baseline"/>
        </w:rPr>
        <w:t>to be taken</w:t>
      </w:r>
      <w:r>
        <w:rPr>
          <w:spacing w:val="-9"/>
          <w:vertAlign w:val="baseline"/>
        </w:rPr>
        <w:t> </w:t>
      </w:r>
      <w:r>
        <w:rPr>
          <w:vertAlign w:val="baseline"/>
        </w:rPr>
        <w:t>to ―inequitable</w:t>
      </w:r>
      <w:r>
        <w:rPr>
          <w:spacing w:val="-6"/>
          <w:vertAlign w:val="baseline"/>
        </w:rPr>
        <w:t> </w:t>
      </w:r>
      <w:r>
        <w:rPr>
          <w:vertAlign w:val="baseline"/>
        </w:rPr>
        <w:t>conclusions,‖</w:t>
      </w:r>
      <w:r>
        <w:rPr>
          <w:spacing w:val="-6"/>
          <w:vertAlign w:val="baseline"/>
        </w:rPr>
        <w:t> </w:t>
      </w:r>
      <w:r>
        <w:rPr>
          <w:vertAlign w:val="baseline"/>
        </w:rPr>
        <w:t>especially</w:t>
      </w:r>
      <w:r>
        <w:rPr>
          <w:spacing w:val="-9"/>
          <w:vertAlign w:val="baseline"/>
        </w:rPr>
        <w:t> </w:t>
      </w:r>
      <w:r>
        <w:rPr>
          <w:vertAlign w:val="baseline"/>
        </w:rPr>
        <w:t>because</w:t>
      </w:r>
      <w:r>
        <w:rPr>
          <w:spacing w:val="-6"/>
          <w:vertAlign w:val="baseline"/>
        </w:rPr>
        <w:t> </w:t>
      </w:r>
      <w:r>
        <w:rPr>
          <w:vertAlign w:val="baseline"/>
        </w:rPr>
        <w:t>recovery</w:t>
      </w:r>
      <w:r>
        <w:rPr>
          <w:spacing w:val="-13"/>
          <w:vertAlign w:val="baseline"/>
        </w:rPr>
        <w:t> </w:t>
      </w:r>
      <w:r>
        <w:rPr>
          <w:vertAlign w:val="baseline"/>
        </w:rPr>
        <w:t>was</w:t>
      </w:r>
      <w:r>
        <w:rPr>
          <w:spacing w:val="-7"/>
          <w:vertAlign w:val="baseline"/>
        </w:rPr>
        <w:t> </w:t>
      </w:r>
      <w:r>
        <w:rPr>
          <w:vertAlign w:val="baseline"/>
        </w:rPr>
        <w:t>eventually</w:t>
      </w:r>
      <w:r>
        <w:rPr>
          <w:spacing w:val="-5"/>
          <w:vertAlign w:val="baseline"/>
        </w:rPr>
        <w:t> </w:t>
      </w:r>
      <w:r>
        <w:rPr>
          <w:vertAlign w:val="baseline"/>
        </w:rPr>
        <w:t>not</w:t>
      </w:r>
      <w:r>
        <w:rPr>
          <w:spacing w:val="-1"/>
          <w:vertAlign w:val="baseline"/>
        </w:rPr>
        <w:t> </w:t>
      </w:r>
      <w:r>
        <w:rPr>
          <w:vertAlign w:val="baseline"/>
        </w:rPr>
        <w:t>from the right people but in fact in favour of the wrong people.</w:t>
      </w:r>
      <w:r>
        <w:rPr>
          <w:vertAlign w:val="superscript"/>
        </w:rPr>
        <w:t>252</w:t>
      </w:r>
    </w:p>
    <w:p>
      <w:pPr>
        <w:pStyle w:val="BodyText"/>
        <w:spacing w:line="480" w:lineRule="auto" w:before="1"/>
        <w:ind w:right="180" w:firstLine="720"/>
        <w:jc w:val="both"/>
      </w:pPr>
      <w:r>
        <w:rPr/>
        <w:t>Regardless, it has equally been observed that the approach adopted by the courts may have been necessary as it effectually relieves the court of the difficult task of</w:t>
      </w:r>
      <w:r>
        <w:rPr>
          <w:spacing w:val="80"/>
        </w:rPr>
        <w:t> </w:t>
      </w:r>
      <w:r>
        <w:rPr/>
        <w:t>having to judge whether the company was genuinely unable to raise the finance itself, which judgment it is not well-placed to make. It is after all the duty of the director to obtain the opportunity for the company. One must agree with the position that if the director is to be relieved of this duty and left free to take the opportunity personally where there is only a low chance of the company obtaining the opportunity itself, this would give the director an incentive not to strive as hard as he ought to, in order to promote the company‘s interests.</w:t>
      </w:r>
      <w:r>
        <w:rPr>
          <w:vertAlign w:val="superscript"/>
        </w:rPr>
        <w:t>253</w:t>
      </w:r>
      <w:r>
        <w:rPr>
          <w:vertAlign w:val="baseline"/>
        </w:rPr>
        <w:t> Provisions such as s. 280(4) effectively remove this incentive. On the other hand, if the director makes a disclosure in accordance with s. 280(6), he would be allowed to take the advantage of any corporate opportunity or property, for the profit would then no longer be ―secret‖. But he must account to the company in every other case.</w:t>
      </w:r>
    </w:p>
    <w:p>
      <w:pPr>
        <w:pStyle w:val="BodyText"/>
        <w:spacing w:line="480" w:lineRule="auto" w:before="3"/>
        <w:ind w:right="182" w:firstLine="720"/>
        <w:jc w:val="both"/>
      </w:pPr>
      <w:r>
        <w:rPr/>
        <w:t>Interestingly, perhaps in line with the principles of freedom of contract, the law does not forbid the director from holding multiple offices</w:t>
      </w:r>
      <w:r>
        <w:rPr>
          <w:vertAlign w:val="superscript"/>
        </w:rPr>
        <w:t>254</w:t>
      </w:r>
      <w:r>
        <w:rPr>
          <w:vertAlign w:val="baseline"/>
        </w:rPr>
        <w:t> even of rival companies,</w:t>
      </w:r>
      <w:r>
        <w:rPr>
          <w:vertAlign w:val="superscript"/>
        </w:rPr>
        <w:t>255</w:t>
      </w:r>
    </w:p>
    <w:p>
      <w:pPr>
        <w:pStyle w:val="BodyText"/>
        <w:spacing w:before="95"/>
        <w:ind w:left="0"/>
        <w:rPr>
          <w:sz w:val="20"/>
        </w:rPr>
      </w:pPr>
      <w:r>
        <w:rPr/>
        <mc:AlternateContent>
          <mc:Choice Requires="wps">
            <w:drawing>
              <wp:anchor distT="0" distB="0" distL="0" distR="0" allowOverlap="1" layoutInCell="1" locked="0" behindDoc="1" simplePos="0" relativeHeight="487667200">
                <wp:simplePos x="0" y="0"/>
                <wp:positionH relativeFrom="page">
                  <wp:posOffset>1262481</wp:posOffset>
                </wp:positionH>
                <wp:positionV relativeFrom="paragraph">
                  <wp:posOffset>221732</wp:posOffset>
                </wp:positionV>
                <wp:extent cx="1829435" cy="9525"/>
                <wp:effectExtent l="0" t="0" r="0" b="0"/>
                <wp:wrapTopAndBottom/>
                <wp:docPr id="177" name="Graphic 177"/>
                <wp:cNvGraphicFramePr>
                  <a:graphicFrameLocks/>
                </wp:cNvGraphicFramePr>
                <a:graphic>
                  <a:graphicData uri="http://schemas.microsoft.com/office/word/2010/wordprocessingShape">
                    <wps:wsp>
                      <wps:cNvPr id="177" name="Graphic 17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459249pt;width:144.050pt;height:.71997pt;mso-position-horizontal-relative:page;mso-position-vertical-relative:paragraph;z-index:-15649280;mso-wrap-distance-left:0;mso-wrap-distance-right:0" id="docshape132" filled="true" fillcolor="#000000" stroked="false">
                <v:fill type="solid"/>
                <w10:wrap type="topAndBottom"/>
              </v:rect>
            </w:pict>
          </mc:Fallback>
        </mc:AlternateContent>
      </w:r>
    </w:p>
    <w:p>
      <w:pPr>
        <w:spacing w:line="242" w:lineRule="exact" w:before="102"/>
        <w:ind w:left="308" w:right="0" w:firstLine="0"/>
        <w:jc w:val="both"/>
        <w:rPr>
          <w:rFonts w:ascii="Calibri"/>
          <w:sz w:val="20"/>
        </w:rPr>
      </w:pPr>
      <w:r>
        <w:rPr>
          <w:rFonts w:ascii="Calibri"/>
          <w:sz w:val="20"/>
          <w:vertAlign w:val="superscript"/>
        </w:rPr>
        <w:t>251</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5"/>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 op.cit.at</w:t>
      </w:r>
      <w:r>
        <w:rPr>
          <w:rFonts w:ascii="Calibri"/>
          <w:spacing w:val="-7"/>
          <w:sz w:val="20"/>
          <w:vertAlign w:val="baseline"/>
        </w:rPr>
        <w:t> </w:t>
      </w:r>
      <w:r>
        <w:rPr>
          <w:rFonts w:ascii="Calibri"/>
          <w:spacing w:val="-4"/>
          <w:sz w:val="20"/>
          <w:vertAlign w:val="baseline"/>
        </w:rPr>
        <w:t>593.</w:t>
      </w:r>
    </w:p>
    <w:p>
      <w:pPr>
        <w:spacing w:line="242" w:lineRule="exact" w:before="0"/>
        <w:ind w:left="308" w:right="0" w:firstLine="0"/>
        <w:jc w:val="both"/>
        <w:rPr>
          <w:rFonts w:ascii="Calibri"/>
          <w:sz w:val="20"/>
        </w:rPr>
      </w:pPr>
      <w:r>
        <w:rPr>
          <w:rFonts w:ascii="Calibri"/>
          <w:sz w:val="20"/>
          <w:vertAlign w:val="superscript"/>
        </w:rPr>
        <w:t>252</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594.</w:t>
      </w:r>
    </w:p>
    <w:p>
      <w:pPr>
        <w:spacing w:before="1"/>
        <w:ind w:left="308" w:right="224" w:firstLine="0"/>
        <w:jc w:val="both"/>
        <w:rPr>
          <w:rFonts w:ascii="Calibri" w:hAnsi="Calibri"/>
          <w:sz w:val="20"/>
        </w:rPr>
      </w:pPr>
      <w:r>
        <w:rPr>
          <w:rFonts w:ascii="Calibri" w:hAnsi="Calibri"/>
          <w:sz w:val="20"/>
          <w:vertAlign w:val="superscript"/>
        </w:rPr>
        <w:t>253</w:t>
      </w:r>
      <w:r>
        <w:rPr>
          <w:rFonts w:ascii="Calibri" w:hAnsi="Calibri"/>
          <w:sz w:val="20"/>
          <w:vertAlign w:val="baseline"/>
        </w:rPr>
        <w:t> Davies, L.P. and Worthington, S. op.cit., p. 593. See also </w:t>
      </w:r>
      <w:r>
        <w:rPr>
          <w:rFonts w:ascii="Calibri" w:hAnsi="Calibri"/>
          <w:i/>
          <w:sz w:val="20"/>
          <w:vertAlign w:val="baseline"/>
        </w:rPr>
        <w:t>Irving TrustCo. </w:t>
      </w:r>
      <w:r>
        <w:rPr>
          <w:rFonts w:ascii="Calibri" w:hAnsi="Calibri"/>
          <w:sz w:val="20"/>
          <w:vertAlign w:val="baseline"/>
        </w:rPr>
        <w:t>vs. </w:t>
      </w:r>
      <w:r>
        <w:rPr>
          <w:rFonts w:ascii="Calibri" w:hAnsi="Calibri"/>
          <w:i/>
          <w:sz w:val="20"/>
          <w:vertAlign w:val="baseline"/>
        </w:rPr>
        <w:t>Deutsche </w:t>
      </w:r>
      <w:r>
        <w:rPr>
          <w:rFonts w:ascii="Calibri" w:hAnsi="Calibri"/>
          <w:sz w:val="20"/>
          <w:vertAlign w:val="baseline"/>
        </w:rPr>
        <w:t>(1934) 73 F. 2d 121,</w:t>
      </w:r>
      <w:r>
        <w:rPr>
          <w:rFonts w:ascii="Calibri" w:hAnsi="Calibri"/>
          <w:spacing w:val="-1"/>
          <w:sz w:val="20"/>
          <w:vertAlign w:val="baseline"/>
        </w:rPr>
        <w:t> </w:t>
      </w:r>
      <w:r>
        <w:rPr>
          <w:rFonts w:ascii="Calibri" w:hAnsi="Calibri"/>
          <w:sz w:val="20"/>
          <w:vertAlign w:val="baseline"/>
        </w:rPr>
        <w:t>at 124 and</w:t>
      </w:r>
      <w:r>
        <w:rPr>
          <w:rFonts w:ascii="Calibri" w:hAnsi="Calibri"/>
          <w:i/>
          <w:sz w:val="20"/>
          <w:vertAlign w:val="baseline"/>
        </w:rPr>
        <w:t>Industrial Development</w:t>
      </w:r>
      <w:r>
        <w:rPr>
          <w:rFonts w:ascii="Calibri" w:hAnsi="Calibri"/>
          <w:i/>
          <w:spacing w:val="-4"/>
          <w:sz w:val="20"/>
          <w:vertAlign w:val="baseline"/>
        </w:rPr>
        <w:t> </w:t>
      </w:r>
      <w:r>
        <w:rPr>
          <w:rFonts w:ascii="Calibri" w:hAnsi="Calibri"/>
          <w:i/>
          <w:sz w:val="20"/>
          <w:vertAlign w:val="baseline"/>
        </w:rPr>
        <w:t>Consultants</w:t>
      </w:r>
      <w:r>
        <w:rPr>
          <w:rFonts w:ascii="Calibri" w:hAnsi="Calibri"/>
          <w:i/>
          <w:spacing w:val="-1"/>
          <w:sz w:val="20"/>
          <w:vertAlign w:val="baseline"/>
        </w:rPr>
        <w:t> </w:t>
      </w:r>
      <w:r>
        <w:rPr>
          <w:rFonts w:ascii="Calibri" w:hAnsi="Calibri"/>
          <w:i/>
          <w:sz w:val="20"/>
          <w:vertAlign w:val="baseline"/>
        </w:rPr>
        <w:t>Ltd. </w:t>
      </w:r>
      <w:r>
        <w:rPr>
          <w:rFonts w:ascii="Calibri" w:hAnsi="Calibri"/>
          <w:sz w:val="20"/>
          <w:vertAlign w:val="baseline"/>
        </w:rPr>
        <w:t>vs.</w:t>
      </w:r>
      <w:r>
        <w:rPr>
          <w:rFonts w:ascii="Calibri" w:hAnsi="Calibri"/>
          <w:spacing w:val="-2"/>
          <w:sz w:val="20"/>
          <w:vertAlign w:val="baseline"/>
        </w:rPr>
        <w:t> </w:t>
      </w:r>
      <w:r>
        <w:rPr>
          <w:rFonts w:ascii="Calibri" w:hAnsi="Calibri"/>
          <w:i/>
          <w:sz w:val="20"/>
          <w:vertAlign w:val="baseline"/>
        </w:rPr>
        <w:t>Cooley</w:t>
      </w:r>
      <w:r>
        <w:rPr>
          <w:rFonts w:ascii="Calibri" w:hAnsi="Calibri"/>
          <w:i/>
          <w:spacing w:val="-2"/>
          <w:sz w:val="20"/>
          <w:vertAlign w:val="baseline"/>
        </w:rPr>
        <w:t> </w:t>
      </w:r>
      <w:r>
        <w:rPr>
          <w:rFonts w:ascii="Calibri" w:hAnsi="Calibri"/>
          <w:sz w:val="20"/>
          <w:vertAlign w:val="baseline"/>
        </w:rPr>
        <w:t>(1972) 2 All E.R. 162at 176,</w:t>
      </w:r>
      <w:r>
        <w:rPr>
          <w:rFonts w:ascii="Calibri" w:hAnsi="Calibri"/>
          <w:spacing w:val="-1"/>
          <w:sz w:val="20"/>
          <w:vertAlign w:val="baseline"/>
        </w:rPr>
        <w:t> </w:t>
      </w:r>
      <w:r>
        <w:rPr>
          <w:rFonts w:ascii="Calibri" w:hAnsi="Calibri"/>
          <w:sz w:val="20"/>
          <w:vertAlign w:val="baseline"/>
        </w:rPr>
        <w:t>where the court</w:t>
      </w:r>
      <w:r>
        <w:rPr>
          <w:rFonts w:ascii="Calibri" w:hAnsi="Calibri"/>
          <w:spacing w:val="-4"/>
          <w:sz w:val="20"/>
          <w:vertAlign w:val="baseline"/>
        </w:rPr>
        <w:t> </w:t>
      </w:r>
      <w:r>
        <w:rPr>
          <w:rFonts w:ascii="Calibri" w:hAnsi="Calibri"/>
          <w:sz w:val="20"/>
          <w:vertAlign w:val="baseline"/>
        </w:rPr>
        <w:t>remarked,</w:t>
      </w:r>
      <w:r>
        <w:rPr>
          <w:rFonts w:ascii="Calibri" w:hAnsi="Calibri"/>
          <w:spacing w:val="-1"/>
          <w:sz w:val="20"/>
          <w:vertAlign w:val="baseline"/>
        </w:rPr>
        <w:t> </w:t>
      </w:r>
      <w:r>
        <w:rPr>
          <w:rFonts w:ascii="Calibri" w:hAnsi="Calibri"/>
          <w:sz w:val="20"/>
          <w:vertAlign w:val="baseline"/>
        </w:rPr>
        <w:t>on the point under discussion,</w:t>
      </w:r>
      <w:r>
        <w:rPr>
          <w:rFonts w:ascii="Calibri" w:hAnsi="Calibri"/>
          <w:spacing w:val="-1"/>
          <w:sz w:val="20"/>
          <w:vertAlign w:val="baseline"/>
        </w:rPr>
        <w:t> </w:t>
      </w:r>
      <w:r>
        <w:rPr>
          <w:rFonts w:ascii="Calibri" w:hAnsi="Calibri"/>
          <w:sz w:val="20"/>
          <w:vertAlign w:val="baseline"/>
        </w:rPr>
        <w:t>that“It is</w:t>
      </w:r>
      <w:r>
        <w:rPr>
          <w:rFonts w:ascii="Calibri" w:hAnsi="Calibri"/>
          <w:spacing w:val="-1"/>
          <w:sz w:val="20"/>
          <w:vertAlign w:val="baseline"/>
        </w:rPr>
        <w:t> </w:t>
      </w:r>
      <w:r>
        <w:rPr>
          <w:rFonts w:ascii="Calibri" w:hAnsi="Calibri"/>
          <w:sz w:val="20"/>
          <w:vertAlign w:val="baseline"/>
        </w:rPr>
        <w:t>acurious</w:t>
      </w:r>
      <w:r>
        <w:rPr>
          <w:rFonts w:ascii="Calibri" w:hAnsi="Calibri"/>
          <w:spacing w:val="-1"/>
          <w:sz w:val="20"/>
          <w:vertAlign w:val="baseline"/>
        </w:rPr>
        <w:t> </w:t>
      </w:r>
      <w:r>
        <w:rPr>
          <w:rFonts w:ascii="Calibri" w:hAnsi="Calibri"/>
          <w:sz w:val="20"/>
          <w:vertAlign w:val="baseline"/>
        </w:rPr>
        <w:t>position under which</w:t>
      </w:r>
      <w:r>
        <w:rPr>
          <w:rFonts w:ascii="Calibri" w:hAnsi="Calibri"/>
          <w:spacing w:val="-4"/>
          <w:sz w:val="20"/>
          <w:vertAlign w:val="baseline"/>
        </w:rPr>
        <w:t> </w:t>
      </w:r>
      <w:r>
        <w:rPr>
          <w:rFonts w:ascii="Calibri" w:hAnsi="Calibri"/>
          <w:sz w:val="20"/>
          <w:vertAlign w:val="baseline"/>
        </w:rPr>
        <w:t>he whose duty it would have been to seek topersuade them to change their minds should now say that the plaintiffs sufferedno loss because he would never have succeeded in persuading them to change their mind."</w:t>
      </w:r>
    </w:p>
    <w:p>
      <w:pPr>
        <w:spacing w:after="0"/>
        <w:jc w:val="both"/>
        <w:rPr>
          <w:rFonts w:ascii="Calibri" w:hAnsi="Calibri"/>
          <w:sz w:val="20"/>
        </w:rPr>
        <w:sectPr>
          <w:footerReference w:type="default" r:id="rId41"/>
          <w:pgSz w:w="11910" w:h="16840"/>
          <w:pgMar w:header="0" w:footer="1384" w:top="1320" w:bottom="1580" w:left="1680" w:right="1180"/>
        </w:sectPr>
      </w:pPr>
    </w:p>
    <w:p>
      <w:pPr>
        <w:pStyle w:val="BodyText"/>
        <w:spacing w:line="480" w:lineRule="auto" w:before="110"/>
        <w:ind w:right="183"/>
        <w:jc w:val="both"/>
      </w:pPr>
      <w:r>
        <w:rPr/>
        <w:t>or setting up a rival business,</w:t>
      </w:r>
      <w:r>
        <w:rPr>
          <w:vertAlign w:val="superscript"/>
        </w:rPr>
        <w:t>256</w:t>
      </w:r>
      <w:r>
        <w:rPr>
          <w:vertAlign w:val="baseline"/>
        </w:rPr>
        <w:t> yet expects him to still discharge his fiduciary duties equally to each.</w:t>
      </w:r>
      <w:r>
        <w:rPr>
          <w:vertAlign w:val="superscript"/>
        </w:rPr>
        <w:t>257</w:t>
      </w:r>
      <w:r>
        <w:rPr>
          <w:vertAlign w:val="baseline"/>
        </w:rPr>
        <w:t> Thus, he must not use the property, opportunity or information obtained in the course of the management of one, for the benefit of the other, company</w:t>
      </w:r>
      <w:r>
        <w:rPr>
          <w:spacing w:val="40"/>
          <w:vertAlign w:val="baseline"/>
        </w:rPr>
        <w:t> </w:t>
      </w:r>
      <w:r>
        <w:rPr>
          <w:vertAlign w:val="baseline"/>
        </w:rPr>
        <w:t>or even his own or someone else‘s advantage.</w:t>
      </w:r>
      <w:r>
        <w:rPr>
          <w:vertAlign w:val="superscript"/>
        </w:rPr>
        <w:t>258</w:t>
      </w:r>
      <w:r>
        <w:rPr>
          <w:vertAlign w:val="baseline"/>
        </w:rPr>
        <w:t> However, the principles developed regarding the duties of</w:t>
      </w:r>
      <w:r>
        <w:rPr>
          <w:spacing w:val="-4"/>
          <w:vertAlign w:val="baseline"/>
        </w:rPr>
        <w:t> </w:t>
      </w:r>
      <w:r>
        <w:rPr>
          <w:vertAlign w:val="baseline"/>
        </w:rPr>
        <w:t>the company</w:t>
      </w:r>
      <w:r>
        <w:rPr>
          <w:spacing w:val="-1"/>
          <w:vertAlign w:val="baseline"/>
        </w:rPr>
        <w:t> </w:t>
      </w:r>
      <w:r>
        <w:rPr>
          <w:vertAlign w:val="baseline"/>
        </w:rPr>
        <w:t>director would make it very</w:t>
      </w:r>
      <w:r>
        <w:rPr>
          <w:spacing w:val="-6"/>
          <w:vertAlign w:val="baseline"/>
        </w:rPr>
        <w:t> </w:t>
      </w:r>
      <w:r>
        <w:rPr>
          <w:vertAlign w:val="baseline"/>
        </w:rPr>
        <w:t>difficult for a person</w:t>
      </w:r>
      <w:r>
        <w:rPr>
          <w:spacing w:val="-6"/>
          <w:vertAlign w:val="baseline"/>
        </w:rPr>
        <w:t> </w:t>
      </w:r>
      <w:r>
        <w:rPr>
          <w:vertAlign w:val="baseline"/>
        </w:rPr>
        <w:t>to successfully balance the interests of both businesses in such instances. Such a person is considered to be metaphorically</w:t>
      </w:r>
      <w:r>
        <w:rPr>
          <w:spacing w:val="-1"/>
          <w:vertAlign w:val="baseline"/>
        </w:rPr>
        <w:t> </w:t>
      </w:r>
      <w:r>
        <w:rPr>
          <w:vertAlign w:val="baseline"/>
        </w:rPr>
        <w:t>walking a tight-rope and at risk if he fails to deal fairly with both.</w:t>
      </w:r>
      <w:r>
        <w:rPr>
          <w:vertAlign w:val="superscript"/>
        </w:rPr>
        <w:t>259</w:t>
      </w:r>
      <w:r>
        <w:rPr>
          <w:vertAlign w:val="baseline"/>
        </w:rPr>
        <w:t> On the other hand, nothing in the law prevents the company from drafting the director‘s</w:t>
      </w:r>
      <w:r>
        <w:rPr>
          <w:spacing w:val="-2"/>
          <w:vertAlign w:val="baseline"/>
        </w:rPr>
        <w:t> </w:t>
      </w:r>
      <w:r>
        <w:rPr>
          <w:vertAlign w:val="baseline"/>
        </w:rPr>
        <w:t>terms</w:t>
      </w:r>
      <w:r>
        <w:rPr>
          <w:spacing w:val="-2"/>
          <w:vertAlign w:val="baseline"/>
        </w:rPr>
        <w:t> </w:t>
      </w:r>
      <w:r>
        <w:rPr>
          <w:vertAlign w:val="baseline"/>
        </w:rPr>
        <w:t>of</w:t>
      </w:r>
      <w:r>
        <w:rPr>
          <w:spacing w:val="-7"/>
          <w:vertAlign w:val="baseline"/>
        </w:rPr>
        <w:t> </w:t>
      </w:r>
      <w:r>
        <w:rPr>
          <w:vertAlign w:val="baseline"/>
        </w:rPr>
        <w:t>service in</w:t>
      </w:r>
      <w:r>
        <w:rPr>
          <w:spacing w:val="-4"/>
          <w:vertAlign w:val="baseline"/>
        </w:rPr>
        <w:t> </w:t>
      </w:r>
      <w:r>
        <w:rPr>
          <w:vertAlign w:val="baseline"/>
        </w:rPr>
        <w:t>a way</w:t>
      </w:r>
      <w:r>
        <w:rPr>
          <w:spacing w:val="-4"/>
          <w:vertAlign w:val="baseline"/>
        </w:rPr>
        <w:t> </w:t>
      </w:r>
      <w:r>
        <w:rPr>
          <w:vertAlign w:val="baseline"/>
        </w:rPr>
        <w:t>that prevents</w:t>
      </w:r>
      <w:r>
        <w:rPr>
          <w:spacing w:val="-2"/>
          <w:vertAlign w:val="baseline"/>
        </w:rPr>
        <w:t> </w:t>
      </w:r>
      <w:r>
        <w:rPr>
          <w:vertAlign w:val="baseline"/>
        </w:rPr>
        <w:t>him from</w:t>
      </w:r>
      <w:r>
        <w:rPr>
          <w:spacing w:val="-8"/>
          <w:vertAlign w:val="baseline"/>
        </w:rPr>
        <w:t> </w:t>
      </w:r>
      <w:r>
        <w:rPr>
          <w:vertAlign w:val="baseline"/>
        </w:rPr>
        <w:t>setting up a rival business or accepting a similar position in a rival company within the permissible boundaries of the general principles of contract regarding restrictive covenants.</w:t>
      </w:r>
    </w:p>
    <w:p>
      <w:pPr>
        <w:pStyle w:val="BodyText"/>
        <w:spacing w:line="480" w:lineRule="auto" w:before="2"/>
        <w:ind w:right="179" w:firstLine="720"/>
        <w:jc w:val="both"/>
      </w:pPr>
      <w:r>
        <w:rPr/>
        <w:t>Another limb of the principle against clash of interests and duty concerns situations where the director contracts with the company. The director is generally precluded from</w:t>
      </w:r>
      <w:r>
        <w:rPr>
          <w:spacing w:val="-8"/>
        </w:rPr>
        <w:t> </w:t>
      </w:r>
      <w:r>
        <w:rPr/>
        <w:t>dealing on behalf</w:t>
      </w:r>
      <w:r>
        <w:rPr>
          <w:spacing w:val="-3"/>
        </w:rPr>
        <w:t> </w:t>
      </w:r>
      <w:r>
        <w:rPr/>
        <w:t>of</w:t>
      </w:r>
      <w:r>
        <w:rPr>
          <w:spacing w:val="-3"/>
        </w:rPr>
        <w:t> </w:t>
      </w:r>
      <w:r>
        <w:rPr/>
        <w:t>the</w:t>
      </w:r>
      <w:r>
        <w:rPr>
          <w:spacing w:val="-1"/>
        </w:rPr>
        <w:t> </w:t>
      </w:r>
      <w:r>
        <w:rPr/>
        <w:t>company with himself—self-dealing—and from entering into engagements in which he has personal interests conflicting or which may possibly conflict with the interests of those whom he is bound by fiduciary duty to protect.</w:t>
      </w:r>
      <w:r>
        <w:rPr>
          <w:vertAlign w:val="superscript"/>
        </w:rPr>
        <w:t>260</w:t>
      </w:r>
      <w:r>
        <w:rPr>
          <w:vertAlign w:val="baseline"/>
        </w:rPr>
        <w:t> By virtue of his office, the director is an agent of the company and</w:t>
      </w:r>
      <w:r>
        <w:rPr>
          <w:spacing w:val="20"/>
          <w:vertAlign w:val="baseline"/>
        </w:rPr>
        <w:t> </w:t>
      </w:r>
      <w:r>
        <w:rPr>
          <w:vertAlign w:val="baseline"/>
        </w:rPr>
        <w:t>is said to be</w:t>
      </w:r>
      <w:r>
        <w:rPr>
          <w:spacing w:val="15"/>
          <w:vertAlign w:val="baseline"/>
        </w:rPr>
        <w:t> </w:t>
      </w:r>
      <w:r>
        <w:rPr>
          <w:vertAlign w:val="baseline"/>
        </w:rPr>
        <w:t>acting</w:t>
      </w:r>
      <w:r>
        <w:rPr>
          <w:spacing w:val="19"/>
          <w:vertAlign w:val="baseline"/>
        </w:rPr>
        <w:t> </w:t>
      </w:r>
      <w:r>
        <w:rPr>
          <w:vertAlign w:val="baseline"/>
        </w:rPr>
        <w:t>on</w:t>
      </w:r>
      <w:r>
        <w:rPr>
          <w:spacing w:val="19"/>
          <w:vertAlign w:val="baseline"/>
        </w:rPr>
        <w:t> </w:t>
      </w:r>
      <w:r>
        <w:rPr>
          <w:vertAlign w:val="baseline"/>
        </w:rPr>
        <w:t>its</w:t>
      </w:r>
      <w:r>
        <w:rPr>
          <w:spacing w:val="21"/>
          <w:vertAlign w:val="baseline"/>
        </w:rPr>
        <w:t> </w:t>
      </w:r>
      <w:r>
        <w:rPr>
          <w:vertAlign w:val="baseline"/>
        </w:rPr>
        <w:t>behalf.</w:t>
      </w:r>
      <w:r>
        <w:rPr>
          <w:spacing w:val="26"/>
          <w:vertAlign w:val="baseline"/>
        </w:rPr>
        <w:t> </w:t>
      </w:r>
      <w:r>
        <w:rPr>
          <w:vertAlign w:val="baseline"/>
        </w:rPr>
        <w:t>Where</w:t>
      </w:r>
      <w:r>
        <w:rPr>
          <w:spacing w:val="22"/>
          <w:vertAlign w:val="baseline"/>
        </w:rPr>
        <w:t> </w:t>
      </w:r>
      <w:r>
        <w:rPr>
          <w:vertAlign w:val="baseline"/>
        </w:rPr>
        <w:t>he</w:t>
      </w:r>
      <w:r>
        <w:rPr>
          <w:spacing w:val="18"/>
          <w:vertAlign w:val="baseline"/>
        </w:rPr>
        <w:t> </w:t>
      </w:r>
      <w:r>
        <w:rPr>
          <w:vertAlign w:val="baseline"/>
        </w:rPr>
        <w:t>contracts</w:t>
      </w:r>
      <w:r>
        <w:rPr>
          <w:spacing w:val="17"/>
          <w:vertAlign w:val="baseline"/>
        </w:rPr>
        <w:t> </w:t>
      </w:r>
      <w:r>
        <w:rPr>
          <w:vertAlign w:val="baseline"/>
        </w:rPr>
        <w:t>with</w:t>
      </w:r>
      <w:r>
        <w:rPr>
          <w:spacing w:val="14"/>
          <w:vertAlign w:val="baseline"/>
        </w:rPr>
        <w:t> </w:t>
      </w:r>
      <w:r>
        <w:rPr>
          <w:vertAlign w:val="baseline"/>
        </w:rPr>
        <w:t>the</w:t>
      </w:r>
      <w:r>
        <w:rPr>
          <w:spacing w:val="18"/>
          <w:vertAlign w:val="baseline"/>
        </w:rPr>
        <w:t> </w:t>
      </w:r>
      <w:r>
        <w:rPr>
          <w:vertAlign w:val="baseline"/>
        </w:rPr>
        <w:t>company</w:t>
      </w:r>
      <w:r>
        <w:rPr>
          <w:spacing w:val="18"/>
          <w:vertAlign w:val="baseline"/>
        </w:rPr>
        <w:t> </w:t>
      </w:r>
      <w:r>
        <w:rPr>
          <w:vertAlign w:val="baseline"/>
        </w:rPr>
        <w:t>in</w:t>
      </w:r>
      <w:r>
        <w:rPr>
          <w:spacing w:val="24"/>
          <w:vertAlign w:val="baseline"/>
        </w:rPr>
        <w:t> </w:t>
      </w:r>
      <w:r>
        <w:rPr>
          <w:vertAlign w:val="baseline"/>
        </w:rPr>
        <w:t>his</w:t>
      </w:r>
      <w:r>
        <w:rPr>
          <w:spacing w:val="17"/>
          <w:vertAlign w:val="baseline"/>
        </w:rPr>
        <w:t> </w:t>
      </w:r>
      <w:r>
        <w:rPr>
          <w:vertAlign w:val="baseline"/>
        </w:rPr>
        <w:t>personal</w:t>
      </w:r>
      <w:r>
        <w:rPr>
          <w:spacing w:val="15"/>
          <w:vertAlign w:val="baseline"/>
        </w:rPr>
        <w:t> </w:t>
      </w:r>
      <w:r>
        <w:rPr>
          <w:spacing w:val="-2"/>
          <w:vertAlign w:val="baseline"/>
        </w:rPr>
        <w:t>capacity,</w:t>
      </w:r>
    </w:p>
    <w:p>
      <w:pPr>
        <w:pStyle w:val="BodyText"/>
        <w:spacing w:before="43"/>
        <w:ind w:left="0"/>
        <w:rPr>
          <w:sz w:val="20"/>
        </w:rPr>
      </w:pPr>
      <w:r>
        <w:rPr/>
        <mc:AlternateContent>
          <mc:Choice Requires="wps">
            <w:drawing>
              <wp:anchor distT="0" distB="0" distL="0" distR="0" allowOverlap="1" layoutInCell="1" locked="0" behindDoc="1" simplePos="0" relativeHeight="487667712">
                <wp:simplePos x="0" y="0"/>
                <wp:positionH relativeFrom="page">
                  <wp:posOffset>1262481</wp:posOffset>
                </wp:positionH>
                <wp:positionV relativeFrom="paragraph">
                  <wp:posOffset>189131</wp:posOffset>
                </wp:positionV>
                <wp:extent cx="5400040" cy="9525"/>
                <wp:effectExtent l="0" t="0" r="0" b="0"/>
                <wp:wrapTopAndBottom/>
                <wp:docPr id="179" name="Graphic 179"/>
                <wp:cNvGraphicFramePr>
                  <a:graphicFrameLocks/>
                </wp:cNvGraphicFramePr>
                <a:graphic>
                  <a:graphicData uri="http://schemas.microsoft.com/office/word/2010/wordprocessingShape">
                    <wps:wsp>
                      <wps:cNvPr id="179" name="Graphic 179"/>
                      <wps:cNvSpPr/>
                      <wps:spPr>
                        <a:xfrm>
                          <a:off x="0" y="0"/>
                          <a:ext cx="5400040" cy="9525"/>
                        </a:xfrm>
                        <a:custGeom>
                          <a:avLst/>
                          <a:gdLst/>
                          <a:ahLst/>
                          <a:cxnLst/>
                          <a:rect l="l" t="t" r="r" b="b"/>
                          <a:pathLst>
                            <a:path w="5400040" h="9525">
                              <a:moveTo>
                                <a:pt x="5399785" y="0"/>
                              </a:moveTo>
                              <a:lnTo>
                                <a:pt x="0" y="0"/>
                              </a:lnTo>
                              <a:lnTo>
                                <a:pt x="0" y="9143"/>
                              </a:lnTo>
                              <a:lnTo>
                                <a:pt x="5399785" y="9143"/>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218pt;width:425.18pt;height:.71997pt;mso-position-horizontal-relative:page;mso-position-vertical-relative:paragraph;z-index:-15648768;mso-wrap-distance-left:0;mso-wrap-distance-right:0" id="docshape134" filled="true" fillcolor="#000000" stroked="false">
                <v:fill type="solid"/>
                <w10:wrap type="topAndBottom"/>
              </v:rect>
            </w:pict>
          </mc:Fallback>
        </mc:AlternateContent>
      </w:r>
    </w:p>
    <w:p>
      <w:pPr>
        <w:spacing w:line="240" w:lineRule="auto" w:before="102"/>
        <w:ind w:left="308" w:right="225" w:firstLine="0"/>
        <w:jc w:val="both"/>
        <w:rPr>
          <w:rFonts w:ascii="Calibri"/>
          <w:sz w:val="20"/>
        </w:rPr>
      </w:pPr>
      <w:r>
        <w:rPr>
          <w:rFonts w:ascii="Calibri"/>
          <w:sz w:val="20"/>
          <w:vertAlign w:val="superscript"/>
        </w:rPr>
        <w:t>255</w:t>
      </w:r>
      <w:r>
        <w:rPr>
          <w:rFonts w:ascii="Calibri"/>
          <w:i/>
          <w:sz w:val="20"/>
          <w:vertAlign w:val="baseline"/>
        </w:rPr>
        <w:t>London and Mashonaland Exploration Co. vs. New Mashonaland Exploration Co. </w:t>
      </w:r>
      <w:r>
        <w:rPr>
          <w:rFonts w:ascii="Calibri"/>
          <w:sz w:val="20"/>
          <w:vertAlign w:val="baseline"/>
        </w:rPr>
        <w:t>(1891) WN 165.Although the more modern approach is to restrict the</w:t>
      </w:r>
      <w:r>
        <w:rPr>
          <w:rFonts w:ascii="Calibri"/>
          <w:spacing w:val="-1"/>
          <w:sz w:val="20"/>
          <w:vertAlign w:val="baseline"/>
        </w:rPr>
        <w:t> </w:t>
      </w:r>
      <w:r>
        <w:rPr>
          <w:rFonts w:ascii="Calibri"/>
          <w:sz w:val="20"/>
          <w:vertAlign w:val="baseline"/>
        </w:rPr>
        <w:t>holding of two offices unless the director has the consent of both companies.See Brown, E. (2010). A Case of Split Loyalty?Multiple Directorships and Conflicts of Interest under the Companies Act 2006.</w:t>
      </w:r>
      <w:r>
        <w:rPr>
          <w:rFonts w:ascii="Calibri"/>
          <w:i/>
          <w:sz w:val="20"/>
          <w:vertAlign w:val="baseline"/>
        </w:rPr>
        <w:t>Butterworths Journal of International Banking and Financial Law</w:t>
      </w:r>
      <w:r>
        <w:rPr>
          <w:rFonts w:ascii="Calibri"/>
          <w:sz w:val="20"/>
          <w:vertAlign w:val="baseline"/>
        </w:rPr>
        <w:t>, 584 at 585, citing </w:t>
      </w:r>
      <w:r>
        <w:rPr>
          <w:rFonts w:ascii="Calibri"/>
          <w:i/>
          <w:sz w:val="20"/>
          <w:vertAlign w:val="baseline"/>
        </w:rPr>
        <w:t>Bristol and West Building Society vs. Mothew</w:t>
      </w:r>
      <w:r>
        <w:rPr>
          <w:rFonts w:ascii="Calibri"/>
          <w:sz w:val="20"/>
          <w:vertAlign w:val="baseline"/>
        </w:rPr>
        <w:t>[1998] Ch 1 18, CA. Retrieved December 24, 2013, from </w:t>
      </w:r>
      <w:hyperlink r:id="rId43">
        <w:r>
          <w:rPr>
            <w:rFonts w:ascii="Calibri"/>
            <w:color w:val="0000FF"/>
            <w:sz w:val="20"/>
            <w:u w:val="single" w:color="0000FF"/>
            <w:vertAlign w:val="baseline"/>
          </w:rPr>
          <w:t>http://www.essexcourt.net/uploads/publications/JIBFL_brown.pdf</w:t>
        </w:r>
      </w:hyperlink>
      <w:r>
        <w:rPr>
          <w:rFonts w:ascii="Calibri"/>
          <w:sz w:val="20"/>
          <w:vertAlign w:val="baseline"/>
        </w:rPr>
        <w:t>. </w:t>
      </w:r>
      <w:r>
        <w:rPr>
          <w:rFonts w:ascii="Calibri"/>
          <w:sz w:val="20"/>
          <w:vertAlign w:val="superscript"/>
        </w:rPr>
        <w:t>256</w:t>
      </w:r>
      <w:r>
        <w:rPr>
          <w:rFonts w:ascii="Calibri"/>
          <w:i/>
          <w:sz w:val="20"/>
          <w:vertAlign w:val="baseline"/>
        </w:rPr>
        <w:t>Bell vs. Lever Bros Ltd</w:t>
      </w:r>
      <w:r>
        <w:rPr>
          <w:rFonts w:ascii="Calibri"/>
          <w:sz w:val="20"/>
          <w:vertAlign w:val="baseline"/>
        </w:rPr>
        <w:t>. (1932) AC 161</w:t>
      </w:r>
    </w:p>
    <w:p>
      <w:pPr>
        <w:spacing w:line="242" w:lineRule="exact" w:before="0"/>
        <w:ind w:left="308" w:right="0" w:firstLine="0"/>
        <w:jc w:val="both"/>
        <w:rPr>
          <w:rFonts w:ascii="Calibri"/>
          <w:sz w:val="20"/>
        </w:rPr>
      </w:pPr>
      <w:r>
        <w:rPr>
          <w:rFonts w:ascii="Calibri"/>
          <w:sz w:val="20"/>
          <w:vertAlign w:val="superscript"/>
        </w:rPr>
        <w:t>257</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281.</w:t>
      </w:r>
    </w:p>
    <w:p>
      <w:pPr>
        <w:spacing w:line="240" w:lineRule="auto" w:before="0"/>
        <w:ind w:left="308" w:right="226" w:firstLine="0"/>
        <w:jc w:val="both"/>
        <w:rPr>
          <w:rFonts w:ascii="Calibri" w:hAnsi="Calibri"/>
          <w:sz w:val="20"/>
        </w:rPr>
      </w:pPr>
      <w:r>
        <w:rPr>
          <w:rFonts w:ascii="Calibri" w:hAnsi="Calibri"/>
          <w:sz w:val="20"/>
          <w:vertAlign w:val="superscript"/>
        </w:rPr>
        <w:t>258</w:t>
      </w:r>
      <w:r>
        <w:rPr>
          <w:rFonts w:ascii="Calibri" w:hAnsi="Calibri"/>
          <w:sz w:val="20"/>
          <w:vertAlign w:val="baseline"/>
        </w:rPr>
        <w:t> Refer to s. 281. See </w:t>
      </w:r>
      <w:r>
        <w:rPr>
          <w:rFonts w:ascii="Calibri" w:hAnsi="Calibri"/>
          <w:i/>
          <w:sz w:val="20"/>
          <w:vertAlign w:val="baseline"/>
        </w:rPr>
        <w:t>Bell vs. Lever Bros Ltd</w:t>
      </w:r>
      <w:r>
        <w:rPr>
          <w:rFonts w:ascii="Calibri" w:hAnsi="Calibri"/>
          <w:sz w:val="20"/>
          <w:vertAlign w:val="baseline"/>
        </w:rPr>
        <w:t>. (1932) AC 161, where it was held that a director is not under an obligation to refrain from competing with his company or from becoming a director of a rival company, unless there is a contrary provision under the company’s regulations for his contract of employment. See also </w:t>
      </w:r>
      <w:r>
        <w:rPr>
          <w:rFonts w:ascii="Calibri" w:hAnsi="Calibri"/>
          <w:i/>
          <w:sz w:val="20"/>
          <w:vertAlign w:val="baseline"/>
        </w:rPr>
        <w:t>Scottish Co-operative Wholesale Society Ltd. vs. Meyer </w:t>
      </w:r>
      <w:r>
        <w:rPr>
          <w:rFonts w:ascii="Calibri" w:hAnsi="Calibri"/>
          <w:sz w:val="20"/>
          <w:vertAlign w:val="baseline"/>
        </w:rPr>
        <w:t>(1958) 3 All ER 6.</w:t>
      </w:r>
    </w:p>
    <w:p>
      <w:pPr>
        <w:spacing w:before="1"/>
        <w:ind w:left="308" w:right="221" w:firstLine="0"/>
        <w:jc w:val="both"/>
        <w:rPr>
          <w:rFonts w:ascii="Calibri"/>
          <w:sz w:val="20"/>
        </w:rPr>
      </w:pPr>
      <w:r>
        <w:rPr>
          <w:rFonts w:ascii="Calibri"/>
          <w:sz w:val="20"/>
          <w:vertAlign w:val="superscript"/>
        </w:rPr>
        <w:t>259</w:t>
      </w:r>
      <w:r>
        <w:rPr>
          <w:rFonts w:ascii="Calibri"/>
          <w:sz w:val="20"/>
          <w:vertAlign w:val="baseline"/>
        </w:rPr>
        <w:t>Per</w:t>
      </w:r>
      <w:r>
        <w:rPr>
          <w:rFonts w:ascii="Calibri"/>
          <w:spacing w:val="-1"/>
          <w:sz w:val="20"/>
          <w:vertAlign w:val="baseline"/>
        </w:rPr>
        <w:t> </w:t>
      </w:r>
      <w:r>
        <w:rPr>
          <w:rFonts w:ascii="Calibri"/>
          <w:sz w:val="20"/>
          <w:vertAlign w:val="baseline"/>
        </w:rPr>
        <w:t>Lord</w:t>
      </w:r>
      <w:r>
        <w:rPr>
          <w:rFonts w:ascii="Calibri"/>
          <w:spacing w:val="-3"/>
          <w:sz w:val="20"/>
          <w:vertAlign w:val="baseline"/>
        </w:rPr>
        <w:t> </w:t>
      </w:r>
      <w:r>
        <w:rPr>
          <w:rFonts w:ascii="Calibri"/>
          <w:sz w:val="20"/>
          <w:vertAlign w:val="baseline"/>
        </w:rPr>
        <w:t>Denning</w:t>
      </w:r>
      <w:r>
        <w:rPr>
          <w:rFonts w:ascii="Calibri"/>
          <w:spacing w:val="-2"/>
          <w:sz w:val="20"/>
          <w:vertAlign w:val="baseline"/>
        </w:rPr>
        <w:t> </w:t>
      </w:r>
      <w:r>
        <w:rPr>
          <w:rFonts w:ascii="Calibri"/>
          <w:sz w:val="20"/>
          <w:vertAlign w:val="baseline"/>
        </w:rPr>
        <w:t>in </w:t>
      </w:r>
      <w:r>
        <w:rPr>
          <w:rFonts w:ascii="Calibri"/>
          <w:i/>
          <w:sz w:val="20"/>
          <w:vertAlign w:val="baseline"/>
        </w:rPr>
        <w:t>Scottish</w:t>
      </w:r>
      <w:r>
        <w:rPr>
          <w:rFonts w:ascii="Calibri"/>
          <w:i/>
          <w:spacing w:val="-1"/>
          <w:sz w:val="20"/>
          <w:vertAlign w:val="baseline"/>
        </w:rPr>
        <w:t> </w:t>
      </w:r>
      <w:r>
        <w:rPr>
          <w:rFonts w:ascii="Calibri"/>
          <w:i/>
          <w:sz w:val="20"/>
          <w:vertAlign w:val="baseline"/>
        </w:rPr>
        <w:t>Co-operative Wholesale Society</w:t>
      </w:r>
      <w:r>
        <w:rPr>
          <w:rFonts w:ascii="Calibri"/>
          <w:i/>
          <w:spacing w:val="-2"/>
          <w:sz w:val="20"/>
          <w:vertAlign w:val="baseline"/>
        </w:rPr>
        <w:t> </w:t>
      </w:r>
      <w:r>
        <w:rPr>
          <w:rFonts w:ascii="Calibri"/>
          <w:i/>
          <w:sz w:val="20"/>
          <w:vertAlign w:val="baseline"/>
        </w:rPr>
        <w:t>Ltd. vs.</w:t>
      </w:r>
      <w:r>
        <w:rPr>
          <w:rFonts w:ascii="Calibri"/>
          <w:i/>
          <w:spacing w:val="-1"/>
          <w:sz w:val="20"/>
          <w:vertAlign w:val="baseline"/>
        </w:rPr>
        <w:t> </w:t>
      </w:r>
      <w:r>
        <w:rPr>
          <w:rFonts w:ascii="Calibri"/>
          <w:i/>
          <w:sz w:val="20"/>
          <w:vertAlign w:val="baseline"/>
        </w:rPr>
        <w:t>Meyer </w:t>
      </w:r>
      <w:r>
        <w:rPr>
          <w:rFonts w:ascii="Calibri"/>
          <w:sz w:val="20"/>
          <w:vertAlign w:val="baseline"/>
        </w:rPr>
        <w:t>(1959) A.C., 324 HL</w:t>
      </w:r>
      <w:r>
        <w:rPr>
          <w:rFonts w:ascii="Calibri"/>
          <w:spacing w:val="-1"/>
          <w:sz w:val="20"/>
          <w:vertAlign w:val="baseline"/>
        </w:rPr>
        <w:t> </w:t>
      </w:r>
      <w:r>
        <w:rPr>
          <w:rFonts w:ascii="Calibri"/>
          <w:sz w:val="20"/>
          <w:vertAlign w:val="baseline"/>
        </w:rPr>
        <w:t>at 366- </w:t>
      </w:r>
      <w:r>
        <w:rPr>
          <w:rFonts w:ascii="Calibri"/>
          <w:spacing w:val="-4"/>
          <w:sz w:val="20"/>
          <w:vertAlign w:val="baseline"/>
        </w:rPr>
        <w:t>368.</w:t>
      </w:r>
    </w:p>
    <w:p>
      <w:pPr>
        <w:spacing w:before="2"/>
        <w:ind w:left="308" w:right="0" w:firstLine="0"/>
        <w:jc w:val="both"/>
        <w:rPr>
          <w:rFonts w:ascii="Calibri"/>
          <w:sz w:val="20"/>
        </w:rPr>
      </w:pPr>
      <w:r>
        <w:rPr>
          <w:rFonts w:ascii="Calibri"/>
          <w:sz w:val="20"/>
          <w:vertAlign w:val="superscript"/>
        </w:rPr>
        <w:t>260</w:t>
      </w:r>
      <w:r>
        <w:rPr>
          <w:rFonts w:ascii="Calibri"/>
          <w:spacing w:val="-3"/>
          <w:sz w:val="20"/>
          <w:vertAlign w:val="baseline"/>
        </w:rPr>
        <w:t> </w:t>
      </w:r>
      <w:r>
        <w:rPr>
          <w:rFonts w:ascii="Calibri"/>
          <w:sz w:val="20"/>
          <w:vertAlign w:val="baseline"/>
        </w:rPr>
        <w:t>Per</w:t>
      </w:r>
      <w:r>
        <w:rPr>
          <w:rFonts w:ascii="Calibri"/>
          <w:spacing w:val="-2"/>
          <w:sz w:val="20"/>
          <w:vertAlign w:val="baseline"/>
        </w:rPr>
        <w:t> </w:t>
      </w:r>
      <w:r>
        <w:rPr>
          <w:rFonts w:ascii="Calibri"/>
          <w:sz w:val="20"/>
          <w:vertAlign w:val="baseline"/>
        </w:rPr>
        <w:t>Sir</w:t>
      </w:r>
      <w:r>
        <w:rPr>
          <w:rFonts w:ascii="Calibri"/>
          <w:spacing w:val="-6"/>
          <w:sz w:val="20"/>
          <w:vertAlign w:val="baseline"/>
        </w:rPr>
        <w:t> </w:t>
      </w:r>
      <w:r>
        <w:rPr>
          <w:rFonts w:ascii="Calibri"/>
          <w:sz w:val="20"/>
          <w:vertAlign w:val="baseline"/>
        </w:rPr>
        <w:t>Richard</w:t>
      </w:r>
      <w:r>
        <w:rPr>
          <w:rFonts w:ascii="Calibri"/>
          <w:spacing w:val="-8"/>
          <w:sz w:val="20"/>
          <w:vertAlign w:val="baseline"/>
        </w:rPr>
        <w:t> </w:t>
      </w:r>
      <w:r>
        <w:rPr>
          <w:rFonts w:ascii="Calibri"/>
          <w:sz w:val="20"/>
          <w:vertAlign w:val="baseline"/>
        </w:rPr>
        <w:t>Baggalley</w:t>
      </w:r>
      <w:r>
        <w:rPr>
          <w:rFonts w:ascii="Calibri"/>
          <w:spacing w:val="-8"/>
          <w:sz w:val="20"/>
          <w:vertAlign w:val="baseline"/>
        </w:rPr>
        <w:t> </w:t>
      </w:r>
      <w:r>
        <w:rPr>
          <w:rFonts w:ascii="Calibri"/>
          <w:sz w:val="20"/>
          <w:vertAlign w:val="baseline"/>
        </w:rPr>
        <w:t>in</w:t>
      </w:r>
      <w:r>
        <w:rPr>
          <w:rFonts w:ascii="Calibri"/>
          <w:spacing w:val="-5"/>
          <w:sz w:val="20"/>
          <w:vertAlign w:val="baseline"/>
        </w:rPr>
        <w:t> </w:t>
      </w:r>
      <w:r>
        <w:rPr>
          <w:rFonts w:ascii="Calibri"/>
          <w:i/>
          <w:sz w:val="20"/>
          <w:vertAlign w:val="baseline"/>
        </w:rPr>
        <w:t>Northwest</w:t>
      </w:r>
      <w:r>
        <w:rPr>
          <w:rFonts w:ascii="Calibri"/>
          <w:i/>
          <w:spacing w:val="-4"/>
          <w:sz w:val="20"/>
          <w:vertAlign w:val="baseline"/>
        </w:rPr>
        <w:t> </w:t>
      </w:r>
      <w:r>
        <w:rPr>
          <w:rFonts w:ascii="Calibri"/>
          <w:i/>
          <w:sz w:val="20"/>
          <w:vertAlign w:val="baseline"/>
        </w:rPr>
        <w:t>Transportation</w:t>
      </w:r>
      <w:r>
        <w:rPr>
          <w:rFonts w:ascii="Calibri"/>
          <w:i/>
          <w:spacing w:val="-7"/>
          <w:sz w:val="20"/>
          <w:vertAlign w:val="baseline"/>
        </w:rPr>
        <w:t> </w:t>
      </w:r>
      <w:r>
        <w:rPr>
          <w:rFonts w:ascii="Calibri"/>
          <w:i/>
          <w:sz w:val="20"/>
          <w:vertAlign w:val="baseline"/>
        </w:rPr>
        <w:t>Co.</w:t>
      </w:r>
      <w:r>
        <w:rPr>
          <w:rFonts w:ascii="Calibri"/>
          <w:i/>
          <w:spacing w:val="-6"/>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Beatty</w:t>
      </w:r>
      <w:r>
        <w:rPr>
          <w:rFonts w:ascii="Calibri"/>
          <w:i/>
          <w:spacing w:val="-2"/>
          <w:sz w:val="20"/>
          <w:vertAlign w:val="baseline"/>
        </w:rPr>
        <w:t> </w:t>
      </w:r>
      <w:r>
        <w:rPr>
          <w:rFonts w:ascii="Calibri"/>
          <w:sz w:val="20"/>
          <w:vertAlign w:val="baseline"/>
        </w:rPr>
        <w:t>(1887)</w:t>
      </w:r>
      <w:r>
        <w:rPr>
          <w:rFonts w:ascii="Calibri"/>
          <w:spacing w:val="-7"/>
          <w:sz w:val="20"/>
          <w:vertAlign w:val="baseline"/>
        </w:rPr>
        <w:t> </w:t>
      </w:r>
      <w:r>
        <w:rPr>
          <w:rFonts w:ascii="Calibri"/>
          <w:sz w:val="20"/>
          <w:vertAlign w:val="baseline"/>
        </w:rPr>
        <w:t>12</w:t>
      </w:r>
      <w:r>
        <w:rPr>
          <w:rFonts w:ascii="Calibri"/>
          <w:spacing w:val="-5"/>
          <w:sz w:val="20"/>
          <w:vertAlign w:val="baseline"/>
        </w:rPr>
        <w:t> </w:t>
      </w:r>
      <w:r>
        <w:rPr>
          <w:rFonts w:ascii="Calibri"/>
          <w:sz w:val="20"/>
          <w:vertAlign w:val="baseline"/>
        </w:rPr>
        <w:t>APP,</w:t>
      </w:r>
      <w:r>
        <w:rPr>
          <w:rFonts w:ascii="Calibri"/>
          <w:spacing w:val="-5"/>
          <w:sz w:val="20"/>
          <w:vertAlign w:val="baseline"/>
        </w:rPr>
        <w:t> </w:t>
      </w:r>
      <w:r>
        <w:rPr>
          <w:rFonts w:ascii="Calibri"/>
          <w:sz w:val="20"/>
          <w:vertAlign w:val="baseline"/>
        </w:rPr>
        <w:t>Cas</w:t>
      </w:r>
      <w:r>
        <w:rPr>
          <w:rFonts w:ascii="Calibri"/>
          <w:spacing w:val="-7"/>
          <w:sz w:val="20"/>
          <w:vertAlign w:val="baseline"/>
        </w:rPr>
        <w:t> </w:t>
      </w:r>
      <w:r>
        <w:rPr>
          <w:rFonts w:ascii="Calibri"/>
          <w:sz w:val="20"/>
          <w:vertAlign w:val="baseline"/>
        </w:rPr>
        <w:t>589,</w:t>
      </w:r>
      <w:r>
        <w:rPr>
          <w:rFonts w:ascii="Calibri"/>
          <w:spacing w:val="-5"/>
          <w:sz w:val="20"/>
          <w:vertAlign w:val="baseline"/>
        </w:rPr>
        <w:t> </w:t>
      </w:r>
      <w:r>
        <w:rPr>
          <w:rFonts w:ascii="Calibri"/>
          <w:sz w:val="20"/>
          <w:vertAlign w:val="baseline"/>
        </w:rPr>
        <w:t>at</w:t>
      </w:r>
      <w:r>
        <w:rPr>
          <w:rFonts w:ascii="Calibri"/>
          <w:spacing w:val="-9"/>
          <w:sz w:val="20"/>
          <w:vertAlign w:val="baseline"/>
        </w:rPr>
        <w:t> </w:t>
      </w:r>
      <w:r>
        <w:rPr>
          <w:rFonts w:ascii="Calibri"/>
          <w:spacing w:val="-4"/>
          <w:sz w:val="20"/>
          <w:vertAlign w:val="baseline"/>
        </w:rPr>
        <w:t>593.</w:t>
      </w:r>
    </w:p>
    <w:p>
      <w:pPr>
        <w:spacing w:after="0"/>
        <w:jc w:val="both"/>
        <w:rPr>
          <w:rFonts w:ascii="Calibri"/>
          <w:sz w:val="20"/>
        </w:rPr>
        <w:sectPr>
          <w:footerReference w:type="default" r:id="rId42"/>
          <w:pgSz w:w="11910" w:h="16840"/>
          <w:pgMar w:header="0" w:footer="1003" w:top="1280" w:bottom="1200" w:left="1680" w:right="1180"/>
          <w:pgNumType w:start="136"/>
        </w:sectPr>
      </w:pPr>
    </w:p>
    <w:p>
      <w:pPr>
        <w:pStyle w:val="BodyText"/>
        <w:spacing w:line="480" w:lineRule="auto" w:before="70"/>
        <w:ind w:right="187"/>
        <w:jc w:val="both"/>
      </w:pPr>
      <w:r>
        <w:rPr/>
        <w:t>while still being its director, there is a clash of interests. This principle of law is echoed in</w:t>
      </w:r>
      <w:r>
        <w:rPr>
          <w:spacing w:val="-8"/>
        </w:rPr>
        <w:t> </w:t>
      </w:r>
      <w:r>
        <w:rPr/>
        <w:t>the</w:t>
      </w:r>
      <w:r>
        <w:rPr>
          <w:spacing w:val="-6"/>
        </w:rPr>
        <w:t> </w:t>
      </w:r>
      <w:r>
        <w:rPr/>
        <w:t>statement</w:t>
      </w:r>
      <w:r>
        <w:rPr>
          <w:spacing w:val="-4"/>
        </w:rPr>
        <w:t> </w:t>
      </w:r>
      <w:r>
        <w:rPr/>
        <w:t>of</w:t>
      </w:r>
      <w:r>
        <w:rPr>
          <w:spacing w:val="-11"/>
        </w:rPr>
        <w:t> </w:t>
      </w:r>
      <w:r>
        <w:rPr/>
        <w:t>Lord</w:t>
      </w:r>
      <w:r>
        <w:rPr>
          <w:spacing w:val="-8"/>
        </w:rPr>
        <w:t> </w:t>
      </w:r>
      <w:r>
        <w:rPr/>
        <w:t>Loughorough,</w:t>
      </w:r>
      <w:r>
        <w:rPr>
          <w:spacing w:val="-7"/>
        </w:rPr>
        <w:t> </w:t>
      </w:r>
      <w:r>
        <w:rPr/>
        <w:t>that</w:t>
      </w:r>
      <w:r>
        <w:rPr>
          <w:spacing w:val="-4"/>
        </w:rPr>
        <w:t> </w:t>
      </w:r>
      <w:r>
        <w:rPr/>
        <w:t>―he</w:t>
      </w:r>
      <w:r>
        <w:rPr>
          <w:spacing w:val="-9"/>
        </w:rPr>
        <w:t> </w:t>
      </w:r>
      <w:r>
        <w:rPr/>
        <w:t>who</w:t>
      </w:r>
      <w:r>
        <w:rPr>
          <w:spacing w:val="-5"/>
        </w:rPr>
        <w:t> </w:t>
      </w:r>
      <w:r>
        <w:rPr/>
        <w:t>undertakes</w:t>
      </w:r>
      <w:r>
        <w:rPr>
          <w:spacing w:val="-11"/>
        </w:rPr>
        <w:t> </w:t>
      </w:r>
      <w:r>
        <w:rPr/>
        <w:t>to</w:t>
      </w:r>
      <w:r>
        <w:rPr>
          <w:spacing w:val="-4"/>
        </w:rPr>
        <w:t> </w:t>
      </w:r>
      <w:r>
        <w:rPr/>
        <w:t>act</w:t>
      </w:r>
      <w:r>
        <w:rPr>
          <w:spacing w:val="-4"/>
        </w:rPr>
        <w:t> </w:t>
      </w:r>
      <w:r>
        <w:rPr/>
        <w:t>for</w:t>
      </w:r>
      <w:r>
        <w:rPr>
          <w:spacing w:val="-7"/>
        </w:rPr>
        <w:t> </w:t>
      </w:r>
      <w:r>
        <w:rPr/>
        <w:t>another</w:t>
      </w:r>
      <w:r>
        <w:rPr>
          <w:spacing w:val="-3"/>
        </w:rPr>
        <w:t> </w:t>
      </w:r>
      <w:r>
        <w:rPr/>
        <w:t>in</w:t>
      </w:r>
      <w:r>
        <w:rPr>
          <w:spacing w:val="-12"/>
        </w:rPr>
        <w:t> </w:t>
      </w:r>
      <w:r>
        <w:rPr/>
        <w:t>any matter, shall not in the same matter, act for himself.‖</w:t>
      </w:r>
      <w:r>
        <w:rPr>
          <w:vertAlign w:val="superscript"/>
        </w:rPr>
        <w:t>261</w:t>
      </w:r>
    </w:p>
    <w:p>
      <w:pPr>
        <w:pStyle w:val="BodyText"/>
        <w:spacing w:line="480" w:lineRule="auto"/>
        <w:ind w:right="186" w:firstLine="720"/>
        <w:jc w:val="both"/>
      </w:pPr>
      <w:r>
        <w:rPr/>
        <w:t>In order to guard against misuse of corporate opportunity and information, though the director is permitted to contract </w:t>
      </w:r>
      <w:r>
        <w:rPr>
          <w:i/>
        </w:rPr>
        <w:t>with </w:t>
      </w:r>
      <w:r>
        <w:rPr/>
        <w:t>the company whether directly or indirectly, he is severely restricted: s. 277 requires him to declare any interest he may have in a contract with</w:t>
      </w:r>
      <w:r>
        <w:rPr>
          <w:spacing w:val="-1"/>
        </w:rPr>
        <w:t> </w:t>
      </w:r>
      <w:r>
        <w:rPr/>
        <w:t>the company, at a meeting of</w:t>
      </w:r>
      <w:r>
        <w:rPr>
          <w:spacing w:val="-4"/>
        </w:rPr>
        <w:t> </w:t>
      </w:r>
      <w:r>
        <w:rPr/>
        <w:t>the board of</w:t>
      </w:r>
      <w:r>
        <w:rPr>
          <w:spacing w:val="-4"/>
        </w:rPr>
        <w:t> </w:t>
      </w:r>
      <w:r>
        <w:rPr/>
        <w:t>directors, while s. 284 generally disqualifies him from buying from or selling to the company, any property with</w:t>
      </w:r>
      <w:r>
        <w:rPr>
          <w:spacing w:val="-6"/>
        </w:rPr>
        <w:t> </w:t>
      </w:r>
      <w:r>
        <w:rPr/>
        <w:t>a</w:t>
      </w:r>
      <w:r>
        <w:rPr>
          <w:spacing w:val="-2"/>
        </w:rPr>
        <w:t> </w:t>
      </w:r>
      <w:r>
        <w:rPr/>
        <w:t>value</w:t>
      </w:r>
      <w:r>
        <w:rPr>
          <w:spacing w:val="-2"/>
        </w:rPr>
        <w:t> </w:t>
      </w:r>
      <w:r>
        <w:rPr/>
        <w:t>of</w:t>
      </w:r>
      <w:r>
        <w:rPr>
          <w:spacing w:val="-8"/>
        </w:rPr>
        <w:t> </w:t>
      </w:r>
      <w:r>
        <w:rPr/>
        <w:t>not less</w:t>
      </w:r>
      <w:r>
        <w:rPr>
          <w:spacing w:val="-3"/>
        </w:rPr>
        <w:t> </w:t>
      </w:r>
      <w:r>
        <w:rPr/>
        <w:t>than</w:t>
      </w:r>
      <w:r>
        <w:rPr>
          <w:spacing w:val="-6"/>
        </w:rPr>
        <w:t> </w:t>
      </w:r>
      <w:r>
        <w:rPr/>
        <w:t>N2,000.00, unless</w:t>
      </w:r>
      <w:r>
        <w:rPr>
          <w:spacing w:val="-3"/>
        </w:rPr>
        <w:t> </w:t>
      </w:r>
      <w:r>
        <w:rPr/>
        <w:t>the</w:t>
      </w:r>
      <w:r>
        <w:rPr>
          <w:spacing w:val="-2"/>
        </w:rPr>
        <w:t> </w:t>
      </w:r>
      <w:r>
        <w:rPr/>
        <w:t>transaction</w:t>
      </w:r>
      <w:r>
        <w:rPr>
          <w:spacing w:val="-1"/>
        </w:rPr>
        <w:t> </w:t>
      </w:r>
      <w:r>
        <w:rPr/>
        <w:t>is</w:t>
      </w:r>
      <w:r>
        <w:rPr>
          <w:spacing w:val="-3"/>
        </w:rPr>
        <w:t> </w:t>
      </w:r>
      <w:r>
        <w:rPr/>
        <w:t>approved</w:t>
      </w:r>
      <w:r>
        <w:rPr>
          <w:spacing w:val="-1"/>
        </w:rPr>
        <w:t> </w:t>
      </w:r>
      <w:r>
        <w:rPr/>
        <w:t>by</w:t>
      </w:r>
      <w:r>
        <w:rPr>
          <w:spacing w:val="-6"/>
        </w:rPr>
        <w:t> </w:t>
      </w:r>
      <w:r>
        <w:rPr/>
        <w:t>the</w:t>
      </w:r>
      <w:r>
        <w:rPr>
          <w:spacing w:val="-2"/>
        </w:rPr>
        <w:t> </w:t>
      </w:r>
      <w:r>
        <w:rPr/>
        <w:t>general meeting. Otherwise, the company can avoid the contract. Thus, in </w:t>
      </w:r>
      <w:r>
        <w:rPr>
          <w:b/>
        </w:rPr>
        <w:t>Aberdeen Railway Co. vs. Blaikie</w:t>
      </w:r>
      <w:r>
        <w:rPr/>
        <w:t>,</w:t>
      </w:r>
      <w:r>
        <w:rPr>
          <w:vertAlign w:val="superscript"/>
        </w:rPr>
        <w:t>262</w:t>
      </w:r>
      <w:r>
        <w:rPr>
          <w:vertAlign w:val="baseline"/>
        </w:rPr>
        <w:t> a contract between the company and a partnership of which one of</w:t>
      </w:r>
      <w:r>
        <w:rPr>
          <w:spacing w:val="40"/>
          <w:vertAlign w:val="baseline"/>
        </w:rPr>
        <w:t> </w:t>
      </w:r>
      <w:r>
        <w:rPr>
          <w:vertAlign w:val="baseline"/>
        </w:rPr>
        <w:t>the directors was a partner was avoided at the instance of the company, being a contract in which the director was </w:t>
      </w:r>
      <w:r>
        <w:rPr>
          <w:i/>
          <w:vertAlign w:val="baseline"/>
        </w:rPr>
        <w:t>indirectly </w:t>
      </w:r>
      <w:r>
        <w:rPr>
          <w:vertAlign w:val="baseline"/>
        </w:rPr>
        <w:t>interested. Profit made from the contract was</w:t>
      </w:r>
      <w:r>
        <w:rPr>
          <w:spacing w:val="40"/>
          <w:vertAlign w:val="baseline"/>
        </w:rPr>
        <w:t> </w:t>
      </w:r>
      <w:r>
        <w:rPr>
          <w:vertAlign w:val="baseline"/>
        </w:rPr>
        <w:t>equally recoverable.</w:t>
      </w:r>
    </w:p>
    <w:p>
      <w:pPr>
        <w:pStyle w:val="BodyText"/>
        <w:spacing w:line="480" w:lineRule="auto" w:before="3"/>
        <w:ind w:right="183" w:firstLine="720"/>
        <w:jc w:val="both"/>
      </w:pPr>
      <w:r>
        <w:rPr/>
        <w:t>It is conceded that placing a strict ban on the director‘s ability to contract with</w:t>
      </w:r>
      <w:r>
        <w:rPr>
          <w:spacing w:val="40"/>
        </w:rPr>
        <w:t> </w:t>
      </w:r>
      <w:r>
        <w:rPr/>
        <w:t>the company might not be in the interest of business. This is because in some cases, the director may be the best source of a particular asset required by the company and so, a ban on self-dealing will in fact be against the company‘s interests.</w:t>
      </w:r>
      <w:r>
        <w:rPr>
          <w:vertAlign w:val="superscript"/>
        </w:rPr>
        <w:t>263</w:t>
      </w:r>
      <w:r>
        <w:rPr>
          <w:vertAlign w:val="baseline"/>
        </w:rPr>
        <w:t> For instance, a director may happen to own a piece of land adjacent to the company‘s production premises, which land the company requires in order to expand its operations. Such situations inform the reason why the law allows the director to contract with the company,</w:t>
      </w:r>
      <w:r>
        <w:rPr>
          <w:spacing w:val="10"/>
          <w:vertAlign w:val="baseline"/>
        </w:rPr>
        <w:t> </w:t>
      </w:r>
      <w:r>
        <w:rPr>
          <w:vertAlign w:val="baseline"/>
        </w:rPr>
        <w:t>under</w:t>
      </w:r>
      <w:r>
        <w:rPr>
          <w:spacing w:val="12"/>
          <w:vertAlign w:val="baseline"/>
        </w:rPr>
        <w:t> </w:t>
      </w:r>
      <w:r>
        <w:rPr>
          <w:vertAlign w:val="baseline"/>
        </w:rPr>
        <w:t>certain</w:t>
      </w:r>
      <w:r>
        <w:rPr>
          <w:spacing w:val="5"/>
          <w:vertAlign w:val="baseline"/>
        </w:rPr>
        <w:t> </w:t>
      </w:r>
      <w:r>
        <w:rPr>
          <w:vertAlign w:val="baseline"/>
        </w:rPr>
        <w:t>circumstances.</w:t>
      </w:r>
      <w:r>
        <w:rPr>
          <w:spacing w:val="12"/>
          <w:vertAlign w:val="baseline"/>
        </w:rPr>
        <w:t> </w:t>
      </w:r>
      <w:r>
        <w:rPr>
          <w:vertAlign w:val="baseline"/>
        </w:rPr>
        <w:t>In</w:t>
      </w:r>
      <w:r>
        <w:rPr>
          <w:spacing w:val="10"/>
          <w:vertAlign w:val="baseline"/>
        </w:rPr>
        <w:t> </w:t>
      </w:r>
      <w:r>
        <w:rPr>
          <w:vertAlign w:val="baseline"/>
        </w:rPr>
        <w:t>any</w:t>
      </w:r>
      <w:r>
        <w:rPr>
          <w:spacing w:val="6"/>
          <w:vertAlign w:val="baseline"/>
        </w:rPr>
        <w:t> </w:t>
      </w:r>
      <w:r>
        <w:rPr>
          <w:vertAlign w:val="baseline"/>
        </w:rPr>
        <w:t>case,</w:t>
      </w:r>
      <w:r>
        <w:rPr>
          <w:spacing w:val="12"/>
          <w:vertAlign w:val="baseline"/>
        </w:rPr>
        <w:t> </w:t>
      </w:r>
      <w:r>
        <w:rPr>
          <w:vertAlign w:val="baseline"/>
        </w:rPr>
        <w:t>the</w:t>
      </w:r>
      <w:r>
        <w:rPr>
          <w:spacing w:val="14"/>
          <w:vertAlign w:val="baseline"/>
        </w:rPr>
        <w:t> </w:t>
      </w:r>
      <w:r>
        <w:rPr>
          <w:vertAlign w:val="baseline"/>
        </w:rPr>
        <w:t>law</w:t>
      </w:r>
      <w:r>
        <w:rPr>
          <w:spacing w:val="15"/>
          <w:vertAlign w:val="baseline"/>
        </w:rPr>
        <w:t> </w:t>
      </w:r>
      <w:r>
        <w:rPr>
          <w:vertAlign w:val="baseline"/>
        </w:rPr>
        <w:t>still</w:t>
      </w:r>
      <w:r>
        <w:rPr>
          <w:spacing w:val="11"/>
          <w:vertAlign w:val="baseline"/>
        </w:rPr>
        <w:t> </w:t>
      </w:r>
      <w:r>
        <w:rPr>
          <w:vertAlign w:val="baseline"/>
        </w:rPr>
        <w:t>expects</w:t>
      </w:r>
      <w:r>
        <w:rPr>
          <w:spacing w:val="13"/>
          <w:vertAlign w:val="baseline"/>
        </w:rPr>
        <w:t> </w:t>
      </w:r>
      <w:r>
        <w:rPr>
          <w:vertAlign w:val="baseline"/>
        </w:rPr>
        <w:t>him</w:t>
      </w:r>
      <w:r>
        <w:rPr>
          <w:spacing w:val="6"/>
          <w:vertAlign w:val="baseline"/>
        </w:rPr>
        <w:t> </w:t>
      </w:r>
      <w:r>
        <w:rPr>
          <w:vertAlign w:val="baseline"/>
        </w:rPr>
        <w:t>to</w:t>
      </w:r>
      <w:r>
        <w:rPr>
          <w:spacing w:val="16"/>
          <w:vertAlign w:val="baseline"/>
        </w:rPr>
        <w:t> </w:t>
      </w:r>
      <w:r>
        <w:rPr>
          <w:spacing w:val="-2"/>
          <w:vertAlign w:val="baseline"/>
        </w:rPr>
        <w:t>observe</w:t>
      </w:r>
    </w:p>
    <w:p>
      <w:pPr>
        <w:pStyle w:val="BodyText"/>
        <w:ind w:left="0"/>
        <w:rPr>
          <w:sz w:val="20"/>
        </w:rPr>
      </w:pPr>
    </w:p>
    <w:p>
      <w:pPr>
        <w:pStyle w:val="BodyText"/>
        <w:spacing w:before="43"/>
        <w:ind w:left="0"/>
        <w:rPr>
          <w:sz w:val="20"/>
        </w:rPr>
      </w:pPr>
      <w:r>
        <w:rPr/>
        <mc:AlternateContent>
          <mc:Choice Requires="wps">
            <w:drawing>
              <wp:anchor distT="0" distB="0" distL="0" distR="0" allowOverlap="1" layoutInCell="1" locked="0" behindDoc="1" simplePos="0" relativeHeight="487668224">
                <wp:simplePos x="0" y="0"/>
                <wp:positionH relativeFrom="page">
                  <wp:posOffset>1262481</wp:posOffset>
                </wp:positionH>
                <wp:positionV relativeFrom="paragraph">
                  <wp:posOffset>189134</wp:posOffset>
                </wp:positionV>
                <wp:extent cx="1829435" cy="9525"/>
                <wp:effectExtent l="0" t="0" r="0" b="0"/>
                <wp:wrapTopAndBottom/>
                <wp:docPr id="180" name="Graphic 180"/>
                <wp:cNvGraphicFramePr>
                  <a:graphicFrameLocks/>
                </wp:cNvGraphicFramePr>
                <a:graphic>
                  <a:graphicData uri="http://schemas.microsoft.com/office/word/2010/wordprocessingShape">
                    <wps:wsp>
                      <wps:cNvPr id="180" name="Graphic 18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509pt;width:144.050pt;height:.72003pt;mso-position-horizontal-relative:page;mso-position-vertical-relative:paragraph;z-index:-15648256;mso-wrap-distance-left:0;mso-wrap-distance-right:0" id="docshape135" filled="true" fillcolor="#000000" stroked="false">
                <v:fill type="solid"/>
                <w10:wrap type="topAndBottom"/>
              </v:rect>
            </w:pict>
          </mc:Fallback>
        </mc:AlternateContent>
      </w:r>
    </w:p>
    <w:p>
      <w:pPr>
        <w:spacing w:before="103"/>
        <w:ind w:left="308" w:right="227" w:firstLine="0"/>
        <w:jc w:val="both"/>
        <w:rPr>
          <w:rFonts w:ascii="Calibri" w:hAnsi="Calibri"/>
          <w:sz w:val="20"/>
        </w:rPr>
      </w:pPr>
      <w:r>
        <w:rPr>
          <w:rFonts w:ascii="Calibri" w:hAnsi="Calibri"/>
          <w:sz w:val="20"/>
          <w:vertAlign w:val="superscript"/>
        </w:rPr>
        <w:t>261</w:t>
      </w:r>
      <w:r>
        <w:rPr>
          <w:rFonts w:ascii="Calibri" w:hAnsi="Calibri"/>
          <w:i/>
          <w:sz w:val="20"/>
          <w:vertAlign w:val="baseline"/>
        </w:rPr>
        <w:t>Whitecoat vs. Lawrence </w:t>
      </w:r>
      <w:r>
        <w:rPr>
          <w:rFonts w:ascii="Calibri" w:hAnsi="Calibri"/>
          <w:sz w:val="20"/>
          <w:vertAlign w:val="baseline"/>
        </w:rPr>
        <w:t>(1798) Ves. 750. More to the point is the dictum of Lord Cairns in </w:t>
      </w:r>
      <w:r>
        <w:rPr>
          <w:rFonts w:ascii="Calibri" w:hAnsi="Calibri"/>
          <w:i/>
          <w:sz w:val="20"/>
          <w:vertAlign w:val="baseline"/>
        </w:rPr>
        <w:t>Parker vs. McKenna </w:t>
      </w:r>
      <w:r>
        <w:rPr>
          <w:rFonts w:ascii="Calibri" w:hAnsi="Calibri"/>
          <w:sz w:val="20"/>
          <w:vertAlign w:val="baseline"/>
        </w:rPr>
        <w:t>(1874) 10 Ch. App. 96, that “no man can in this court, acting as an agent, be allowed to put himself in a position in which his interest and duty will be in conflict.”</w:t>
      </w:r>
    </w:p>
    <w:p>
      <w:pPr>
        <w:spacing w:before="2"/>
        <w:ind w:left="308" w:right="0" w:firstLine="0"/>
        <w:jc w:val="both"/>
        <w:rPr>
          <w:rFonts w:ascii="Calibri"/>
          <w:sz w:val="20"/>
        </w:rPr>
      </w:pPr>
      <w:r>
        <w:rPr>
          <w:rFonts w:ascii="Calibri"/>
          <w:sz w:val="20"/>
          <w:vertAlign w:val="superscript"/>
        </w:rPr>
        <w:t>262</w:t>
      </w:r>
      <w:r>
        <w:rPr>
          <w:rFonts w:ascii="Calibri"/>
          <w:sz w:val="20"/>
          <w:vertAlign w:val="baseline"/>
        </w:rPr>
        <w:t>(1854) 1</w:t>
      </w:r>
      <w:r>
        <w:rPr>
          <w:rFonts w:ascii="Calibri"/>
          <w:spacing w:val="-7"/>
          <w:sz w:val="20"/>
          <w:vertAlign w:val="baseline"/>
        </w:rPr>
        <w:t> </w:t>
      </w:r>
      <w:r>
        <w:rPr>
          <w:rFonts w:ascii="Calibri"/>
          <w:sz w:val="20"/>
          <w:vertAlign w:val="baseline"/>
        </w:rPr>
        <w:t>Macq</w:t>
      </w:r>
      <w:r>
        <w:rPr>
          <w:rFonts w:ascii="Calibri"/>
          <w:spacing w:val="-5"/>
          <w:sz w:val="20"/>
          <w:vertAlign w:val="baseline"/>
        </w:rPr>
        <w:t> </w:t>
      </w:r>
      <w:r>
        <w:rPr>
          <w:rFonts w:ascii="Calibri"/>
          <w:sz w:val="20"/>
          <w:vertAlign w:val="baseline"/>
        </w:rPr>
        <w:t>461,</w:t>
      </w:r>
      <w:r>
        <w:rPr>
          <w:rFonts w:ascii="Calibri"/>
          <w:spacing w:val="-3"/>
          <w:sz w:val="20"/>
          <w:vertAlign w:val="baseline"/>
        </w:rPr>
        <w:t> </w:t>
      </w:r>
      <w:r>
        <w:rPr>
          <w:rFonts w:ascii="Calibri"/>
          <w:sz w:val="20"/>
          <w:vertAlign w:val="baseline"/>
        </w:rPr>
        <w:t>(1843-60)</w:t>
      </w:r>
      <w:r>
        <w:rPr>
          <w:rFonts w:ascii="Calibri"/>
          <w:spacing w:val="-4"/>
          <w:sz w:val="20"/>
          <w:vertAlign w:val="baseline"/>
        </w:rPr>
        <w:t> </w:t>
      </w:r>
      <w:r>
        <w:rPr>
          <w:rFonts w:ascii="Calibri"/>
          <w:sz w:val="20"/>
          <w:vertAlign w:val="baseline"/>
        </w:rPr>
        <w:t>All</w:t>
      </w:r>
      <w:r>
        <w:rPr>
          <w:rFonts w:ascii="Calibri"/>
          <w:spacing w:val="-8"/>
          <w:sz w:val="20"/>
          <w:vertAlign w:val="baseline"/>
        </w:rPr>
        <w:t> </w:t>
      </w:r>
      <w:r>
        <w:rPr>
          <w:rFonts w:ascii="Calibri"/>
          <w:sz w:val="20"/>
          <w:vertAlign w:val="baseline"/>
        </w:rPr>
        <w:t>ER</w:t>
      </w:r>
      <w:r>
        <w:rPr>
          <w:rFonts w:ascii="Calibri"/>
          <w:spacing w:val="-5"/>
          <w:sz w:val="20"/>
          <w:vertAlign w:val="baseline"/>
        </w:rPr>
        <w:t> </w:t>
      </w:r>
      <w:r>
        <w:rPr>
          <w:rFonts w:ascii="Calibri"/>
          <w:sz w:val="20"/>
          <w:vertAlign w:val="baseline"/>
        </w:rPr>
        <w:t>Rep</w:t>
      </w:r>
      <w:r>
        <w:rPr>
          <w:rFonts w:ascii="Calibri"/>
          <w:spacing w:val="-5"/>
          <w:sz w:val="20"/>
          <w:vertAlign w:val="baseline"/>
        </w:rPr>
        <w:t> </w:t>
      </w:r>
      <w:r>
        <w:rPr>
          <w:rFonts w:ascii="Calibri"/>
          <w:spacing w:val="-4"/>
          <w:sz w:val="20"/>
          <w:vertAlign w:val="baseline"/>
        </w:rPr>
        <w:t>249.</w:t>
      </w:r>
    </w:p>
    <w:p>
      <w:pPr>
        <w:spacing w:before="0"/>
        <w:ind w:left="308" w:right="0" w:firstLine="0"/>
        <w:jc w:val="both"/>
        <w:rPr>
          <w:rFonts w:ascii="Calibri"/>
          <w:sz w:val="20"/>
        </w:rPr>
      </w:pPr>
      <w:r>
        <w:rPr>
          <w:rFonts w:ascii="Calibri"/>
          <w:sz w:val="20"/>
          <w:vertAlign w:val="superscript"/>
        </w:rPr>
        <w:t>263</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 op.cit.at</w:t>
      </w:r>
      <w:r>
        <w:rPr>
          <w:rFonts w:ascii="Calibri"/>
          <w:spacing w:val="-7"/>
          <w:sz w:val="20"/>
          <w:vertAlign w:val="baseline"/>
        </w:rPr>
        <w:t> </w:t>
      </w:r>
      <w:r>
        <w:rPr>
          <w:rFonts w:ascii="Calibri"/>
          <w:spacing w:val="-4"/>
          <w:sz w:val="20"/>
          <w:vertAlign w:val="baseline"/>
        </w:rPr>
        <w:t>562.</w:t>
      </w:r>
    </w:p>
    <w:p>
      <w:pPr>
        <w:spacing w:after="0"/>
        <w:jc w:val="both"/>
        <w:rPr>
          <w:rFonts w:ascii="Calibri"/>
          <w:sz w:val="20"/>
        </w:rPr>
        <w:sectPr>
          <w:pgSz w:w="11910" w:h="16840"/>
          <w:pgMar w:header="0" w:footer="1003" w:top="1320" w:bottom="1200" w:left="1680" w:right="1180"/>
        </w:sectPr>
      </w:pPr>
    </w:p>
    <w:p>
      <w:pPr>
        <w:pStyle w:val="BodyText"/>
        <w:spacing w:line="480" w:lineRule="auto" w:before="110"/>
        <w:ind w:right="178"/>
        <w:jc w:val="both"/>
      </w:pPr>
      <w:r>
        <w:rPr/>
        <w:t>the utmost good faith towards the company in any transaction with it.</w:t>
      </w:r>
      <w:r>
        <w:rPr>
          <w:vertAlign w:val="superscript"/>
        </w:rPr>
        <w:t>264</w:t>
      </w:r>
      <w:r>
        <w:rPr>
          <w:vertAlign w:val="baseline"/>
        </w:rPr>
        <w:t>It has been submitted earlier that, considering the frame of mind that constitutes ―good faith‖ it would be almost impossible for a director to have that kind of attitude towards the company when he is transacting with it. Obviously, the law has been misstated here, especially considering the fact that the law effectively allows the director‘s personal interests to conflict with his duty, where he personally contracts with the company.</w:t>
      </w:r>
      <w:r>
        <w:rPr>
          <w:vertAlign w:val="superscript"/>
        </w:rPr>
        <w:t>265</w:t>
      </w:r>
    </w:p>
    <w:p>
      <w:pPr>
        <w:pStyle w:val="BodyText"/>
        <w:spacing w:line="480" w:lineRule="auto" w:before="1"/>
        <w:ind w:right="185" w:firstLine="720"/>
        <w:jc w:val="both"/>
      </w:pPr>
      <w:r>
        <w:rPr/>
        <w:t>S. 277 simply requiresthe director‘s disclosure, but mentions nothing about the company‘s approval. Presumably, the disclosure of the director‘s position would then allow the company make an informed decision whether or not to go ahead with the contract. It is disturbing that the law</w:t>
      </w:r>
      <w:r>
        <w:rPr>
          <w:spacing w:val="-1"/>
        </w:rPr>
        <w:t> </w:t>
      </w:r>
      <w:r>
        <w:rPr/>
        <w:t>does</w:t>
      </w:r>
      <w:r>
        <w:rPr>
          <w:spacing w:val="-2"/>
        </w:rPr>
        <w:t> </w:t>
      </w:r>
      <w:r>
        <w:rPr/>
        <w:t>not require</w:t>
      </w:r>
      <w:r>
        <w:rPr>
          <w:spacing w:val="-1"/>
        </w:rPr>
        <w:t> </w:t>
      </w:r>
      <w:r>
        <w:rPr/>
        <w:t>the</w:t>
      </w:r>
      <w:r>
        <w:rPr>
          <w:spacing w:val="-1"/>
        </w:rPr>
        <w:t> </w:t>
      </w:r>
      <w:r>
        <w:rPr/>
        <w:t>consideration</w:t>
      </w:r>
      <w:r>
        <w:rPr>
          <w:spacing w:val="-5"/>
        </w:rPr>
        <w:t> </w:t>
      </w:r>
      <w:r>
        <w:rPr/>
        <w:t>of</w:t>
      </w:r>
      <w:r>
        <w:rPr>
          <w:spacing w:val="-8"/>
        </w:rPr>
        <w:t> </w:t>
      </w:r>
      <w:r>
        <w:rPr/>
        <w:t>the</w:t>
      </w:r>
      <w:r>
        <w:rPr>
          <w:spacing w:val="-1"/>
        </w:rPr>
        <w:t> </w:t>
      </w:r>
      <w:r>
        <w:rPr/>
        <w:t>transaction by</w:t>
      </w:r>
      <w:r>
        <w:rPr>
          <w:spacing w:val="-1"/>
        </w:rPr>
        <w:t> </w:t>
      </w:r>
      <w:r>
        <w:rPr/>
        <w:t>the general meeting or at least, a disinterested board. The implication is that even</w:t>
      </w:r>
      <w:r>
        <w:rPr>
          <w:spacing w:val="-1"/>
        </w:rPr>
        <w:t> </w:t>
      </w:r>
      <w:r>
        <w:rPr/>
        <w:t>the interested director or his cronies and other persons connected to him, can participate in the decision regarding the contract in question. This can allow the director take advantage of his position in the company.</w:t>
      </w:r>
    </w:p>
    <w:p>
      <w:pPr>
        <w:pStyle w:val="BodyText"/>
        <w:spacing w:line="480" w:lineRule="auto" w:before="2"/>
        <w:ind w:right="184" w:firstLine="720"/>
        <w:jc w:val="both"/>
      </w:pPr>
      <w:r>
        <w:rPr/>
        <w:t>It is as well that the section requires disclosure not only where the director has a direct interest, but equally where he has indirect interests. This would take care of situations where directors use their controlling shares in other companies, partnerships</w:t>
      </w:r>
      <w:r>
        <w:rPr>
          <w:spacing w:val="80"/>
        </w:rPr>
        <w:t> </w:t>
      </w:r>
      <w:r>
        <w:rPr/>
        <w:t>or family businesses to enter into such transactions. For instance, in </w:t>
      </w:r>
      <w:r>
        <w:rPr>
          <w:b/>
        </w:rPr>
        <w:t>Transvaal Lands Co. vs. New Belgium (Transvaal) Land and Development Co.</w:t>
      </w:r>
      <w:r>
        <w:rPr/>
        <w:t>,</w:t>
      </w:r>
      <w:r>
        <w:rPr>
          <w:vertAlign w:val="superscript"/>
        </w:rPr>
        <w:t>266</w:t>
      </w:r>
      <w:r>
        <w:rPr>
          <w:vertAlign w:val="baseline"/>
        </w:rPr>
        <w:t> a director of the plaintiff company, who was also a shareholder of the defendant company, voted in the meeting of the plaintiff‘s board for the purchase by the defendants, of the plaintiff‘s shares and without his vote, the contract would not have gone through. The court held that the transaction was void.</w:t>
      </w:r>
    </w:p>
    <w:p>
      <w:pPr>
        <w:pStyle w:val="BodyText"/>
        <w:spacing w:before="1"/>
        <w:ind w:left="0"/>
        <w:rPr>
          <w:sz w:val="17"/>
        </w:rPr>
      </w:pPr>
      <w:r>
        <w:rPr/>
        <mc:AlternateContent>
          <mc:Choice Requires="wps">
            <w:drawing>
              <wp:anchor distT="0" distB="0" distL="0" distR="0" allowOverlap="1" layoutInCell="1" locked="0" behindDoc="1" simplePos="0" relativeHeight="487668736">
                <wp:simplePos x="0" y="0"/>
                <wp:positionH relativeFrom="page">
                  <wp:posOffset>1262481</wp:posOffset>
                </wp:positionH>
                <wp:positionV relativeFrom="paragraph">
                  <wp:posOffset>140511</wp:posOffset>
                </wp:positionV>
                <wp:extent cx="1829435" cy="9525"/>
                <wp:effectExtent l="0" t="0" r="0" b="0"/>
                <wp:wrapTopAndBottom/>
                <wp:docPr id="181" name="Graphic 181"/>
                <wp:cNvGraphicFramePr>
                  <a:graphicFrameLocks/>
                </wp:cNvGraphicFramePr>
                <a:graphic>
                  <a:graphicData uri="http://schemas.microsoft.com/office/word/2010/wordprocessingShape">
                    <wps:wsp>
                      <wps:cNvPr id="181" name="Graphic 181"/>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063876pt;width:144.050pt;height:.72003pt;mso-position-horizontal-relative:page;mso-position-vertical-relative:paragraph;z-index:-15647744;mso-wrap-distance-left:0;mso-wrap-distance-right:0" id="docshape13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264</w:t>
      </w:r>
      <w:r>
        <w:rPr>
          <w:rFonts w:ascii="Calibri"/>
          <w:sz w:val="20"/>
          <w:vertAlign w:val="baseline"/>
        </w:rPr>
        <w:t>See</w:t>
      </w:r>
      <w:r>
        <w:rPr>
          <w:rFonts w:ascii="Calibri"/>
          <w:spacing w:val="-3"/>
          <w:sz w:val="20"/>
          <w:vertAlign w:val="baseline"/>
        </w:rPr>
        <w:t> </w:t>
      </w:r>
      <w:r>
        <w:rPr>
          <w:rFonts w:ascii="Calibri"/>
          <w:sz w:val="20"/>
          <w:vertAlign w:val="baseline"/>
        </w:rPr>
        <w:t>s.</w:t>
      </w:r>
      <w:r>
        <w:rPr>
          <w:rFonts w:ascii="Calibri"/>
          <w:spacing w:val="-6"/>
          <w:sz w:val="20"/>
          <w:vertAlign w:val="baseline"/>
        </w:rPr>
        <w:t> </w:t>
      </w:r>
      <w:r>
        <w:rPr>
          <w:rFonts w:ascii="Calibri"/>
          <w:sz w:val="20"/>
          <w:vertAlign w:val="baseline"/>
        </w:rPr>
        <w:t>279(1);</w:t>
      </w:r>
      <w:r>
        <w:rPr>
          <w:rFonts w:ascii="Calibri"/>
          <w:spacing w:val="-4"/>
          <w:sz w:val="20"/>
          <w:vertAlign w:val="baseline"/>
        </w:rPr>
        <w:t> </w:t>
      </w:r>
      <w:r>
        <w:rPr>
          <w:rFonts w:ascii="Calibri"/>
          <w:i/>
          <w:sz w:val="20"/>
          <w:vertAlign w:val="baseline"/>
        </w:rPr>
        <w:t>Okeowo</w:t>
      </w:r>
      <w:r>
        <w:rPr>
          <w:rFonts w:ascii="Calibri"/>
          <w:i/>
          <w:spacing w:val="-6"/>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Migliore</w:t>
      </w:r>
      <w:r>
        <w:rPr>
          <w:rFonts w:ascii="Calibri"/>
          <w:i/>
          <w:spacing w:val="-2"/>
          <w:sz w:val="20"/>
          <w:vertAlign w:val="baseline"/>
        </w:rPr>
        <w:t> </w:t>
      </w:r>
      <w:r>
        <w:rPr>
          <w:rFonts w:ascii="Calibri"/>
          <w:sz w:val="20"/>
          <w:vertAlign w:val="baseline"/>
        </w:rPr>
        <w:t>(1979)</w:t>
      </w:r>
      <w:r>
        <w:rPr>
          <w:rFonts w:ascii="Calibri"/>
          <w:spacing w:val="-6"/>
          <w:sz w:val="20"/>
          <w:vertAlign w:val="baseline"/>
        </w:rPr>
        <w:t> </w:t>
      </w:r>
      <w:r>
        <w:rPr>
          <w:rFonts w:ascii="Calibri"/>
          <w:sz w:val="20"/>
          <w:vertAlign w:val="baseline"/>
        </w:rPr>
        <w:t>11</w:t>
      </w:r>
      <w:r>
        <w:rPr>
          <w:rFonts w:ascii="Calibri"/>
          <w:spacing w:val="-4"/>
          <w:sz w:val="20"/>
          <w:vertAlign w:val="baseline"/>
        </w:rPr>
        <w:t> </w:t>
      </w:r>
      <w:r>
        <w:rPr>
          <w:rFonts w:ascii="Calibri"/>
          <w:sz w:val="20"/>
          <w:vertAlign w:val="baseline"/>
        </w:rPr>
        <w:t>SC,</w:t>
      </w:r>
      <w:r>
        <w:rPr>
          <w:rFonts w:ascii="Calibri"/>
          <w:spacing w:val="-5"/>
          <w:sz w:val="20"/>
          <w:vertAlign w:val="baseline"/>
        </w:rPr>
        <w:t> </w:t>
      </w:r>
      <w:r>
        <w:rPr>
          <w:rFonts w:ascii="Calibri"/>
          <w:spacing w:val="-4"/>
          <w:sz w:val="20"/>
          <w:vertAlign w:val="baseline"/>
        </w:rPr>
        <w:t>113.</w:t>
      </w:r>
    </w:p>
    <w:p>
      <w:pPr>
        <w:spacing w:before="1"/>
        <w:ind w:left="308" w:right="255" w:firstLine="0"/>
        <w:jc w:val="left"/>
        <w:rPr>
          <w:rFonts w:ascii="Calibri"/>
          <w:sz w:val="20"/>
        </w:rPr>
      </w:pPr>
      <w:r>
        <w:rPr>
          <w:rFonts w:ascii="Calibri"/>
          <w:sz w:val="20"/>
          <w:vertAlign w:val="superscript"/>
        </w:rPr>
        <w:t>265</w:t>
      </w:r>
      <w:r>
        <w:rPr>
          <w:rFonts w:ascii="Calibri"/>
          <w:sz w:val="20"/>
          <w:vertAlign w:val="baseline"/>
        </w:rPr>
        <w:t> See in particular ss.277 &amp; 284 which allow the director to contract as an independent party, with the </w:t>
      </w:r>
      <w:r>
        <w:rPr>
          <w:rFonts w:ascii="Calibri"/>
          <w:spacing w:val="-2"/>
          <w:sz w:val="20"/>
          <w:vertAlign w:val="baseline"/>
        </w:rPr>
        <w:t>company.</w:t>
      </w:r>
    </w:p>
    <w:p>
      <w:pPr>
        <w:spacing w:before="1"/>
        <w:ind w:left="308" w:right="0" w:firstLine="0"/>
        <w:jc w:val="left"/>
        <w:rPr>
          <w:rFonts w:ascii="Calibri"/>
          <w:sz w:val="20"/>
        </w:rPr>
      </w:pPr>
      <w:r>
        <w:rPr>
          <w:rFonts w:ascii="Calibri"/>
          <w:sz w:val="20"/>
          <w:vertAlign w:val="superscript"/>
        </w:rPr>
        <w:t>266</w:t>
      </w:r>
      <w:r>
        <w:rPr>
          <w:rFonts w:ascii="Calibri"/>
          <w:sz w:val="20"/>
          <w:vertAlign w:val="baseline"/>
        </w:rPr>
        <w:t>(1914)</w:t>
      </w:r>
      <w:r>
        <w:rPr>
          <w:rFonts w:ascii="Calibri"/>
          <w:spacing w:val="-2"/>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Ch. </w:t>
      </w:r>
      <w:r>
        <w:rPr>
          <w:rFonts w:ascii="Calibri"/>
          <w:spacing w:val="-4"/>
          <w:sz w:val="20"/>
          <w:vertAlign w:val="baseline"/>
        </w:rPr>
        <w:t>488.</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180" w:firstLine="720"/>
        <w:jc w:val="both"/>
      </w:pPr>
      <w:r>
        <w:rPr/>
        <w:t>S.277 applies to both existing and proposed contracts, with criminal liability applying in both</w:t>
      </w:r>
      <w:r>
        <w:rPr>
          <w:spacing w:val="-5"/>
        </w:rPr>
        <w:t> </w:t>
      </w:r>
      <w:r>
        <w:rPr/>
        <w:t>cases. This is as it should be because, in the</w:t>
      </w:r>
      <w:r>
        <w:rPr>
          <w:spacing w:val="-1"/>
        </w:rPr>
        <w:t> </w:t>
      </w:r>
      <w:r>
        <w:rPr/>
        <w:t>case</w:t>
      </w:r>
      <w:r>
        <w:rPr>
          <w:spacing w:val="-1"/>
        </w:rPr>
        <w:t> </w:t>
      </w:r>
      <w:r>
        <w:rPr/>
        <w:t>of</w:t>
      </w:r>
      <w:r>
        <w:rPr>
          <w:spacing w:val="-8"/>
        </w:rPr>
        <w:t> </w:t>
      </w:r>
      <w:r>
        <w:rPr/>
        <w:t>proposed contracts, the thought of liability with a hefty fine would discourage the director from keeping his interests secret and in the case of existing contracts, the company may not readily have the civil remedies of rescission or avoidance available to it. And where the benefit derived by the director is so intertwined with those of a third party, getting him to account for the profits would be no easy task. However, the fine of N100 would hardly be considered punitive by reasonable standards today. There may be need for considerable review in this area.</w:t>
      </w:r>
      <w:r>
        <w:rPr>
          <w:vertAlign w:val="superscript"/>
        </w:rPr>
        <w:t>267</w:t>
      </w:r>
    </w:p>
    <w:p>
      <w:pPr>
        <w:pStyle w:val="BodyText"/>
        <w:spacing w:line="480" w:lineRule="auto" w:before="2"/>
        <w:ind w:right="179" w:firstLine="720"/>
        <w:jc w:val="both"/>
      </w:pPr>
      <w:r>
        <w:rPr/>
        <w:t>In the case of property transactions under s. 284, stricter regulations have been set. Apart from expressly including a shadow director, the rule extends to any person associated with the director, including members of his immediate family, as well as any company or trust associated with him. The approval of the general meeting is also required even after disclosure. Any such transaction entered into by the company in contravention of the provisions, is voidable at the instance of the company.</w:t>
      </w:r>
      <w:r>
        <w:rPr>
          <w:vertAlign w:val="superscript"/>
        </w:rPr>
        <w:t>268</w:t>
      </w:r>
      <w:r>
        <w:rPr>
          <w:vertAlign w:val="baseline"/>
        </w:rPr>
        <w:t> From the tenor of s. 284, even the articles cannot derogate from the rules set therein. It is submitted</w:t>
      </w:r>
      <w:r>
        <w:rPr>
          <w:spacing w:val="-1"/>
          <w:vertAlign w:val="baseline"/>
        </w:rPr>
        <w:t> </w:t>
      </w:r>
      <w:r>
        <w:rPr>
          <w:vertAlign w:val="baseline"/>
        </w:rPr>
        <w:t>that</w:t>
      </w:r>
      <w:r>
        <w:rPr>
          <w:spacing w:val="-1"/>
          <w:vertAlign w:val="baseline"/>
        </w:rPr>
        <w:t> </w:t>
      </w:r>
      <w:r>
        <w:rPr>
          <w:vertAlign w:val="baseline"/>
        </w:rPr>
        <w:t>similar</w:t>
      </w:r>
      <w:r>
        <w:rPr>
          <w:spacing w:val="-1"/>
          <w:vertAlign w:val="baseline"/>
        </w:rPr>
        <w:t> </w:t>
      </w:r>
      <w:r>
        <w:rPr>
          <w:vertAlign w:val="baseline"/>
        </w:rPr>
        <w:t>rules</w:t>
      </w:r>
      <w:r>
        <w:rPr>
          <w:spacing w:val="-3"/>
          <w:vertAlign w:val="baseline"/>
        </w:rPr>
        <w:t> </w:t>
      </w:r>
      <w:r>
        <w:rPr>
          <w:vertAlign w:val="baseline"/>
        </w:rPr>
        <w:t>should be</w:t>
      </w:r>
      <w:r>
        <w:rPr>
          <w:spacing w:val="-2"/>
          <w:vertAlign w:val="baseline"/>
        </w:rPr>
        <w:t> </w:t>
      </w:r>
      <w:r>
        <w:rPr>
          <w:vertAlign w:val="baseline"/>
        </w:rPr>
        <w:t>adopted</w:t>
      </w:r>
      <w:r>
        <w:rPr>
          <w:spacing w:val="-6"/>
          <w:vertAlign w:val="baseline"/>
        </w:rPr>
        <w:t> </w:t>
      </w:r>
      <w:r>
        <w:rPr>
          <w:vertAlign w:val="baseline"/>
        </w:rPr>
        <w:t>for s. 277</w:t>
      </w:r>
      <w:r>
        <w:rPr>
          <w:spacing w:val="-1"/>
          <w:vertAlign w:val="baseline"/>
        </w:rPr>
        <w:t> </w:t>
      </w:r>
      <w:r>
        <w:rPr>
          <w:vertAlign w:val="baseline"/>
        </w:rPr>
        <w:t>so</w:t>
      </w:r>
      <w:r>
        <w:rPr>
          <w:spacing w:val="-6"/>
          <w:vertAlign w:val="baseline"/>
        </w:rPr>
        <w:t> </w:t>
      </w:r>
      <w:r>
        <w:rPr>
          <w:vertAlign w:val="baseline"/>
        </w:rPr>
        <w:t>that directors</w:t>
      </w:r>
      <w:r>
        <w:rPr>
          <w:spacing w:val="-3"/>
          <w:vertAlign w:val="baseline"/>
        </w:rPr>
        <w:t> </w:t>
      </w:r>
      <w:r>
        <w:rPr>
          <w:vertAlign w:val="baseline"/>
        </w:rPr>
        <w:t>disclose</w:t>
      </w:r>
      <w:r>
        <w:rPr>
          <w:spacing w:val="-2"/>
          <w:vertAlign w:val="baseline"/>
        </w:rPr>
        <w:t> </w:t>
      </w:r>
      <w:r>
        <w:rPr>
          <w:vertAlign w:val="baseline"/>
        </w:rPr>
        <w:t>to,</w:t>
      </w:r>
      <w:r>
        <w:rPr>
          <w:spacing w:val="-3"/>
          <w:vertAlign w:val="baseline"/>
        </w:rPr>
        <w:t> </w:t>
      </w:r>
      <w:r>
        <w:rPr>
          <w:vertAlign w:val="baseline"/>
        </w:rPr>
        <w:t>and require the approval</w:t>
      </w:r>
      <w:r>
        <w:rPr>
          <w:spacing w:val="-5"/>
          <w:vertAlign w:val="baseline"/>
        </w:rPr>
        <w:t> </w:t>
      </w:r>
      <w:r>
        <w:rPr>
          <w:vertAlign w:val="baseline"/>
        </w:rPr>
        <w:t>of, the general meeting,especially in the case of proposed contracts. Leaving it simply to the approval of the board may give the board an opportunity to ratify its own wrong-doing, especially where most or all of the directors stand to gain. This would be more likely where they are few.</w:t>
      </w:r>
    </w:p>
    <w:p>
      <w:pPr>
        <w:pStyle w:val="BodyText"/>
        <w:spacing w:line="480" w:lineRule="auto" w:before="2"/>
        <w:ind w:right="183" w:firstLine="720"/>
        <w:jc w:val="both"/>
      </w:pPr>
      <w:r>
        <w:rPr/>
        <w:t>There are other provisions discouraging directors from taking undue advantage</w:t>
      </w:r>
      <w:r>
        <w:rPr>
          <w:spacing w:val="40"/>
        </w:rPr>
        <w:t> </w:t>
      </w:r>
      <w:r>
        <w:rPr/>
        <w:t>of their position by conflictingtheir duty to the company with personal interest. These include s. 270 regarding prohibition of entry into guarantee or provision of</w:t>
      </w:r>
      <w:r>
        <w:rPr>
          <w:spacing w:val="18"/>
        </w:rPr>
        <w:t> </w:t>
      </w:r>
      <w:r>
        <w:rPr/>
        <w:t>security and</w:t>
      </w:r>
    </w:p>
    <w:p>
      <w:pPr>
        <w:pStyle w:val="BodyText"/>
        <w:spacing w:before="7"/>
        <w:ind w:left="0"/>
        <w:rPr>
          <w:sz w:val="11"/>
        </w:rPr>
      </w:pPr>
      <w:r>
        <w:rPr/>
        <mc:AlternateContent>
          <mc:Choice Requires="wps">
            <w:drawing>
              <wp:anchor distT="0" distB="0" distL="0" distR="0" allowOverlap="1" layoutInCell="1" locked="0" behindDoc="1" simplePos="0" relativeHeight="487669248">
                <wp:simplePos x="0" y="0"/>
                <wp:positionH relativeFrom="page">
                  <wp:posOffset>1262481</wp:posOffset>
                </wp:positionH>
                <wp:positionV relativeFrom="paragraph">
                  <wp:posOffset>100282</wp:posOffset>
                </wp:positionV>
                <wp:extent cx="1829435" cy="9525"/>
                <wp:effectExtent l="0" t="0" r="0" b="0"/>
                <wp:wrapTopAndBottom/>
                <wp:docPr id="182" name="Graphic 182"/>
                <wp:cNvGraphicFramePr>
                  <a:graphicFrameLocks/>
                </wp:cNvGraphicFramePr>
                <a:graphic>
                  <a:graphicData uri="http://schemas.microsoft.com/office/word/2010/wordprocessingShape">
                    <wps:wsp>
                      <wps:cNvPr id="182" name="Graphic 18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7.89628pt;width:144.050pt;height:.71997pt;mso-position-horizontal-relative:page;mso-position-vertical-relative:paragraph;z-index:-15647232;mso-wrap-distance-left:0;mso-wrap-distance-right:0" id="docshape13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267</w:t>
      </w:r>
      <w:r>
        <w:rPr>
          <w:rFonts w:ascii="Calibri"/>
          <w:spacing w:val="-2"/>
          <w:sz w:val="20"/>
          <w:vertAlign w:val="baseline"/>
        </w:rPr>
        <w:t> </w:t>
      </w:r>
      <w:r>
        <w:rPr>
          <w:rFonts w:ascii="Calibri"/>
          <w:sz w:val="20"/>
          <w:vertAlign w:val="baseline"/>
        </w:rPr>
        <w:t>Indeed,</w:t>
      </w:r>
      <w:r>
        <w:rPr>
          <w:rFonts w:ascii="Calibri"/>
          <w:spacing w:val="-4"/>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same</w:t>
      </w:r>
      <w:r>
        <w:rPr>
          <w:rFonts w:ascii="Calibri"/>
          <w:spacing w:val="-7"/>
          <w:sz w:val="20"/>
          <w:vertAlign w:val="baseline"/>
        </w:rPr>
        <w:t> </w:t>
      </w:r>
      <w:r>
        <w:rPr>
          <w:rFonts w:ascii="Calibri"/>
          <w:sz w:val="20"/>
          <w:vertAlign w:val="baseline"/>
        </w:rPr>
        <w:t>applies</w:t>
      </w:r>
      <w:r>
        <w:rPr>
          <w:rFonts w:ascii="Calibri"/>
          <w:spacing w:val="-4"/>
          <w:sz w:val="20"/>
          <w:vertAlign w:val="baseline"/>
        </w:rPr>
        <w:t> </w:t>
      </w:r>
      <w:r>
        <w:rPr>
          <w:rFonts w:ascii="Calibri"/>
          <w:sz w:val="20"/>
          <w:vertAlign w:val="baseline"/>
        </w:rPr>
        <w:t>to</w:t>
      </w:r>
      <w:r>
        <w:rPr>
          <w:rFonts w:ascii="Calibri"/>
          <w:spacing w:val="-9"/>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instances</w:t>
      </w:r>
      <w:r>
        <w:rPr>
          <w:rFonts w:ascii="Calibri"/>
          <w:spacing w:val="-8"/>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fines</w:t>
      </w:r>
      <w:r>
        <w:rPr>
          <w:rFonts w:ascii="Calibri"/>
          <w:spacing w:val="-4"/>
          <w:sz w:val="20"/>
          <w:vertAlign w:val="baseline"/>
        </w:rPr>
        <w:t> </w:t>
      </w:r>
      <w:r>
        <w:rPr>
          <w:rFonts w:ascii="Calibri"/>
          <w:sz w:val="20"/>
          <w:vertAlign w:val="baseline"/>
        </w:rPr>
        <w:t>imposed</w:t>
      </w:r>
      <w:r>
        <w:rPr>
          <w:rFonts w:ascii="Calibri"/>
          <w:spacing w:val="-8"/>
          <w:sz w:val="20"/>
          <w:vertAlign w:val="baseline"/>
        </w:rPr>
        <w:t> </w:t>
      </w:r>
      <w:r>
        <w:rPr>
          <w:rFonts w:ascii="Calibri"/>
          <w:sz w:val="20"/>
          <w:vertAlign w:val="baseline"/>
        </w:rPr>
        <w:t>throughout</w:t>
      </w:r>
      <w:r>
        <w:rPr>
          <w:rFonts w:ascii="Calibri"/>
          <w:spacing w:val="-7"/>
          <w:sz w:val="20"/>
          <w:vertAlign w:val="baseline"/>
        </w:rPr>
        <w:t> </w:t>
      </w:r>
      <w:r>
        <w:rPr>
          <w:rFonts w:ascii="Calibri"/>
          <w:sz w:val="20"/>
          <w:vertAlign w:val="baseline"/>
        </w:rPr>
        <w:t>the</w:t>
      </w:r>
      <w:r>
        <w:rPr>
          <w:rFonts w:ascii="Calibri"/>
          <w:spacing w:val="-7"/>
          <w:sz w:val="20"/>
          <w:vertAlign w:val="baseline"/>
        </w:rPr>
        <w:t> </w:t>
      </w:r>
      <w:r>
        <w:rPr>
          <w:rFonts w:ascii="Calibri"/>
          <w:spacing w:val="-2"/>
          <w:sz w:val="20"/>
          <w:vertAlign w:val="baseline"/>
        </w:rPr>
        <w:t>CAMA.</w:t>
      </w:r>
    </w:p>
    <w:p>
      <w:pPr>
        <w:spacing w:before="1"/>
        <w:ind w:left="308" w:right="0" w:firstLine="0"/>
        <w:jc w:val="left"/>
        <w:rPr>
          <w:rFonts w:ascii="Calibri"/>
          <w:sz w:val="20"/>
        </w:rPr>
      </w:pPr>
      <w:r>
        <w:rPr>
          <w:rFonts w:ascii="Calibri"/>
          <w:sz w:val="20"/>
          <w:vertAlign w:val="superscript"/>
        </w:rPr>
        <w:t>268</w:t>
      </w:r>
      <w:r>
        <w:rPr>
          <w:rFonts w:ascii="Calibri"/>
          <w:spacing w:val="2"/>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w:t>
      </w:r>
      <w:r>
        <w:rPr>
          <w:rFonts w:ascii="Calibri"/>
          <w:spacing w:val="3"/>
          <w:sz w:val="20"/>
          <w:vertAlign w:val="baseline"/>
        </w:rPr>
        <w:t> </w:t>
      </w:r>
      <w:r>
        <w:rPr>
          <w:rFonts w:ascii="Calibri"/>
          <w:spacing w:val="-4"/>
          <w:sz w:val="20"/>
          <w:vertAlign w:val="baseline"/>
        </w:rPr>
        <w:t>286.</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5"/>
        <w:jc w:val="both"/>
      </w:pPr>
      <w:r>
        <w:rPr/>
        <w:t>s. 273 which requires any payments made to a director by way of redundancy pay or retirement benefit to be disclosed to the general meeting for approval.</w:t>
      </w:r>
    </w:p>
    <w:p>
      <w:pPr>
        <w:pStyle w:val="Heading2"/>
        <w:numPr>
          <w:ilvl w:val="1"/>
          <w:numId w:val="12"/>
        </w:numPr>
        <w:tabs>
          <w:tab w:pos="1027" w:val="left" w:leader="none"/>
        </w:tabs>
        <w:spacing w:line="240" w:lineRule="auto" w:before="207" w:after="0"/>
        <w:ind w:left="1027" w:right="0" w:hanging="719"/>
        <w:jc w:val="both"/>
      </w:pPr>
      <w:bookmarkStart w:name="_TOC_250025" w:id="27"/>
      <w:r>
        <w:rPr/>
        <w:t>Duty</w:t>
      </w:r>
      <w:r>
        <w:rPr>
          <w:spacing w:val="-1"/>
        </w:rPr>
        <w:t> </w:t>
      </w:r>
      <w:r>
        <w:rPr/>
        <w:t>Not</w:t>
      </w:r>
      <w:r>
        <w:rPr>
          <w:spacing w:val="-3"/>
        </w:rPr>
        <w:t> </w:t>
      </w:r>
      <w:r>
        <w:rPr/>
        <w:t>to</w:t>
      </w:r>
      <w:r>
        <w:rPr>
          <w:spacing w:val="-5"/>
        </w:rPr>
        <w:t> </w:t>
      </w:r>
      <w:r>
        <w:rPr/>
        <w:t>Accept</w:t>
      </w:r>
      <w:r>
        <w:rPr>
          <w:spacing w:val="1"/>
        </w:rPr>
        <w:t> </w:t>
      </w:r>
      <w:r>
        <w:rPr/>
        <w:t>Secret</w:t>
      </w:r>
      <w:r>
        <w:rPr>
          <w:spacing w:val="1"/>
        </w:rPr>
        <w:t> </w:t>
      </w:r>
      <w:bookmarkEnd w:id="27"/>
      <w:r>
        <w:rPr>
          <w:spacing w:val="-2"/>
        </w:rPr>
        <w:t>Benefits</w:t>
      </w:r>
    </w:p>
    <w:p>
      <w:pPr>
        <w:pStyle w:val="BodyText"/>
        <w:spacing w:line="480" w:lineRule="auto" w:before="132"/>
        <w:ind w:right="187"/>
        <w:jc w:val="both"/>
      </w:pPr>
      <w:r>
        <w:rPr/>
        <w:t>A principle related to those mentioned in s. 280 above, is that which prohibits directors from accepting benefits of any kind from third parties in the course of discharging their duties</w:t>
      </w:r>
      <w:r>
        <w:rPr>
          <w:spacing w:val="-9"/>
        </w:rPr>
        <w:t> </w:t>
      </w:r>
      <w:r>
        <w:rPr/>
        <w:t>to</w:t>
      </w:r>
      <w:r>
        <w:rPr>
          <w:spacing w:val="-7"/>
        </w:rPr>
        <w:t> </w:t>
      </w:r>
      <w:r>
        <w:rPr/>
        <w:t>the</w:t>
      </w:r>
      <w:r>
        <w:rPr>
          <w:spacing w:val="-7"/>
        </w:rPr>
        <w:t> </w:t>
      </w:r>
      <w:r>
        <w:rPr/>
        <w:t>company.</w:t>
      </w:r>
      <w:r>
        <w:rPr>
          <w:spacing w:val="-2"/>
        </w:rPr>
        <w:t> </w:t>
      </w:r>
      <w:r>
        <w:rPr/>
        <w:t>S.</w:t>
      </w:r>
      <w:r>
        <w:rPr>
          <w:spacing w:val="-4"/>
        </w:rPr>
        <w:t> </w:t>
      </w:r>
      <w:r>
        <w:rPr/>
        <w:t>287(1)</w:t>
      </w:r>
      <w:r>
        <w:rPr>
          <w:spacing w:val="-10"/>
        </w:rPr>
        <w:t> </w:t>
      </w:r>
      <w:r>
        <w:rPr/>
        <w:t>provides</w:t>
      </w:r>
      <w:r>
        <w:rPr>
          <w:spacing w:val="-9"/>
        </w:rPr>
        <w:t> </w:t>
      </w:r>
      <w:r>
        <w:rPr/>
        <w:t>that</w:t>
      </w:r>
      <w:r>
        <w:rPr>
          <w:spacing w:val="-2"/>
        </w:rPr>
        <w:t> </w:t>
      </w:r>
      <w:r>
        <w:rPr/>
        <w:t>―a</w:t>
      </w:r>
      <w:r>
        <w:rPr>
          <w:spacing w:val="-4"/>
        </w:rPr>
        <w:t> </w:t>
      </w:r>
      <w:r>
        <w:rPr/>
        <w:t>director</w:t>
      </w:r>
      <w:r>
        <w:rPr>
          <w:spacing w:val="-6"/>
        </w:rPr>
        <w:t> </w:t>
      </w:r>
      <w:r>
        <w:rPr/>
        <w:t>shall</w:t>
      </w:r>
      <w:r>
        <w:rPr>
          <w:spacing w:val="-6"/>
        </w:rPr>
        <w:t> </w:t>
      </w:r>
      <w:r>
        <w:rPr/>
        <w:t>not</w:t>
      </w:r>
      <w:r>
        <w:rPr>
          <w:spacing w:val="-2"/>
        </w:rPr>
        <w:t> </w:t>
      </w:r>
      <w:r>
        <w:rPr/>
        <w:t>accept</w:t>
      </w:r>
      <w:r>
        <w:rPr>
          <w:spacing w:val="-2"/>
        </w:rPr>
        <w:t> </w:t>
      </w:r>
      <w:r>
        <w:rPr/>
        <w:t>a</w:t>
      </w:r>
      <w:r>
        <w:rPr>
          <w:spacing w:val="-7"/>
        </w:rPr>
        <w:t> </w:t>
      </w:r>
      <w:r>
        <w:rPr/>
        <w:t>bribe,</w:t>
      </w:r>
      <w:r>
        <w:rPr>
          <w:spacing w:val="-5"/>
        </w:rPr>
        <w:t> </w:t>
      </w:r>
      <w:r>
        <w:rPr/>
        <w:t>a</w:t>
      </w:r>
      <w:r>
        <w:rPr>
          <w:spacing w:val="-7"/>
        </w:rPr>
        <w:t> </w:t>
      </w:r>
      <w:r>
        <w:rPr/>
        <w:t>gift, or commission either in cash or kind, from any person, or a share in the profit of that person in respect of any transaction involving his company </w:t>
      </w:r>
      <w:r>
        <w:rPr>
          <w:i/>
        </w:rPr>
        <w:t>in order to introduce his company to deal with such a person</w:t>
      </w:r>
      <w:r>
        <w:rPr/>
        <w:t>.‖</w:t>
      </w:r>
    </w:p>
    <w:p>
      <w:pPr>
        <w:pStyle w:val="BodyText"/>
        <w:spacing w:line="480" w:lineRule="auto" w:before="1"/>
        <w:ind w:right="183" w:firstLine="720"/>
        <w:jc w:val="both"/>
      </w:pPr>
      <w:r>
        <w:rPr/>
        <w:t>The director will still be in breach, even if he pleads that the company benefitted or</w:t>
      </w:r>
      <w:r>
        <w:rPr>
          <w:spacing w:val="-3"/>
        </w:rPr>
        <w:t> </w:t>
      </w:r>
      <w:r>
        <w:rPr/>
        <w:t>that the</w:t>
      </w:r>
      <w:r>
        <w:rPr>
          <w:spacing w:val="-1"/>
        </w:rPr>
        <w:t> </w:t>
      </w:r>
      <w:r>
        <w:rPr/>
        <w:t>gift was</w:t>
      </w:r>
      <w:r>
        <w:rPr>
          <w:spacing w:val="-2"/>
        </w:rPr>
        <w:t> </w:t>
      </w:r>
      <w:r>
        <w:rPr/>
        <w:t>accepted in</w:t>
      </w:r>
      <w:r>
        <w:rPr>
          <w:spacing w:val="-5"/>
        </w:rPr>
        <w:t> </w:t>
      </w:r>
      <w:r>
        <w:rPr/>
        <w:t>good faith,</w:t>
      </w:r>
      <w:r>
        <w:rPr>
          <w:vertAlign w:val="superscript"/>
        </w:rPr>
        <w:t>269</w:t>
      </w:r>
      <w:r>
        <w:rPr>
          <w:vertAlign w:val="baseline"/>
        </w:rPr>
        <w:t> and be liable</w:t>
      </w:r>
      <w:r>
        <w:rPr>
          <w:spacing w:val="-1"/>
          <w:vertAlign w:val="baseline"/>
        </w:rPr>
        <w:t> </w:t>
      </w:r>
      <w:r>
        <w:rPr>
          <w:vertAlign w:val="baseline"/>
        </w:rPr>
        <w:t>to account to the</w:t>
      </w:r>
      <w:r>
        <w:rPr>
          <w:spacing w:val="-1"/>
          <w:vertAlign w:val="baseline"/>
        </w:rPr>
        <w:t> </w:t>
      </w:r>
      <w:r>
        <w:rPr>
          <w:vertAlign w:val="baseline"/>
        </w:rPr>
        <w:t>company for what he got from the transaction,in addition to damages.</w:t>
      </w:r>
      <w:r>
        <w:rPr>
          <w:vertAlign w:val="superscript"/>
        </w:rPr>
        <w:t>270</w:t>
      </w:r>
      <w:r>
        <w:rPr>
          <w:vertAlign w:val="baseline"/>
        </w:rPr>
        <w:t>Since the law appears to disqualify the director‘s subjective judgment on the issue, so that his motive is not relevant, it is</w:t>
      </w:r>
      <w:r>
        <w:rPr>
          <w:spacing w:val="-1"/>
          <w:vertAlign w:val="baseline"/>
        </w:rPr>
        <w:t> </w:t>
      </w:r>
      <w:r>
        <w:rPr>
          <w:vertAlign w:val="baseline"/>
        </w:rPr>
        <w:t>curious</w:t>
      </w:r>
      <w:r>
        <w:rPr>
          <w:spacing w:val="-1"/>
          <w:vertAlign w:val="baseline"/>
        </w:rPr>
        <w:t> </w:t>
      </w:r>
      <w:r>
        <w:rPr>
          <w:vertAlign w:val="baseline"/>
        </w:rPr>
        <w:t>thatthe tenor</w:t>
      </w:r>
      <w:r>
        <w:rPr>
          <w:spacing w:val="-2"/>
          <w:vertAlign w:val="baseline"/>
        </w:rPr>
        <w:t> </w:t>
      </w:r>
      <w:r>
        <w:rPr>
          <w:vertAlign w:val="baseline"/>
        </w:rPr>
        <w:t>of</w:t>
      </w:r>
      <w:r>
        <w:rPr>
          <w:spacing w:val="-7"/>
          <w:vertAlign w:val="baseline"/>
        </w:rPr>
        <w:t> </w:t>
      </w:r>
      <w:r>
        <w:rPr>
          <w:vertAlign w:val="baseline"/>
        </w:rPr>
        <w:t>s.287(1) CAMA</w:t>
      </w:r>
      <w:r>
        <w:rPr>
          <w:spacing w:val="-1"/>
          <w:vertAlign w:val="baseline"/>
        </w:rPr>
        <w:t> </w:t>
      </w:r>
      <w:r>
        <w:rPr>
          <w:vertAlign w:val="baseline"/>
        </w:rPr>
        <w:t>restricts</w:t>
      </w:r>
      <w:r>
        <w:rPr>
          <w:spacing w:val="-1"/>
          <w:vertAlign w:val="baseline"/>
        </w:rPr>
        <w:t> </w:t>
      </w:r>
      <w:r>
        <w:rPr>
          <w:vertAlign w:val="baseline"/>
        </w:rPr>
        <w:t>the application</w:t>
      </w:r>
      <w:r>
        <w:rPr>
          <w:spacing w:val="-4"/>
          <w:vertAlign w:val="baseline"/>
        </w:rPr>
        <w:t> </w:t>
      </w:r>
      <w:r>
        <w:rPr>
          <w:vertAlign w:val="baseline"/>
        </w:rPr>
        <w:t>of</w:t>
      </w:r>
      <w:r>
        <w:rPr>
          <w:spacing w:val="-7"/>
          <w:vertAlign w:val="baseline"/>
        </w:rPr>
        <w:t> </w:t>
      </w:r>
      <w:r>
        <w:rPr>
          <w:vertAlign w:val="baseline"/>
        </w:rPr>
        <w:t>the rule to the motive of inducement. This is especially considering the fact that the idea behind the principle is to totally prohibit any unauthorised profits/gains by the director during the course of his duties. It is therefore submitted that the rule should apply even where there</w:t>
      </w:r>
      <w:r>
        <w:rPr>
          <w:spacing w:val="-2"/>
          <w:vertAlign w:val="baseline"/>
        </w:rPr>
        <w:t> </w:t>
      </w:r>
      <w:r>
        <w:rPr>
          <w:vertAlign w:val="baseline"/>
        </w:rPr>
        <w:t>was no such inducement. The mere fact that</w:t>
      </w:r>
      <w:r>
        <w:rPr>
          <w:spacing w:val="-1"/>
          <w:vertAlign w:val="baseline"/>
        </w:rPr>
        <w:t> </w:t>
      </w:r>
      <w:r>
        <w:rPr>
          <w:vertAlign w:val="baseline"/>
        </w:rPr>
        <w:t>the</w:t>
      </w:r>
      <w:r>
        <w:rPr>
          <w:spacing w:val="-2"/>
          <w:vertAlign w:val="baseline"/>
        </w:rPr>
        <w:t> </w:t>
      </w:r>
      <w:r>
        <w:rPr>
          <w:vertAlign w:val="baseline"/>
        </w:rPr>
        <w:t>director received the</w:t>
      </w:r>
      <w:r>
        <w:rPr>
          <w:spacing w:val="-2"/>
          <w:vertAlign w:val="baseline"/>
        </w:rPr>
        <w:t> </w:t>
      </w:r>
      <w:r>
        <w:rPr>
          <w:vertAlign w:val="baseline"/>
        </w:rPr>
        <w:t>gift or favour because of his office, should suffice.</w:t>
      </w:r>
    </w:p>
    <w:p>
      <w:pPr>
        <w:pStyle w:val="BodyText"/>
        <w:spacing w:line="480" w:lineRule="auto" w:before="2"/>
        <w:ind w:right="184" w:firstLine="720"/>
        <w:jc w:val="both"/>
      </w:pPr>
      <w:r>
        <w:rPr/>
        <w:t>The</w:t>
      </w:r>
      <w:r>
        <w:rPr>
          <w:spacing w:val="-2"/>
        </w:rPr>
        <w:t> </w:t>
      </w:r>
      <w:r>
        <w:rPr/>
        <w:t>principle</w:t>
      </w:r>
      <w:r>
        <w:rPr>
          <w:spacing w:val="-2"/>
        </w:rPr>
        <w:t> </w:t>
      </w:r>
      <w:r>
        <w:rPr/>
        <w:t>under discussion</w:t>
      </w:r>
      <w:r>
        <w:rPr>
          <w:spacing w:val="-1"/>
        </w:rPr>
        <w:t> </w:t>
      </w:r>
      <w:r>
        <w:rPr/>
        <w:t>is</w:t>
      </w:r>
      <w:r>
        <w:rPr>
          <w:spacing w:val="-3"/>
        </w:rPr>
        <w:t> </w:t>
      </w:r>
      <w:r>
        <w:rPr/>
        <w:t>aptly</w:t>
      </w:r>
      <w:r>
        <w:rPr>
          <w:spacing w:val="-6"/>
        </w:rPr>
        <w:t> </w:t>
      </w:r>
      <w:r>
        <w:rPr/>
        <w:t>illustrated</w:t>
      </w:r>
      <w:r>
        <w:rPr>
          <w:spacing w:val="-6"/>
        </w:rPr>
        <w:t> </w:t>
      </w:r>
      <w:r>
        <w:rPr/>
        <w:t>by</w:t>
      </w:r>
      <w:r>
        <w:rPr>
          <w:spacing w:val="-6"/>
        </w:rPr>
        <w:t> </w:t>
      </w:r>
      <w:r>
        <w:rPr/>
        <w:t>the</w:t>
      </w:r>
      <w:r>
        <w:rPr>
          <w:spacing w:val="-2"/>
        </w:rPr>
        <w:t> </w:t>
      </w:r>
      <w:r>
        <w:rPr/>
        <w:t>case</w:t>
      </w:r>
      <w:r>
        <w:rPr>
          <w:spacing w:val="-2"/>
        </w:rPr>
        <w:t> </w:t>
      </w:r>
      <w:r>
        <w:rPr/>
        <w:t>of</w:t>
      </w:r>
      <w:r>
        <w:rPr>
          <w:b/>
        </w:rPr>
        <w:t>Boston</w:t>
      </w:r>
      <w:r>
        <w:rPr>
          <w:b/>
          <w:spacing w:val="-1"/>
        </w:rPr>
        <w:t> </w:t>
      </w:r>
      <w:r>
        <w:rPr>
          <w:b/>
        </w:rPr>
        <w:t>Deep</w:t>
      </w:r>
      <w:r>
        <w:rPr>
          <w:b/>
          <w:spacing w:val="-1"/>
        </w:rPr>
        <w:t> </w:t>
      </w:r>
      <w:r>
        <w:rPr>
          <w:b/>
        </w:rPr>
        <w:t>Sea Fishing Co. vs. Ansell</w:t>
      </w:r>
      <w:r>
        <w:rPr/>
        <w:t>.</w:t>
      </w:r>
      <w:r>
        <w:rPr>
          <w:vertAlign w:val="superscript"/>
        </w:rPr>
        <w:t>271</w:t>
      </w:r>
      <w:r>
        <w:rPr>
          <w:vertAlign w:val="baseline"/>
        </w:rPr>
        <w:t>There, a director of a fishing company contracted for the building of fishing vessels on its behalf. In the course of negotiations, he received a commission from the shipbuilders without disclosing this to the company. Although the</w:t>
      </w:r>
    </w:p>
    <w:p>
      <w:pPr>
        <w:pStyle w:val="BodyText"/>
        <w:spacing w:before="149"/>
        <w:ind w:left="0"/>
        <w:rPr>
          <w:sz w:val="20"/>
        </w:rPr>
      </w:pPr>
      <w:r>
        <w:rPr/>
        <mc:AlternateContent>
          <mc:Choice Requires="wps">
            <w:drawing>
              <wp:anchor distT="0" distB="0" distL="0" distR="0" allowOverlap="1" layoutInCell="1" locked="0" behindDoc="1" simplePos="0" relativeHeight="487669760">
                <wp:simplePos x="0" y="0"/>
                <wp:positionH relativeFrom="page">
                  <wp:posOffset>1262481</wp:posOffset>
                </wp:positionH>
                <wp:positionV relativeFrom="paragraph">
                  <wp:posOffset>255940</wp:posOffset>
                </wp:positionV>
                <wp:extent cx="1829435" cy="9525"/>
                <wp:effectExtent l="0" t="0" r="0" b="0"/>
                <wp:wrapTopAndBottom/>
                <wp:docPr id="183" name="Graphic 183"/>
                <wp:cNvGraphicFramePr>
                  <a:graphicFrameLocks/>
                </wp:cNvGraphicFramePr>
                <a:graphic>
                  <a:graphicData uri="http://schemas.microsoft.com/office/word/2010/wordprocessingShape">
                    <wps:wsp>
                      <wps:cNvPr id="183" name="Graphic 18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52765pt;width:144.050pt;height:.71997pt;mso-position-horizontal-relative:page;mso-position-vertical-relative:paragraph;z-index:-15646720;mso-wrap-distance-left:0;mso-wrap-distance-right:0" id="docshape138"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269</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2"/>
          <w:sz w:val="20"/>
          <w:vertAlign w:val="baseline"/>
        </w:rPr>
        <w:t>287(4).</w:t>
      </w:r>
    </w:p>
    <w:p>
      <w:pPr>
        <w:spacing w:before="1"/>
        <w:ind w:left="308" w:right="0" w:firstLine="0"/>
        <w:jc w:val="left"/>
        <w:rPr>
          <w:rFonts w:ascii="Calibri"/>
          <w:sz w:val="20"/>
        </w:rPr>
      </w:pPr>
      <w:r>
        <w:rPr>
          <w:rFonts w:ascii="Calibri"/>
          <w:sz w:val="20"/>
          <w:vertAlign w:val="superscript"/>
        </w:rPr>
        <w:t>270</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2"/>
          <w:sz w:val="20"/>
          <w:vertAlign w:val="baseline"/>
        </w:rPr>
        <w:t>287(2)</w:t>
      </w:r>
    </w:p>
    <w:p>
      <w:pPr>
        <w:spacing w:before="0"/>
        <w:ind w:left="308" w:right="0" w:firstLine="0"/>
        <w:jc w:val="left"/>
        <w:rPr>
          <w:rFonts w:ascii="Calibri"/>
          <w:sz w:val="20"/>
        </w:rPr>
      </w:pPr>
      <w:r>
        <w:rPr>
          <w:rFonts w:ascii="Calibri"/>
          <w:sz w:val="20"/>
          <w:vertAlign w:val="superscript"/>
        </w:rPr>
        <w:t>271</w:t>
      </w:r>
      <w:r>
        <w:rPr>
          <w:rFonts w:ascii="Calibri"/>
          <w:sz w:val="20"/>
          <w:vertAlign w:val="baseline"/>
        </w:rPr>
        <w:t>(1888)</w:t>
      </w:r>
      <w:r>
        <w:rPr>
          <w:rFonts w:ascii="Calibri"/>
          <w:spacing w:val="-2"/>
          <w:sz w:val="20"/>
          <w:vertAlign w:val="baseline"/>
        </w:rPr>
        <w:t> </w:t>
      </w:r>
      <w:r>
        <w:rPr>
          <w:rFonts w:ascii="Calibri"/>
          <w:sz w:val="20"/>
          <w:vertAlign w:val="baseline"/>
        </w:rPr>
        <w:t>39</w:t>
      </w:r>
      <w:r>
        <w:rPr>
          <w:rFonts w:ascii="Calibri"/>
          <w:spacing w:val="-4"/>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D.</w:t>
      </w:r>
      <w:r>
        <w:rPr>
          <w:rFonts w:ascii="Calibri"/>
          <w:spacing w:val="-5"/>
          <w:sz w:val="20"/>
          <w:vertAlign w:val="baseline"/>
        </w:rPr>
        <w:t> </w:t>
      </w:r>
      <w:r>
        <w:rPr>
          <w:rFonts w:ascii="Calibri"/>
          <w:sz w:val="20"/>
          <w:vertAlign w:val="baseline"/>
        </w:rPr>
        <w:t>339,</w:t>
      </w:r>
      <w:r>
        <w:rPr>
          <w:rFonts w:ascii="Calibri"/>
          <w:spacing w:val="-4"/>
          <w:sz w:val="20"/>
          <w:vertAlign w:val="baseline"/>
        </w:rPr>
        <w:t> </w:t>
      </w:r>
      <w:r>
        <w:rPr>
          <w:rFonts w:ascii="Calibri"/>
          <w:spacing w:val="-5"/>
          <w:sz w:val="20"/>
          <w:vertAlign w:val="baseline"/>
        </w:rPr>
        <w:t>CA.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4"/>
        <w:jc w:val="both"/>
      </w:pPr>
      <w:r>
        <w:rPr/>
        <w:t>company had already dismissed him from office for some other misconduct before it found out about the secret commission, the court held him liable to account to the company for the commission he received.</w:t>
      </w:r>
    </w:p>
    <w:p>
      <w:pPr>
        <w:pStyle w:val="BodyText"/>
        <w:spacing w:line="480" w:lineRule="auto"/>
        <w:ind w:right="180" w:firstLine="720"/>
        <w:jc w:val="both"/>
      </w:pPr>
      <w:r>
        <w:rPr/>
        <w:t>Connected as this principle is to those mentioned in s. 280, it is curious that the provisions do not follow each other in the arrangement of sections in the CAMA, or better still, are not incorporated. A peripheral analysis of s. 287 would suggest that any situations falling under it are also adequately covered under s. 280. Yet, a more careful examination would reveal that s. 287 can be distinguished, firstly, to the extent that the director accepts the secret benefit specifically for one purpose: </w:t>
      </w:r>
      <w:r>
        <w:rPr>
          <w:i/>
        </w:rPr>
        <w:t>in order to introduce— </w:t>
      </w:r>
      <w:r>
        <w:rPr/>
        <w:t>or, more appropriately, induce—</w:t>
      </w:r>
      <w:r>
        <w:rPr>
          <w:i/>
        </w:rPr>
        <w:t>his company to deal with any third parties</w:t>
      </w:r>
      <w:r>
        <w:rPr/>
        <w:t>. Secondly, apart from</w:t>
      </w:r>
      <w:r>
        <w:rPr>
          <w:spacing w:val="-9"/>
        </w:rPr>
        <w:t> </w:t>
      </w:r>
      <w:r>
        <w:rPr/>
        <w:t>accounting to the</w:t>
      </w:r>
      <w:r>
        <w:rPr>
          <w:spacing w:val="-1"/>
        </w:rPr>
        <w:t> </w:t>
      </w:r>
      <w:r>
        <w:rPr/>
        <w:t>company, the</w:t>
      </w:r>
      <w:r>
        <w:rPr>
          <w:spacing w:val="-1"/>
        </w:rPr>
        <w:t> </w:t>
      </w:r>
      <w:r>
        <w:rPr/>
        <w:t>director</w:t>
      </w:r>
      <w:r>
        <w:rPr>
          <w:spacing w:val="-3"/>
        </w:rPr>
        <w:t> </w:t>
      </w:r>
      <w:r>
        <w:rPr/>
        <w:t>would also be liable for any</w:t>
      </w:r>
      <w:r>
        <w:rPr>
          <w:spacing w:val="-5"/>
        </w:rPr>
        <w:t> </w:t>
      </w:r>
      <w:r>
        <w:rPr/>
        <w:t>damages sustained by</w:t>
      </w:r>
      <w:r>
        <w:rPr>
          <w:spacing w:val="-7"/>
        </w:rPr>
        <w:t> </w:t>
      </w:r>
      <w:r>
        <w:rPr/>
        <w:t>the</w:t>
      </w:r>
      <w:r>
        <w:rPr>
          <w:spacing w:val="-3"/>
        </w:rPr>
        <w:t> </w:t>
      </w:r>
      <w:r>
        <w:rPr/>
        <w:t>company. Finally</w:t>
      </w:r>
      <w:r>
        <w:rPr>
          <w:spacing w:val="-2"/>
        </w:rPr>
        <w:t> </w:t>
      </w:r>
      <w:r>
        <w:rPr/>
        <w:t>and more importantly, while</w:t>
      </w:r>
      <w:r>
        <w:rPr>
          <w:spacing w:val="-3"/>
        </w:rPr>
        <w:t> </w:t>
      </w:r>
      <w:r>
        <w:rPr/>
        <w:t>the</w:t>
      </w:r>
      <w:r>
        <w:rPr>
          <w:spacing w:val="-3"/>
        </w:rPr>
        <w:t> </w:t>
      </w:r>
      <w:r>
        <w:rPr/>
        <w:t>situations</w:t>
      </w:r>
      <w:r>
        <w:rPr>
          <w:spacing w:val="-4"/>
        </w:rPr>
        <w:t> </w:t>
      </w:r>
      <w:r>
        <w:rPr/>
        <w:t>covered</w:t>
      </w:r>
      <w:r>
        <w:rPr>
          <w:spacing w:val="-2"/>
        </w:rPr>
        <w:t> </w:t>
      </w:r>
      <w:r>
        <w:rPr/>
        <w:t>by</w:t>
      </w:r>
    </w:p>
    <w:p>
      <w:pPr>
        <w:pStyle w:val="BodyText"/>
        <w:spacing w:line="480" w:lineRule="auto" w:before="2"/>
        <w:ind w:right="181"/>
        <w:jc w:val="both"/>
      </w:pPr>
      <w:r>
        <w:rPr/>
        <w:t>s. 280 can be authorised or approved by the general meeting, such is not the case with those of s. 287. This is because bribery isconsidered an offence generally so that there can be no room for its authorisation.</w:t>
      </w:r>
    </w:p>
    <w:p>
      <w:pPr>
        <w:pStyle w:val="BodyText"/>
        <w:spacing w:line="480" w:lineRule="auto" w:before="1"/>
        <w:ind w:right="183" w:firstLine="720"/>
        <w:jc w:val="both"/>
      </w:pPr>
      <w:r>
        <w:rPr/>
        <w:t>This principle especially resonates with Nigeria, being a country where anti- corruption is more often topmost on the reformation agenda of successive administrations.</w:t>
      </w:r>
      <w:r>
        <w:rPr>
          <w:spacing w:val="-1"/>
        </w:rPr>
        <w:t> </w:t>
      </w:r>
      <w:r>
        <w:rPr/>
        <w:t>Corporate</w:t>
      </w:r>
      <w:r>
        <w:rPr>
          <w:spacing w:val="-4"/>
        </w:rPr>
        <w:t> </w:t>
      </w:r>
      <w:r>
        <w:rPr/>
        <w:t>law is</w:t>
      </w:r>
      <w:r>
        <w:rPr>
          <w:spacing w:val="-5"/>
        </w:rPr>
        <w:t> </w:t>
      </w:r>
      <w:r>
        <w:rPr/>
        <w:t>an</w:t>
      </w:r>
      <w:r>
        <w:rPr>
          <w:spacing w:val="-3"/>
        </w:rPr>
        <w:t> </w:t>
      </w:r>
      <w:r>
        <w:rPr/>
        <w:t>ideal</w:t>
      </w:r>
      <w:r>
        <w:rPr>
          <w:spacing w:val="-8"/>
        </w:rPr>
        <w:t> </w:t>
      </w:r>
      <w:r>
        <w:rPr/>
        <w:t>medium</w:t>
      </w:r>
      <w:r>
        <w:rPr>
          <w:spacing w:val="-3"/>
        </w:rPr>
        <w:t> </w:t>
      </w:r>
      <w:r>
        <w:rPr/>
        <w:t>for</w:t>
      </w:r>
      <w:r>
        <w:rPr>
          <w:spacing w:val="-2"/>
        </w:rPr>
        <w:t> </w:t>
      </w:r>
      <w:r>
        <w:rPr/>
        <w:t>combating</w:t>
      </w:r>
      <w:r>
        <w:rPr>
          <w:spacing w:val="-3"/>
        </w:rPr>
        <w:t> </w:t>
      </w:r>
      <w:r>
        <w:rPr/>
        <w:t>corruption,</w:t>
      </w:r>
      <w:r>
        <w:rPr>
          <w:spacing w:val="-1"/>
        </w:rPr>
        <w:t> </w:t>
      </w:r>
      <w:r>
        <w:rPr/>
        <w:t>particularly that involving bribery. This is because the institution of the company is ubiquitous amongst government and the general populace alike. In other words, those who control companies, more than any other persons, have more opportunities at discreet bribe profiteering,</w:t>
      </w:r>
      <w:r>
        <w:rPr>
          <w:spacing w:val="-2"/>
        </w:rPr>
        <w:t> </w:t>
      </w:r>
      <w:r>
        <w:rPr/>
        <w:t>than</w:t>
      </w:r>
      <w:r>
        <w:rPr>
          <w:spacing w:val="-2"/>
        </w:rPr>
        <w:t> </w:t>
      </w:r>
      <w:r>
        <w:rPr/>
        <w:t>most.</w:t>
      </w:r>
      <w:r>
        <w:rPr>
          <w:spacing w:val="1"/>
        </w:rPr>
        <w:t> </w:t>
      </w:r>
      <w:r>
        <w:rPr/>
        <w:t>In</w:t>
      </w:r>
      <w:r>
        <w:rPr>
          <w:spacing w:val="-2"/>
        </w:rPr>
        <w:t> </w:t>
      </w:r>
      <w:r>
        <w:rPr/>
        <w:t>fact,</w:t>
      </w:r>
      <w:r>
        <w:rPr>
          <w:spacing w:val="1"/>
        </w:rPr>
        <w:t> </w:t>
      </w:r>
      <w:r>
        <w:rPr/>
        <w:t>good</w:t>
      </w:r>
      <w:r>
        <w:rPr>
          <w:spacing w:val="-2"/>
        </w:rPr>
        <w:t> </w:t>
      </w:r>
      <w:r>
        <w:rPr/>
        <w:t>corporate</w:t>
      </w:r>
      <w:r>
        <w:rPr>
          <w:spacing w:val="-2"/>
        </w:rPr>
        <w:t> </w:t>
      </w:r>
      <w:r>
        <w:rPr/>
        <w:t>governance</w:t>
      </w:r>
      <w:r>
        <w:rPr>
          <w:spacing w:val="6"/>
        </w:rPr>
        <w:t> </w:t>
      </w:r>
      <w:r>
        <w:rPr/>
        <w:t>has been</w:t>
      </w:r>
      <w:r>
        <w:rPr>
          <w:spacing w:val="8"/>
        </w:rPr>
        <w:t> </w:t>
      </w:r>
      <w:r>
        <w:rPr/>
        <w:t>identified</w:t>
      </w:r>
      <w:r>
        <w:rPr>
          <w:spacing w:val="4"/>
        </w:rPr>
        <w:t> </w:t>
      </w:r>
      <w:r>
        <w:rPr/>
        <w:t>as</w:t>
      </w:r>
      <w:r>
        <w:rPr>
          <w:spacing w:val="1"/>
        </w:rPr>
        <w:t> </w:t>
      </w:r>
      <w:r>
        <w:rPr>
          <w:spacing w:val="-2"/>
        </w:rPr>
        <w:t>having</w:t>
      </w:r>
    </w:p>
    <w:p>
      <w:pPr>
        <w:spacing w:after="0" w:line="480" w:lineRule="auto"/>
        <w:jc w:val="both"/>
        <w:sectPr>
          <w:pgSz w:w="11910" w:h="16840"/>
          <w:pgMar w:header="0" w:footer="1003" w:top="1320" w:bottom="1200" w:left="1680" w:right="1180"/>
        </w:sectPr>
      </w:pPr>
    </w:p>
    <w:p>
      <w:pPr>
        <w:pStyle w:val="BodyText"/>
        <w:spacing w:line="480" w:lineRule="auto" w:before="70"/>
        <w:ind w:right="191"/>
        <w:jc w:val="both"/>
      </w:pPr>
      <w:r>
        <w:rPr/>
        <w:t>the potential to considerably weaken corrupt practices such as bribery, extortion and</w:t>
      </w:r>
      <w:r>
        <w:rPr>
          <w:spacing w:val="40"/>
        </w:rPr>
        <w:t> </w:t>
      </w:r>
      <w:r>
        <w:rPr>
          <w:spacing w:val="-2"/>
        </w:rPr>
        <w:t>self-dealing.</w:t>
      </w:r>
      <w:r>
        <w:rPr>
          <w:spacing w:val="-2"/>
          <w:vertAlign w:val="superscript"/>
        </w:rPr>
        <w:t>272</w:t>
      </w:r>
    </w:p>
    <w:p>
      <w:pPr>
        <w:pStyle w:val="BodyText"/>
        <w:spacing w:line="480" w:lineRule="auto"/>
        <w:ind w:right="177" w:firstLine="720"/>
        <w:jc w:val="both"/>
      </w:pPr>
      <w:r>
        <w:rPr/>
        <w:t>For the avoidance of doubt, the law goes as far as distinguishing bribery situations from those not so considered. Thus, the director is allowed to keep any gift— or better still, any benefit—if it was </w:t>
      </w:r>
      <w:r>
        <w:rPr>
          <w:i/>
        </w:rPr>
        <w:t>unsolicited </w:t>
      </w:r>
      <w:r>
        <w:rPr/>
        <w:t>and given as a sign of</w:t>
      </w:r>
      <w:r>
        <w:rPr>
          <w:spacing w:val="-3"/>
        </w:rPr>
        <w:t> </w:t>
      </w:r>
      <w:r>
        <w:rPr/>
        <w:t>gratitude </w:t>
      </w:r>
      <w:r>
        <w:rPr>
          <w:i/>
        </w:rPr>
        <w:t>after the transaction </w:t>
      </w:r>
      <w:r>
        <w:rPr/>
        <w:t>that occasioned it was completed. Thus, for a gift to fall under this</w:t>
      </w:r>
      <w:r>
        <w:rPr>
          <w:spacing w:val="40"/>
        </w:rPr>
        <w:t> </w:t>
      </w:r>
      <w:r>
        <w:rPr/>
        <w:t>exception, these conditions must be satisfied cumulatively: the gift must first have been unsolicited for, offered as a sign of gratitude and offered after the transaction which occasioned it.</w:t>
      </w:r>
      <w:r>
        <w:rPr>
          <w:spacing w:val="40"/>
        </w:rPr>
        <w:t> </w:t>
      </w:r>
      <w:r>
        <w:rPr/>
        <w:t>However, the director must still declare it before the board and the fact recorded in the minutes‘ book for transparency.</w:t>
      </w:r>
      <w:r>
        <w:rPr>
          <w:vertAlign w:val="superscript"/>
        </w:rPr>
        <w:t>273</w:t>
      </w:r>
      <w:r>
        <w:rPr>
          <w:vertAlign w:val="baseline"/>
        </w:rPr>
        <w:t> It is unclear what would qualify a gift as </w:t>
      </w:r>
      <w:r>
        <w:rPr>
          <w:i/>
          <w:vertAlign w:val="baseline"/>
        </w:rPr>
        <w:t>unsolicited</w:t>
      </w:r>
      <w:r>
        <w:rPr>
          <w:vertAlign w:val="baseline"/>
        </w:rPr>
        <w:t>. This question is probably</w:t>
      </w:r>
      <w:r>
        <w:rPr>
          <w:spacing w:val="-5"/>
          <w:vertAlign w:val="baseline"/>
        </w:rPr>
        <w:t> </w:t>
      </w:r>
      <w:r>
        <w:rPr>
          <w:vertAlign w:val="baseline"/>
        </w:rPr>
        <w:t>one for the courts,</w:t>
      </w:r>
      <w:r>
        <w:rPr>
          <w:spacing w:val="-3"/>
          <w:vertAlign w:val="baseline"/>
        </w:rPr>
        <w:t> </w:t>
      </w:r>
      <w:r>
        <w:rPr>
          <w:vertAlign w:val="baseline"/>
        </w:rPr>
        <w:t>taking into consideration the circumstances of each case. Presumably, it would be for the director to prove that such was the case. But it is submitted that it would be easy for the director to arrange to receive the gift after the transaction and claim that the gift was unsolicited and, short of an outright confession from the giver, the company cannot be sure that this was in fact the case.</w:t>
      </w:r>
    </w:p>
    <w:p>
      <w:pPr>
        <w:pStyle w:val="BodyText"/>
        <w:spacing w:line="480" w:lineRule="auto" w:before="3"/>
        <w:ind w:right="197" w:firstLine="720"/>
        <w:jc w:val="both"/>
      </w:pPr>
      <w:r>
        <w:rPr/>
        <w:t>S. 287 clearly does not impose the duty on a former director. The disturbing conclusion is, where a director resigns, and then accepts a gift, benefit or commission which can reasonably be attributable to his former office, he cannot be liable under that </w:t>
      </w:r>
      <w:r>
        <w:rPr>
          <w:spacing w:val="-2"/>
        </w:rPr>
        <w:t>section.</w:t>
      </w:r>
    </w:p>
    <w:p>
      <w:pPr>
        <w:pStyle w:val="BodyText"/>
        <w:ind w:left="0"/>
        <w:rPr>
          <w:sz w:val="20"/>
        </w:rPr>
      </w:pPr>
    </w:p>
    <w:p>
      <w:pPr>
        <w:pStyle w:val="BodyText"/>
        <w:ind w:left="0"/>
        <w:rPr>
          <w:sz w:val="20"/>
        </w:rPr>
      </w:pPr>
    </w:p>
    <w:p>
      <w:pPr>
        <w:pStyle w:val="BodyText"/>
        <w:spacing w:before="188"/>
        <w:ind w:left="0"/>
        <w:rPr>
          <w:sz w:val="20"/>
        </w:rPr>
      </w:pPr>
      <w:r>
        <w:rPr/>
        <mc:AlternateContent>
          <mc:Choice Requires="wps">
            <w:drawing>
              <wp:anchor distT="0" distB="0" distL="0" distR="0" allowOverlap="1" layoutInCell="1" locked="0" behindDoc="1" simplePos="0" relativeHeight="487670272">
                <wp:simplePos x="0" y="0"/>
                <wp:positionH relativeFrom="page">
                  <wp:posOffset>1262481</wp:posOffset>
                </wp:positionH>
                <wp:positionV relativeFrom="paragraph">
                  <wp:posOffset>280782</wp:posOffset>
                </wp:positionV>
                <wp:extent cx="1829435" cy="9525"/>
                <wp:effectExtent l="0" t="0" r="0" b="0"/>
                <wp:wrapTopAndBottom/>
                <wp:docPr id="184" name="Graphic 184"/>
                <wp:cNvGraphicFramePr>
                  <a:graphicFrameLocks/>
                </wp:cNvGraphicFramePr>
                <a:graphic>
                  <a:graphicData uri="http://schemas.microsoft.com/office/word/2010/wordprocessingShape">
                    <wps:wsp>
                      <wps:cNvPr id="184" name="Graphic 18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08858pt;width:144.050pt;height:.71997pt;mso-position-horizontal-relative:page;mso-position-vertical-relative:paragraph;z-index:-15646208;mso-wrap-distance-left:0;mso-wrap-distance-right:0" id="docshape139" filled="true" fillcolor="#000000" stroked="false">
                <v:fill type="solid"/>
                <w10:wrap type="topAndBottom"/>
              </v:rect>
            </w:pict>
          </mc:Fallback>
        </mc:AlternateContent>
      </w:r>
    </w:p>
    <w:p>
      <w:pPr>
        <w:spacing w:line="240" w:lineRule="auto" w:before="102"/>
        <w:ind w:left="308" w:right="225" w:firstLine="0"/>
        <w:jc w:val="both"/>
        <w:rPr>
          <w:rFonts w:ascii="Calibri" w:hAnsi="Calibri"/>
          <w:sz w:val="20"/>
        </w:rPr>
      </w:pPr>
      <w:r>
        <w:rPr>
          <w:rFonts w:ascii="Calibri" w:hAnsi="Calibri"/>
          <w:sz w:val="20"/>
          <w:vertAlign w:val="superscript"/>
        </w:rPr>
        <w:t>272</w:t>
      </w:r>
      <w:r>
        <w:rPr>
          <w:rFonts w:ascii="Calibri" w:hAnsi="Calibri"/>
          <w:sz w:val="20"/>
          <w:vertAlign w:val="baseline"/>
        </w:rPr>
        <w:t>Hontz,</w:t>
      </w:r>
      <w:r>
        <w:rPr>
          <w:rFonts w:ascii="Calibri" w:hAnsi="Calibri"/>
          <w:spacing w:val="-1"/>
          <w:sz w:val="20"/>
          <w:vertAlign w:val="baseline"/>
        </w:rPr>
        <w:t> </w:t>
      </w:r>
      <w:r>
        <w:rPr>
          <w:rFonts w:ascii="Calibri" w:hAnsi="Calibri"/>
          <w:sz w:val="20"/>
          <w:vertAlign w:val="baseline"/>
        </w:rPr>
        <w:t>E. and Shkolnikov,</w:t>
      </w:r>
      <w:r>
        <w:rPr>
          <w:rFonts w:ascii="Calibri" w:hAnsi="Calibri"/>
          <w:spacing w:val="-1"/>
          <w:sz w:val="20"/>
          <w:vertAlign w:val="baseline"/>
        </w:rPr>
        <w:t> </w:t>
      </w:r>
      <w:r>
        <w:rPr>
          <w:rFonts w:ascii="Calibri" w:hAnsi="Calibri"/>
          <w:sz w:val="20"/>
          <w:vertAlign w:val="baseline"/>
        </w:rPr>
        <w:t>A.(Eds) (2009). </w:t>
      </w:r>
      <w:r>
        <w:rPr>
          <w:rFonts w:ascii="Calibri" w:hAnsi="Calibri"/>
          <w:i/>
          <w:sz w:val="20"/>
          <w:vertAlign w:val="baseline"/>
        </w:rPr>
        <w:t>Corporate</w:t>
      </w:r>
      <w:r>
        <w:rPr>
          <w:rFonts w:ascii="Calibri" w:hAnsi="Calibri"/>
          <w:i/>
          <w:spacing w:val="-4"/>
          <w:sz w:val="20"/>
          <w:vertAlign w:val="baseline"/>
        </w:rPr>
        <w:t> </w:t>
      </w:r>
      <w:r>
        <w:rPr>
          <w:rFonts w:ascii="Calibri" w:hAnsi="Calibri"/>
          <w:i/>
          <w:sz w:val="20"/>
          <w:vertAlign w:val="baseline"/>
        </w:rPr>
        <w:t>Governance: The Intersection of Public</w:t>
      </w:r>
      <w:r>
        <w:rPr>
          <w:rFonts w:ascii="Calibri" w:hAnsi="Calibri"/>
          <w:i/>
          <w:spacing w:val="-1"/>
          <w:sz w:val="20"/>
          <w:vertAlign w:val="baseline"/>
        </w:rPr>
        <w:t> </w:t>
      </w:r>
      <w:r>
        <w:rPr>
          <w:rFonts w:ascii="Calibri" w:hAnsi="Calibri"/>
          <w:i/>
          <w:sz w:val="20"/>
          <w:vertAlign w:val="baseline"/>
        </w:rPr>
        <w:t>and</w:t>
      </w:r>
      <w:r>
        <w:rPr>
          <w:rFonts w:ascii="Calibri" w:hAnsi="Calibri"/>
          <w:i/>
          <w:spacing w:val="-2"/>
          <w:sz w:val="20"/>
          <w:vertAlign w:val="baseline"/>
        </w:rPr>
        <w:t> </w:t>
      </w:r>
      <w:r>
        <w:rPr>
          <w:rFonts w:ascii="Calibri" w:hAnsi="Calibri"/>
          <w:i/>
          <w:sz w:val="20"/>
          <w:vertAlign w:val="baseline"/>
        </w:rPr>
        <w:t>Private Reforms.</w:t>
      </w:r>
      <w:r>
        <w:rPr>
          <w:rFonts w:ascii="Calibri" w:hAnsi="Calibri"/>
          <w:sz w:val="20"/>
          <w:vertAlign w:val="baseline"/>
        </w:rPr>
        <w:t>Centre for International Private Enterprise, United States Agency for International Development, pp. 15, 27 and 31. Retrieved 27</w:t>
      </w:r>
      <w:r>
        <w:rPr>
          <w:rFonts w:ascii="Calibri" w:hAnsi="Calibri"/>
          <w:sz w:val="20"/>
          <w:vertAlign w:val="superscript"/>
        </w:rPr>
        <w:t>th</w:t>
      </w:r>
      <w:r>
        <w:rPr>
          <w:rFonts w:ascii="Calibri" w:hAnsi="Calibri"/>
          <w:sz w:val="20"/>
          <w:vertAlign w:val="baseline"/>
        </w:rPr>
        <w:t> September 2013, from </w:t>
      </w:r>
      <w:hyperlink r:id="rId44">
        <w:r>
          <w:rPr>
            <w:rFonts w:ascii="Calibri" w:hAnsi="Calibri"/>
            <w:color w:val="0000FF"/>
            <w:sz w:val="20"/>
            <w:u w:val="single" w:color="0000FF"/>
            <w:vertAlign w:val="baseline"/>
          </w:rPr>
          <w:t>www.cipe.org/sites/default/files/publication-docs/CG_USAID.pdf</w:t>
        </w:r>
        <w:r>
          <w:rPr>
            <w:rFonts w:ascii="Calibri" w:hAnsi="Calibri"/>
            <w:sz w:val="20"/>
            <w:vertAlign w:val="baseline"/>
          </w:rPr>
          <w:t>.</w:t>
        </w:r>
      </w:hyperlink>
      <w:r>
        <w:rPr>
          <w:rFonts w:ascii="Calibri" w:hAnsi="Calibri"/>
          <w:sz w:val="20"/>
          <w:vertAlign w:val="baseline"/>
        </w:rPr>
        <w:t>It is also one of the principles of the United Nations Global Compact Ten Principles of Business that “businesses should work against corruption in all its forms, including extortion and bribery.”Source: </w:t>
      </w:r>
      <w:hyperlink r:id="rId45">
        <w:r>
          <w:rPr>
            <w:rFonts w:ascii="Calibri" w:hAnsi="Calibri"/>
            <w:color w:val="0000FF"/>
            <w:spacing w:val="-2"/>
            <w:sz w:val="20"/>
            <w:u w:val="single" w:color="0000FF"/>
            <w:vertAlign w:val="baseline"/>
          </w:rPr>
          <w:t>www.unglobalcompact.org/AboutTheGC/TheTenPrinciples/index.html</w:t>
        </w:r>
        <w:r>
          <w:rPr>
            <w:rFonts w:ascii="Calibri" w:hAnsi="Calibri"/>
            <w:spacing w:val="-2"/>
            <w:sz w:val="20"/>
            <w:vertAlign w:val="baseline"/>
          </w:rPr>
          <w:t>.</w:t>
        </w:r>
      </w:hyperlink>
    </w:p>
    <w:p>
      <w:pPr>
        <w:spacing w:before="0"/>
        <w:ind w:left="308" w:right="0" w:firstLine="0"/>
        <w:jc w:val="both"/>
        <w:rPr>
          <w:rFonts w:ascii="Calibri"/>
          <w:sz w:val="20"/>
        </w:rPr>
      </w:pPr>
      <w:r>
        <w:rPr>
          <w:rFonts w:ascii="Calibri"/>
          <w:sz w:val="20"/>
          <w:vertAlign w:val="superscript"/>
        </w:rPr>
        <w:t>273</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2"/>
          <w:sz w:val="20"/>
          <w:vertAlign w:val="baseline"/>
        </w:rPr>
        <w:t>287(3).</w:t>
      </w:r>
    </w:p>
    <w:p>
      <w:pPr>
        <w:spacing w:after="0"/>
        <w:jc w:val="both"/>
        <w:rPr>
          <w:rFonts w:ascii="Calibri"/>
          <w:sz w:val="20"/>
        </w:rPr>
        <w:sectPr>
          <w:pgSz w:w="11910" w:h="16840"/>
          <w:pgMar w:header="0" w:footer="1003" w:top="1320" w:bottom="1200" w:left="1680" w:right="1180"/>
        </w:sect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ind w:left="0"/>
        <w:rPr>
          <w:rFonts w:ascii="Calibri"/>
          <w:sz w:val="32"/>
        </w:rPr>
      </w:pPr>
    </w:p>
    <w:p>
      <w:pPr>
        <w:pStyle w:val="BodyText"/>
        <w:spacing w:before="158"/>
        <w:ind w:left="0"/>
        <w:rPr>
          <w:rFonts w:ascii="Calibri"/>
          <w:sz w:val="32"/>
        </w:rPr>
      </w:pPr>
    </w:p>
    <w:p>
      <w:pPr>
        <w:pStyle w:val="Heading1"/>
        <w:spacing w:before="0"/>
        <w:ind w:left="78"/>
      </w:pPr>
      <w:bookmarkStart w:name="_TOC_250024" w:id="28"/>
      <w:r>
        <w:rPr/>
        <w:t>CHAPTER</w:t>
      </w:r>
      <w:r>
        <w:rPr>
          <w:spacing w:val="-14"/>
        </w:rPr>
        <w:t> </w:t>
      </w:r>
      <w:bookmarkEnd w:id="28"/>
      <w:r>
        <w:rPr>
          <w:spacing w:val="-4"/>
        </w:rPr>
        <w:t>FOUR</w:t>
      </w:r>
    </w:p>
    <w:p>
      <w:pPr>
        <w:spacing w:after="0"/>
        <w:sectPr>
          <w:pgSz w:w="11910" w:h="16840"/>
          <w:pgMar w:header="0" w:footer="1003" w:top="1920" w:bottom="1200" w:left="1680" w:right="1180"/>
        </w:sectPr>
      </w:pPr>
    </w:p>
    <w:p>
      <w:pPr>
        <w:pStyle w:val="BodyText"/>
        <w:spacing w:line="242" w:lineRule="auto" w:before="78"/>
        <w:ind w:left="495" w:right="255" w:firstLine="307"/>
        <w:rPr>
          <w:rFonts w:ascii="Arial Black"/>
        </w:rPr>
      </w:pPr>
      <w:r>
        <w:rPr>
          <w:rFonts w:ascii="Arial Black"/>
        </w:rPr>
        <w:t>DUTIES OF CARE AND SKILL AND FIDUCIARY DUTIES OF LOYALTY</w:t>
      </w:r>
      <w:r>
        <w:rPr>
          <w:rFonts w:ascii="Arial Black"/>
          <w:spacing w:val="-2"/>
        </w:rPr>
        <w:t> </w:t>
      </w:r>
      <w:r>
        <w:rPr>
          <w:rFonts w:ascii="Arial Black"/>
        </w:rPr>
        <w:t>AND</w:t>
      </w:r>
      <w:r>
        <w:rPr>
          <w:rFonts w:ascii="Arial Black"/>
          <w:spacing w:val="-6"/>
        </w:rPr>
        <w:t> </w:t>
      </w:r>
      <w:r>
        <w:rPr>
          <w:rFonts w:ascii="Arial Black"/>
        </w:rPr>
        <w:t>GOOD</w:t>
      </w:r>
      <w:r>
        <w:rPr>
          <w:rFonts w:ascii="Arial Black"/>
          <w:spacing w:val="-6"/>
        </w:rPr>
        <w:t> </w:t>
      </w:r>
      <w:r>
        <w:rPr>
          <w:rFonts w:ascii="Arial Black"/>
        </w:rPr>
        <w:t>FAITH UNDER</w:t>
      </w:r>
      <w:r>
        <w:rPr>
          <w:rFonts w:ascii="Arial Black"/>
          <w:spacing w:val="-11"/>
        </w:rPr>
        <w:t> </w:t>
      </w:r>
      <w:r>
        <w:rPr>
          <w:rFonts w:ascii="Arial Black"/>
        </w:rPr>
        <w:t>THE</w:t>
      </w:r>
      <w:r>
        <w:rPr>
          <w:rFonts w:ascii="Arial Black"/>
          <w:spacing w:val="-1"/>
        </w:rPr>
        <w:t> </w:t>
      </w:r>
      <w:r>
        <w:rPr>
          <w:rFonts w:ascii="Arial Black"/>
        </w:rPr>
        <w:t>UK</w:t>
      </w:r>
      <w:r>
        <w:rPr>
          <w:rFonts w:ascii="Arial Black"/>
          <w:spacing w:val="-5"/>
        </w:rPr>
        <w:t> </w:t>
      </w:r>
      <w:r>
        <w:rPr>
          <w:rFonts w:ascii="Arial Black"/>
        </w:rPr>
        <w:t>COMPANIES</w:t>
      </w:r>
      <w:r>
        <w:rPr>
          <w:rFonts w:ascii="Arial Black"/>
          <w:spacing w:val="-3"/>
        </w:rPr>
        <w:t> </w:t>
      </w:r>
      <w:r>
        <w:rPr>
          <w:rFonts w:ascii="Arial Black"/>
        </w:rPr>
        <w:t>ACT</w:t>
      </w:r>
    </w:p>
    <w:p>
      <w:pPr>
        <w:pStyle w:val="Heading2"/>
        <w:numPr>
          <w:ilvl w:val="1"/>
          <w:numId w:val="15"/>
        </w:numPr>
        <w:tabs>
          <w:tab w:pos="1027" w:val="left" w:leader="none"/>
        </w:tabs>
        <w:spacing w:line="240" w:lineRule="auto" w:before="192" w:after="0"/>
        <w:ind w:left="1027" w:right="0" w:hanging="719"/>
        <w:jc w:val="both"/>
      </w:pPr>
      <w:bookmarkStart w:name="_TOC_250023" w:id="29"/>
      <w:bookmarkEnd w:id="29"/>
      <w:r>
        <w:rPr>
          <w:spacing w:val="-2"/>
        </w:rPr>
        <w:t>Introduction</w:t>
      </w:r>
    </w:p>
    <w:p>
      <w:pPr>
        <w:pStyle w:val="BodyText"/>
        <w:spacing w:line="480" w:lineRule="auto" w:before="132"/>
        <w:ind w:right="231"/>
        <w:jc w:val="both"/>
      </w:pPr>
      <w:r>
        <w:rPr/>
        <w:t>Directors‘</w:t>
      </w:r>
      <w:r>
        <w:rPr>
          <w:spacing w:val="-5"/>
        </w:rPr>
        <w:t> </w:t>
      </w:r>
      <w:r>
        <w:rPr/>
        <w:t>duties</w:t>
      </w:r>
      <w:r>
        <w:rPr>
          <w:spacing w:val="-5"/>
        </w:rPr>
        <w:t> </w:t>
      </w:r>
      <w:r>
        <w:rPr/>
        <w:t>under</w:t>
      </w:r>
      <w:r>
        <w:rPr>
          <w:spacing w:val="-1"/>
        </w:rPr>
        <w:t> </w:t>
      </w:r>
      <w:r>
        <w:rPr/>
        <w:t>UK</w:t>
      </w:r>
      <w:r>
        <w:rPr>
          <w:spacing w:val="-8"/>
        </w:rPr>
        <w:t> </w:t>
      </w:r>
      <w:r>
        <w:rPr/>
        <w:t>corporate</w:t>
      </w:r>
      <w:r>
        <w:rPr>
          <w:spacing w:val="-3"/>
        </w:rPr>
        <w:t> </w:t>
      </w:r>
      <w:r>
        <w:rPr/>
        <w:t>law were hitherto not</w:t>
      </w:r>
      <w:r>
        <w:rPr>
          <w:spacing w:val="-2"/>
        </w:rPr>
        <w:t> </w:t>
      </w:r>
      <w:r>
        <w:rPr/>
        <w:t>codified. Having</w:t>
      </w:r>
      <w:r>
        <w:rPr>
          <w:spacing w:val="-2"/>
        </w:rPr>
        <w:t> </w:t>
      </w:r>
      <w:r>
        <w:rPr/>
        <w:t>been</w:t>
      </w:r>
      <w:r>
        <w:rPr>
          <w:spacing w:val="-2"/>
        </w:rPr>
        <w:t> </w:t>
      </w:r>
      <w:r>
        <w:rPr/>
        <w:t>based in common law and equity, these principles have always provided the guidance for courts. But the enactment of the UK Companies Act 2006,</w:t>
      </w:r>
      <w:r>
        <w:rPr>
          <w:vertAlign w:val="superscript"/>
        </w:rPr>
        <w:t>1</w:t>
      </w:r>
      <w:r>
        <w:rPr>
          <w:vertAlign w:val="baseline"/>
        </w:rPr>
        <w:t> ―the Act‖ brought many changes</w:t>
      </w:r>
      <w:r>
        <w:rPr>
          <w:spacing w:val="-2"/>
          <w:vertAlign w:val="baseline"/>
        </w:rPr>
        <w:t> </w:t>
      </w:r>
      <w:r>
        <w:rPr>
          <w:vertAlign w:val="baseline"/>
        </w:rPr>
        <w:t>to</w:t>
      </w:r>
      <w:r>
        <w:rPr>
          <w:spacing w:val="-5"/>
          <w:vertAlign w:val="baseline"/>
        </w:rPr>
        <w:t> </w:t>
      </w:r>
      <w:r>
        <w:rPr>
          <w:vertAlign w:val="baseline"/>
        </w:rPr>
        <w:t>the</w:t>
      </w:r>
      <w:r>
        <w:rPr>
          <w:spacing w:val="-1"/>
          <w:vertAlign w:val="baseline"/>
        </w:rPr>
        <w:t> </w:t>
      </w:r>
      <w:r>
        <w:rPr>
          <w:vertAlign w:val="baseline"/>
        </w:rPr>
        <w:t>UK</w:t>
      </w:r>
      <w:r>
        <w:rPr>
          <w:spacing w:val="-6"/>
          <w:vertAlign w:val="baseline"/>
        </w:rPr>
        <w:t> </w:t>
      </w:r>
      <w:r>
        <w:rPr>
          <w:vertAlign w:val="baseline"/>
        </w:rPr>
        <w:t>corporate</w:t>
      </w:r>
      <w:r>
        <w:rPr>
          <w:spacing w:val="-1"/>
          <w:vertAlign w:val="baseline"/>
        </w:rPr>
        <w:t> </w:t>
      </w:r>
      <w:r>
        <w:rPr>
          <w:vertAlign w:val="baseline"/>
        </w:rPr>
        <w:t>scene, the most prominent of</w:t>
      </w:r>
      <w:r>
        <w:rPr>
          <w:spacing w:val="-8"/>
          <w:vertAlign w:val="baseline"/>
        </w:rPr>
        <w:t> </w:t>
      </w:r>
      <w:r>
        <w:rPr>
          <w:vertAlign w:val="baseline"/>
        </w:rPr>
        <w:t>which</w:t>
      </w:r>
      <w:r>
        <w:rPr>
          <w:spacing w:val="-5"/>
          <w:vertAlign w:val="baseline"/>
        </w:rPr>
        <w:t> </w:t>
      </w:r>
      <w:r>
        <w:rPr>
          <w:vertAlign w:val="baseline"/>
        </w:rPr>
        <w:t>was</w:t>
      </w:r>
      <w:r>
        <w:rPr>
          <w:spacing w:val="-2"/>
          <w:vertAlign w:val="baseline"/>
        </w:rPr>
        <w:t> </w:t>
      </w:r>
      <w:r>
        <w:rPr>
          <w:vertAlign w:val="baseline"/>
        </w:rPr>
        <w:t>the</w:t>
      </w:r>
      <w:r>
        <w:rPr>
          <w:spacing w:val="-1"/>
          <w:vertAlign w:val="baseline"/>
        </w:rPr>
        <w:t> </w:t>
      </w:r>
      <w:r>
        <w:rPr>
          <w:vertAlign w:val="baseline"/>
        </w:rPr>
        <w:t>codification</w:t>
      </w:r>
      <w:r>
        <w:rPr>
          <w:spacing w:val="-5"/>
          <w:vertAlign w:val="baseline"/>
        </w:rPr>
        <w:t> </w:t>
      </w:r>
      <w:r>
        <w:rPr>
          <w:vertAlign w:val="baseline"/>
        </w:rPr>
        <w:t>of directors‘ duties for the first time. With the objective to improve corporate governance, this venture was intended to, as much as possible, standardize and consolidate the fragmented</w:t>
      </w:r>
      <w:r>
        <w:rPr>
          <w:spacing w:val="-1"/>
          <w:vertAlign w:val="baseline"/>
        </w:rPr>
        <w:t> </w:t>
      </w:r>
      <w:r>
        <w:rPr>
          <w:vertAlign w:val="baseline"/>
        </w:rPr>
        <w:t>common</w:t>
      </w:r>
      <w:r>
        <w:rPr>
          <w:spacing w:val="-1"/>
          <w:vertAlign w:val="baseline"/>
        </w:rPr>
        <w:t> </w:t>
      </w:r>
      <w:r>
        <w:rPr>
          <w:vertAlign w:val="baseline"/>
        </w:rPr>
        <w:t>law and</w:t>
      </w:r>
      <w:r>
        <w:rPr>
          <w:spacing w:val="-1"/>
          <w:vertAlign w:val="baseline"/>
        </w:rPr>
        <w:t> </w:t>
      </w:r>
      <w:r>
        <w:rPr>
          <w:vertAlign w:val="baseline"/>
        </w:rPr>
        <w:t>equitable rulings</w:t>
      </w:r>
      <w:r>
        <w:rPr>
          <w:spacing w:val="-3"/>
          <w:vertAlign w:val="baseline"/>
        </w:rPr>
        <w:t> </w:t>
      </w:r>
      <w:r>
        <w:rPr>
          <w:vertAlign w:val="baseline"/>
        </w:rPr>
        <w:t>related</w:t>
      </w:r>
      <w:r>
        <w:rPr>
          <w:spacing w:val="-6"/>
          <w:vertAlign w:val="baseline"/>
        </w:rPr>
        <w:t> </w:t>
      </w:r>
      <w:r>
        <w:rPr>
          <w:vertAlign w:val="baseline"/>
        </w:rPr>
        <w:t>to</w:t>
      </w:r>
      <w:r>
        <w:rPr>
          <w:spacing w:val="-5"/>
          <w:vertAlign w:val="baseline"/>
        </w:rPr>
        <w:t> </w:t>
      </w:r>
      <w:r>
        <w:rPr>
          <w:vertAlign w:val="baseline"/>
        </w:rPr>
        <w:t>the</w:t>
      </w:r>
      <w:r>
        <w:rPr>
          <w:spacing w:val="-2"/>
          <w:vertAlign w:val="baseline"/>
        </w:rPr>
        <w:t> </w:t>
      </w:r>
      <w:r>
        <w:rPr>
          <w:vertAlign w:val="baseline"/>
        </w:rPr>
        <w:t>duties, as</w:t>
      </w:r>
      <w:r>
        <w:rPr>
          <w:spacing w:val="-3"/>
          <w:vertAlign w:val="baseline"/>
        </w:rPr>
        <w:t> </w:t>
      </w:r>
      <w:r>
        <w:rPr>
          <w:vertAlign w:val="baseline"/>
        </w:rPr>
        <w:t>well</w:t>
      </w:r>
      <w:r>
        <w:rPr>
          <w:spacing w:val="-6"/>
          <w:vertAlign w:val="baseline"/>
        </w:rPr>
        <w:t> </w:t>
      </w:r>
      <w:r>
        <w:rPr>
          <w:vertAlign w:val="baseline"/>
        </w:rPr>
        <w:t>as</w:t>
      </w:r>
      <w:r>
        <w:rPr>
          <w:spacing w:val="-3"/>
          <w:vertAlign w:val="baseline"/>
        </w:rPr>
        <w:t> </w:t>
      </w:r>
      <w:r>
        <w:rPr>
          <w:vertAlign w:val="baseline"/>
        </w:rPr>
        <w:t>demystify that area for the average director, with the hope of eventually improving the level of </w:t>
      </w:r>
      <w:r>
        <w:rPr>
          <w:spacing w:val="-2"/>
          <w:vertAlign w:val="baseline"/>
        </w:rPr>
        <w:t>compliance.</w:t>
      </w:r>
    </w:p>
    <w:p>
      <w:pPr>
        <w:pStyle w:val="BodyText"/>
        <w:spacing w:line="480" w:lineRule="auto" w:before="2"/>
        <w:ind w:right="237" w:firstLine="720"/>
        <w:jc w:val="both"/>
      </w:pPr>
      <w:r>
        <w:rPr/>
        <w:t>The Act, while substantially repealing the provisions of the UK Companies Act 1985, clearly preserves the pre-existing common law, but</w:t>
      </w:r>
      <w:r>
        <w:rPr>
          <w:spacing w:val="27"/>
        </w:rPr>
        <w:t> </w:t>
      </w:r>
      <w:r>
        <w:rPr/>
        <w:t>introduces a new dimension</w:t>
      </w:r>
      <w:r>
        <w:rPr>
          <w:spacing w:val="40"/>
        </w:rPr>
        <w:t> </w:t>
      </w:r>
      <w:r>
        <w:rPr/>
        <w:t>in the area</w:t>
      </w:r>
      <w:r>
        <w:rPr>
          <w:spacing w:val="-1"/>
        </w:rPr>
        <w:t> </w:t>
      </w:r>
      <w:r>
        <w:rPr/>
        <w:t>of</w:t>
      </w:r>
      <w:r>
        <w:rPr>
          <w:spacing w:val="-3"/>
        </w:rPr>
        <w:t> </w:t>
      </w:r>
      <w:r>
        <w:rPr/>
        <w:t>the</w:t>
      </w:r>
      <w:r>
        <w:rPr>
          <w:spacing w:val="-1"/>
        </w:rPr>
        <w:t> </w:t>
      </w:r>
      <w:r>
        <w:rPr/>
        <w:t>company‘s relations with outsiders. The latter aspect of</w:t>
      </w:r>
      <w:r>
        <w:rPr>
          <w:spacing w:val="-8"/>
        </w:rPr>
        <w:t> </w:t>
      </w:r>
      <w:r>
        <w:rPr/>
        <w:t>the new law is reported to have produced the most debate in parliament due to its novelty in corporate </w:t>
      </w:r>
      <w:r>
        <w:rPr>
          <w:spacing w:val="-2"/>
        </w:rPr>
        <w:t>legislation.</w:t>
      </w:r>
    </w:p>
    <w:p>
      <w:pPr>
        <w:pStyle w:val="BodyText"/>
        <w:spacing w:line="480" w:lineRule="auto"/>
        <w:ind w:right="238" w:firstLine="720"/>
        <w:jc w:val="both"/>
      </w:pPr>
      <w:r>
        <w:rPr/>
        <w:t>While the Act contains both the general as well as specific statutory duties of directors, this work is predicated on the former, which every</w:t>
      </w:r>
      <w:r>
        <w:rPr>
          <w:spacing w:val="-5"/>
        </w:rPr>
        <w:t> </w:t>
      </w:r>
      <w:r>
        <w:rPr/>
        <w:t>director</w:t>
      </w:r>
      <w:r>
        <w:rPr>
          <w:spacing w:val="-3"/>
        </w:rPr>
        <w:t> </w:t>
      </w:r>
      <w:r>
        <w:rPr/>
        <w:t>owes individually. Any</w:t>
      </w:r>
      <w:r>
        <w:rPr>
          <w:spacing w:val="-3"/>
        </w:rPr>
        <w:t> </w:t>
      </w:r>
      <w:r>
        <w:rPr/>
        <w:t>reference to sections herein shall be to the Act, unless otherwise stated. For</w:t>
      </w:r>
      <w:r>
        <w:rPr>
          <w:spacing w:val="-1"/>
        </w:rPr>
        <w:t> </w:t>
      </w:r>
      <w:r>
        <w:rPr/>
        <w:t>clarity,</w:t>
      </w:r>
    </w:p>
    <w:p>
      <w:pPr>
        <w:pStyle w:val="BodyText"/>
        <w:spacing w:line="480" w:lineRule="auto" w:before="1"/>
        <w:ind w:right="244"/>
        <w:jc w:val="both"/>
      </w:pPr>
      <w:r>
        <w:rPr/>
        <w:t>―company‖,</w:t>
      </w:r>
      <w:r>
        <w:rPr>
          <w:spacing w:val="-11"/>
        </w:rPr>
        <w:t> </w:t>
      </w:r>
      <w:r>
        <w:rPr/>
        <w:t>―firm‖</w:t>
      </w:r>
      <w:r>
        <w:rPr>
          <w:spacing w:val="-15"/>
        </w:rPr>
        <w:t> </w:t>
      </w:r>
      <w:r>
        <w:rPr/>
        <w:t>and</w:t>
      </w:r>
      <w:r>
        <w:rPr>
          <w:spacing w:val="-11"/>
        </w:rPr>
        <w:t> </w:t>
      </w:r>
      <w:r>
        <w:rPr/>
        <w:t>―corporation‖</w:t>
      </w:r>
      <w:r>
        <w:rPr>
          <w:spacing w:val="-15"/>
        </w:rPr>
        <w:t> </w:t>
      </w:r>
      <w:r>
        <w:rPr/>
        <w:t>will</w:t>
      </w:r>
      <w:r>
        <w:rPr>
          <w:spacing w:val="-14"/>
        </w:rPr>
        <w:t> </w:t>
      </w:r>
      <w:r>
        <w:rPr/>
        <w:t>be</w:t>
      </w:r>
      <w:r>
        <w:rPr>
          <w:spacing w:val="-15"/>
        </w:rPr>
        <w:t> </w:t>
      </w:r>
      <w:r>
        <w:rPr/>
        <w:t>used</w:t>
      </w:r>
      <w:r>
        <w:rPr>
          <w:spacing w:val="-11"/>
        </w:rPr>
        <w:t> </w:t>
      </w:r>
      <w:r>
        <w:rPr/>
        <w:t>interchangeably</w:t>
      </w:r>
      <w:r>
        <w:rPr>
          <w:spacing w:val="-15"/>
        </w:rPr>
        <w:t> </w:t>
      </w:r>
      <w:r>
        <w:rPr/>
        <w:t>as</w:t>
      </w:r>
      <w:r>
        <w:rPr>
          <w:spacing w:val="-13"/>
        </w:rPr>
        <w:t> </w:t>
      </w:r>
      <w:r>
        <w:rPr/>
        <w:t>having</w:t>
      </w:r>
      <w:r>
        <w:rPr>
          <w:spacing w:val="-14"/>
        </w:rPr>
        <w:t> </w:t>
      </w:r>
      <w:r>
        <w:rPr/>
        <w:t>the</w:t>
      </w:r>
      <w:r>
        <w:rPr>
          <w:spacing w:val="-12"/>
        </w:rPr>
        <w:t> </w:t>
      </w:r>
      <w:r>
        <w:rPr/>
        <w:t>same contextual meaning.</w:t>
      </w:r>
    </w:p>
    <w:p>
      <w:pPr>
        <w:pStyle w:val="BodyText"/>
        <w:ind w:left="0"/>
      </w:pPr>
    </w:p>
    <w:p>
      <w:pPr>
        <w:pStyle w:val="BodyText"/>
        <w:ind w:left="0"/>
      </w:pPr>
    </w:p>
    <w:p>
      <w:pPr>
        <w:pStyle w:val="BodyText"/>
        <w:spacing w:before="128"/>
        <w:ind w:left="0"/>
      </w:pPr>
    </w:p>
    <w:p>
      <w:pPr>
        <w:pStyle w:val="Heading2"/>
        <w:numPr>
          <w:ilvl w:val="1"/>
          <w:numId w:val="15"/>
        </w:numPr>
        <w:tabs>
          <w:tab w:pos="1027" w:val="left" w:leader="none"/>
        </w:tabs>
        <w:spacing w:line="240" w:lineRule="auto" w:before="0" w:after="0"/>
        <w:ind w:left="1027" w:right="0" w:hanging="719"/>
        <w:jc w:val="both"/>
      </w:pPr>
      <w:bookmarkStart w:name="_TOC_250022" w:id="30"/>
      <w:r>
        <w:rPr/>
        <w:t>General</w:t>
      </w:r>
      <w:r>
        <w:rPr>
          <w:spacing w:val="-4"/>
        </w:rPr>
        <w:t> </w:t>
      </w:r>
      <w:r>
        <w:rPr/>
        <w:t>Duties</w:t>
      </w:r>
      <w:r>
        <w:rPr>
          <w:spacing w:val="-2"/>
        </w:rPr>
        <w:t> </w:t>
      </w:r>
      <w:r>
        <w:rPr/>
        <w:t>of</w:t>
      </w:r>
      <w:r>
        <w:rPr>
          <w:spacing w:val="-1"/>
        </w:rPr>
        <w:t> </w:t>
      </w:r>
      <w:bookmarkEnd w:id="30"/>
      <w:r>
        <w:rPr>
          <w:spacing w:val="-2"/>
        </w:rPr>
        <w:t>Directors</w:t>
      </w:r>
    </w:p>
    <w:p>
      <w:pPr>
        <w:pStyle w:val="BodyText"/>
        <w:ind w:left="0"/>
        <w:rPr>
          <w:b/>
          <w:sz w:val="20"/>
        </w:rPr>
      </w:pPr>
    </w:p>
    <w:p>
      <w:pPr>
        <w:pStyle w:val="BodyText"/>
        <w:spacing w:before="155"/>
        <w:ind w:left="0"/>
        <w:rPr>
          <w:b/>
          <w:sz w:val="20"/>
        </w:rPr>
      </w:pPr>
      <w:r>
        <w:rPr/>
        <mc:AlternateContent>
          <mc:Choice Requires="wps">
            <w:drawing>
              <wp:anchor distT="0" distB="0" distL="0" distR="0" allowOverlap="1" layoutInCell="1" locked="0" behindDoc="1" simplePos="0" relativeHeight="487670784">
                <wp:simplePos x="0" y="0"/>
                <wp:positionH relativeFrom="page">
                  <wp:posOffset>1262481</wp:posOffset>
                </wp:positionH>
                <wp:positionV relativeFrom="paragraph">
                  <wp:posOffset>260289</wp:posOffset>
                </wp:positionV>
                <wp:extent cx="1829435" cy="9525"/>
                <wp:effectExtent l="0" t="0" r="0" b="0"/>
                <wp:wrapTopAndBottom/>
                <wp:docPr id="185" name="Graphic 185"/>
                <wp:cNvGraphicFramePr>
                  <a:graphicFrameLocks/>
                </wp:cNvGraphicFramePr>
                <a:graphic>
                  <a:graphicData uri="http://schemas.microsoft.com/office/word/2010/wordprocessingShape">
                    <wps:wsp>
                      <wps:cNvPr id="185" name="Graphic 18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495209pt;width:144.050pt;height:.71997pt;mso-position-horizontal-relative:page;mso-position-vertical-relative:paragraph;z-index:-15645696;mso-wrap-distance-left:0;mso-wrap-distance-right:0" id="docshape14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w:t>
      </w:r>
      <w:r>
        <w:rPr>
          <w:rFonts w:ascii="Calibri"/>
          <w:spacing w:val="-1"/>
          <w:sz w:val="20"/>
          <w:vertAlign w:val="baseline"/>
        </w:rPr>
        <w:t> </w:t>
      </w:r>
      <w:r>
        <w:rPr>
          <w:rFonts w:ascii="Calibri"/>
          <w:sz w:val="20"/>
          <w:vertAlign w:val="baseline"/>
        </w:rPr>
        <w:t>Unless</w:t>
      </w:r>
      <w:r>
        <w:rPr>
          <w:rFonts w:ascii="Calibri"/>
          <w:spacing w:val="-5"/>
          <w:sz w:val="20"/>
          <w:vertAlign w:val="baseline"/>
        </w:rPr>
        <w:t> </w:t>
      </w:r>
      <w:r>
        <w:rPr>
          <w:rFonts w:ascii="Calibri"/>
          <w:sz w:val="20"/>
          <w:vertAlign w:val="baseline"/>
        </w:rPr>
        <w:t>otherwise</w:t>
      </w:r>
      <w:r>
        <w:rPr>
          <w:rFonts w:ascii="Calibri"/>
          <w:spacing w:val="-6"/>
          <w:sz w:val="20"/>
          <w:vertAlign w:val="baseline"/>
        </w:rPr>
        <w:t> </w:t>
      </w:r>
      <w:r>
        <w:rPr>
          <w:rFonts w:ascii="Calibri"/>
          <w:sz w:val="20"/>
          <w:vertAlign w:val="baseline"/>
        </w:rPr>
        <w:t>stated,</w:t>
      </w:r>
      <w:r>
        <w:rPr>
          <w:rFonts w:ascii="Calibri"/>
          <w:spacing w:val="-5"/>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sections</w:t>
      </w:r>
      <w:r>
        <w:rPr>
          <w:rFonts w:ascii="Calibri"/>
          <w:spacing w:val="-5"/>
          <w:sz w:val="20"/>
          <w:vertAlign w:val="baseline"/>
        </w:rPr>
        <w:t> </w:t>
      </w:r>
      <w:r>
        <w:rPr>
          <w:rFonts w:ascii="Calibri"/>
          <w:sz w:val="20"/>
          <w:vertAlign w:val="baseline"/>
        </w:rPr>
        <w:t>cited</w:t>
      </w:r>
      <w:r>
        <w:rPr>
          <w:rFonts w:ascii="Calibri"/>
          <w:spacing w:val="-7"/>
          <w:sz w:val="20"/>
          <w:vertAlign w:val="baseline"/>
        </w:rPr>
        <w:t> </w:t>
      </w:r>
      <w:r>
        <w:rPr>
          <w:rFonts w:ascii="Calibri"/>
          <w:sz w:val="20"/>
          <w:vertAlign w:val="baseline"/>
        </w:rPr>
        <w:t>in</w:t>
      </w:r>
      <w:r>
        <w:rPr>
          <w:rFonts w:ascii="Calibri"/>
          <w:spacing w:val="-7"/>
          <w:sz w:val="20"/>
          <w:vertAlign w:val="baseline"/>
        </w:rPr>
        <w:t> </w:t>
      </w:r>
      <w:r>
        <w:rPr>
          <w:rFonts w:ascii="Calibri"/>
          <w:sz w:val="20"/>
          <w:vertAlign w:val="baseline"/>
        </w:rPr>
        <w:t>this</w:t>
      </w:r>
      <w:r>
        <w:rPr>
          <w:rFonts w:ascii="Calibri"/>
          <w:spacing w:val="-5"/>
          <w:sz w:val="20"/>
          <w:vertAlign w:val="baseline"/>
        </w:rPr>
        <w:t> </w:t>
      </w:r>
      <w:r>
        <w:rPr>
          <w:rFonts w:ascii="Calibri"/>
          <w:sz w:val="20"/>
          <w:vertAlign w:val="baseline"/>
        </w:rPr>
        <w:t>chapter</w:t>
      </w:r>
      <w:r>
        <w:rPr>
          <w:rFonts w:ascii="Calibri"/>
          <w:spacing w:val="-5"/>
          <w:sz w:val="20"/>
          <w:vertAlign w:val="baseline"/>
        </w:rPr>
        <w:t> </w:t>
      </w:r>
      <w:r>
        <w:rPr>
          <w:rFonts w:ascii="Calibri"/>
          <w:sz w:val="20"/>
          <w:vertAlign w:val="baseline"/>
        </w:rPr>
        <w:t>refer</w:t>
      </w:r>
      <w:r>
        <w:rPr>
          <w:rFonts w:ascii="Calibri"/>
          <w:spacing w:val="-6"/>
          <w:sz w:val="20"/>
          <w:vertAlign w:val="baseline"/>
        </w:rPr>
        <w:t> </w:t>
      </w:r>
      <w:r>
        <w:rPr>
          <w:rFonts w:ascii="Calibri"/>
          <w:sz w:val="20"/>
          <w:vertAlign w:val="baseline"/>
        </w:rPr>
        <w:t>to</w:t>
      </w:r>
      <w:r>
        <w:rPr>
          <w:rFonts w:ascii="Calibri"/>
          <w:spacing w:val="-3"/>
          <w:sz w:val="20"/>
          <w:vertAlign w:val="baseline"/>
        </w:rPr>
        <w:t> </w:t>
      </w:r>
      <w:r>
        <w:rPr>
          <w:rFonts w:ascii="Calibri"/>
          <w:sz w:val="20"/>
          <w:vertAlign w:val="baseline"/>
        </w:rPr>
        <w:t>this</w:t>
      </w:r>
      <w:r>
        <w:rPr>
          <w:rFonts w:ascii="Calibri"/>
          <w:spacing w:val="-9"/>
          <w:sz w:val="20"/>
          <w:vertAlign w:val="baseline"/>
        </w:rPr>
        <w:t> </w:t>
      </w:r>
      <w:r>
        <w:rPr>
          <w:rFonts w:ascii="Calibri"/>
          <w:spacing w:val="-4"/>
          <w:sz w:val="20"/>
          <w:vertAlign w:val="baseline"/>
        </w:rPr>
        <w:t>law.</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25"/>
        <w:jc w:val="both"/>
      </w:pPr>
      <w:r>
        <w:rPr/>
        <w:t>The Act devotes the whole Chapter 2 of</w:t>
      </w:r>
      <w:r>
        <w:rPr>
          <w:spacing w:val="-5"/>
        </w:rPr>
        <w:t> </w:t>
      </w:r>
      <w:r>
        <w:rPr/>
        <w:t>Part 10 to the general</w:t>
      </w:r>
      <w:r>
        <w:rPr>
          <w:spacing w:val="-2"/>
        </w:rPr>
        <w:t> </w:t>
      </w:r>
      <w:r>
        <w:rPr/>
        <w:t>duties of</w:t>
      </w:r>
      <w:r>
        <w:rPr>
          <w:spacing w:val="-5"/>
        </w:rPr>
        <w:t> </w:t>
      </w:r>
      <w:r>
        <w:rPr/>
        <w:t>directors.</w:t>
      </w:r>
      <w:r>
        <w:rPr>
          <w:vertAlign w:val="superscript"/>
        </w:rPr>
        <w:t>2</w:t>
      </w:r>
      <w:r>
        <w:rPr>
          <w:vertAlign w:val="baseline"/>
        </w:rPr>
        <w:t> They replace the common law rules in citation, though not necessarily in application and are by no means exhaustive of all the duties a director owes his company at any particular time. The duties still comprise the two categories of</w:t>
      </w:r>
      <w:r>
        <w:rPr>
          <w:spacing w:val="-7"/>
          <w:vertAlign w:val="baseline"/>
        </w:rPr>
        <w:t> </w:t>
      </w:r>
      <w:r>
        <w:rPr>
          <w:vertAlign w:val="baseline"/>
        </w:rPr>
        <w:t>care and skill</w:t>
      </w:r>
      <w:r>
        <w:rPr>
          <w:spacing w:val="-4"/>
          <w:vertAlign w:val="baseline"/>
        </w:rPr>
        <w:t> </w:t>
      </w:r>
      <w:r>
        <w:rPr>
          <w:vertAlign w:val="baseline"/>
        </w:rPr>
        <w:t>as</w:t>
      </w:r>
      <w:r>
        <w:rPr>
          <w:spacing w:val="-1"/>
          <w:vertAlign w:val="baseline"/>
        </w:rPr>
        <w:t> </w:t>
      </w:r>
      <w:r>
        <w:rPr>
          <w:vertAlign w:val="baseline"/>
        </w:rPr>
        <w:t>well as loyalty and good faith. However, they are arranged in a more stylised manner within the Act, with aspects of overlapping duties addressed in separate sections, one after the other. The discussions under this chapter will follow a similar sequence.</w:t>
      </w:r>
    </w:p>
    <w:p>
      <w:pPr>
        <w:pStyle w:val="BodyText"/>
        <w:spacing w:line="480" w:lineRule="auto" w:before="1"/>
        <w:ind w:right="225" w:firstLine="720"/>
        <w:jc w:val="both"/>
      </w:pPr>
      <w:r>
        <w:rPr/>
        <w:t>As helpfully stated in the introductory section to the chapter on the duties, the general duties are based on certain common law rules and equitable principles and therefore, are meant to be interpreted and applied in much the same way.</w:t>
      </w:r>
      <w:r>
        <w:rPr>
          <w:vertAlign w:val="superscript"/>
        </w:rPr>
        <w:t>3</w:t>
      </w:r>
      <w:r>
        <w:rPr>
          <w:vertAlign w:val="baseline"/>
        </w:rPr>
        <w:t> Thus, the duties are applicable to every director, including a shadow director to the extent any common law rule or equitable principle would apply to him.</w:t>
      </w:r>
      <w:r>
        <w:rPr>
          <w:vertAlign w:val="superscript"/>
        </w:rPr>
        <w:t>4</w:t>
      </w:r>
      <w:r>
        <w:rPr>
          <w:vertAlign w:val="baseline"/>
        </w:rPr>
        <w:t>Accordingly, a shadow, unlike a de facto, director does not owe fiduciary duties.</w:t>
      </w:r>
      <w:r>
        <w:rPr>
          <w:vertAlign w:val="superscript"/>
        </w:rPr>
        <w:t>5</w:t>
      </w:r>
      <w:r>
        <w:rPr>
          <w:vertAlign w:val="baseline"/>
        </w:rPr>
        <w:t> However, a former director would still owe the duties to avoid conflict of interest and not to accept benefits from third parties.</w:t>
      </w:r>
      <w:r>
        <w:rPr>
          <w:vertAlign w:val="superscript"/>
        </w:rPr>
        <w:t>6</w:t>
      </w:r>
      <w:r>
        <w:rPr>
          <w:vertAlign w:val="baseline"/>
        </w:rPr>
        <w:t> The Act further acknowledges the general tendency of the duties to overlap, so that more than one of the general duties may apply to any given set of circumstances,</w:t>
      </w:r>
      <w:r>
        <w:rPr>
          <w:vertAlign w:val="superscript"/>
        </w:rPr>
        <w:t>7</w:t>
      </w:r>
      <w:r>
        <w:rPr>
          <w:vertAlign w:val="baseline"/>
        </w:rPr>
        <w:t> owing, in particular, to their common origins.</w:t>
      </w:r>
    </w:p>
    <w:p>
      <w:pPr>
        <w:pStyle w:val="Heading2"/>
        <w:numPr>
          <w:ilvl w:val="2"/>
          <w:numId w:val="15"/>
        </w:numPr>
        <w:tabs>
          <w:tab w:pos="1027" w:val="left" w:leader="none"/>
        </w:tabs>
        <w:spacing w:line="240" w:lineRule="auto" w:before="209" w:after="0"/>
        <w:ind w:left="1027" w:right="0" w:hanging="719"/>
        <w:jc w:val="both"/>
      </w:pPr>
      <w:bookmarkStart w:name="_TOC_250021" w:id="31"/>
      <w:r>
        <w:rPr/>
        <w:t>To</w:t>
      </w:r>
      <w:r>
        <w:rPr>
          <w:spacing w:val="-2"/>
        </w:rPr>
        <w:t> </w:t>
      </w:r>
      <w:r>
        <w:rPr/>
        <w:t>Whom</w:t>
      </w:r>
      <w:r>
        <w:rPr>
          <w:spacing w:val="-2"/>
        </w:rPr>
        <w:t> </w:t>
      </w:r>
      <w:r>
        <w:rPr/>
        <w:t>are the Duties</w:t>
      </w:r>
      <w:r>
        <w:rPr>
          <w:spacing w:val="-2"/>
        </w:rPr>
        <w:t> </w:t>
      </w:r>
      <w:bookmarkEnd w:id="31"/>
      <w:r>
        <w:rPr>
          <w:spacing w:val="-4"/>
        </w:rPr>
        <w:t>Owed?</w:t>
      </w:r>
    </w:p>
    <w:p>
      <w:pPr>
        <w:pStyle w:val="BodyText"/>
        <w:spacing w:line="480" w:lineRule="auto" w:before="132"/>
        <w:ind w:right="242"/>
        <w:jc w:val="both"/>
      </w:pPr>
      <w:r>
        <w:rPr/>
        <w:t>The introductory section to the chapter on directors‘ duties addresses the crucial preliminary</w:t>
      </w:r>
      <w:r>
        <w:rPr>
          <w:spacing w:val="43"/>
        </w:rPr>
        <w:t> </w:t>
      </w:r>
      <w:r>
        <w:rPr/>
        <w:t>question</w:t>
      </w:r>
      <w:r>
        <w:rPr>
          <w:spacing w:val="40"/>
        </w:rPr>
        <w:t> </w:t>
      </w:r>
      <w:r>
        <w:rPr/>
        <w:t>of</w:t>
      </w:r>
      <w:r>
        <w:rPr>
          <w:spacing w:val="37"/>
        </w:rPr>
        <w:t> </w:t>
      </w:r>
      <w:r>
        <w:rPr/>
        <w:t>to</w:t>
      </w:r>
      <w:r>
        <w:rPr>
          <w:spacing w:val="49"/>
        </w:rPr>
        <w:t> </w:t>
      </w:r>
      <w:r>
        <w:rPr/>
        <w:t>whom</w:t>
      </w:r>
      <w:r>
        <w:rPr>
          <w:spacing w:val="41"/>
        </w:rPr>
        <w:t> </w:t>
      </w:r>
      <w:r>
        <w:rPr/>
        <w:t>the</w:t>
      </w:r>
      <w:r>
        <w:rPr>
          <w:spacing w:val="44"/>
        </w:rPr>
        <w:t> </w:t>
      </w:r>
      <w:r>
        <w:rPr/>
        <w:t>duties</w:t>
      </w:r>
      <w:r>
        <w:rPr>
          <w:spacing w:val="47"/>
        </w:rPr>
        <w:t> </w:t>
      </w:r>
      <w:r>
        <w:rPr/>
        <w:t>therein</w:t>
      </w:r>
      <w:r>
        <w:rPr>
          <w:spacing w:val="45"/>
        </w:rPr>
        <w:t> </w:t>
      </w:r>
      <w:r>
        <w:rPr/>
        <w:t>are</w:t>
      </w:r>
      <w:r>
        <w:rPr>
          <w:spacing w:val="44"/>
        </w:rPr>
        <w:t> </w:t>
      </w:r>
      <w:r>
        <w:rPr/>
        <w:t>owed.</w:t>
      </w:r>
      <w:r>
        <w:rPr>
          <w:spacing w:val="47"/>
        </w:rPr>
        <w:t> </w:t>
      </w:r>
      <w:r>
        <w:rPr/>
        <w:t>Since</w:t>
      </w:r>
      <w:r>
        <w:rPr>
          <w:spacing w:val="44"/>
        </w:rPr>
        <w:t> </w:t>
      </w:r>
      <w:r>
        <w:rPr/>
        <w:t>duties</w:t>
      </w:r>
      <w:r>
        <w:rPr>
          <w:spacing w:val="48"/>
        </w:rPr>
        <w:t> </w:t>
      </w:r>
      <w:r>
        <w:rPr/>
        <w:t>by</w:t>
      </w:r>
      <w:r>
        <w:rPr>
          <w:spacing w:val="40"/>
        </w:rPr>
        <w:t> </w:t>
      </w:r>
      <w:r>
        <w:rPr>
          <w:spacing w:val="-2"/>
        </w:rPr>
        <w:t>their</w:t>
      </w:r>
    </w:p>
    <w:p>
      <w:pPr>
        <w:pStyle w:val="BodyText"/>
        <w:spacing w:before="95"/>
        <w:ind w:left="0"/>
        <w:rPr>
          <w:sz w:val="20"/>
        </w:rPr>
      </w:pPr>
      <w:r>
        <w:rPr/>
        <mc:AlternateContent>
          <mc:Choice Requires="wps">
            <w:drawing>
              <wp:anchor distT="0" distB="0" distL="0" distR="0" allowOverlap="1" layoutInCell="1" locked="0" behindDoc="1" simplePos="0" relativeHeight="487671296">
                <wp:simplePos x="0" y="0"/>
                <wp:positionH relativeFrom="page">
                  <wp:posOffset>1262481</wp:posOffset>
                </wp:positionH>
                <wp:positionV relativeFrom="paragraph">
                  <wp:posOffset>221941</wp:posOffset>
                </wp:positionV>
                <wp:extent cx="1829435" cy="9525"/>
                <wp:effectExtent l="0" t="0" r="0" b="0"/>
                <wp:wrapTopAndBottom/>
                <wp:docPr id="186" name="Graphic 186"/>
                <wp:cNvGraphicFramePr>
                  <a:graphicFrameLocks/>
                </wp:cNvGraphicFramePr>
                <a:graphic>
                  <a:graphicData uri="http://schemas.microsoft.com/office/word/2010/wordprocessingShape">
                    <wps:wsp>
                      <wps:cNvPr id="186" name="Graphic 18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475674pt;width:144.050pt;height:.72003pt;mso-position-horizontal-relative:page;mso-position-vertical-relative:paragraph;z-index:-15645184;mso-wrap-distance-left:0;mso-wrap-distance-right:0" id="docshape141"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2</w:t>
      </w:r>
      <w:r>
        <w:rPr>
          <w:rFonts w:ascii="Calibri"/>
          <w:spacing w:val="-1"/>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Appendix</w:t>
      </w:r>
      <w:r>
        <w:rPr>
          <w:rFonts w:ascii="Calibri"/>
          <w:spacing w:val="-2"/>
          <w:sz w:val="20"/>
          <w:vertAlign w:val="baseline"/>
        </w:rPr>
        <w:t> Aattached.</w:t>
      </w:r>
    </w:p>
    <w:p>
      <w:pPr>
        <w:spacing w:line="237" w:lineRule="auto" w:before="3"/>
        <w:ind w:left="308" w:right="225" w:firstLine="0"/>
        <w:jc w:val="both"/>
        <w:rPr>
          <w:rFonts w:ascii="Calibri" w:hAnsi="Calibri"/>
          <w:sz w:val="20"/>
        </w:rPr>
      </w:pPr>
      <w:r>
        <w:rPr>
          <w:rFonts w:ascii="Calibri" w:hAnsi="Calibri"/>
          <w:sz w:val="20"/>
          <w:vertAlign w:val="superscript"/>
        </w:rPr>
        <w:t>3</w:t>
      </w:r>
      <w:r>
        <w:rPr>
          <w:rFonts w:ascii="Calibri" w:hAnsi="Calibri"/>
          <w:sz w:val="20"/>
          <w:vertAlign w:val="baseline"/>
        </w:rPr>
        <w:t> Refer to s. 170(3)</w:t>
      </w:r>
      <w:r>
        <w:rPr>
          <w:rFonts w:ascii="Calibri" w:hAnsi="Calibri"/>
          <w:spacing w:val="-2"/>
          <w:sz w:val="20"/>
          <w:vertAlign w:val="baseline"/>
        </w:rPr>
        <w:t> </w:t>
      </w:r>
      <w:r>
        <w:rPr>
          <w:rFonts w:ascii="Calibri" w:hAnsi="Calibri"/>
          <w:sz w:val="20"/>
          <w:vertAlign w:val="baseline"/>
        </w:rPr>
        <w:t>and (4). See</w:t>
      </w:r>
      <w:r>
        <w:rPr>
          <w:rFonts w:ascii="Calibri" w:hAnsi="Calibri"/>
          <w:spacing w:val="-3"/>
          <w:sz w:val="20"/>
          <w:vertAlign w:val="baseline"/>
        </w:rPr>
        <w:t> </w:t>
      </w:r>
      <w:r>
        <w:rPr>
          <w:rFonts w:ascii="Calibri" w:hAnsi="Calibri"/>
          <w:sz w:val="20"/>
          <w:vertAlign w:val="baseline"/>
        </w:rPr>
        <w:t>also </w:t>
      </w:r>
      <w:r>
        <w:rPr>
          <w:rFonts w:ascii="Calibri" w:hAnsi="Calibri"/>
          <w:i/>
          <w:sz w:val="20"/>
          <w:vertAlign w:val="baseline"/>
        </w:rPr>
        <w:t>Thermascan</w:t>
      </w:r>
      <w:r>
        <w:rPr>
          <w:rFonts w:ascii="Calibri" w:hAnsi="Calibri"/>
          <w:i/>
          <w:spacing w:val="-2"/>
          <w:sz w:val="20"/>
          <w:vertAlign w:val="baseline"/>
        </w:rPr>
        <w:t> </w:t>
      </w:r>
      <w:r>
        <w:rPr>
          <w:rFonts w:ascii="Calibri" w:hAnsi="Calibri"/>
          <w:i/>
          <w:sz w:val="20"/>
          <w:vertAlign w:val="baseline"/>
        </w:rPr>
        <w:t>Ltd</w:t>
      </w:r>
      <w:r>
        <w:rPr>
          <w:rFonts w:ascii="Calibri" w:hAnsi="Calibri"/>
          <w:i/>
          <w:spacing w:val="-2"/>
          <w:sz w:val="20"/>
          <w:vertAlign w:val="baseline"/>
        </w:rPr>
        <w:t> </w:t>
      </w:r>
      <w:r>
        <w:rPr>
          <w:rFonts w:ascii="Calibri" w:hAnsi="Calibri"/>
          <w:i/>
          <w:sz w:val="20"/>
          <w:vertAlign w:val="baseline"/>
        </w:rPr>
        <w:t>vs. Norman </w:t>
      </w:r>
      <w:r>
        <w:rPr>
          <w:rFonts w:ascii="Calibri" w:hAnsi="Calibri"/>
          <w:sz w:val="20"/>
          <w:vertAlign w:val="baseline"/>
        </w:rPr>
        <w:t>[2009]</w:t>
      </w:r>
      <w:r>
        <w:rPr>
          <w:rFonts w:ascii="Calibri" w:hAnsi="Calibri"/>
          <w:spacing w:val="-3"/>
          <w:sz w:val="20"/>
          <w:vertAlign w:val="baseline"/>
        </w:rPr>
        <w:t> </w:t>
      </w:r>
      <w:r>
        <w:rPr>
          <w:rFonts w:ascii="Calibri" w:hAnsi="Calibri"/>
          <w:sz w:val="20"/>
          <w:vertAlign w:val="baseline"/>
        </w:rPr>
        <w:t>EWHC</w:t>
      </w:r>
      <w:r>
        <w:rPr>
          <w:rFonts w:ascii="Calibri" w:hAnsi="Calibri"/>
          <w:spacing w:val="-1"/>
          <w:sz w:val="20"/>
          <w:vertAlign w:val="baseline"/>
        </w:rPr>
        <w:t> </w:t>
      </w:r>
      <w:r>
        <w:rPr>
          <w:rFonts w:ascii="Calibri" w:hAnsi="Calibri"/>
          <w:sz w:val="20"/>
          <w:vertAlign w:val="baseline"/>
        </w:rPr>
        <w:t>3694 (Ch). This</w:t>
      </w:r>
      <w:r>
        <w:rPr>
          <w:rFonts w:ascii="Calibri" w:hAnsi="Calibri"/>
          <w:spacing w:val="-1"/>
          <w:sz w:val="20"/>
          <w:vertAlign w:val="baseline"/>
        </w:rPr>
        <w:t> </w:t>
      </w:r>
      <w:r>
        <w:rPr>
          <w:rFonts w:ascii="Calibri" w:hAnsi="Calibri"/>
          <w:sz w:val="20"/>
          <w:vertAlign w:val="baseline"/>
        </w:rPr>
        <w:t>statement may have been made in order to assuage the fears of critics who believed that the law, in codifying directors’ duties, would tend to ossify and bring about</w:t>
      </w:r>
      <w:r>
        <w:rPr>
          <w:rFonts w:ascii="Calibri" w:hAnsi="Calibri"/>
          <w:spacing w:val="-1"/>
          <w:sz w:val="20"/>
          <w:vertAlign w:val="baseline"/>
        </w:rPr>
        <w:t> </w:t>
      </w:r>
      <w:r>
        <w:rPr>
          <w:rFonts w:ascii="Calibri" w:hAnsi="Calibri"/>
          <w:sz w:val="20"/>
          <w:vertAlign w:val="baseline"/>
        </w:rPr>
        <w:t>inflexibility in this erstwhile versatile field.</w:t>
      </w:r>
    </w:p>
    <w:p>
      <w:pPr>
        <w:spacing w:before="2"/>
        <w:ind w:left="308" w:right="0" w:firstLine="0"/>
        <w:jc w:val="both"/>
        <w:rPr>
          <w:rFonts w:ascii="Calibri"/>
          <w:sz w:val="20"/>
        </w:rPr>
      </w:pPr>
      <w:r>
        <w:rPr>
          <w:rFonts w:ascii="Calibri"/>
          <w:sz w:val="20"/>
          <w:vertAlign w:val="superscript"/>
        </w:rPr>
        <w:t>4</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w:t>
      </w:r>
      <w:r>
        <w:rPr>
          <w:rFonts w:ascii="Calibri"/>
          <w:spacing w:val="2"/>
          <w:sz w:val="20"/>
          <w:vertAlign w:val="baseline"/>
        </w:rPr>
        <w:t> </w:t>
      </w:r>
      <w:r>
        <w:rPr>
          <w:rFonts w:ascii="Calibri"/>
          <w:spacing w:val="-2"/>
          <w:sz w:val="20"/>
          <w:vertAlign w:val="baseline"/>
        </w:rPr>
        <w:t>170(5).</w:t>
      </w:r>
    </w:p>
    <w:p>
      <w:pPr>
        <w:spacing w:before="1"/>
        <w:ind w:left="308" w:right="224" w:firstLine="0"/>
        <w:jc w:val="both"/>
        <w:rPr>
          <w:rFonts w:ascii="Calibri"/>
          <w:sz w:val="20"/>
        </w:rPr>
      </w:pPr>
      <w:r>
        <w:rPr>
          <w:rFonts w:ascii="Calibri"/>
          <w:sz w:val="20"/>
          <w:vertAlign w:val="superscript"/>
        </w:rPr>
        <w:t>5</w:t>
      </w:r>
      <w:r>
        <w:rPr>
          <w:rFonts w:ascii="Calibri"/>
          <w:i/>
          <w:sz w:val="20"/>
          <w:vertAlign w:val="baseline"/>
        </w:rPr>
        <w:t>Ultraframe (UK) Ltd. vs. Fielding </w:t>
      </w:r>
      <w:r>
        <w:rPr>
          <w:rFonts w:ascii="Calibri"/>
          <w:sz w:val="20"/>
          <w:vertAlign w:val="baseline"/>
        </w:rPr>
        <w:t>(2005) EWHC 1638 (Ch); </w:t>
      </w:r>
      <w:r>
        <w:rPr>
          <w:rFonts w:ascii="Calibri"/>
          <w:i/>
          <w:sz w:val="20"/>
          <w:vertAlign w:val="baseline"/>
        </w:rPr>
        <w:t>Re Mea Corporation Ltd</w:t>
      </w:r>
      <w:r>
        <w:rPr>
          <w:rFonts w:ascii="Calibri"/>
          <w:sz w:val="20"/>
          <w:vertAlign w:val="baseline"/>
        </w:rPr>
        <w:t>. (2007) 1 BCLC 618.Although some other specific statutory duties under Chapters 3 and 4 of Part 10 to the Act,</w:t>
      </w:r>
      <w:r>
        <w:rPr>
          <w:rFonts w:ascii="Calibri"/>
          <w:spacing w:val="40"/>
          <w:sz w:val="20"/>
          <w:vertAlign w:val="baseline"/>
        </w:rPr>
        <w:t> </w:t>
      </w:r>
      <w:r>
        <w:rPr>
          <w:rFonts w:ascii="Calibri"/>
          <w:sz w:val="20"/>
          <w:vertAlign w:val="baseline"/>
        </w:rPr>
        <w:t>expressly apply to the shadow director. Refer generally to ss.187 and 223.</w:t>
      </w:r>
    </w:p>
    <w:p>
      <w:pPr>
        <w:spacing w:before="2"/>
        <w:ind w:left="308" w:right="0" w:firstLine="0"/>
        <w:jc w:val="both"/>
        <w:rPr>
          <w:rFonts w:ascii="Calibri"/>
          <w:sz w:val="20"/>
        </w:rPr>
      </w:pPr>
      <w:r>
        <w:rPr>
          <w:rFonts w:ascii="Calibri"/>
          <w:sz w:val="20"/>
          <w:vertAlign w:val="superscript"/>
        </w:rPr>
        <w:t>6</w:t>
      </w:r>
      <w:r>
        <w:rPr>
          <w:rFonts w:ascii="Calibri"/>
          <w:spacing w:val="-1"/>
          <w:sz w:val="20"/>
          <w:vertAlign w:val="baseline"/>
        </w:rPr>
        <w:t> </w:t>
      </w:r>
      <w:r>
        <w:rPr>
          <w:rFonts w:ascii="Calibri"/>
          <w:sz w:val="20"/>
          <w:vertAlign w:val="baseline"/>
        </w:rPr>
        <w:t>Refer</w:t>
      </w:r>
      <w:r>
        <w:rPr>
          <w:rFonts w:ascii="Calibri"/>
          <w:spacing w:val="-4"/>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s. 170(2)(a)</w:t>
      </w:r>
      <w:r>
        <w:rPr>
          <w:rFonts w:ascii="Calibri"/>
          <w:spacing w:val="-6"/>
          <w:sz w:val="20"/>
          <w:vertAlign w:val="baseline"/>
        </w:rPr>
        <w:t> </w:t>
      </w:r>
      <w:r>
        <w:rPr>
          <w:rFonts w:ascii="Calibri"/>
          <w:sz w:val="20"/>
          <w:vertAlign w:val="baseline"/>
        </w:rPr>
        <w:t>and</w:t>
      </w:r>
      <w:r>
        <w:rPr>
          <w:rFonts w:ascii="Calibri"/>
          <w:spacing w:val="-6"/>
          <w:sz w:val="20"/>
          <w:vertAlign w:val="baseline"/>
        </w:rPr>
        <w:t> </w:t>
      </w:r>
      <w:r>
        <w:rPr>
          <w:rFonts w:ascii="Calibri"/>
          <w:spacing w:val="-5"/>
          <w:sz w:val="20"/>
          <w:vertAlign w:val="baseline"/>
        </w:rPr>
        <w:t>(b)</w:t>
      </w:r>
    </w:p>
    <w:p>
      <w:pPr>
        <w:spacing w:before="1"/>
        <w:ind w:left="308" w:right="0" w:firstLine="0"/>
        <w:jc w:val="both"/>
        <w:rPr>
          <w:rFonts w:ascii="Calibri"/>
          <w:sz w:val="20"/>
        </w:rPr>
      </w:pPr>
      <w:r>
        <w:rPr>
          <w:rFonts w:ascii="Calibri"/>
          <w:sz w:val="20"/>
          <w:vertAlign w:val="superscript"/>
        </w:rPr>
        <w:t>7</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179.</w:t>
      </w:r>
    </w:p>
    <w:p>
      <w:pPr>
        <w:spacing w:after="0"/>
        <w:jc w:val="both"/>
        <w:rPr>
          <w:rFonts w:ascii="Calibri"/>
          <w:sz w:val="20"/>
        </w:rPr>
        <w:sectPr>
          <w:pgSz w:w="11910" w:h="16840"/>
          <w:pgMar w:header="0" w:footer="1003" w:top="1280" w:bottom="1200" w:left="1680" w:right="1180"/>
        </w:sectPr>
      </w:pPr>
    </w:p>
    <w:p>
      <w:pPr>
        <w:pStyle w:val="BodyText"/>
        <w:spacing w:line="480" w:lineRule="auto" w:before="70"/>
        <w:ind w:right="244"/>
        <w:jc w:val="both"/>
      </w:pPr>
      <w:r>
        <w:rPr/>
        <w:t>nature require enforcement in order to be effective, it is important from the onset to discover to whom</w:t>
      </w:r>
      <w:r>
        <w:rPr>
          <w:spacing w:val="-9"/>
        </w:rPr>
        <w:t> </w:t>
      </w:r>
      <w:r>
        <w:rPr/>
        <w:t>they</w:t>
      </w:r>
      <w:r>
        <w:rPr>
          <w:spacing w:val="-5"/>
        </w:rPr>
        <w:t> </w:t>
      </w:r>
      <w:r>
        <w:rPr/>
        <w:t>are</w:t>
      </w:r>
      <w:r>
        <w:rPr>
          <w:spacing w:val="-2"/>
        </w:rPr>
        <w:t> </w:t>
      </w:r>
      <w:r>
        <w:rPr/>
        <w:t>owed</w:t>
      </w:r>
      <w:r>
        <w:rPr>
          <w:spacing w:val="-1"/>
        </w:rPr>
        <w:t> </w:t>
      </w:r>
      <w:r>
        <w:rPr/>
        <w:t>as</w:t>
      </w:r>
      <w:r>
        <w:rPr>
          <w:spacing w:val="-3"/>
        </w:rPr>
        <w:t> </w:t>
      </w:r>
      <w:r>
        <w:rPr/>
        <w:t>the</w:t>
      </w:r>
      <w:r>
        <w:rPr>
          <w:spacing w:val="-2"/>
        </w:rPr>
        <w:t> </w:t>
      </w:r>
      <w:r>
        <w:rPr/>
        <w:t>question</w:t>
      </w:r>
      <w:r>
        <w:rPr>
          <w:spacing w:val="-5"/>
        </w:rPr>
        <w:t> </w:t>
      </w:r>
      <w:r>
        <w:rPr/>
        <w:t>of</w:t>
      </w:r>
      <w:r>
        <w:rPr>
          <w:spacing w:val="-4"/>
        </w:rPr>
        <w:t> </w:t>
      </w:r>
      <w:r>
        <w:rPr/>
        <w:t>enforcement is very</w:t>
      </w:r>
      <w:r>
        <w:rPr>
          <w:spacing w:val="-1"/>
        </w:rPr>
        <w:t> </w:t>
      </w:r>
      <w:r>
        <w:rPr/>
        <w:t>much</w:t>
      </w:r>
      <w:r>
        <w:rPr>
          <w:spacing w:val="-5"/>
        </w:rPr>
        <w:t> </w:t>
      </w:r>
      <w:r>
        <w:rPr/>
        <w:t>dependent on it.</w:t>
      </w:r>
    </w:p>
    <w:p>
      <w:pPr>
        <w:pStyle w:val="BodyText"/>
        <w:ind w:left="1028"/>
        <w:jc w:val="both"/>
      </w:pPr>
      <w:r>
        <w:rPr/>
        <w:t>S.</w:t>
      </w:r>
      <w:r>
        <w:rPr>
          <w:spacing w:val="1"/>
        </w:rPr>
        <w:t> </w:t>
      </w:r>
      <w:r>
        <w:rPr/>
        <w:t>170(1)</w:t>
      </w:r>
      <w:r>
        <w:rPr>
          <w:spacing w:val="-4"/>
        </w:rPr>
        <w:t> </w:t>
      </w:r>
      <w:r>
        <w:rPr/>
        <w:t>states</w:t>
      </w:r>
      <w:r>
        <w:rPr>
          <w:spacing w:val="-3"/>
        </w:rPr>
        <w:t> </w:t>
      </w:r>
      <w:r>
        <w:rPr/>
        <w:t>from</w:t>
      </w:r>
      <w:r>
        <w:rPr>
          <w:spacing w:val="-9"/>
        </w:rPr>
        <w:t> </w:t>
      </w:r>
      <w:r>
        <w:rPr/>
        <w:t>the</w:t>
      </w:r>
      <w:r>
        <w:rPr>
          <w:spacing w:val="2"/>
        </w:rPr>
        <w:t> </w:t>
      </w:r>
      <w:r>
        <w:rPr/>
        <w:t>very</w:t>
      </w:r>
      <w:r>
        <w:rPr>
          <w:spacing w:val="-5"/>
        </w:rPr>
        <w:t> </w:t>
      </w:r>
      <w:r>
        <w:rPr/>
        <w:t>beginning</w:t>
      </w:r>
      <w:r>
        <w:rPr>
          <w:spacing w:val="-2"/>
        </w:rPr>
        <w:t> </w:t>
      </w:r>
      <w:r>
        <w:rPr/>
        <w:t>that</w:t>
      </w:r>
      <w:r>
        <w:rPr>
          <w:spacing w:val="3"/>
        </w:rPr>
        <w:t> </w:t>
      </w:r>
      <w:r>
        <w:rPr/>
        <w:t>―the</w:t>
      </w:r>
      <w:r>
        <w:rPr>
          <w:spacing w:val="2"/>
        </w:rPr>
        <w:t> </w:t>
      </w:r>
      <w:r>
        <w:rPr/>
        <w:t>general</w:t>
      </w:r>
      <w:r>
        <w:rPr>
          <w:spacing w:val="-5"/>
        </w:rPr>
        <w:t> </w:t>
      </w:r>
      <w:r>
        <w:rPr/>
        <w:t>duties</w:t>
      </w:r>
      <w:r>
        <w:rPr>
          <w:spacing w:val="1"/>
        </w:rPr>
        <w:t> </w:t>
      </w:r>
      <w:r>
        <w:rPr/>
        <w:t>specified</w:t>
      </w:r>
      <w:r>
        <w:rPr>
          <w:spacing w:val="3"/>
        </w:rPr>
        <w:t> </w:t>
      </w:r>
      <w:r>
        <w:rPr/>
        <w:t>in</w:t>
      </w:r>
      <w:r>
        <w:rPr>
          <w:spacing w:val="7"/>
        </w:rPr>
        <w:t> </w:t>
      </w:r>
      <w:r>
        <w:rPr>
          <w:spacing w:val="-5"/>
        </w:rPr>
        <w:t>ss.</w:t>
      </w:r>
    </w:p>
    <w:p>
      <w:pPr>
        <w:pStyle w:val="BodyText"/>
        <w:ind w:left="0"/>
      </w:pPr>
    </w:p>
    <w:p>
      <w:pPr>
        <w:pStyle w:val="BodyText"/>
        <w:spacing w:line="480" w:lineRule="auto"/>
        <w:ind w:right="230"/>
        <w:jc w:val="both"/>
      </w:pPr>
      <w:r>
        <w:rPr/>
        <w:t>171-177 are owed by a director of the company to the company.‖ This point</w:t>
      </w:r>
      <w:r>
        <w:rPr>
          <w:spacing w:val="40"/>
        </w:rPr>
        <w:t> </w:t>
      </w:r>
      <w:r>
        <w:rPr/>
        <w:t>is</w:t>
      </w:r>
      <w:r>
        <w:rPr>
          <w:spacing w:val="40"/>
        </w:rPr>
        <w:t> </w:t>
      </w:r>
      <w:r>
        <w:rPr/>
        <w:t>especially significant for the duty to promote the success of the company expressed under s. 172. It is necessary for</w:t>
      </w:r>
      <w:r>
        <w:rPr>
          <w:spacing w:val="-1"/>
        </w:rPr>
        <w:t> </w:t>
      </w:r>
      <w:r>
        <w:rPr/>
        <w:t>the law to make this statement because there are several interests where a company is concerned, the most influential</w:t>
      </w:r>
      <w:r>
        <w:rPr>
          <w:spacing w:val="-5"/>
        </w:rPr>
        <w:t> </w:t>
      </w:r>
      <w:r>
        <w:rPr/>
        <w:t>of</w:t>
      </w:r>
      <w:r>
        <w:rPr>
          <w:spacing w:val="-3"/>
        </w:rPr>
        <w:t> </w:t>
      </w:r>
      <w:r>
        <w:rPr/>
        <w:t>which</w:t>
      </w:r>
      <w:r>
        <w:rPr>
          <w:spacing w:val="-1"/>
        </w:rPr>
        <w:t> </w:t>
      </w:r>
      <w:r>
        <w:rPr/>
        <w:t>are its members.</w:t>
      </w:r>
      <w:r>
        <w:rPr>
          <w:vertAlign w:val="superscript"/>
        </w:rPr>
        <w:t>8</w:t>
      </w:r>
      <w:r>
        <w:rPr>
          <w:vertAlign w:val="baseline"/>
        </w:rPr>
        <w:t> It</w:t>
      </w:r>
      <w:r>
        <w:rPr>
          <w:spacing w:val="-2"/>
          <w:vertAlign w:val="baseline"/>
        </w:rPr>
        <w:t> </w:t>
      </w:r>
      <w:r>
        <w:rPr>
          <w:vertAlign w:val="baseline"/>
        </w:rPr>
        <w:t>is important</w:t>
      </w:r>
      <w:r>
        <w:rPr>
          <w:spacing w:val="-6"/>
          <w:vertAlign w:val="baseline"/>
        </w:rPr>
        <w:t> </w:t>
      </w:r>
      <w:r>
        <w:rPr>
          <w:vertAlign w:val="baseline"/>
        </w:rPr>
        <w:t>that directors</w:t>
      </w:r>
      <w:r>
        <w:rPr>
          <w:spacing w:val="-4"/>
          <w:vertAlign w:val="baseline"/>
        </w:rPr>
        <w:t> </w:t>
      </w:r>
      <w:r>
        <w:rPr>
          <w:vertAlign w:val="baseline"/>
        </w:rPr>
        <w:t>realise</w:t>
      </w:r>
      <w:r>
        <w:rPr>
          <w:spacing w:val="-3"/>
          <w:vertAlign w:val="baseline"/>
        </w:rPr>
        <w:t> </w:t>
      </w:r>
      <w:r>
        <w:rPr>
          <w:vertAlign w:val="baseline"/>
        </w:rPr>
        <w:t>that although</w:t>
      </w:r>
      <w:r>
        <w:rPr>
          <w:spacing w:val="-2"/>
          <w:vertAlign w:val="baseline"/>
        </w:rPr>
        <w:t> </w:t>
      </w:r>
      <w:r>
        <w:rPr>
          <w:vertAlign w:val="baseline"/>
        </w:rPr>
        <w:t>members have</w:t>
      </w:r>
      <w:r>
        <w:rPr>
          <w:spacing w:val="-3"/>
          <w:vertAlign w:val="baseline"/>
        </w:rPr>
        <w:t> </w:t>
      </w:r>
      <w:r>
        <w:rPr>
          <w:vertAlign w:val="baseline"/>
        </w:rPr>
        <w:t>a</w:t>
      </w:r>
      <w:r>
        <w:rPr>
          <w:spacing w:val="-3"/>
          <w:vertAlign w:val="baseline"/>
        </w:rPr>
        <w:t> </w:t>
      </w:r>
      <w:r>
        <w:rPr>
          <w:vertAlign w:val="baseline"/>
        </w:rPr>
        <w:t>stake</w:t>
      </w:r>
      <w:r>
        <w:rPr>
          <w:spacing w:val="-3"/>
          <w:vertAlign w:val="baseline"/>
        </w:rPr>
        <w:t> </w:t>
      </w:r>
      <w:r>
        <w:rPr>
          <w:vertAlign w:val="baseline"/>
        </w:rPr>
        <w:t>and have</w:t>
      </w:r>
      <w:r>
        <w:rPr>
          <w:spacing w:val="-3"/>
          <w:vertAlign w:val="baseline"/>
        </w:rPr>
        <w:t> </w:t>
      </w:r>
      <w:r>
        <w:rPr>
          <w:vertAlign w:val="baseline"/>
        </w:rPr>
        <w:t>certain exercisable rights in the affairs of the company, the directors‘ duty is still first and foremost to the corporation, which is in law a separate personality from any of its associates whatsoever.</w:t>
      </w:r>
      <w:r>
        <w:rPr>
          <w:vertAlign w:val="superscript"/>
        </w:rPr>
        <w:t>9</w:t>
      </w:r>
      <w:r>
        <w:rPr>
          <w:vertAlign w:val="baseline"/>
        </w:rPr>
        <w:t> The court‘s ruling in </w:t>
      </w:r>
      <w:r>
        <w:rPr>
          <w:b/>
          <w:vertAlign w:val="baseline"/>
        </w:rPr>
        <w:t>Percival vs. Wright</w:t>
      </w:r>
      <w:r>
        <w:rPr>
          <w:vertAlign w:val="superscript"/>
        </w:rPr>
        <w:t>10</w:t>
      </w:r>
      <w:r>
        <w:rPr>
          <w:vertAlign w:val="baseline"/>
        </w:rPr>
        <w:t> discussed previously</w:t>
      </w:r>
      <w:r>
        <w:rPr>
          <w:vertAlign w:val="superscript"/>
        </w:rPr>
        <w:t>11</w:t>
      </w:r>
      <w:r>
        <w:rPr>
          <w:vertAlign w:val="baseline"/>
        </w:rPr>
        <w:t> purported to set the record straight on the issue of any duties at all owed shareholders, albeit within certain limits. Thus, directors owe no duty to the company‘s members qua directors.</w:t>
      </w:r>
    </w:p>
    <w:p>
      <w:pPr>
        <w:pStyle w:val="BodyText"/>
        <w:spacing w:line="480" w:lineRule="auto" w:before="3"/>
        <w:ind w:right="228" w:firstLine="720"/>
        <w:jc w:val="both"/>
      </w:pPr>
      <w:r>
        <w:rPr/>
        <w:t>However, in clear agency situations, such as where shareholders authorise directors to sell their shares on their behalf, the courts recognise that the directors owe the shareholders a duty to account.</w:t>
      </w:r>
      <w:r>
        <w:rPr>
          <w:vertAlign w:val="superscript"/>
        </w:rPr>
        <w:t>12</w:t>
      </w:r>
      <w:r>
        <w:rPr>
          <w:vertAlign w:val="baseline"/>
        </w:rPr>
        <w:t> But the shareholders would then be vicariously liable in damages to any purchaser as principals, if the directors fraudulently misrepresent the state of the company‘s affairs to the purchaser.</w:t>
      </w:r>
      <w:r>
        <w:rPr>
          <w:vertAlign w:val="superscript"/>
        </w:rPr>
        <w:t>13</w:t>
      </w:r>
    </w:p>
    <w:p>
      <w:pPr>
        <w:pStyle w:val="BodyText"/>
        <w:ind w:left="0"/>
        <w:rPr>
          <w:sz w:val="20"/>
        </w:rPr>
      </w:pPr>
    </w:p>
    <w:p>
      <w:pPr>
        <w:pStyle w:val="BodyText"/>
        <w:ind w:left="0"/>
        <w:rPr>
          <w:sz w:val="20"/>
        </w:rPr>
      </w:pPr>
    </w:p>
    <w:p>
      <w:pPr>
        <w:pStyle w:val="BodyText"/>
        <w:spacing w:before="188"/>
        <w:ind w:left="0"/>
        <w:rPr>
          <w:sz w:val="20"/>
        </w:rPr>
      </w:pPr>
      <w:r>
        <w:rPr/>
        <mc:AlternateContent>
          <mc:Choice Requires="wps">
            <w:drawing>
              <wp:anchor distT="0" distB="0" distL="0" distR="0" allowOverlap="1" layoutInCell="1" locked="0" behindDoc="1" simplePos="0" relativeHeight="487671808">
                <wp:simplePos x="0" y="0"/>
                <wp:positionH relativeFrom="page">
                  <wp:posOffset>1262481</wp:posOffset>
                </wp:positionH>
                <wp:positionV relativeFrom="paragraph">
                  <wp:posOffset>280782</wp:posOffset>
                </wp:positionV>
                <wp:extent cx="1829435" cy="9525"/>
                <wp:effectExtent l="0" t="0" r="0" b="0"/>
                <wp:wrapTopAndBottom/>
                <wp:docPr id="187" name="Graphic 187"/>
                <wp:cNvGraphicFramePr>
                  <a:graphicFrameLocks/>
                </wp:cNvGraphicFramePr>
                <a:graphic>
                  <a:graphicData uri="http://schemas.microsoft.com/office/word/2010/wordprocessingShape">
                    <wps:wsp>
                      <wps:cNvPr id="187" name="Graphic 18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08858pt;width:144.050pt;height:.71997pt;mso-position-horizontal-relative:page;mso-position-vertical-relative:paragraph;z-index:-15644672;mso-wrap-distance-left:0;mso-wrap-distance-right:0" id="docshape142" filled="true" fillcolor="#000000" stroked="false">
                <v:fill type="solid"/>
                <w10:wrap type="topAndBottom"/>
              </v:rect>
            </w:pict>
          </mc:Fallback>
        </mc:AlternateContent>
      </w:r>
    </w:p>
    <w:p>
      <w:pPr>
        <w:spacing w:line="237" w:lineRule="auto" w:before="104"/>
        <w:ind w:left="308" w:right="226" w:firstLine="0"/>
        <w:jc w:val="both"/>
        <w:rPr>
          <w:rFonts w:ascii="Calibri" w:hAnsi="Calibri"/>
          <w:sz w:val="20"/>
        </w:rPr>
      </w:pPr>
      <w:r>
        <w:rPr>
          <w:rFonts w:ascii="Calibri" w:hAnsi="Calibri"/>
          <w:sz w:val="20"/>
          <w:vertAlign w:val="superscript"/>
        </w:rPr>
        <w:t>8</w:t>
      </w:r>
      <w:r>
        <w:rPr>
          <w:rFonts w:ascii="Calibri" w:hAnsi="Calibri"/>
          <w:sz w:val="20"/>
          <w:vertAlign w:val="baseline"/>
        </w:rPr>
        <w:t> Stakeholder theorists often consider a long list of stakeholders having varying interests in the corporation. Refer</w:t>
      </w:r>
      <w:r>
        <w:rPr>
          <w:rFonts w:ascii="Calibri" w:hAnsi="Calibri"/>
          <w:spacing w:val="-2"/>
          <w:sz w:val="20"/>
          <w:vertAlign w:val="baseline"/>
        </w:rPr>
        <w:t> </w:t>
      </w:r>
      <w:r>
        <w:rPr>
          <w:rFonts w:ascii="Calibri" w:hAnsi="Calibri"/>
          <w:sz w:val="20"/>
          <w:vertAlign w:val="baseline"/>
        </w:rPr>
        <w:t>to </w:t>
      </w:r>
      <w:r>
        <w:rPr>
          <w:rFonts w:ascii="Calibri" w:hAnsi="Calibri"/>
          <w:b/>
          <w:sz w:val="20"/>
          <w:vertAlign w:val="baseline"/>
        </w:rPr>
        <w:t>3.4.2 </w:t>
      </w:r>
      <w:r>
        <w:rPr>
          <w:rFonts w:ascii="Calibri" w:hAnsi="Calibri"/>
          <w:sz w:val="20"/>
          <w:vertAlign w:val="baseline"/>
        </w:rPr>
        <w:t>supra on</w:t>
      </w:r>
      <w:r>
        <w:rPr>
          <w:rFonts w:ascii="Calibri" w:hAnsi="Calibri"/>
          <w:spacing w:val="-4"/>
          <w:sz w:val="20"/>
          <w:vertAlign w:val="baseline"/>
        </w:rPr>
        <w:t> </w:t>
      </w:r>
      <w:r>
        <w:rPr>
          <w:rFonts w:ascii="Calibri" w:hAnsi="Calibri"/>
          <w:sz w:val="20"/>
          <w:vertAlign w:val="baseline"/>
        </w:rPr>
        <w:t>“In</w:t>
      </w:r>
      <w:r>
        <w:rPr>
          <w:rFonts w:ascii="Calibri" w:hAnsi="Calibri"/>
          <w:spacing w:val="-4"/>
          <w:sz w:val="20"/>
          <w:vertAlign w:val="baseline"/>
        </w:rPr>
        <w:t> </w:t>
      </w:r>
      <w:r>
        <w:rPr>
          <w:rFonts w:ascii="Calibri" w:hAnsi="Calibri"/>
          <w:sz w:val="20"/>
          <w:vertAlign w:val="baseline"/>
        </w:rPr>
        <w:t>whose Interests</w:t>
      </w:r>
      <w:r>
        <w:rPr>
          <w:rFonts w:ascii="Calibri" w:hAnsi="Calibri"/>
          <w:spacing w:val="-1"/>
          <w:sz w:val="20"/>
          <w:vertAlign w:val="baseline"/>
        </w:rPr>
        <w:t> </w:t>
      </w:r>
      <w:r>
        <w:rPr>
          <w:rFonts w:ascii="Calibri" w:hAnsi="Calibri"/>
          <w:sz w:val="20"/>
          <w:vertAlign w:val="baseline"/>
        </w:rPr>
        <w:t>and for whose</w:t>
      </w:r>
      <w:r>
        <w:rPr>
          <w:rFonts w:ascii="Calibri" w:hAnsi="Calibri"/>
          <w:spacing w:val="-3"/>
          <w:sz w:val="20"/>
          <w:vertAlign w:val="baseline"/>
        </w:rPr>
        <w:t> </w:t>
      </w:r>
      <w:r>
        <w:rPr>
          <w:rFonts w:ascii="Calibri" w:hAnsi="Calibri"/>
          <w:sz w:val="20"/>
          <w:vertAlign w:val="baseline"/>
        </w:rPr>
        <w:t>Benefit should Directors</w:t>
      </w:r>
      <w:r>
        <w:rPr>
          <w:rFonts w:ascii="Calibri" w:hAnsi="Calibri"/>
          <w:spacing w:val="-1"/>
          <w:sz w:val="20"/>
          <w:vertAlign w:val="baseline"/>
        </w:rPr>
        <w:t> </w:t>
      </w:r>
      <w:r>
        <w:rPr>
          <w:rFonts w:ascii="Calibri" w:hAnsi="Calibri"/>
          <w:sz w:val="20"/>
          <w:vertAlign w:val="baseline"/>
        </w:rPr>
        <w:t>Manage the Company?”</w:t>
      </w:r>
    </w:p>
    <w:p>
      <w:pPr>
        <w:spacing w:before="3"/>
        <w:ind w:left="308" w:right="0" w:firstLine="0"/>
        <w:jc w:val="left"/>
        <w:rPr>
          <w:rFonts w:ascii="Calibri"/>
          <w:sz w:val="20"/>
        </w:rPr>
      </w:pPr>
      <w:r>
        <w:rPr>
          <w:rFonts w:ascii="Calibri"/>
          <w:sz w:val="20"/>
          <w:vertAlign w:val="superscript"/>
        </w:rPr>
        <w:t>9</w:t>
      </w:r>
      <w:r>
        <w:rPr>
          <w:rFonts w:ascii="Calibri"/>
          <w:sz w:val="20"/>
          <w:vertAlign w:val="baseline"/>
        </w:rPr>
        <w:t>Salomon</w:t>
      </w:r>
      <w:r>
        <w:rPr>
          <w:rFonts w:ascii="Calibri"/>
          <w:spacing w:val="-9"/>
          <w:sz w:val="20"/>
          <w:vertAlign w:val="baseline"/>
        </w:rPr>
        <w:t> </w:t>
      </w:r>
      <w:r>
        <w:rPr>
          <w:rFonts w:ascii="Calibri"/>
          <w:sz w:val="20"/>
          <w:vertAlign w:val="baseline"/>
        </w:rPr>
        <w:t>vs.</w:t>
      </w:r>
      <w:r>
        <w:rPr>
          <w:rFonts w:ascii="Calibri"/>
          <w:spacing w:val="-6"/>
          <w:sz w:val="20"/>
          <w:vertAlign w:val="baseline"/>
        </w:rPr>
        <w:t> </w:t>
      </w:r>
      <w:r>
        <w:rPr>
          <w:rFonts w:ascii="Calibri"/>
          <w:sz w:val="20"/>
          <w:vertAlign w:val="baseline"/>
        </w:rPr>
        <w:t>Salomon</w:t>
      </w:r>
      <w:r>
        <w:rPr>
          <w:rFonts w:ascii="Calibri"/>
          <w:spacing w:val="-8"/>
          <w:sz w:val="20"/>
          <w:vertAlign w:val="baseline"/>
        </w:rPr>
        <w:t> </w:t>
      </w:r>
      <w:r>
        <w:rPr>
          <w:rFonts w:ascii="Calibri"/>
          <w:sz w:val="20"/>
          <w:vertAlign w:val="baseline"/>
        </w:rPr>
        <w:t>&amp;</w:t>
      </w:r>
      <w:r>
        <w:rPr>
          <w:rFonts w:ascii="Calibri"/>
          <w:spacing w:val="-7"/>
          <w:sz w:val="20"/>
          <w:vertAlign w:val="baseline"/>
        </w:rPr>
        <w:t> </w:t>
      </w:r>
      <w:r>
        <w:rPr>
          <w:rFonts w:ascii="Calibri"/>
          <w:sz w:val="20"/>
          <w:vertAlign w:val="baseline"/>
        </w:rPr>
        <w:t>Co.</w:t>
      </w:r>
      <w:r>
        <w:rPr>
          <w:rFonts w:ascii="Calibri"/>
          <w:spacing w:val="-6"/>
          <w:sz w:val="20"/>
          <w:vertAlign w:val="baseline"/>
        </w:rPr>
        <w:t> </w:t>
      </w:r>
      <w:r>
        <w:rPr>
          <w:rFonts w:ascii="Calibri"/>
          <w:sz w:val="20"/>
          <w:vertAlign w:val="baseline"/>
        </w:rPr>
        <w:t>Ltd.</w:t>
      </w:r>
      <w:r>
        <w:rPr>
          <w:rFonts w:ascii="Calibri"/>
          <w:spacing w:val="-7"/>
          <w:sz w:val="20"/>
          <w:vertAlign w:val="baseline"/>
        </w:rPr>
        <w:t> </w:t>
      </w:r>
      <w:r>
        <w:rPr>
          <w:rFonts w:ascii="Calibri"/>
          <w:sz w:val="20"/>
          <w:vertAlign w:val="baseline"/>
        </w:rPr>
        <w:t>(1897)</w:t>
      </w:r>
      <w:r>
        <w:rPr>
          <w:rFonts w:ascii="Calibri"/>
          <w:spacing w:val="-3"/>
          <w:sz w:val="20"/>
          <w:vertAlign w:val="baseline"/>
        </w:rPr>
        <w:t> </w:t>
      </w:r>
      <w:r>
        <w:rPr>
          <w:rFonts w:ascii="Calibri"/>
          <w:sz w:val="20"/>
          <w:vertAlign w:val="baseline"/>
        </w:rPr>
        <w:t>A.C.,</w:t>
      </w:r>
      <w:r>
        <w:rPr>
          <w:rFonts w:ascii="Calibri"/>
          <w:spacing w:val="-5"/>
          <w:sz w:val="20"/>
          <w:vertAlign w:val="baseline"/>
        </w:rPr>
        <w:t> </w:t>
      </w:r>
      <w:r>
        <w:rPr>
          <w:rFonts w:ascii="Calibri"/>
          <w:sz w:val="20"/>
          <w:vertAlign w:val="baseline"/>
        </w:rPr>
        <w:t>22;</w:t>
      </w:r>
      <w:r>
        <w:rPr>
          <w:rFonts w:ascii="Calibri"/>
          <w:spacing w:val="-9"/>
          <w:sz w:val="20"/>
          <w:vertAlign w:val="baseline"/>
        </w:rPr>
        <w:t> </w:t>
      </w:r>
      <w:r>
        <w:rPr>
          <w:rFonts w:ascii="Calibri"/>
          <w:sz w:val="20"/>
          <w:vertAlign w:val="baseline"/>
        </w:rPr>
        <w:t>Macaura</w:t>
      </w:r>
      <w:r>
        <w:rPr>
          <w:rFonts w:ascii="Calibri"/>
          <w:spacing w:val="-5"/>
          <w:sz w:val="20"/>
          <w:vertAlign w:val="baseline"/>
        </w:rPr>
        <w:t> </w:t>
      </w:r>
      <w:r>
        <w:rPr>
          <w:rFonts w:ascii="Calibri"/>
          <w:sz w:val="20"/>
          <w:vertAlign w:val="baseline"/>
        </w:rPr>
        <w:t>vs.</w:t>
      </w:r>
      <w:r>
        <w:rPr>
          <w:rFonts w:ascii="Calibri"/>
          <w:spacing w:val="-6"/>
          <w:sz w:val="20"/>
          <w:vertAlign w:val="baseline"/>
        </w:rPr>
        <w:t> </w:t>
      </w:r>
      <w:r>
        <w:rPr>
          <w:rFonts w:ascii="Calibri"/>
          <w:sz w:val="20"/>
          <w:vertAlign w:val="baseline"/>
        </w:rPr>
        <w:t>Northern</w:t>
      </w:r>
      <w:r>
        <w:rPr>
          <w:rFonts w:ascii="Calibri"/>
          <w:spacing w:val="-9"/>
          <w:sz w:val="20"/>
          <w:vertAlign w:val="baseline"/>
        </w:rPr>
        <w:t> </w:t>
      </w:r>
      <w:r>
        <w:rPr>
          <w:rFonts w:ascii="Calibri"/>
          <w:sz w:val="20"/>
          <w:vertAlign w:val="baseline"/>
        </w:rPr>
        <w:t>Assurance</w:t>
      </w:r>
      <w:r>
        <w:rPr>
          <w:rFonts w:ascii="Calibri"/>
          <w:spacing w:val="-3"/>
          <w:sz w:val="20"/>
          <w:vertAlign w:val="baseline"/>
        </w:rPr>
        <w:t> </w:t>
      </w:r>
      <w:r>
        <w:rPr>
          <w:rFonts w:ascii="Calibri"/>
          <w:sz w:val="20"/>
          <w:vertAlign w:val="baseline"/>
        </w:rPr>
        <w:t>(1925)</w:t>
      </w:r>
      <w:r>
        <w:rPr>
          <w:rFonts w:ascii="Calibri"/>
          <w:spacing w:val="-6"/>
          <w:sz w:val="20"/>
          <w:vertAlign w:val="baseline"/>
        </w:rPr>
        <w:t> </w:t>
      </w:r>
      <w:r>
        <w:rPr>
          <w:rFonts w:ascii="Calibri"/>
          <w:sz w:val="20"/>
          <w:vertAlign w:val="baseline"/>
        </w:rPr>
        <w:t>A.C.</w:t>
      </w:r>
      <w:r>
        <w:rPr>
          <w:rFonts w:ascii="Calibri"/>
          <w:spacing w:val="-2"/>
          <w:sz w:val="20"/>
          <w:vertAlign w:val="baseline"/>
        </w:rPr>
        <w:t> </w:t>
      </w:r>
      <w:r>
        <w:rPr>
          <w:rFonts w:ascii="Calibri"/>
          <w:spacing w:val="-4"/>
          <w:sz w:val="20"/>
          <w:vertAlign w:val="baseline"/>
        </w:rPr>
        <w:t>619.</w:t>
      </w:r>
    </w:p>
    <w:p>
      <w:pPr>
        <w:spacing w:before="1"/>
        <w:ind w:left="308" w:right="0" w:firstLine="0"/>
        <w:jc w:val="left"/>
        <w:rPr>
          <w:rFonts w:ascii="Calibri"/>
          <w:sz w:val="20"/>
        </w:rPr>
      </w:pPr>
      <w:r>
        <w:rPr>
          <w:rFonts w:ascii="Calibri"/>
          <w:sz w:val="20"/>
          <w:vertAlign w:val="superscript"/>
        </w:rPr>
        <w:t>10</w:t>
      </w:r>
      <w:r>
        <w:rPr>
          <w:rFonts w:ascii="Calibri"/>
          <w:sz w:val="20"/>
          <w:vertAlign w:val="baseline"/>
        </w:rPr>
        <w:t>(1902)</w:t>
      </w:r>
      <w:r>
        <w:rPr>
          <w:rFonts w:ascii="Calibri"/>
          <w:spacing w:val="-2"/>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Ch.</w:t>
      </w:r>
      <w:r>
        <w:rPr>
          <w:rFonts w:ascii="Calibri"/>
          <w:spacing w:val="-1"/>
          <w:sz w:val="20"/>
          <w:vertAlign w:val="baseline"/>
        </w:rPr>
        <w:t> </w:t>
      </w:r>
      <w:r>
        <w:rPr>
          <w:rFonts w:ascii="Calibri"/>
          <w:spacing w:val="-4"/>
          <w:sz w:val="20"/>
          <w:vertAlign w:val="baseline"/>
        </w:rPr>
        <w:t>421.</w:t>
      </w:r>
    </w:p>
    <w:p>
      <w:pPr>
        <w:spacing w:before="0"/>
        <w:ind w:left="308" w:right="0" w:firstLine="0"/>
        <w:jc w:val="left"/>
        <w:rPr>
          <w:rFonts w:ascii="Calibri" w:hAnsi="Calibri"/>
          <w:sz w:val="20"/>
        </w:rPr>
      </w:pPr>
      <w:r>
        <w:rPr>
          <w:rFonts w:ascii="Calibri" w:hAnsi="Calibri"/>
          <w:sz w:val="20"/>
          <w:vertAlign w:val="superscript"/>
        </w:rPr>
        <w:t>11</w:t>
      </w:r>
      <w:r>
        <w:rPr>
          <w:rFonts w:ascii="Calibri" w:hAnsi="Calibri"/>
          <w:spacing w:val="-1"/>
          <w:sz w:val="20"/>
          <w:vertAlign w:val="baseline"/>
        </w:rPr>
        <w:t> </w:t>
      </w:r>
      <w:r>
        <w:rPr>
          <w:rFonts w:ascii="Calibri" w:hAnsi="Calibri"/>
          <w:sz w:val="20"/>
          <w:vertAlign w:val="baseline"/>
        </w:rPr>
        <w:t>Refer</w:t>
      </w:r>
      <w:r>
        <w:rPr>
          <w:rFonts w:ascii="Calibri" w:hAnsi="Calibri"/>
          <w:spacing w:val="-5"/>
          <w:sz w:val="20"/>
          <w:vertAlign w:val="baseline"/>
        </w:rPr>
        <w:t> </w:t>
      </w:r>
      <w:r>
        <w:rPr>
          <w:rFonts w:ascii="Calibri" w:hAnsi="Calibri"/>
          <w:sz w:val="20"/>
          <w:vertAlign w:val="baseline"/>
        </w:rPr>
        <w:t>to</w:t>
      </w:r>
      <w:r>
        <w:rPr>
          <w:rFonts w:ascii="Calibri" w:hAnsi="Calibri"/>
          <w:spacing w:val="-7"/>
          <w:sz w:val="20"/>
          <w:vertAlign w:val="baseline"/>
        </w:rPr>
        <w:t> </w:t>
      </w:r>
      <w:r>
        <w:rPr>
          <w:rFonts w:ascii="Calibri" w:hAnsi="Calibri"/>
          <w:b/>
          <w:sz w:val="20"/>
          <w:vertAlign w:val="baseline"/>
        </w:rPr>
        <w:t>3.4.1</w:t>
      </w:r>
      <w:r>
        <w:rPr>
          <w:rFonts w:ascii="Calibri" w:hAnsi="Calibri"/>
          <w:sz w:val="20"/>
          <w:vertAlign w:val="baseline"/>
        </w:rPr>
        <w:t>above</w:t>
      </w:r>
      <w:r>
        <w:rPr>
          <w:rFonts w:ascii="Calibri" w:hAnsi="Calibri"/>
          <w:spacing w:val="-2"/>
          <w:sz w:val="20"/>
          <w:vertAlign w:val="baseline"/>
        </w:rPr>
        <w:t> </w:t>
      </w:r>
      <w:r>
        <w:rPr>
          <w:rFonts w:ascii="Calibri" w:hAnsi="Calibri"/>
          <w:sz w:val="20"/>
          <w:vertAlign w:val="baseline"/>
        </w:rPr>
        <w:t>on</w:t>
      </w:r>
      <w:r>
        <w:rPr>
          <w:rFonts w:ascii="Calibri" w:hAnsi="Calibri"/>
          <w:spacing w:val="-7"/>
          <w:sz w:val="20"/>
          <w:vertAlign w:val="baseline"/>
        </w:rPr>
        <w:t> </w:t>
      </w:r>
      <w:r>
        <w:rPr>
          <w:rFonts w:ascii="Calibri" w:hAnsi="Calibri"/>
          <w:sz w:val="20"/>
          <w:vertAlign w:val="baseline"/>
        </w:rPr>
        <w:t>“Duties</w:t>
      </w:r>
      <w:r>
        <w:rPr>
          <w:rFonts w:ascii="Calibri" w:hAnsi="Calibri"/>
          <w:spacing w:val="-4"/>
          <w:sz w:val="20"/>
          <w:vertAlign w:val="baseline"/>
        </w:rPr>
        <w:t> </w:t>
      </w:r>
      <w:r>
        <w:rPr>
          <w:rFonts w:ascii="Calibri" w:hAnsi="Calibri"/>
          <w:sz w:val="20"/>
          <w:vertAlign w:val="baseline"/>
        </w:rPr>
        <w:t>Owed</w:t>
      </w:r>
      <w:r>
        <w:rPr>
          <w:rFonts w:ascii="Calibri" w:hAnsi="Calibri"/>
          <w:spacing w:val="-7"/>
          <w:sz w:val="20"/>
          <w:vertAlign w:val="baseline"/>
        </w:rPr>
        <w:t> </w:t>
      </w:r>
      <w:r>
        <w:rPr>
          <w:rFonts w:ascii="Calibri" w:hAnsi="Calibri"/>
          <w:sz w:val="20"/>
          <w:vertAlign w:val="baseline"/>
        </w:rPr>
        <w:t>to</w:t>
      </w:r>
      <w:r>
        <w:rPr>
          <w:rFonts w:ascii="Calibri" w:hAnsi="Calibri"/>
          <w:spacing w:val="-4"/>
          <w:sz w:val="20"/>
          <w:vertAlign w:val="baseline"/>
        </w:rPr>
        <w:t> </w:t>
      </w:r>
      <w:r>
        <w:rPr>
          <w:rFonts w:ascii="Calibri" w:hAnsi="Calibri"/>
          <w:spacing w:val="-2"/>
          <w:sz w:val="20"/>
          <w:vertAlign w:val="baseline"/>
        </w:rPr>
        <w:t>Whom?”</w:t>
      </w:r>
    </w:p>
    <w:p>
      <w:pPr>
        <w:spacing w:before="1"/>
        <w:ind w:left="308" w:right="0" w:firstLine="0"/>
        <w:jc w:val="left"/>
        <w:rPr>
          <w:rFonts w:ascii="Calibri"/>
          <w:sz w:val="20"/>
        </w:rPr>
      </w:pPr>
      <w:r>
        <w:rPr>
          <w:rFonts w:ascii="Calibri"/>
          <w:sz w:val="20"/>
          <w:vertAlign w:val="superscript"/>
        </w:rPr>
        <w:t>12</w:t>
      </w:r>
      <w:r>
        <w:rPr>
          <w:rFonts w:ascii="Calibri"/>
          <w:i/>
          <w:sz w:val="20"/>
          <w:vertAlign w:val="baseline"/>
        </w:rPr>
        <w:t>Allen</w:t>
      </w:r>
      <w:r>
        <w:rPr>
          <w:rFonts w:ascii="Calibri"/>
          <w:i/>
          <w:spacing w:val="-5"/>
          <w:sz w:val="20"/>
          <w:vertAlign w:val="baseline"/>
        </w:rPr>
        <w:t> </w:t>
      </w:r>
      <w:r>
        <w:rPr>
          <w:rFonts w:ascii="Calibri"/>
          <w:i/>
          <w:sz w:val="20"/>
          <w:vertAlign w:val="baseline"/>
        </w:rPr>
        <w:t>vs.</w:t>
      </w:r>
      <w:r>
        <w:rPr>
          <w:rFonts w:ascii="Calibri"/>
          <w:i/>
          <w:spacing w:val="-1"/>
          <w:sz w:val="20"/>
          <w:vertAlign w:val="baseline"/>
        </w:rPr>
        <w:t> </w:t>
      </w:r>
      <w:r>
        <w:rPr>
          <w:rFonts w:ascii="Calibri"/>
          <w:i/>
          <w:sz w:val="20"/>
          <w:vertAlign w:val="baseline"/>
        </w:rPr>
        <w:t>Hyatt</w:t>
      </w:r>
      <w:r>
        <w:rPr>
          <w:rFonts w:ascii="Calibri"/>
          <w:i/>
          <w:spacing w:val="-6"/>
          <w:sz w:val="20"/>
          <w:vertAlign w:val="baseline"/>
        </w:rPr>
        <w:t> </w:t>
      </w:r>
      <w:r>
        <w:rPr>
          <w:rFonts w:ascii="Calibri"/>
          <w:sz w:val="20"/>
          <w:vertAlign w:val="baseline"/>
        </w:rPr>
        <w:t>(1914)</w:t>
      </w:r>
      <w:r>
        <w:rPr>
          <w:rFonts w:ascii="Calibri"/>
          <w:spacing w:val="-5"/>
          <w:sz w:val="20"/>
          <w:vertAlign w:val="baseline"/>
        </w:rPr>
        <w:t> </w:t>
      </w:r>
      <w:r>
        <w:rPr>
          <w:rFonts w:ascii="Calibri"/>
          <w:sz w:val="20"/>
          <w:vertAlign w:val="baseline"/>
        </w:rPr>
        <w:t>30</w:t>
      </w:r>
      <w:r>
        <w:rPr>
          <w:rFonts w:ascii="Calibri"/>
          <w:spacing w:val="-3"/>
          <w:sz w:val="20"/>
          <w:vertAlign w:val="baseline"/>
        </w:rPr>
        <w:t> </w:t>
      </w:r>
      <w:r>
        <w:rPr>
          <w:rFonts w:ascii="Calibri"/>
          <w:sz w:val="20"/>
          <w:vertAlign w:val="baseline"/>
        </w:rPr>
        <w:t>T.L.R.</w:t>
      </w:r>
      <w:r>
        <w:rPr>
          <w:rFonts w:ascii="Calibri"/>
          <w:spacing w:val="-5"/>
          <w:sz w:val="20"/>
          <w:vertAlign w:val="baseline"/>
        </w:rPr>
        <w:t> </w:t>
      </w:r>
      <w:r>
        <w:rPr>
          <w:rFonts w:ascii="Calibri"/>
          <w:sz w:val="20"/>
          <w:vertAlign w:val="baseline"/>
        </w:rPr>
        <w:t>444</w:t>
      </w:r>
      <w:r>
        <w:rPr>
          <w:rFonts w:ascii="Calibri"/>
          <w:spacing w:val="-7"/>
          <w:sz w:val="20"/>
          <w:vertAlign w:val="baseline"/>
        </w:rPr>
        <w:t> </w:t>
      </w:r>
      <w:r>
        <w:rPr>
          <w:rFonts w:ascii="Calibri"/>
          <w:sz w:val="20"/>
          <w:vertAlign w:val="baseline"/>
        </w:rPr>
        <w:t>P.C.;</w:t>
      </w:r>
      <w:r>
        <w:rPr>
          <w:rFonts w:ascii="Calibri"/>
          <w:spacing w:val="-5"/>
          <w:sz w:val="20"/>
          <w:vertAlign w:val="baseline"/>
        </w:rPr>
        <w:t> </w:t>
      </w:r>
      <w:r>
        <w:rPr>
          <w:rFonts w:ascii="Calibri"/>
          <w:i/>
          <w:sz w:val="20"/>
          <w:vertAlign w:val="baseline"/>
        </w:rPr>
        <w:t>Briess</w:t>
      </w:r>
      <w:r>
        <w:rPr>
          <w:rFonts w:ascii="Calibri"/>
          <w:i/>
          <w:spacing w:val="-8"/>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Wolley</w:t>
      </w:r>
      <w:r>
        <w:rPr>
          <w:rFonts w:ascii="Calibri"/>
          <w:i/>
          <w:spacing w:val="-5"/>
          <w:sz w:val="20"/>
          <w:vertAlign w:val="baseline"/>
        </w:rPr>
        <w:t> </w:t>
      </w:r>
      <w:r>
        <w:rPr>
          <w:rFonts w:ascii="Calibri"/>
          <w:sz w:val="20"/>
          <w:vertAlign w:val="baseline"/>
        </w:rPr>
        <w:t>(1954)</w:t>
      </w:r>
      <w:r>
        <w:rPr>
          <w:rFonts w:ascii="Calibri"/>
          <w:spacing w:val="-1"/>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w:t>
      </w:r>
      <w:r>
        <w:rPr>
          <w:rFonts w:ascii="Calibri"/>
          <w:spacing w:val="-5"/>
          <w:sz w:val="20"/>
          <w:vertAlign w:val="baseline"/>
        </w:rPr>
        <w:t> </w:t>
      </w:r>
      <w:r>
        <w:rPr>
          <w:rFonts w:ascii="Calibri"/>
          <w:spacing w:val="-4"/>
          <w:sz w:val="20"/>
          <w:vertAlign w:val="baseline"/>
        </w:rPr>
        <w:t>909.</w:t>
      </w:r>
    </w:p>
    <w:p>
      <w:pPr>
        <w:spacing w:before="1"/>
        <w:ind w:left="308" w:right="0" w:firstLine="0"/>
        <w:jc w:val="left"/>
        <w:rPr>
          <w:rFonts w:ascii="Calibri"/>
          <w:sz w:val="20"/>
        </w:rPr>
      </w:pPr>
      <w:r>
        <w:rPr>
          <w:rFonts w:ascii="Calibri"/>
          <w:sz w:val="20"/>
          <w:vertAlign w:val="superscript"/>
        </w:rPr>
        <w:t>13</w:t>
      </w:r>
      <w:r>
        <w:rPr>
          <w:rFonts w:ascii="Calibri"/>
          <w:i/>
          <w:sz w:val="20"/>
          <w:vertAlign w:val="baseline"/>
        </w:rPr>
        <w:t>Briess</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Wolley</w:t>
      </w:r>
      <w:r>
        <w:rPr>
          <w:rFonts w:ascii="Calibri"/>
          <w:i/>
          <w:spacing w:val="-5"/>
          <w:sz w:val="20"/>
          <w:vertAlign w:val="baseline"/>
        </w:rPr>
        <w:t> </w:t>
      </w:r>
      <w:r>
        <w:rPr>
          <w:rFonts w:ascii="Calibri"/>
          <w:sz w:val="20"/>
          <w:vertAlign w:val="baseline"/>
        </w:rPr>
        <w:t>(1954)</w:t>
      </w:r>
      <w:r>
        <w:rPr>
          <w:rFonts w:ascii="Calibri"/>
          <w:spacing w:val="-1"/>
          <w:sz w:val="20"/>
          <w:vertAlign w:val="baseline"/>
        </w:rPr>
        <w:t> </w:t>
      </w:r>
      <w:r>
        <w:rPr>
          <w:rFonts w:ascii="Calibri"/>
          <w:sz w:val="20"/>
          <w:vertAlign w:val="baseline"/>
        </w:rPr>
        <w:t>1</w:t>
      </w:r>
      <w:r>
        <w:rPr>
          <w:rFonts w:ascii="Calibri"/>
          <w:spacing w:val="-8"/>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w:t>
      </w:r>
      <w:r>
        <w:rPr>
          <w:rFonts w:ascii="Calibri"/>
          <w:spacing w:val="-5"/>
          <w:sz w:val="20"/>
          <w:vertAlign w:val="baseline"/>
        </w:rPr>
        <w:t> </w:t>
      </w:r>
      <w:r>
        <w:rPr>
          <w:rFonts w:ascii="Calibri"/>
          <w:spacing w:val="-4"/>
          <w:sz w:val="20"/>
          <w:vertAlign w:val="baseline"/>
        </w:rPr>
        <w:t>909.</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6" w:firstLine="720"/>
        <w:jc w:val="both"/>
      </w:pPr>
      <w:r>
        <w:rPr/>
        <w:t>Court decisions have consistently shown</w:t>
      </w:r>
      <w:r>
        <w:rPr>
          <w:spacing w:val="-1"/>
        </w:rPr>
        <w:t> </w:t>
      </w:r>
      <w:r>
        <w:rPr/>
        <w:t>that directors may owe fiduciary</w:t>
      </w:r>
      <w:r>
        <w:rPr>
          <w:spacing w:val="-5"/>
        </w:rPr>
        <w:t> </w:t>
      </w:r>
      <w:r>
        <w:rPr/>
        <w:t>duties to shareholders under special circumstances. In </w:t>
      </w:r>
      <w:r>
        <w:rPr>
          <w:b/>
        </w:rPr>
        <w:t>Coleman vs. Myers</w:t>
      </w:r>
      <w:r>
        <w:rPr/>
        <w:t>,</w:t>
      </w:r>
      <w:r>
        <w:rPr>
          <w:vertAlign w:val="superscript"/>
        </w:rPr>
        <w:t>14</w:t>
      </w:r>
      <w:r>
        <w:rPr>
          <w:vertAlign w:val="baseline"/>
        </w:rPr>
        <w:t> for example, the Court of Appeal in New Zealand established that this is possible where a ―special factual relationship‖ is established between the director(s) and shareholder(s) and especially where there is gross disparity of knowledge between the directors and the shareholders, so that the shareholders traditionally relied on the directors for</w:t>
      </w:r>
      <w:r>
        <w:rPr>
          <w:spacing w:val="40"/>
          <w:vertAlign w:val="baseline"/>
        </w:rPr>
        <w:t> </w:t>
      </w:r>
      <w:r>
        <w:rPr>
          <w:vertAlign w:val="baseline"/>
        </w:rPr>
        <w:t>information and advice.</w:t>
      </w:r>
      <w:r>
        <w:rPr>
          <w:vertAlign w:val="superscript"/>
        </w:rPr>
        <w:t>15</w:t>
      </w:r>
      <w:r>
        <w:rPr>
          <w:vertAlign w:val="baseline"/>
        </w:rPr>
        <w:t> This was certainly the case in </w:t>
      </w:r>
      <w:r>
        <w:rPr>
          <w:b/>
          <w:vertAlign w:val="baseline"/>
        </w:rPr>
        <w:t>Platt vs. Platt</w:t>
      </w:r>
      <w:r>
        <w:rPr>
          <w:vertAlign w:val="baseline"/>
        </w:rPr>
        <w:t>.</w:t>
      </w:r>
      <w:r>
        <w:rPr>
          <w:vertAlign w:val="superscript"/>
        </w:rPr>
        <w:t>16</w:t>
      </w:r>
      <w:r>
        <w:rPr>
          <w:vertAlign w:val="baseline"/>
        </w:rPr>
        <w:t> There, three brothers, C, D and K were shareholders in a BMW car dealership company. K ran the business and held ordinary shares, while C and D did not work in the business but held preference shares. The company did badly during the recession of the 1990s. Then, K was the only one in touch with BMW and the only director of the company. He misled his brothers by informing them</w:t>
      </w:r>
      <w:r>
        <w:rPr>
          <w:spacing w:val="-5"/>
          <w:vertAlign w:val="baseline"/>
        </w:rPr>
        <w:t> </w:t>
      </w:r>
      <w:r>
        <w:rPr>
          <w:vertAlign w:val="baseline"/>
        </w:rPr>
        <w:t>that BMW</w:t>
      </w:r>
      <w:r>
        <w:rPr>
          <w:spacing w:val="-6"/>
          <w:vertAlign w:val="baseline"/>
        </w:rPr>
        <w:t> </w:t>
      </w:r>
      <w:r>
        <w:rPr>
          <w:vertAlign w:val="baseline"/>
        </w:rPr>
        <w:t>was about to withdraw</w:t>
      </w:r>
      <w:r>
        <w:rPr>
          <w:spacing w:val="-1"/>
          <w:vertAlign w:val="baseline"/>
        </w:rPr>
        <w:t> </w:t>
      </w:r>
      <w:r>
        <w:rPr>
          <w:vertAlign w:val="baseline"/>
        </w:rPr>
        <w:t>the franchise</w:t>
      </w:r>
      <w:r>
        <w:rPr>
          <w:spacing w:val="-1"/>
          <w:vertAlign w:val="baseline"/>
        </w:rPr>
        <w:t> </w:t>
      </w:r>
      <w:r>
        <w:rPr>
          <w:vertAlign w:val="baseline"/>
        </w:rPr>
        <w:t>and was urging</w:t>
      </w:r>
      <w:r>
        <w:rPr>
          <w:spacing w:val="19"/>
          <w:vertAlign w:val="baseline"/>
        </w:rPr>
        <w:t> </w:t>
      </w:r>
      <w:r>
        <w:rPr>
          <w:vertAlign w:val="baseline"/>
        </w:rPr>
        <w:t>him</w:t>
      </w:r>
      <w:r>
        <w:rPr>
          <w:spacing w:val="15"/>
          <w:vertAlign w:val="baseline"/>
        </w:rPr>
        <w:t> </w:t>
      </w:r>
      <w:r>
        <w:rPr>
          <w:vertAlign w:val="baseline"/>
        </w:rPr>
        <w:t>to</w:t>
      </w:r>
      <w:r>
        <w:rPr>
          <w:spacing w:val="22"/>
          <w:vertAlign w:val="baseline"/>
        </w:rPr>
        <w:t> </w:t>
      </w:r>
      <w:r>
        <w:rPr>
          <w:vertAlign w:val="baseline"/>
        </w:rPr>
        <w:t>sell.</w:t>
      </w:r>
      <w:r>
        <w:rPr>
          <w:spacing w:val="21"/>
          <w:vertAlign w:val="baseline"/>
        </w:rPr>
        <w:t> </w:t>
      </w:r>
      <w:r>
        <w:rPr>
          <w:vertAlign w:val="baseline"/>
        </w:rPr>
        <w:t>Consequently,</w:t>
      </w:r>
      <w:r>
        <w:rPr>
          <w:spacing w:val="21"/>
          <w:vertAlign w:val="baseline"/>
        </w:rPr>
        <w:t> </w:t>
      </w:r>
      <w:r>
        <w:rPr>
          <w:vertAlign w:val="baseline"/>
        </w:rPr>
        <w:t>C</w:t>
      </w:r>
      <w:r>
        <w:rPr>
          <w:spacing w:val="17"/>
          <w:vertAlign w:val="baseline"/>
        </w:rPr>
        <w:t> </w:t>
      </w:r>
      <w:r>
        <w:rPr>
          <w:vertAlign w:val="baseline"/>
        </w:rPr>
        <w:t>and</w:t>
      </w:r>
      <w:r>
        <w:rPr>
          <w:spacing w:val="19"/>
          <w:vertAlign w:val="baseline"/>
        </w:rPr>
        <w:t> </w:t>
      </w:r>
      <w:r>
        <w:rPr>
          <w:vertAlign w:val="baseline"/>
        </w:rPr>
        <w:t>D</w:t>
      </w:r>
      <w:r>
        <w:rPr>
          <w:spacing w:val="18"/>
          <w:vertAlign w:val="baseline"/>
        </w:rPr>
        <w:t> </w:t>
      </w:r>
      <w:r>
        <w:rPr>
          <w:vertAlign w:val="baseline"/>
        </w:rPr>
        <w:t>transferred</w:t>
      </w:r>
      <w:r>
        <w:rPr>
          <w:spacing w:val="14"/>
          <w:vertAlign w:val="baseline"/>
        </w:rPr>
        <w:t> </w:t>
      </w:r>
      <w:r>
        <w:rPr>
          <w:vertAlign w:val="baseline"/>
        </w:rPr>
        <w:t>their</w:t>
      </w:r>
      <w:r>
        <w:rPr>
          <w:spacing w:val="20"/>
          <w:vertAlign w:val="baseline"/>
        </w:rPr>
        <w:t> </w:t>
      </w:r>
      <w:r>
        <w:rPr>
          <w:vertAlign w:val="baseline"/>
        </w:rPr>
        <w:t>preference</w:t>
      </w:r>
      <w:r>
        <w:rPr>
          <w:spacing w:val="18"/>
          <w:vertAlign w:val="baseline"/>
        </w:rPr>
        <w:t> </w:t>
      </w:r>
      <w:r>
        <w:rPr>
          <w:vertAlign w:val="baseline"/>
        </w:rPr>
        <w:t>shares</w:t>
      </w:r>
      <w:r>
        <w:rPr>
          <w:spacing w:val="17"/>
          <w:vertAlign w:val="baseline"/>
        </w:rPr>
        <w:t> </w:t>
      </w:r>
      <w:r>
        <w:rPr>
          <w:vertAlign w:val="baseline"/>
        </w:rPr>
        <w:t>to</w:t>
      </w:r>
      <w:r>
        <w:rPr>
          <w:spacing w:val="23"/>
          <w:vertAlign w:val="baseline"/>
        </w:rPr>
        <w:t> </w:t>
      </w:r>
      <w:r>
        <w:rPr>
          <w:vertAlign w:val="baseline"/>
        </w:rPr>
        <w:t>K</w:t>
      </w:r>
      <w:r>
        <w:rPr>
          <w:spacing w:val="18"/>
          <w:vertAlign w:val="baseline"/>
        </w:rPr>
        <w:t> </w:t>
      </w:r>
      <w:r>
        <w:rPr>
          <w:vertAlign w:val="baseline"/>
        </w:rPr>
        <w:t>for</w:t>
      </w:r>
    </w:p>
    <w:p>
      <w:pPr>
        <w:pStyle w:val="BodyText"/>
        <w:spacing w:line="480" w:lineRule="auto" w:before="2"/>
        <w:ind w:right="228"/>
        <w:jc w:val="both"/>
      </w:pPr>
      <w:r>
        <w:rPr/>
        <w:t>£1 each. These were said to be necessary to enable the business to be sold. Subsequently, profitable trading resumed and the business was not sold after all. Later, BMW did terminate the franchise and the business was sold leaving colossal profits. C and</w:t>
      </w:r>
      <w:r>
        <w:rPr>
          <w:spacing w:val="-2"/>
        </w:rPr>
        <w:t> </w:t>
      </w:r>
      <w:r>
        <w:rPr/>
        <w:t>D</w:t>
      </w:r>
      <w:r>
        <w:rPr>
          <w:spacing w:val="-3"/>
        </w:rPr>
        <w:t> </w:t>
      </w:r>
      <w:r>
        <w:rPr/>
        <w:t>who could not</w:t>
      </w:r>
      <w:r>
        <w:rPr>
          <w:spacing w:val="-2"/>
        </w:rPr>
        <w:t> </w:t>
      </w:r>
      <w:r>
        <w:rPr/>
        <w:t>partake</w:t>
      </w:r>
      <w:r>
        <w:rPr>
          <w:spacing w:val="-3"/>
        </w:rPr>
        <w:t> </w:t>
      </w:r>
      <w:r>
        <w:rPr/>
        <w:t>in</w:t>
      </w:r>
      <w:r>
        <w:rPr>
          <w:spacing w:val="-7"/>
        </w:rPr>
        <w:t> </w:t>
      </w:r>
      <w:r>
        <w:rPr/>
        <w:t>them</w:t>
      </w:r>
      <w:r>
        <w:rPr>
          <w:spacing w:val="-10"/>
        </w:rPr>
        <w:t> </w:t>
      </w:r>
      <w:r>
        <w:rPr/>
        <w:t>claimed</w:t>
      </w:r>
      <w:r>
        <w:rPr>
          <w:spacing w:val="-2"/>
        </w:rPr>
        <w:t> </w:t>
      </w:r>
      <w:r>
        <w:rPr/>
        <w:t>damages for</w:t>
      </w:r>
      <w:r>
        <w:rPr>
          <w:spacing w:val="-1"/>
        </w:rPr>
        <w:t> </w:t>
      </w:r>
      <w:r>
        <w:rPr/>
        <w:t>misrepresentation</w:t>
      </w:r>
      <w:r>
        <w:rPr>
          <w:spacing w:val="-7"/>
        </w:rPr>
        <w:t> </w:t>
      </w:r>
      <w:r>
        <w:rPr/>
        <w:t>and breach of fiduciary duty by K.</w:t>
      </w:r>
    </w:p>
    <w:p>
      <w:pPr>
        <w:pStyle w:val="BodyText"/>
        <w:spacing w:line="480" w:lineRule="auto" w:before="1"/>
        <w:ind w:right="239" w:firstLine="720"/>
        <w:jc w:val="both"/>
      </w:pPr>
      <w:r>
        <w:rPr/>
        <w:t>The court accepted the proposition that a fiduciary duty existed in the circumstances, observing that, although the relationship between a company director</w:t>
      </w:r>
      <w:r>
        <w:rPr>
          <w:spacing w:val="40"/>
        </w:rPr>
        <w:t> </w:t>
      </w:r>
      <w:r>
        <w:rPr/>
        <w:t>and the shareholders of the company does not of itself give rise to fiduciary duties, special circumstances, as in the instant case, may require the imposition of such a duty. The</w:t>
      </w:r>
      <w:r>
        <w:rPr>
          <w:spacing w:val="59"/>
        </w:rPr>
        <w:t> </w:t>
      </w:r>
      <w:r>
        <w:rPr/>
        <w:t>latter</w:t>
      </w:r>
      <w:r>
        <w:rPr>
          <w:spacing w:val="60"/>
        </w:rPr>
        <w:t> </w:t>
      </w:r>
      <w:r>
        <w:rPr/>
        <w:t>decision</w:t>
      </w:r>
      <w:r>
        <w:rPr>
          <w:spacing w:val="53"/>
        </w:rPr>
        <w:t> </w:t>
      </w:r>
      <w:r>
        <w:rPr/>
        <w:t>was</w:t>
      </w:r>
      <w:r>
        <w:rPr>
          <w:spacing w:val="55"/>
        </w:rPr>
        <w:t> </w:t>
      </w:r>
      <w:r>
        <w:rPr/>
        <w:t>subsequently</w:t>
      </w:r>
      <w:r>
        <w:rPr>
          <w:spacing w:val="53"/>
        </w:rPr>
        <w:t> </w:t>
      </w:r>
      <w:r>
        <w:rPr/>
        <w:t>approved</w:t>
      </w:r>
      <w:r>
        <w:rPr>
          <w:spacing w:val="58"/>
        </w:rPr>
        <w:t> </w:t>
      </w:r>
      <w:r>
        <w:rPr/>
        <w:t>by</w:t>
      </w:r>
      <w:r>
        <w:rPr>
          <w:spacing w:val="53"/>
        </w:rPr>
        <w:t> </w:t>
      </w:r>
      <w:r>
        <w:rPr/>
        <w:t>the</w:t>
      </w:r>
      <w:r>
        <w:rPr>
          <w:spacing w:val="56"/>
        </w:rPr>
        <w:t> </w:t>
      </w:r>
      <w:r>
        <w:rPr/>
        <w:t>English</w:t>
      </w:r>
      <w:r>
        <w:rPr>
          <w:spacing w:val="53"/>
        </w:rPr>
        <w:t> </w:t>
      </w:r>
      <w:r>
        <w:rPr/>
        <w:t>Court</w:t>
      </w:r>
      <w:r>
        <w:rPr>
          <w:spacing w:val="59"/>
        </w:rPr>
        <w:t> </w:t>
      </w:r>
      <w:r>
        <w:rPr/>
        <w:t>of</w:t>
      </w:r>
      <w:r>
        <w:rPr>
          <w:spacing w:val="50"/>
        </w:rPr>
        <w:t> </w:t>
      </w:r>
      <w:r>
        <w:rPr/>
        <w:t>Appeal</w:t>
      </w:r>
      <w:r>
        <w:rPr>
          <w:spacing w:val="59"/>
        </w:rPr>
        <w:t> </w:t>
      </w:r>
      <w:r>
        <w:rPr>
          <w:spacing w:val="-5"/>
        </w:rPr>
        <w:t>in</w:t>
      </w:r>
    </w:p>
    <w:p>
      <w:pPr>
        <w:pStyle w:val="BodyText"/>
        <w:spacing w:before="212"/>
        <w:ind w:left="0"/>
        <w:rPr>
          <w:sz w:val="20"/>
        </w:rPr>
      </w:pPr>
      <w:r>
        <w:rPr/>
        <mc:AlternateContent>
          <mc:Choice Requires="wps">
            <w:drawing>
              <wp:anchor distT="0" distB="0" distL="0" distR="0" allowOverlap="1" layoutInCell="1" locked="0" behindDoc="1" simplePos="0" relativeHeight="487672320">
                <wp:simplePos x="0" y="0"/>
                <wp:positionH relativeFrom="page">
                  <wp:posOffset>1262481</wp:posOffset>
                </wp:positionH>
                <wp:positionV relativeFrom="paragraph">
                  <wp:posOffset>295959</wp:posOffset>
                </wp:positionV>
                <wp:extent cx="1829435" cy="9525"/>
                <wp:effectExtent l="0" t="0" r="0" b="0"/>
                <wp:wrapTopAndBottom/>
                <wp:docPr id="188" name="Graphic 188"/>
                <wp:cNvGraphicFramePr>
                  <a:graphicFrameLocks/>
                </wp:cNvGraphicFramePr>
                <a:graphic>
                  <a:graphicData uri="http://schemas.microsoft.com/office/word/2010/wordprocessingShape">
                    <wps:wsp>
                      <wps:cNvPr id="188" name="Graphic 18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3.303936pt;width:144.050pt;height:.71997pt;mso-position-horizontal-relative:page;mso-position-vertical-relative:paragraph;z-index:-15644160;mso-wrap-distance-left:0;mso-wrap-distance-right:0" id="docshape143"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14</w:t>
      </w:r>
      <w:r>
        <w:rPr>
          <w:rFonts w:ascii="Calibri"/>
          <w:sz w:val="20"/>
          <w:vertAlign w:val="baseline"/>
        </w:rPr>
        <w:t>(1977)</w:t>
      </w:r>
      <w:r>
        <w:rPr>
          <w:rFonts w:ascii="Calibri"/>
          <w:spacing w:val="-4"/>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N.Z.L.R.</w:t>
      </w:r>
      <w:r>
        <w:rPr>
          <w:rFonts w:ascii="Calibri"/>
          <w:spacing w:val="-3"/>
          <w:sz w:val="20"/>
          <w:vertAlign w:val="baseline"/>
        </w:rPr>
        <w:t> </w:t>
      </w:r>
      <w:r>
        <w:rPr>
          <w:rFonts w:ascii="Calibri"/>
          <w:sz w:val="20"/>
          <w:vertAlign w:val="baseline"/>
        </w:rPr>
        <w:t>225,</w:t>
      </w:r>
      <w:r>
        <w:rPr>
          <w:rFonts w:ascii="Calibri"/>
          <w:spacing w:val="-7"/>
          <w:sz w:val="20"/>
          <w:vertAlign w:val="baseline"/>
        </w:rPr>
        <w:t> </w:t>
      </w:r>
      <w:r>
        <w:rPr>
          <w:rFonts w:ascii="Calibri"/>
          <w:spacing w:val="-2"/>
          <w:sz w:val="20"/>
          <w:vertAlign w:val="baseline"/>
        </w:rPr>
        <w:t>N.Z.C.A.</w:t>
      </w:r>
    </w:p>
    <w:p>
      <w:pPr>
        <w:spacing w:before="1"/>
        <w:ind w:left="308" w:right="0" w:firstLine="0"/>
        <w:jc w:val="left"/>
        <w:rPr>
          <w:rFonts w:ascii="Calibri" w:hAnsi="Calibri"/>
          <w:sz w:val="20"/>
        </w:rPr>
      </w:pPr>
      <w:r>
        <w:rPr>
          <w:rFonts w:ascii="Calibri" w:hAnsi="Calibri"/>
          <w:sz w:val="20"/>
          <w:vertAlign w:val="superscript"/>
        </w:rPr>
        <w:t>15</w:t>
      </w:r>
      <w:r>
        <w:rPr>
          <w:rFonts w:ascii="Calibri" w:hAnsi="Calibri"/>
          <w:spacing w:val="-1"/>
          <w:sz w:val="20"/>
          <w:vertAlign w:val="baseline"/>
        </w:rPr>
        <w:t> </w:t>
      </w:r>
      <w:r>
        <w:rPr>
          <w:rFonts w:ascii="Calibri" w:hAnsi="Calibri"/>
          <w:sz w:val="20"/>
          <w:vertAlign w:val="baseline"/>
        </w:rPr>
        <w:t>Refer</w:t>
      </w:r>
      <w:r>
        <w:rPr>
          <w:rFonts w:ascii="Calibri" w:hAnsi="Calibri"/>
          <w:spacing w:val="-4"/>
          <w:sz w:val="20"/>
          <w:vertAlign w:val="baseline"/>
        </w:rPr>
        <w:t> </w:t>
      </w:r>
      <w:r>
        <w:rPr>
          <w:rFonts w:ascii="Calibri" w:hAnsi="Calibri"/>
          <w:sz w:val="20"/>
          <w:vertAlign w:val="baseline"/>
        </w:rPr>
        <w:t>to</w:t>
      </w:r>
      <w:r>
        <w:rPr>
          <w:rFonts w:ascii="Calibri" w:hAnsi="Calibri"/>
          <w:spacing w:val="-7"/>
          <w:sz w:val="20"/>
          <w:vertAlign w:val="baseline"/>
        </w:rPr>
        <w:t> </w:t>
      </w:r>
      <w:r>
        <w:rPr>
          <w:rFonts w:ascii="Calibri" w:hAnsi="Calibri"/>
          <w:b/>
          <w:sz w:val="20"/>
          <w:vertAlign w:val="baseline"/>
        </w:rPr>
        <w:t>3.4.1</w:t>
      </w:r>
      <w:r>
        <w:rPr>
          <w:rFonts w:ascii="Calibri" w:hAnsi="Calibri"/>
          <w:sz w:val="20"/>
          <w:vertAlign w:val="baseline"/>
        </w:rPr>
        <w:t>supra</w:t>
      </w:r>
      <w:r>
        <w:rPr>
          <w:rFonts w:ascii="Calibri" w:hAnsi="Calibri"/>
          <w:spacing w:val="-3"/>
          <w:sz w:val="20"/>
          <w:vertAlign w:val="baseline"/>
        </w:rPr>
        <w:t> </w:t>
      </w:r>
      <w:r>
        <w:rPr>
          <w:rFonts w:ascii="Calibri" w:hAnsi="Calibri"/>
          <w:sz w:val="20"/>
          <w:vertAlign w:val="baseline"/>
        </w:rPr>
        <w:t>on</w:t>
      </w:r>
      <w:r>
        <w:rPr>
          <w:rFonts w:ascii="Calibri" w:hAnsi="Calibri"/>
          <w:spacing w:val="-7"/>
          <w:sz w:val="20"/>
          <w:vertAlign w:val="baseline"/>
        </w:rPr>
        <w:t> </w:t>
      </w:r>
      <w:r>
        <w:rPr>
          <w:rFonts w:ascii="Calibri" w:hAnsi="Calibri"/>
          <w:sz w:val="20"/>
          <w:vertAlign w:val="baseline"/>
        </w:rPr>
        <w:t>“Duties</w:t>
      </w:r>
      <w:r>
        <w:rPr>
          <w:rFonts w:ascii="Calibri" w:hAnsi="Calibri"/>
          <w:spacing w:val="-6"/>
          <w:sz w:val="20"/>
          <w:vertAlign w:val="baseline"/>
        </w:rPr>
        <w:t> </w:t>
      </w:r>
      <w:r>
        <w:rPr>
          <w:rFonts w:ascii="Calibri" w:hAnsi="Calibri"/>
          <w:sz w:val="20"/>
          <w:vertAlign w:val="baseline"/>
        </w:rPr>
        <w:t>Owed</w:t>
      </w:r>
      <w:r>
        <w:rPr>
          <w:rFonts w:ascii="Calibri" w:hAnsi="Calibri"/>
          <w:spacing w:val="-1"/>
          <w:sz w:val="20"/>
          <w:vertAlign w:val="baseline"/>
        </w:rPr>
        <w:t> </w:t>
      </w:r>
      <w:r>
        <w:rPr>
          <w:rFonts w:ascii="Calibri" w:hAnsi="Calibri"/>
          <w:sz w:val="20"/>
          <w:vertAlign w:val="baseline"/>
        </w:rPr>
        <w:t>to</w:t>
      </w:r>
      <w:r>
        <w:rPr>
          <w:rFonts w:ascii="Calibri" w:hAnsi="Calibri"/>
          <w:spacing w:val="-8"/>
          <w:sz w:val="20"/>
          <w:vertAlign w:val="baseline"/>
        </w:rPr>
        <w:t> </w:t>
      </w:r>
      <w:r>
        <w:rPr>
          <w:rFonts w:ascii="Calibri" w:hAnsi="Calibri"/>
          <w:spacing w:val="-2"/>
          <w:sz w:val="20"/>
          <w:vertAlign w:val="baseline"/>
        </w:rPr>
        <w:t>Whom?”</w:t>
      </w:r>
    </w:p>
    <w:p>
      <w:pPr>
        <w:spacing w:before="0"/>
        <w:ind w:left="308" w:right="0" w:firstLine="0"/>
        <w:jc w:val="left"/>
        <w:rPr>
          <w:rFonts w:ascii="Calibri"/>
          <w:sz w:val="20"/>
        </w:rPr>
      </w:pPr>
      <w:r>
        <w:rPr>
          <w:rFonts w:ascii="Calibri"/>
          <w:sz w:val="20"/>
          <w:vertAlign w:val="superscript"/>
        </w:rPr>
        <w:t>16</w:t>
      </w:r>
      <w:r>
        <w:rPr>
          <w:rFonts w:ascii="Calibri"/>
          <w:sz w:val="20"/>
          <w:vertAlign w:val="baseline"/>
        </w:rPr>
        <w:t>(1999)</w:t>
      </w:r>
      <w:r>
        <w:rPr>
          <w:rFonts w:ascii="Calibri"/>
          <w:spacing w:val="-2"/>
          <w:sz w:val="20"/>
          <w:vertAlign w:val="baseline"/>
        </w:rPr>
        <w:t> </w:t>
      </w:r>
      <w:r>
        <w:rPr>
          <w:rFonts w:ascii="Calibri"/>
          <w:sz w:val="20"/>
          <w:vertAlign w:val="baseline"/>
        </w:rPr>
        <w:t>2</w:t>
      </w:r>
      <w:r>
        <w:rPr>
          <w:rFonts w:ascii="Calibri"/>
          <w:spacing w:val="-8"/>
          <w:sz w:val="20"/>
          <w:vertAlign w:val="baseline"/>
        </w:rPr>
        <w:t> </w:t>
      </w:r>
      <w:r>
        <w:rPr>
          <w:rFonts w:ascii="Calibri"/>
          <w:sz w:val="20"/>
          <w:vertAlign w:val="baseline"/>
        </w:rPr>
        <w:t>B.C.L.C.</w:t>
      </w:r>
      <w:r>
        <w:rPr>
          <w:rFonts w:ascii="Calibri"/>
          <w:spacing w:val="-2"/>
          <w:sz w:val="20"/>
          <w:vertAlign w:val="baseline"/>
        </w:rPr>
        <w:t> </w:t>
      </w:r>
      <w:r>
        <w:rPr>
          <w:rFonts w:ascii="Calibri"/>
          <w:spacing w:val="-4"/>
          <w:sz w:val="20"/>
          <w:vertAlign w:val="baseline"/>
        </w:rPr>
        <w:t>745.</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29"/>
        <w:jc w:val="both"/>
      </w:pPr>
      <w:r>
        <w:rPr>
          <w:b/>
        </w:rPr>
        <w:t>Peskin vs. Anderson</w:t>
      </w:r>
      <w:r>
        <w:rPr>
          <w:vertAlign w:val="superscript"/>
        </w:rPr>
        <w:t>17</w:t>
      </w:r>
      <w:r>
        <w:rPr>
          <w:vertAlign w:val="baseline"/>
        </w:rPr>
        <w:t> though the court further reiterated that in the absence of such a special</w:t>
      </w:r>
      <w:r>
        <w:rPr>
          <w:spacing w:val="-4"/>
          <w:vertAlign w:val="baseline"/>
        </w:rPr>
        <w:t> </w:t>
      </w:r>
      <w:r>
        <w:rPr>
          <w:vertAlign w:val="baseline"/>
        </w:rPr>
        <w:t>relationship, directors</w:t>
      </w:r>
      <w:r>
        <w:rPr>
          <w:spacing w:val="-1"/>
          <w:vertAlign w:val="baseline"/>
        </w:rPr>
        <w:t> </w:t>
      </w:r>
      <w:r>
        <w:rPr>
          <w:vertAlign w:val="baseline"/>
        </w:rPr>
        <w:t>do not owe</w:t>
      </w:r>
      <w:r>
        <w:rPr>
          <w:spacing w:val="-1"/>
          <w:vertAlign w:val="baseline"/>
        </w:rPr>
        <w:t> </w:t>
      </w:r>
      <w:r>
        <w:rPr>
          <w:vertAlign w:val="baseline"/>
        </w:rPr>
        <w:t>a duty</w:t>
      </w:r>
      <w:r>
        <w:rPr>
          <w:spacing w:val="-9"/>
          <w:vertAlign w:val="baseline"/>
        </w:rPr>
        <w:t> </w:t>
      </w:r>
      <w:r>
        <w:rPr>
          <w:vertAlign w:val="baseline"/>
        </w:rPr>
        <w:t>to individual shareholders</w:t>
      </w:r>
      <w:r>
        <w:rPr>
          <w:spacing w:val="-1"/>
          <w:vertAlign w:val="baseline"/>
        </w:rPr>
        <w:t> </w:t>
      </w:r>
      <w:r>
        <w:rPr>
          <w:vertAlign w:val="baseline"/>
        </w:rPr>
        <w:t>to keep them constantly informed of all matters that might affect their position even if the shareholders‘ decision on a sale of their shares would have been affected by that </w:t>
      </w:r>
      <w:r>
        <w:rPr>
          <w:spacing w:val="-2"/>
          <w:vertAlign w:val="baseline"/>
        </w:rPr>
        <w:t>knowledge.</w:t>
      </w:r>
    </w:p>
    <w:p>
      <w:pPr>
        <w:pStyle w:val="BodyText"/>
        <w:spacing w:line="480" w:lineRule="auto" w:before="1"/>
        <w:ind w:right="231" w:firstLine="720"/>
        <w:jc w:val="both"/>
      </w:pPr>
      <w:r>
        <w:rPr/>
        <w:t>Where directors advice or inform the shareholders collectively on a takeover</w:t>
      </w:r>
      <w:r>
        <w:rPr>
          <w:spacing w:val="80"/>
        </w:rPr>
        <w:t> </w:t>
      </w:r>
      <w:r>
        <w:rPr/>
        <w:t>bid, the opinion of the courts is certainly different. The directors of the ‗victim‘ company owe a duty to their shareholders </w:t>
      </w:r>
      <w:r>
        <w:rPr>
          <w:i/>
        </w:rPr>
        <w:t>collectively </w:t>
      </w:r>
      <w:r>
        <w:rPr/>
        <w:t>to be honest and not to mislead regarding the whole operation.</w:t>
      </w:r>
      <w:r>
        <w:rPr>
          <w:vertAlign w:val="superscript"/>
        </w:rPr>
        <w:t>18</w:t>
      </w:r>
      <w:r>
        <w:rPr>
          <w:vertAlign w:val="baseline"/>
        </w:rPr>
        <w:t> In</w:t>
      </w:r>
      <w:r>
        <w:rPr>
          <w:spacing w:val="-4"/>
          <w:vertAlign w:val="baseline"/>
        </w:rPr>
        <w:t> </w:t>
      </w:r>
      <w:r>
        <w:rPr>
          <w:b/>
          <w:vertAlign w:val="baseline"/>
        </w:rPr>
        <w:t>Re</w:t>
      </w:r>
      <w:r>
        <w:rPr>
          <w:b/>
          <w:spacing w:val="-1"/>
          <w:vertAlign w:val="baseline"/>
        </w:rPr>
        <w:t> </w:t>
      </w:r>
      <w:r>
        <w:rPr>
          <w:b/>
          <w:vertAlign w:val="baseline"/>
        </w:rPr>
        <w:t>A Company</w:t>
      </w:r>
      <w:r>
        <w:rPr>
          <w:vertAlign w:val="baseline"/>
        </w:rPr>
        <w:t>,</w:t>
      </w:r>
      <w:r>
        <w:rPr>
          <w:vertAlign w:val="superscript"/>
        </w:rPr>
        <w:t>19</w:t>
      </w:r>
      <w:r>
        <w:rPr>
          <w:vertAlign w:val="baseline"/>
        </w:rPr>
        <w:t> which</w:t>
      </w:r>
      <w:r>
        <w:rPr>
          <w:spacing w:val="-4"/>
          <w:vertAlign w:val="baseline"/>
        </w:rPr>
        <w:t> </w:t>
      </w:r>
      <w:r>
        <w:rPr>
          <w:vertAlign w:val="baseline"/>
        </w:rPr>
        <w:t>was</w:t>
      </w:r>
      <w:r>
        <w:rPr>
          <w:spacing w:val="-1"/>
          <w:vertAlign w:val="baseline"/>
        </w:rPr>
        <w:t> </w:t>
      </w:r>
      <w:r>
        <w:rPr>
          <w:vertAlign w:val="baseline"/>
        </w:rPr>
        <w:t>an</w:t>
      </w:r>
      <w:r>
        <w:rPr>
          <w:spacing w:val="-4"/>
          <w:vertAlign w:val="baseline"/>
        </w:rPr>
        <w:t> </w:t>
      </w:r>
      <w:r>
        <w:rPr>
          <w:vertAlign w:val="baseline"/>
        </w:rPr>
        <w:t>allegation</w:t>
      </w:r>
      <w:r>
        <w:rPr>
          <w:spacing w:val="-4"/>
          <w:vertAlign w:val="baseline"/>
        </w:rPr>
        <w:t> </w:t>
      </w:r>
      <w:r>
        <w:rPr>
          <w:vertAlign w:val="baseline"/>
        </w:rPr>
        <w:t>of</w:t>
      </w:r>
      <w:r>
        <w:rPr>
          <w:spacing w:val="-7"/>
          <w:vertAlign w:val="baseline"/>
        </w:rPr>
        <w:t> </w:t>
      </w:r>
      <w:r>
        <w:rPr>
          <w:vertAlign w:val="baseline"/>
        </w:rPr>
        <w:t>unfair prejudice by some members of a private company against its directors regarding information on a takeover bid, Hoffmann J. decided that directors were not obliged to offer</w:t>
      </w:r>
      <w:r>
        <w:rPr>
          <w:spacing w:val="14"/>
          <w:vertAlign w:val="baseline"/>
        </w:rPr>
        <w:t> </w:t>
      </w:r>
      <w:r>
        <w:rPr>
          <w:vertAlign w:val="baseline"/>
        </w:rPr>
        <w:t>their</w:t>
      </w:r>
      <w:r>
        <w:rPr>
          <w:spacing w:val="14"/>
          <w:vertAlign w:val="baseline"/>
        </w:rPr>
        <w:t> </w:t>
      </w:r>
      <w:r>
        <w:rPr>
          <w:vertAlign w:val="baseline"/>
        </w:rPr>
        <w:t>shareholders advice on a takeover</w:t>
      </w:r>
      <w:r>
        <w:rPr>
          <w:spacing w:val="14"/>
          <w:vertAlign w:val="baseline"/>
        </w:rPr>
        <w:t> </w:t>
      </w:r>
      <w:r>
        <w:rPr>
          <w:vertAlign w:val="baseline"/>
        </w:rPr>
        <w:t>bid,</w:t>
      </w:r>
      <w:r>
        <w:rPr>
          <w:spacing w:val="14"/>
          <w:vertAlign w:val="baseline"/>
        </w:rPr>
        <w:t> </w:t>
      </w:r>
      <w:r>
        <w:rPr>
          <w:vertAlign w:val="baseline"/>
        </w:rPr>
        <w:t>although if they did,</w:t>
      </w:r>
      <w:r>
        <w:rPr>
          <w:spacing w:val="14"/>
          <w:vertAlign w:val="baseline"/>
        </w:rPr>
        <w:t> </w:t>
      </w:r>
      <w:r>
        <w:rPr>
          <w:vertAlign w:val="baseline"/>
        </w:rPr>
        <w:t>they must</w:t>
      </w:r>
      <w:r>
        <w:rPr>
          <w:spacing w:val="17"/>
          <w:vertAlign w:val="baseline"/>
        </w:rPr>
        <w:t> </w:t>
      </w:r>
      <w:r>
        <w:rPr>
          <w:vertAlign w:val="baseline"/>
        </w:rPr>
        <w:t>do</w:t>
      </w:r>
      <w:r>
        <w:rPr>
          <w:spacing w:val="17"/>
          <w:vertAlign w:val="baseline"/>
        </w:rPr>
        <w:t> </w:t>
      </w:r>
      <w:r>
        <w:rPr>
          <w:vertAlign w:val="baseline"/>
        </w:rPr>
        <w:t>so</w:t>
      </w:r>
    </w:p>
    <w:p>
      <w:pPr>
        <w:pStyle w:val="BodyText"/>
        <w:spacing w:line="480" w:lineRule="auto" w:before="1"/>
        <w:ind w:right="227"/>
        <w:jc w:val="both"/>
      </w:pPr>
      <w:r>
        <w:rPr/>
        <w:t>―with</w:t>
      </w:r>
      <w:r>
        <w:rPr>
          <w:spacing w:val="-7"/>
        </w:rPr>
        <w:t> </w:t>
      </w:r>
      <w:r>
        <w:rPr/>
        <w:t>a</w:t>
      </w:r>
      <w:r>
        <w:rPr>
          <w:spacing w:val="-3"/>
        </w:rPr>
        <w:t> </w:t>
      </w:r>
      <w:r>
        <w:rPr/>
        <w:t>view</w:t>
      </w:r>
      <w:r>
        <w:rPr>
          <w:spacing w:val="-4"/>
        </w:rPr>
        <w:t> </w:t>
      </w:r>
      <w:r>
        <w:rPr/>
        <w:t>to enabling</w:t>
      </w:r>
      <w:r>
        <w:rPr>
          <w:spacing w:val="-4"/>
        </w:rPr>
        <w:t> </w:t>
      </w:r>
      <w:r>
        <w:rPr/>
        <w:t>the</w:t>
      </w:r>
      <w:r>
        <w:rPr>
          <w:spacing w:val="-4"/>
        </w:rPr>
        <w:t> </w:t>
      </w:r>
      <w:r>
        <w:rPr/>
        <w:t>shareholders...to sell,</w:t>
      </w:r>
      <w:r>
        <w:rPr>
          <w:spacing w:val="-1"/>
        </w:rPr>
        <w:t> </w:t>
      </w:r>
      <w:r>
        <w:rPr/>
        <w:t>if</w:t>
      </w:r>
      <w:r>
        <w:rPr>
          <w:spacing w:val="-10"/>
        </w:rPr>
        <w:t> </w:t>
      </w:r>
      <w:r>
        <w:rPr/>
        <w:t>they</w:t>
      </w:r>
      <w:r>
        <w:rPr>
          <w:spacing w:val="-7"/>
        </w:rPr>
        <w:t> </w:t>
      </w:r>
      <w:r>
        <w:rPr/>
        <w:t>so wish,</w:t>
      </w:r>
      <w:r>
        <w:rPr>
          <w:spacing w:val="-1"/>
        </w:rPr>
        <w:t> </w:t>
      </w:r>
      <w:r>
        <w:rPr/>
        <w:t>at</w:t>
      </w:r>
      <w:r>
        <w:rPr>
          <w:spacing w:val="-3"/>
        </w:rPr>
        <w:t> </w:t>
      </w:r>
      <w:r>
        <w:rPr/>
        <w:t>the</w:t>
      </w:r>
      <w:r>
        <w:rPr>
          <w:spacing w:val="-4"/>
        </w:rPr>
        <w:t> </w:t>
      </w:r>
      <w:r>
        <w:rPr/>
        <w:t>best price‖</w:t>
      </w:r>
      <w:r>
        <w:rPr>
          <w:spacing w:val="-4"/>
        </w:rPr>
        <w:t> </w:t>
      </w:r>
      <w:r>
        <w:rPr/>
        <w:t>and not for any ulterior purpose. This would place the directors in a fiduciary-like position</w:t>
      </w:r>
      <w:r>
        <w:rPr>
          <w:spacing w:val="40"/>
        </w:rPr>
        <w:t> </w:t>
      </w:r>
      <w:r>
        <w:rPr/>
        <w:t>as against the shareholders.</w:t>
      </w:r>
      <w:r>
        <w:rPr>
          <w:vertAlign w:val="superscript"/>
        </w:rPr>
        <w:t>20</w:t>
      </w:r>
    </w:p>
    <w:p>
      <w:pPr>
        <w:pStyle w:val="BodyText"/>
        <w:spacing w:line="480" w:lineRule="auto" w:before="1"/>
        <w:ind w:right="224" w:firstLine="720"/>
        <w:jc w:val="both"/>
      </w:pPr>
      <w:r>
        <w:rPr/>
        <w:t>Note that the cases above would more probably apply where private companies are involved as the ‗target‘ or ‗victim‘ of</w:t>
      </w:r>
      <w:r>
        <w:rPr>
          <w:spacing w:val="-4"/>
        </w:rPr>
        <w:t> </w:t>
      </w:r>
      <w:r>
        <w:rPr/>
        <w:t>a takeover operation. In situations amounting to insider dealing</w:t>
      </w:r>
      <w:r>
        <w:rPr>
          <w:vertAlign w:val="superscript"/>
        </w:rPr>
        <w:t>21</w:t>
      </w:r>
      <w:r>
        <w:rPr>
          <w:vertAlign w:val="baseline"/>
        </w:rPr>
        <w:t> in public companies which are quoted on public securities</w:t>
      </w:r>
      <w:r>
        <w:rPr>
          <w:spacing w:val="80"/>
          <w:vertAlign w:val="baseline"/>
        </w:rPr>
        <w:t> </w:t>
      </w:r>
      <w:r>
        <w:rPr>
          <w:vertAlign w:val="baseline"/>
        </w:rPr>
        <w:t>markets—such as those operated by the London Stock Exchange, or PLUS Markets Plc.—the City Code on Takeovers and Mergers has stringent provisions enforceable against</w:t>
      </w:r>
      <w:r>
        <w:rPr>
          <w:spacing w:val="40"/>
          <w:vertAlign w:val="baseline"/>
        </w:rPr>
        <w:t> </w:t>
      </w:r>
      <w:r>
        <w:rPr>
          <w:vertAlign w:val="baseline"/>
        </w:rPr>
        <w:t>any</w:t>
      </w:r>
      <w:r>
        <w:rPr>
          <w:spacing w:val="40"/>
          <w:vertAlign w:val="baseline"/>
        </w:rPr>
        <w:t> </w:t>
      </w:r>
      <w:r>
        <w:rPr>
          <w:vertAlign w:val="baseline"/>
        </w:rPr>
        <w:t>director</w:t>
      </w:r>
      <w:r>
        <w:rPr>
          <w:spacing w:val="40"/>
          <w:vertAlign w:val="baseline"/>
        </w:rPr>
        <w:t> </w:t>
      </w:r>
      <w:r>
        <w:rPr>
          <w:vertAlign w:val="baseline"/>
        </w:rPr>
        <w:t>found</w:t>
      </w:r>
      <w:r>
        <w:rPr>
          <w:spacing w:val="40"/>
          <w:vertAlign w:val="baseline"/>
        </w:rPr>
        <w:t> </w:t>
      </w:r>
      <w:r>
        <w:rPr>
          <w:vertAlign w:val="baseline"/>
        </w:rPr>
        <w:t>to</w:t>
      </w:r>
      <w:r>
        <w:rPr>
          <w:spacing w:val="40"/>
          <w:vertAlign w:val="baseline"/>
        </w:rPr>
        <w:t> </w:t>
      </w:r>
      <w:r>
        <w:rPr>
          <w:vertAlign w:val="baseline"/>
        </w:rPr>
        <w:t>be</w:t>
      </w:r>
      <w:r>
        <w:rPr>
          <w:spacing w:val="40"/>
          <w:vertAlign w:val="baseline"/>
        </w:rPr>
        <w:t> </w:t>
      </w:r>
      <w:r>
        <w:rPr>
          <w:vertAlign w:val="baseline"/>
        </w:rPr>
        <w:t>in</w:t>
      </w:r>
      <w:r>
        <w:rPr>
          <w:spacing w:val="40"/>
          <w:vertAlign w:val="baseline"/>
        </w:rPr>
        <w:t> </w:t>
      </w:r>
      <w:r>
        <w:rPr>
          <w:vertAlign w:val="baseline"/>
        </w:rPr>
        <w:t>contravention</w:t>
      </w:r>
      <w:r>
        <w:rPr>
          <w:spacing w:val="40"/>
          <w:vertAlign w:val="baseline"/>
        </w:rPr>
        <w:t> </w:t>
      </w:r>
      <w:r>
        <w:rPr>
          <w:vertAlign w:val="baseline"/>
        </w:rPr>
        <w:t>of</w:t>
      </w:r>
      <w:r>
        <w:rPr>
          <w:spacing w:val="40"/>
          <w:vertAlign w:val="baseline"/>
        </w:rPr>
        <w:t> </w:t>
      </w:r>
      <w:r>
        <w:rPr>
          <w:vertAlign w:val="baseline"/>
        </w:rPr>
        <w:t>the</w:t>
      </w:r>
      <w:r>
        <w:rPr>
          <w:spacing w:val="40"/>
          <w:vertAlign w:val="baseline"/>
        </w:rPr>
        <w:t> </w:t>
      </w:r>
      <w:r>
        <w:rPr>
          <w:vertAlign w:val="baseline"/>
        </w:rPr>
        <w:t>rules</w:t>
      </w:r>
      <w:r>
        <w:rPr>
          <w:spacing w:val="40"/>
          <w:vertAlign w:val="baseline"/>
        </w:rPr>
        <w:t> </w:t>
      </w:r>
      <w:r>
        <w:rPr>
          <w:vertAlign w:val="baseline"/>
        </w:rPr>
        <w:t>therein</w:t>
      </w:r>
      <w:r>
        <w:rPr>
          <w:spacing w:val="40"/>
          <w:vertAlign w:val="baseline"/>
        </w:rPr>
        <w:t> </w:t>
      </w:r>
      <w:r>
        <w:rPr>
          <w:vertAlign w:val="baseline"/>
        </w:rPr>
        <w:t>pertaining</w:t>
      </w:r>
      <w:r>
        <w:rPr>
          <w:spacing w:val="40"/>
          <w:vertAlign w:val="baseline"/>
        </w:rPr>
        <w:t> </w:t>
      </w:r>
      <w:r>
        <w:rPr>
          <w:vertAlign w:val="baseline"/>
        </w:rPr>
        <w:t>to</w:t>
      </w:r>
    </w:p>
    <w:p>
      <w:pPr>
        <w:pStyle w:val="BodyText"/>
        <w:ind w:left="0"/>
        <w:rPr>
          <w:sz w:val="20"/>
        </w:rPr>
      </w:pPr>
    </w:p>
    <w:p>
      <w:pPr>
        <w:pStyle w:val="BodyText"/>
        <w:spacing w:before="111"/>
        <w:ind w:left="0"/>
        <w:rPr>
          <w:sz w:val="20"/>
        </w:rPr>
      </w:pPr>
      <w:r>
        <w:rPr/>
        <mc:AlternateContent>
          <mc:Choice Requires="wps">
            <w:drawing>
              <wp:anchor distT="0" distB="0" distL="0" distR="0" allowOverlap="1" layoutInCell="1" locked="0" behindDoc="1" simplePos="0" relativeHeight="487672832">
                <wp:simplePos x="0" y="0"/>
                <wp:positionH relativeFrom="page">
                  <wp:posOffset>1262481</wp:posOffset>
                </wp:positionH>
                <wp:positionV relativeFrom="paragraph">
                  <wp:posOffset>231777</wp:posOffset>
                </wp:positionV>
                <wp:extent cx="1829435" cy="9525"/>
                <wp:effectExtent l="0" t="0" r="0" b="0"/>
                <wp:wrapTopAndBottom/>
                <wp:docPr id="189" name="Graphic 189"/>
                <wp:cNvGraphicFramePr>
                  <a:graphicFrameLocks/>
                </wp:cNvGraphicFramePr>
                <a:graphic>
                  <a:graphicData uri="http://schemas.microsoft.com/office/word/2010/wordprocessingShape">
                    <wps:wsp>
                      <wps:cNvPr id="189" name="Graphic 18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250225pt;width:144.050pt;height:.71997pt;mso-position-horizontal-relative:page;mso-position-vertical-relative:paragraph;z-index:-15643648;mso-wrap-distance-left:0;mso-wrap-distance-right:0" id="docshape144" filled="true" fillcolor="#000000" stroked="false">
                <v:fill type="solid"/>
                <w10:wrap type="topAndBottom"/>
              </v:rect>
            </w:pict>
          </mc:Fallback>
        </mc:AlternateContent>
      </w:r>
    </w:p>
    <w:p>
      <w:pPr>
        <w:spacing w:before="97"/>
        <w:ind w:left="308" w:right="0" w:firstLine="0"/>
        <w:jc w:val="left"/>
        <w:rPr>
          <w:rFonts w:ascii="Calibri"/>
          <w:sz w:val="20"/>
        </w:rPr>
      </w:pPr>
      <w:r>
        <w:rPr>
          <w:rFonts w:ascii="Calibri"/>
          <w:sz w:val="20"/>
          <w:vertAlign w:val="superscript"/>
        </w:rPr>
        <w:t>17</w:t>
      </w:r>
      <w:r>
        <w:rPr>
          <w:rFonts w:ascii="Calibri"/>
          <w:spacing w:val="-1"/>
          <w:sz w:val="20"/>
          <w:vertAlign w:val="baseline"/>
        </w:rPr>
        <w:t> </w:t>
      </w:r>
      <w:r>
        <w:rPr>
          <w:rFonts w:ascii="Calibri"/>
          <w:sz w:val="20"/>
          <w:vertAlign w:val="baseline"/>
        </w:rPr>
        <w:t>(2001)</w:t>
      </w:r>
      <w:r>
        <w:rPr>
          <w:rFonts w:ascii="Calibri"/>
          <w:spacing w:val="-2"/>
          <w:sz w:val="20"/>
          <w:vertAlign w:val="baseline"/>
        </w:rPr>
        <w:t> </w:t>
      </w:r>
      <w:r>
        <w:rPr>
          <w:rFonts w:ascii="Calibri"/>
          <w:sz w:val="20"/>
          <w:vertAlign w:val="baseline"/>
        </w:rPr>
        <w:t>1</w:t>
      </w:r>
      <w:r>
        <w:rPr>
          <w:rFonts w:ascii="Calibri"/>
          <w:spacing w:val="-8"/>
          <w:sz w:val="20"/>
          <w:vertAlign w:val="baseline"/>
        </w:rPr>
        <w:t> </w:t>
      </w:r>
      <w:r>
        <w:rPr>
          <w:rFonts w:ascii="Calibri"/>
          <w:sz w:val="20"/>
          <w:vertAlign w:val="baseline"/>
        </w:rPr>
        <w:t>B.C.L.C.</w:t>
      </w:r>
      <w:r>
        <w:rPr>
          <w:rFonts w:ascii="Calibri"/>
          <w:spacing w:val="-5"/>
          <w:sz w:val="20"/>
          <w:vertAlign w:val="baseline"/>
        </w:rPr>
        <w:t> 372</w:t>
      </w:r>
    </w:p>
    <w:p>
      <w:pPr>
        <w:spacing w:before="1"/>
        <w:ind w:left="308" w:right="0" w:firstLine="0"/>
        <w:jc w:val="left"/>
        <w:rPr>
          <w:rFonts w:ascii="Calibri"/>
          <w:sz w:val="20"/>
        </w:rPr>
      </w:pPr>
      <w:r>
        <w:rPr>
          <w:rFonts w:ascii="Calibri"/>
          <w:sz w:val="20"/>
          <w:vertAlign w:val="superscript"/>
        </w:rPr>
        <w:t>18</w:t>
      </w:r>
      <w:r>
        <w:rPr>
          <w:rFonts w:ascii="Calibri"/>
          <w:i/>
          <w:sz w:val="20"/>
          <w:vertAlign w:val="baseline"/>
        </w:rPr>
        <w:t>Gething</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Kilner</w:t>
      </w:r>
      <w:r>
        <w:rPr>
          <w:rFonts w:ascii="Calibri"/>
          <w:i/>
          <w:spacing w:val="-6"/>
          <w:sz w:val="20"/>
          <w:vertAlign w:val="baseline"/>
        </w:rPr>
        <w:t> </w:t>
      </w:r>
      <w:r>
        <w:rPr>
          <w:rFonts w:ascii="Calibri"/>
          <w:sz w:val="20"/>
          <w:vertAlign w:val="baseline"/>
        </w:rPr>
        <w:t>(1972)</w:t>
      </w:r>
      <w:r>
        <w:rPr>
          <w:rFonts w:ascii="Calibri"/>
          <w:spacing w:val="-1"/>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w:t>
      </w:r>
      <w:r>
        <w:rPr>
          <w:rFonts w:ascii="Calibri"/>
          <w:spacing w:val="-4"/>
          <w:sz w:val="20"/>
          <w:vertAlign w:val="baseline"/>
        </w:rPr>
        <w:t> </w:t>
      </w:r>
      <w:r>
        <w:rPr>
          <w:rFonts w:ascii="Calibri"/>
          <w:spacing w:val="-2"/>
          <w:sz w:val="20"/>
          <w:vertAlign w:val="baseline"/>
        </w:rPr>
        <w:t>1166.</w:t>
      </w:r>
    </w:p>
    <w:p>
      <w:pPr>
        <w:spacing w:before="1"/>
        <w:ind w:left="308" w:right="0" w:firstLine="0"/>
        <w:jc w:val="left"/>
        <w:rPr>
          <w:rFonts w:ascii="Calibri"/>
          <w:sz w:val="20"/>
        </w:rPr>
      </w:pPr>
      <w:r>
        <w:rPr>
          <w:rFonts w:ascii="Calibri"/>
          <w:sz w:val="20"/>
          <w:vertAlign w:val="superscript"/>
        </w:rPr>
        <w:t>19</w:t>
      </w:r>
      <w:r>
        <w:rPr>
          <w:rFonts w:ascii="Calibri"/>
          <w:sz w:val="20"/>
          <w:vertAlign w:val="baseline"/>
        </w:rPr>
        <w:t>(1986)</w:t>
      </w:r>
      <w:r>
        <w:rPr>
          <w:rFonts w:ascii="Calibri"/>
          <w:spacing w:val="-6"/>
          <w:sz w:val="20"/>
          <w:vertAlign w:val="baseline"/>
        </w:rPr>
        <w:t> </w:t>
      </w:r>
      <w:r>
        <w:rPr>
          <w:rFonts w:ascii="Calibri"/>
          <w:sz w:val="20"/>
          <w:vertAlign w:val="baseline"/>
        </w:rPr>
        <w:t>B.C.L.C.</w:t>
      </w:r>
      <w:r>
        <w:rPr>
          <w:rFonts w:ascii="Calibri"/>
          <w:spacing w:val="-9"/>
          <w:sz w:val="20"/>
          <w:vertAlign w:val="baseline"/>
        </w:rPr>
        <w:t> </w:t>
      </w:r>
      <w:r>
        <w:rPr>
          <w:rFonts w:ascii="Calibri"/>
          <w:spacing w:val="-4"/>
          <w:sz w:val="20"/>
          <w:vertAlign w:val="baseline"/>
        </w:rPr>
        <w:t>382.</w:t>
      </w:r>
    </w:p>
    <w:p>
      <w:pPr>
        <w:spacing w:before="1"/>
        <w:ind w:left="308" w:right="255" w:firstLine="0"/>
        <w:jc w:val="left"/>
        <w:rPr>
          <w:rFonts w:ascii="Calibri"/>
          <w:sz w:val="20"/>
        </w:rPr>
      </w:pPr>
      <w:r>
        <w:rPr>
          <w:rFonts w:ascii="Calibri"/>
          <w:sz w:val="20"/>
          <w:vertAlign w:val="superscript"/>
        </w:rPr>
        <w:t>20</w:t>
      </w:r>
      <w:r>
        <w:rPr>
          <w:rFonts w:ascii="Calibri"/>
          <w:sz w:val="20"/>
          <w:vertAlign w:val="baseline"/>
        </w:rPr>
        <w:t>Davies,</w:t>
      </w:r>
      <w:r>
        <w:rPr>
          <w:rFonts w:ascii="Calibri"/>
          <w:spacing w:val="40"/>
          <w:sz w:val="20"/>
          <w:vertAlign w:val="baseline"/>
        </w:rPr>
        <w:t> </w:t>
      </w:r>
      <w:r>
        <w:rPr>
          <w:rFonts w:ascii="Calibri"/>
          <w:sz w:val="20"/>
          <w:vertAlign w:val="baseline"/>
        </w:rPr>
        <w:t>L.P.</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Worthington,</w:t>
      </w:r>
      <w:r>
        <w:rPr>
          <w:rFonts w:ascii="Calibri"/>
          <w:spacing w:val="40"/>
          <w:sz w:val="20"/>
          <w:vertAlign w:val="baseline"/>
        </w:rPr>
        <w:t> </w:t>
      </w:r>
      <w:r>
        <w:rPr>
          <w:rFonts w:ascii="Calibri"/>
          <w:sz w:val="20"/>
          <w:vertAlign w:val="baseline"/>
        </w:rPr>
        <w:t>S.</w:t>
      </w:r>
      <w:r>
        <w:rPr>
          <w:rFonts w:ascii="Calibri"/>
          <w:spacing w:val="40"/>
          <w:sz w:val="20"/>
          <w:vertAlign w:val="baseline"/>
        </w:rPr>
        <w:t> </w:t>
      </w:r>
      <w:r>
        <w:rPr>
          <w:rFonts w:ascii="Calibri"/>
          <w:sz w:val="20"/>
          <w:vertAlign w:val="baseline"/>
        </w:rPr>
        <w:t>(2012).</w:t>
      </w:r>
      <w:r>
        <w:rPr>
          <w:rFonts w:ascii="Calibri"/>
          <w:i/>
          <w:sz w:val="20"/>
          <w:vertAlign w:val="baseline"/>
        </w:rPr>
        <w:t>Gower</w:t>
      </w:r>
      <w:r>
        <w:rPr>
          <w:rFonts w:ascii="Calibri"/>
          <w:i/>
          <w:spacing w:val="37"/>
          <w:sz w:val="20"/>
          <w:vertAlign w:val="baseline"/>
        </w:rPr>
        <w:t> </w:t>
      </w:r>
      <w:r>
        <w:rPr>
          <w:rFonts w:ascii="Calibri"/>
          <w:i/>
          <w:sz w:val="20"/>
          <w:vertAlign w:val="baseline"/>
        </w:rPr>
        <w:t>&amp;</w:t>
      </w:r>
      <w:r>
        <w:rPr>
          <w:rFonts w:ascii="Calibri"/>
          <w:i/>
          <w:spacing w:val="40"/>
          <w:sz w:val="20"/>
          <w:vertAlign w:val="baseline"/>
        </w:rPr>
        <w:t> </w:t>
      </w:r>
      <w:r>
        <w:rPr>
          <w:rFonts w:ascii="Calibri"/>
          <w:i/>
          <w:sz w:val="20"/>
          <w:vertAlign w:val="baseline"/>
        </w:rPr>
        <w:t>Davies:</w:t>
      </w:r>
      <w:r>
        <w:rPr>
          <w:rFonts w:ascii="Calibri"/>
          <w:i/>
          <w:spacing w:val="40"/>
          <w:sz w:val="20"/>
          <w:vertAlign w:val="baseline"/>
        </w:rPr>
        <w:t> </w:t>
      </w:r>
      <w:r>
        <w:rPr>
          <w:rFonts w:ascii="Calibri"/>
          <w:i/>
          <w:sz w:val="20"/>
          <w:vertAlign w:val="baseline"/>
        </w:rPr>
        <w:t>Principles</w:t>
      </w:r>
      <w:r>
        <w:rPr>
          <w:rFonts w:ascii="Calibri"/>
          <w:i/>
          <w:spacing w:val="40"/>
          <w:sz w:val="20"/>
          <w:vertAlign w:val="baseline"/>
        </w:rPr>
        <w:t> </w:t>
      </w:r>
      <w:r>
        <w:rPr>
          <w:rFonts w:ascii="Calibri"/>
          <w:i/>
          <w:sz w:val="20"/>
          <w:vertAlign w:val="baseline"/>
        </w:rPr>
        <w:t>of</w:t>
      </w:r>
      <w:r>
        <w:rPr>
          <w:rFonts w:ascii="Calibri"/>
          <w:i/>
          <w:spacing w:val="40"/>
          <w:sz w:val="20"/>
          <w:vertAlign w:val="baseline"/>
        </w:rPr>
        <w:t> </w:t>
      </w:r>
      <w:r>
        <w:rPr>
          <w:rFonts w:ascii="Calibri"/>
          <w:i/>
          <w:sz w:val="20"/>
          <w:vertAlign w:val="baseline"/>
        </w:rPr>
        <w:t>Modern</w:t>
      </w:r>
      <w:r>
        <w:rPr>
          <w:rFonts w:ascii="Calibri"/>
          <w:i/>
          <w:spacing w:val="40"/>
          <w:sz w:val="20"/>
          <w:vertAlign w:val="baseline"/>
        </w:rPr>
        <w:t> </w:t>
      </w:r>
      <w:r>
        <w:rPr>
          <w:rFonts w:ascii="Calibri"/>
          <w:i/>
          <w:sz w:val="20"/>
          <w:vertAlign w:val="baseline"/>
        </w:rPr>
        <w:t>Company</w:t>
      </w:r>
      <w:r>
        <w:rPr>
          <w:rFonts w:ascii="Calibri"/>
          <w:i/>
          <w:spacing w:val="40"/>
          <w:sz w:val="20"/>
          <w:vertAlign w:val="baseline"/>
        </w:rPr>
        <w:t> </w:t>
      </w:r>
      <w:r>
        <w:rPr>
          <w:rFonts w:ascii="Calibri"/>
          <w:i/>
          <w:sz w:val="20"/>
          <w:vertAlign w:val="baseline"/>
        </w:rPr>
        <w:t>Law,</w:t>
      </w:r>
      <w:r>
        <w:rPr>
          <w:rFonts w:ascii="Calibri"/>
          <w:i/>
          <w:spacing w:val="40"/>
          <w:sz w:val="20"/>
          <w:vertAlign w:val="baseline"/>
        </w:rPr>
        <w:t> </w:t>
      </w:r>
      <w:r>
        <w:rPr>
          <w:rFonts w:ascii="Calibri"/>
          <w:sz w:val="20"/>
          <w:vertAlign w:val="baseline"/>
        </w:rPr>
        <w:t>9</w:t>
      </w:r>
      <w:r>
        <w:rPr>
          <w:rFonts w:ascii="Calibri"/>
          <w:sz w:val="20"/>
          <w:vertAlign w:val="superscript"/>
        </w:rPr>
        <w:t>th</w:t>
      </w:r>
      <w:r>
        <w:rPr>
          <w:rFonts w:ascii="Calibri"/>
          <w:sz w:val="20"/>
          <w:vertAlign w:val="baseline"/>
        </w:rPr>
        <w:t> edition, Sweet and Maxwell, London, p. 509.</w:t>
      </w:r>
    </w:p>
    <w:p>
      <w:pPr>
        <w:spacing w:before="1"/>
        <w:ind w:left="308" w:right="255" w:firstLine="0"/>
        <w:jc w:val="left"/>
        <w:rPr>
          <w:rFonts w:ascii="Calibri" w:hAnsi="Calibri"/>
          <w:sz w:val="20"/>
        </w:rPr>
      </w:pPr>
      <w:r>
        <w:rPr>
          <w:rFonts w:ascii="Calibri" w:hAnsi="Calibri"/>
          <w:sz w:val="20"/>
          <w:vertAlign w:val="superscript"/>
        </w:rPr>
        <w:t>21</w:t>
      </w:r>
      <w:r>
        <w:rPr>
          <w:rFonts w:ascii="Calibri" w:hAnsi="Calibri"/>
          <w:sz w:val="20"/>
          <w:vertAlign w:val="baseline"/>
        </w:rPr>
        <w:t> Or insider trading, which is a situation whereby a company’s insider, such as a director, having access to privileged information by virtue of his office, engages in profitable share transactions for his benefit.</w:t>
      </w:r>
    </w:p>
    <w:p>
      <w:pPr>
        <w:spacing w:after="0"/>
        <w:jc w:val="left"/>
        <w:rPr>
          <w:rFonts w:ascii="Calibri" w:hAnsi="Calibri"/>
          <w:sz w:val="20"/>
        </w:rPr>
        <w:sectPr>
          <w:pgSz w:w="11910" w:h="16840"/>
          <w:pgMar w:header="0" w:footer="1003" w:top="1280" w:bottom="1200" w:left="1680" w:right="1180"/>
        </w:sectPr>
      </w:pPr>
    </w:p>
    <w:p>
      <w:pPr>
        <w:pStyle w:val="BodyText"/>
        <w:spacing w:line="480" w:lineRule="auto" w:before="70"/>
        <w:ind w:right="231"/>
        <w:jc w:val="both"/>
      </w:pPr>
      <w:r>
        <w:rPr/>
        <w:t>insider dealing. Further, the power of directors to allot shares has now been greatly curtailed by statute, by requiring members to give periodic authorisation.</w:t>
      </w:r>
      <w:r>
        <w:rPr>
          <w:vertAlign w:val="superscript"/>
        </w:rPr>
        <w:t>22</w:t>
      </w:r>
    </w:p>
    <w:p>
      <w:pPr>
        <w:pStyle w:val="BodyText"/>
        <w:spacing w:line="480" w:lineRule="auto"/>
        <w:ind w:right="234" w:firstLine="720"/>
        <w:jc w:val="both"/>
      </w:pPr>
      <w:r>
        <w:rPr/>
        <w:t>Although directors do not owe duties to their company‘s employees, creditors and other such associates per se, they may still need to have regard to their interests under certain circumstances. This point is discussed further under </w:t>
      </w:r>
      <w:r>
        <w:rPr>
          <w:b/>
        </w:rPr>
        <w:t>4.2.3</w:t>
      </w:r>
      <w:r>
        <w:rPr/>
        <w:t>infra.</w:t>
      </w:r>
    </w:p>
    <w:p>
      <w:pPr>
        <w:pStyle w:val="Heading2"/>
        <w:numPr>
          <w:ilvl w:val="2"/>
          <w:numId w:val="15"/>
        </w:numPr>
        <w:tabs>
          <w:tab w:pos="1027" w:val="left" w:leader="none"/>
        </w:tabs>
        <w:spacing w:line="240" w:lineRule="auto" w:before="207" w:after="0"/>
        <w:ind w:left="1027" w:right="0" w:hanging="719"/>
        <w:jc w:val="both"/>
      </w:pPr>
      <w:bookmarkStart w:name="_TOC_250020" w:id="32"/>
      <w:r>
        <w:rPr/>
        <w:t>Duty</w:t>
      </w:r>
      <w:r>
        <w:rPr>
          <w:spacing w:val="-2"/>
        </w:rPr>
        <w:t> </w:t>
      </w:r>
      <w:r>
        <w:rPr/>
        <w:t>to</w:t>
      </w:r>
      <w:r>
        <w:rPr>
          <w:spacing w:val="-3"/>
        </w:rPr>
        <w:t> </w:t>
      </w:r>
      <w:r>
        <w:rPr/>
        <w:t>Act</w:t>
      </w:r>
      <w:r>
        <w:rPr>
          <w:spacing w:val="1"/>
        </w:rPr>
        <w:t> </w:t>
      </w:r>
      <w:r>
        <w:rPr/>
        <w:t>within</w:t>
      </w:r>
      <w:bookmarkEnd w:id="32"/>
      <w:r>
        <w:rPr>
          <w:spacing w:val="-2"/>
        </w:rPr>
        <w:t> Powers</w:t>
      </w:r>
    </w:p>
    <w:p>
      <w:pPr>
        <w:pStyle w:val="BodyText"/>
        <w:spacing w:line="480" w:lineRule="auto" w:before="132"/>
        <w:ind w:right="240"/>
        <w:jc w:val="both"/>
      </w:pPr>
      <w:r>
        <w:rPr/>
        <w:t>The first of</w:t>
      </w:r>
      <w:r>
        <w:rPr>
          <w:spacing w:val="-1"/>
        </w:rPr>
        <w:t> </w:t>
      </w:r>
      <w:r>
        <w:rPr/>
        <w:t>the duties recognised by the Act is that which requires the director to ―act within powers‖.</w:t>
      </w:r>
      <w:r>
        <w:rPr>
          <w:vertAlign w:val="superscript"/>
        </w:rPr>
        <w:t>23</w:t>
      </w:r>
      <w:r>
        <w:rPr>
          <w:vertAlign w:val="baseline"/>
        </w:rPr>
        <w:t> This replaces the common law principle under which directors must act in accordance with the memorandum and articles and the proper purpose doctrine. To be more specific about the meaning of ―powers‖ under the Act, it is stated that ―a director of a company must</w:t>
      </w:r>
      <w:r>
        <w:rPr>
          <w:spacing w:val="18"/>
          <w:vertAlign w:val="baseline"/>
        </w:rPr>
        <w:t> </w:t>
      </w:r>
      <w:r>
        <w:rPr>
          <w:vertAlign w:val="baseline"/>
        </w:rPr>
        <w:t>(a) act in accordance with the company‘s constitution, and</w:t>
      </w:r>
    </w:p>
    <w:p>
      <w:pPr>
        <w:pStyle w:val="BodyText"/>
        <w:spacing w:line="480" w:lineRule="auto" w:before="2"/>
        <w:ind w:right="230"/>
        <w:jc w:val="both"/>
      </w:pPr>
      <w:r>
        <w:rPr/>
        <w:t>(b) only exercise powers for the purposes for which they are conferred‖.</w:t>
      </w:r>
      <w:r>
        <w:rPr>
          <w:vertAlign w:val="superscript"/>
        </w:rPr>
        <w:t>24</w:t>
      </w:r>
      <w:r>
        <w:rPr>
          <w:vertAlign w:val="baseline"/>
        </w:rPr>
        <w:t> Unlike the principle under common law, specific mention of the ―memorandum‖ is omitted here because the Act has abolished the limitation on the powers of commercial companies. Thus, unless a company specifically elects to restrict its objects, it can generally decide to do any act which an individual can undertake.</w:t>
      </w:r>
      <w:r>
        <w:rPr>
          <w:vertAlign w:val="superscript"/>
        </w:rPr>
        <w:t>25</w:t>
      </w:r>
    </w:p>
    <w:p>
      <w:pPr>
        <w:pStyle w:val="BodyText"/>
        <w:spacing w:line="480" w:lineRule="auto"/>
        <w:ind w:right="235" w:firstLine="720"/>
        <w:jc w:val="both"/>
      </w:pPr>
      <w:r>
        <w:rPr/>
        <w:t>Further, ―the</w:t>
      </w:r>
      <w:r>
        <w:rPr>
          <w:spacing w:val="-2"/>
        </w:rPr>
        <w:t> </w:t>
      </w:r>
      <w:r>
        <w:rPr/>
        <w:t>company‘s</w:t>
      </w:r>
      <w:r>
        <w:rPr>
          <w:spacing w:val="-2"/>
        </w:rPr>
        <w:t> </w:t>
      </w:r>
      <w:r>
        <w:rPr/>
        <w:t>constitution‖ has been</w:t>
      </w:r>
      <w:r>
        <w:rPr>
          <w:spacing w:val="-5"/>
        </w:rPr>
        <w:t> </w:t>
      </w:r>
      <w:r>
        <w:rPr/>
        <w:t>defined</w:t>
      </w:r>
      <w:r>
        <w:rPr>
          <w:spacing w:val="-1"/>
        </w:rPr>
        <w:t> </w:t>
      </w:r>
      <w:r>
        <w:rPr/>
        <w:t>under s.17</w:t>
      </w:r>
      <w:r>
        <w:rPr>
          <w:spacing w:val="-1"/>
        </w:rPr>
        <w:t> </w:t>
      </w:r>
      <w:r>
        <w:rPr/>
        <w:t>of</w:t>
      </w:r>
      <w:r>
        <w:rPr>
          <w:spacing w:val="-7"/>
        </w:rPr>
        <w:t> </w:t>
      </w:r>
      <w:r>
        <w:rPr/>
        <w:t>the</w:t>
      </w:r>
      <w:r>
        <w:rPr>
          <w:spacing w:val="-2"/>
        </w:rPr>
        <w:t> </w:t>
      </w:r>
      <w:r>
        <w:rPr/>
        <w:t>Act as including</w:t>
      </w:r>
      <w:r>
        <w:rPr>
          <w:spacing w:val="11"/>
        </w:rPr>
        <w:t> </w:t>
      </w:r>
      <w:r>
        <w:rPr/>
        <w:t>(a)</w:t>
      </w:r>
      <w:r>
        <w:rPr>
          <w:spacing w:val="15"/>
        </w:rPr>
        <w:t> </w:t>
      </w:r>
      <w:r>
        <w:rPr/>
        <w:t>the</w:t>
      </w:r>
      <w:r>
        <w:rPr>
          <w:spacing w:val="13"/>
        </w:rPr>
        <w:t> </w:t>
      </w:r>
      <w:r>
        <w:rPr/>
        <w:t>company‘s</w:t>
      </w:r>
      <w:r>
        <w:rPr>
          <w:spacing w:val="12"/>
        </w:rPr>
        <w:t> </w:t>
      </w:r>
      <w:r>
        <w:rPr/>
        <w:t>articles</w:t>
      </w:r>
      <w:r>
        <w:rPr>
          <w:spacing w:val="11"/>
        </w:rPr>
        <w:t> </w:t>
      </w:r>
      <w:r>
        <w:rPr/>
        <w:t>and</w:t>
      </w:r>
      <w:r>
        <w:rPr>
          <w:spacing w:val="14"/>
        </w:rPr>
        <w:t> </w:t>
      </w:r>
      <w:r>
        <w:rPr/>
        <w:t>(b)</w:t>
      </w:r>
      <w:r>
        <w:rPr>
          <w:spacing w:val="15"/>
        </w:rPr>
        <w:t> </w:t>
      </w:r>
      <w:r>
        <w:rPr/>
        <w:t>any</w:t>
      </w:r>
      <w:r>
        <w:rPr>
          <w:spacing w:val="9"/>
        </w:rPr>
        <w:t> </w:t>
      </w:r>
      <w:r>
        <w:rPr/>
        <w:t>resolutions</w:t>
      </w:r>
      <w:r>
        <w:rPr>
          <w:spacing w:val="11"/>
        </w:rPr>
        <w:t> </w:t>
      </w:r>
      <w:r>
        <w:rPr/>
        <w:t>or</w:t>
      </w:r>
      <w:r>
        <w:rPr>
          <w:spacing w:val="16"/>
        </w:rPr>
        <w:t> </w:t>
      </w:r>
      <w:r>
        <w:rPr/>
        <w:t>agreements</w:t>
      </w:r>
      <w:r>
        <w:rPr>
          <w:spacing w:val="11"/>
        </w:rPr>
        <w:t> </w:t>
      </w:r>
      <w:r>
        <w:rPr/>
        <w:t>specified</w:t>
      </w:r>
      <w:r>
        <w:rPr>
          <w:spacing w:val="19"/>
        </w:rPr>
        <w:t> </w:t>
      </w:r>
      <w:r>
        <w:rPr>
          <w:spacing w:val="-5"/>
        </w:rPr>
        <w:t>in</w:t>
      </w:r>
    </w:p>
    <w:p>
      <w:pPr>
        <w:pStyle w:val="BodyText"/>
        <w:spacing w:line="277" w:lineRule="exact"/>
        <w:jc w:val="both"/>
      </w:pPr>
      <w:r>
        <w:rPr/>
        <w:t>s.29.</w:t>
      </w:r>
      <w:r>
        <w:rPr>
          <w:position w:val="11"/>
          <w:sz w:val="16"/>
        </w:rPr>
        <w:t>26</w:t>
      </w:r>
      <w:r>
        <w:rPr>
          <w:spacing w:val="22"/>
          <w:position w:val="11"/>
          <w:sz w:val="16"/>
        </w:rPr>
        <w:t> </w:t>
      </w:r>
      <w:r>
        <w:rPr/>
        <w:t>These</w:t>
      </w:r>
      <w:r>
        <w:rPr>
          <w:spacing w:val="4"/>
        </w:rPr>
        <w:t> </w:t>
      </w:r>
      <w:r>
        <w:rPr/>
        <w:t>include</w:t>
      </w:r>
      <w:r>
        <w:rPr>
          <w:spacing w:val="-1"/>
        </w:rPr>
        <w:t> </w:t>
      </w:r>
      <w:r>
        <w:rPr/>
        <w:t>special</w:t>
      </w:r>
      <w:r>
        <w:rPr>
          <w:spacing w:val="-8"/>
        </w:rPr>
        <w:t> </w:t>
      </w:r>
      <w:r>
        <w:rPr/>
        <w:t>resolutions</w:t>
      </w:r>
      <w:r>
        <w:rPr>
          <w:spacing w:val="-2"/>
        </w:rPr>
        <w:t> </w:t>
      </w:r>
      <w:r>
        <w:rPr/>
        <w:t>passed</w:t>
      </w:r>
      <w:r>
        <w:rPr>
          <w:spacing w:val="4"/>
        </w:rPr>
        <w:t> </w:t>
      </w:r>
      <w:r>
        <w:rPr/>
        <w:t>by</w:t>
      </w:r>
      <w:r>
        <w:rPr>
          <w:spacing w:val="-5"/>
        </w:rPr>
        <w:t> </w:t>
      </w:r>
      <w:r>
        <w:rPr/>
        <w:t>the company</w:t>
      </w:r>
      <w:r>
        <w:rPr>
          <w:spacing w:val="-5"/>
        </w:rPr>
        <w:t> </w:t>
      </w:r>
      <w:r>
        <w:rPr/>
        <w:t>and</w:t>
      </w:r>
      <w:r>
        <w:rPr>
          <w:spacing w:val="4"/>
        </w:rPr>
        <w:t> </w:t>
      </w:r>
      <w:r>
        <w:rPr/>
        <w:t>any</w:t>
      </w:r>
      <w:r>
        <w:rPr>
          <w:spacing w:val="-4"/>
        </w:rPr>
        <w:t> </w:t>
      </w:r>
      <w:r>
        <w:rPr/>
        <w:t>resolutions</w:t>
      </w:r>
      <w:r>
        <w:rPr>
          <w:spacing w:val="-2"/>
        </w:rPr>
        <w:t> </w:t>
      </w:r>
      <w:r>
        <w:rPr>
          <w:spacing w:val="-5"/>
        </w:rPr>
        <w:t>and</w:t>
      </w:r>
    </w:p>
    <w:p>
      <w:pPr>
        <w:pStyle w:val="BodyText"/>
        <w:ind w:left="0"/>
      </w:pPr>
    </w:p>
    <w:p>
      <w:pPr>
        <w:pStyle w:val="BodyText"/>
        <w:jc w:val="both"/>
      </w:pPr>
      <w:r>
        <w:rPr/>
        <w:t>agreements</w:t>
      </w:r>
      <w:r>
        <w:rPr>
          <w:spacing w:val="-4"/>
        </w:rPr>
        <w:t> </w:t>
      </w:r>
      <w:r>
        <w:rPr/>
        <w:t>that</w:t>
      </w:r>
      <w:r>
        <w:rPr>
          <w:spacing w:val="4"/>
        </w:rPr>
        <w:t> </w:t>
      </w:r>
      <w:r>
        <w:rPr/>
        <w:t>have been</w:t>
      </w:r>
      <w:r>
        <w:rPr>
          <w:spacing w:val="-5"/>
        </w:rPr>
        <w:t> </w:t>
      </w:r>
      <w:r>
        <w:rPr/>
        <w:t>agreed to,</w:t>
      </w:r>
      <w:r>
        <w:rPr>
          <w:spacing w:val="-2"/>
        </w:rPr>
        <w:t> </w:t>
      </w:r>
      <w:r>
        <w:rPr/>
        <w:t>or</w:t>
      </w:r>
      <w:r>
        <w:rPr>
          <w:spacing w:val="-3"/>
        </w:rPr>
        <w:t> </w:t>
      </w:r>
      <w:r>
        <w:rPr/>
        <w:t>which</w:t>
      </w:r>
      <w:r>
        <w:rPr>
          <w:spacing w:val="-5"/>
        </w:rPr>
        <w:t> </w:t>
      </w:r>
      <w:r>
        <w:rPr/>
        <w:t>otherwise</w:t>
      </w:r>
      <w:r>
        <w:rPr>
          <w:spacing w:val="4"/>
        </w:rPr>
        <w:t> </w:t>
      </w:r>
      <w:r>
        <w:rPr/>
        <w:t>bind classes</w:t>
      </w:r>
      <w:r>
        <w:rPr>
          <w:spacing w:val="-2"/>
        </w:rPr>
        <w:t> </w:t>
      </w:r>
      <w:r>
        <w:rPr/>
        <w:t>of</w:t>
      </w:r>
      <w:r>
        <w:rPr>
          <w:spacing w:val="-7"/>
        </w:rPr>
        <w:t> </w:t>
      </w:r>
      <w:r>
        <w:rPr>
          <w:spacing w:val="-2"/>
        </w:rPr>
        <w:t>shareholders.</w:t>
      </w:r>
    </w:p>
    <w:p>
      <w:pPr>
        <w:pStyle w:val="BodyText"/>
        <w:spacing w:line="550" w:lineRule="atLeast" w:before="3"/>
        <w:ind w:right="230" w:firstLine="720"/>
        <w:jc w:val="both"/>
      </w:pPr>
      <w:r>
        <w:rPr/>
        <w:t>The reference to the company‘s constitution here as a document or act of the company that has the potential to restrict, or in some manner, define, the powers of the directors,</w:t>
      </w:r>
      <w:r>
        <w:rPr>
          <w:spacing w:val="-3"/>
        </w:rPr>
        <w:t> </w:t>
      </w:r>
      <w:r>
        <w:rPr/>
        <w:t>has</w:t>
      </w:r>
      <w:r>
        <w:rPr>
          <w:spacing w:val="-6"/>
        </w:rPr>
        <w:t> </w:t>
      </w:r>
      <w:r>
        <w:rPr/>
        <w:t>two</w:t>
      </w:r>
      <w:r>
        <w:rPr>
          <w:spacing w:val="-1"/>
        </w:rPr>
        <w:t> </w:t>
      </w:r>
      <w:r>
        <w:rPr/>
        <w:t>important implications.</w:t>
      </w:r>
      <w:r>
        <w:rPr>
          <w:spacing w:val="-3"/>
        </w:rPr>
        <w:t> </w:t>
      </w:r>
      <w:r>
        <w:rPr/>
        <w:t>Firstly, allowing</w:t>
      </w:r>
      <w:r>
        <w:rPr>
          <w:spacing w:val="-4"/>
        </w:rPr>
        <w:t> </w:t>
      </w:r>
      <w:r>
        <w:rPr/>
        <w:t>this broad meaning for ―the</w:t>
      </w:r>
    </w:p>
    <w:p>
      <w:pPr>
        <w:pStyle w:val="BodyText"/>
        <w:spacing w:before="7"/>
        <w:ind w:left="0"/>
        <w:rPr>
          <w:sz w:val="14"/>
        </w:rPr>
      </w:pPr>
      <w:r>
        <w:rPr/>
        <mc:AlternateContent>
          <mc:Choice Requires="wps">
            <w:drawing>
              <wp:anchor distT="0" distB="0" distL="0" distR="0" allowOverlap="1" layoutInCell="1" locked="0" behindDoc="1" simplePos="0" relativeHeight="487673344">
                <wp:simplePos x="0" y="0"/>
                <wp:positionH relativeFrom="page">
                  <wp:posOffset>1262481</wp:posOffset>
                </wp:positionH>
                <wp:positionV relativeFrom="paragraph">
                  <wp:posOffset>121917</wp:posOffset>
                </wp:positionV>
                <wp:extent cx="1829435" cy="9525"/>
                <wp:effectExtent l="0" t="0" r="0" b="0"/>
                <wp:wrapTopAndBottom/>
                <wp:docPr id="190" name="Graphic 190"/>
                <wp:cNvGraphicFramePr>
                  <a:graphicFrameLocks/>
                </wp:cNvGraphicFramePr>
                <a:graphic>
                  <a:graphicData uri="http://schemas.microsoft.com/office/word/2010/wordprocessingShape">
                    <wps:wsp>
                      <wps:cNvPr id="190" name="Graphic 19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599833pt;width:144.050pt;height:.72003pt;mso-position-horizontal-relative:page;mso-position-vertical-relative:paragraph;z-index:-15643136;mso-wrap-distance-left:0;mso-wrap-distance-right:0" id="docshape145"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22</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551,</w:t>
      </w:r>
      <w:r>
        <w:rPr>
          <w:rFonts w:ascii="Calibri"/>
          <w:spacing w:val="-8"/>
          <w:sz w:val="20"/>
          <w:vertAlign w:val="baseline"/>
        </w:rPr>
        <w:t> </w:t>
      </w:r>
      <w:r>
        <w:rPr>
          <w:rFonts w:ascii="Calibri"/>
          <w:spacing w:val="-2"/>
          <w:sz w:val="20"/>
          <w:vertAlign w:val="baseline"/>
        </w:rPr>
        <w:t>generally.</w:t>
      </w:r>
    </w:p>
    <w:p>
      <w:pPr>
        <w:spacing w:before="0"/>
        <w:ind w:left="308" w:right="0" w:firstLine="0"/>
        <w:jc w:val="left"/>
        <w:rPr>
          <w:rFonts w:ascii="Calibri"/>
          <w:sz w:val="20"/>
        </w:rPr>
      </w:pPr>
      <w:r>
        <w:rPr>
          <w:rFonts w:ascii="Calibri"/>
          <w:sz w:val="20"/>
          <w:vertAlign w:val="superscript"/>
        </w:rPr>
        <w:t>23</w:t>
      </w:r>
      <w:r>
        <w:rPr>
          <w:rFonts w:ascii="Calibri"/>
          <w:spacing w:val="2"/>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w:t>
      </w:r>
      <w:r>
        <w:rPr>
          <w:rFonts w:ascii="Calibri"/>
          <w:spacing w:val="2"/>
          <w:sz w:val="20"/>
          <w:vertAlign w:val="baseline"/>
        </w:rPr>
        <w:t> </w:t>
      </w:r>
      <w:r>
        <w:rPr>
          <w:rFonts w:ascii="Calibri"/>
          <w:spacing w:val="-5"/>
          <w:sz w:val="20"/>
          <w:vertAlign w:val="baseline"/>
        </w:rPr>
        <w:t>171</w:t>
      </w:r>
    </w:p>
    <w:p>
      <w:pPr>
        <w:spacing w:before="1"/>
        <w:ind w:left="308" w:right="0" w:firstLine="0"/>
        <w:jc w:val="left"/>
        <w:rPr>
          <w:rFonts w:ascii="Calibri"/>
          <w:sz w:val="20"/>
        </w:rPr>
      </w:pPr>
      <w:r>
        <w:rPr>
          <w:rFonts w:ascii="Calibri"/>
          <w:sz w:val="20"/>
          <w:vertAlign w:val="superscript"/>
        </w:rPr>
        <w:t>24</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pacing w:val="-4"/>
          <w:sz w:val="20"/>
          <w:vertAlign w:val="baseline"/>
        </w:rPr>
        <w:t>171.</w:t>
      </w:r>
    </w:p>
    <w:p>
      <w:pPr>
        <w:spacing w:before="1"/>
        <w:ind w:left="308" w:right="0" w:firstLine="0"/>
        <w:jc w:val="left"/>
        <w:rPr>
          <w:rFonts w:ascii="Calibri"/>
          <w:sz w:val="20"/>
        </w:rPr>
      </w:pPr>
      <w:r>
        <w:rPr>
          <w:rFonts w:ascii="Calibri"/>
          <w:sz w:val="20"/>
          <w:vertAlign w:val="superscript"/>
        </w:rPr>
        <w:t>25</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pacing w:val="-2"/>
          <w:sz w:val="20"/>
          <w:vertAlign w:val="baseline"/>
        </w:rPr>
        <w:t>31(1)</w:t>
      </w:r>
    </w:p>
    <w:p>
      <w:pPr>
        <w:spacing w:before="0"/>
        <w:ind w:left="308" w:right="0" w:firstLine="0"/>
        <w:jc w:val="left"/>
        <w:rPr>
          <w:rFonts w:ascii="Calibri"/>
          <w:sz w:val="20"/>
        </w:rPr>
      </w:pPr>
      <w:r>
        <w:rPr>
          <w:rFonts w:ascii="Calibri"/>
          <w:sz w:val="20"/>
          <w:vertAlign w:val="superscript"/>
        </w:rPr>
        <w:t>26</w:t>
      </w:r>
      <w:r>
        <w:rPr>
          <w:rFonts w:ascii="Calibri"/>
          <w:sz w:val="20"/>
          <w:vertAlign w:val="baseline"/>
        </w:rPr>
        <w:t> See</w:t>
      </w:r>
      <w:r>
        <w:rPr>
          <w:rFonts w:ascii="Calibri"/>
          <w:spacing w:val="-5"/>
          <w:sz w:val="20"/>
          <w:vertAlign w:val="baseline"/>
        </w:rPr>
        <w:t> </w:t>
      </w:r>
      <w:r>
        <w:rPr>
          <w:rFonts w:ascii="Calibri"/>
          <w:sz w:val="20"/>
          <w:vertAlign w:val="baseline"/>
        </w:rPr>
        <w:t>also</w:t>
      </w:r>
      <w:r>
        <w:rPr>
          <w:rFonts w:ascii="Calibri"/>
          <w:spacing w:val="-2"/>
          <w:sz w:val="20"/>
          <w:vertAlign w:val="baseline"/>
        </w:rPr>
        <w:t> </w:t>
      </w:r>
      <w:r>
        <w:rPr>
          <w:rFonts w:ascii="Calibri"/>
          <w:sz w:val="20"/>
          <w:vertAlign w:val="baseline"/>
        </w:rPr>
        <w:t>s.</w:t>
      </w:r>
      <w:r>
        <w:rPr>
          <w:rFonts w:ascii="Calibri"/>
          <w:spacing w:val="1"/>
          <w:sz w:val="20"/>
          <w:vertAlign w:val="baseline"/>
        </w:rPr>
        <w:t> </w:t>
      </w:r>
      <w:r>
        <w:rPr>
          <w:rFonts w:ascii="Calibri"/>
          <w:spacing w:val="-4"/>
          <w:sz w:val="20"/>
          <w:vertAlign w:val="baseline"/>
        </w:rPr>
        <w:t>257.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6"/>
        <w:jc w:val="both"/>
      </w:pPr>
      <w:r>
        <w:rPr/>
        <w:t>constitution‖ is helpful in easing the decision-making process in companies. In order to check the directors, for instance, the shareholders need not always resort to the complicated process of altering the articles: they could simply take a decision in the general meeting giving the directors instructions to act in a certain way.</w:t>
      </w:r>
      <w:r>
        <w:rPr>
          <w:vertAlign w:val="superscript"/>
        </w:rPr>
        <w:t>27</w:t>
      </w:r>
    </w:p>
    <w:p>
      <w:pPr>
        <w:pStyle w:val="BodyText"/>
        <w:spacing w:line="480" w:lineRule="auto"/>
        <w:ind w:right="226" w:firstLine="720"/>
        <w:jc w:val="both"/>
      </w:pPr>
      <w:r>
        <w:rPr/>
        <w:t>Secondly, since the duty is captioned ―to act within powers‖, the Act thereby implies that, in their responsibility of organising and administering the affairs of the company, it is essential</w:t>
      </w:r>
      <w:r>
        <w:rPr>
          <w:spacing w:val="-2"/>
        </w:rPr>
        <w:t> </w:t>
      </w:r>
      <w:r>
        <w:rPr/>
        <w:t>for</w:t>
      </w:r>
      <w:r>
        <w:rPr>
          <w:spacing w:val="-1"/>
        </w:rPr>
        <w:t> </w:t>
      </w:r>
      <w:r>
        <w:rPr/>
        <w:t>directors</w:t>
      </w:r>
      <w:r>
        <w:rPr>
          <w:spacing w:val="-3"/>
        </w:rPr>
        <w:t> </w:t>
      </w:r>
      <w:r>
        <w:rPr/>
        <w:t>to familiarise themselves with</w:t>
      </w:r>
      <w:r>
        <w:rPr>
          <w:spacing w:val="-2"/>
        </w:rPr>
        <w:t> </w:t>
      </w:r>
      <w:r>
        <w:rPr/>
        <w:t>the</w:t>
      </w:r>
      <w:r>
        <w:rPr>
          <w:spacing w:val="-2"/>
        </w:rPr>
        <w:t> </w:t>
      </w:r>
      <w:r>
        <w:rPr/>
        <w:t>detailed contents of the company‘s ―constitution‖ as defined under the Act, in order to know what their powers</w:t>
      </w:r>
      <w:r>
        <w:rPr>
          <w:spacing w:val="-1"/>
        </w:rPr>
        <w:t> </w:t>
      </w:r>
      <w:r>
        <w:rPr/>
        <w:t>are</w:t>
      </w:r>
      <w:r>
        <w:rPr>
          <w:spacing w:val="-1"/>
        </w:rPr>
        <w:t> </w:t>
      </w:r>
      <w:r>
        <w:rPr/>
        <w:t>and act within those limits. If</w:t>
      </w:r>
      <w:r>
        <w:rPr>
          <w:spacing w:val="-7"/>
        </w:rPr>
        <w:t> </w:t>
      </w:r>
      <w:r>
        <w:rPr/>
        <w:t>the directors exercise a</w:t>
      </w:r>
      <w:r>
        <w:rPr>
          <w:spacing w:val="-1"/>
        </w:rPr>
        <w:t> </w:t>
      </w:r>
      <w:r>
        <w:rPr/>
        <w:t>power so conferred for a purpose other than that for which, upon proper interpretation, it was conferred, this conduct could be open to challenge. They cannot claim to have acted with good intentions for the good of the company because prima facie, their powers must always</w:t>
      </w:r>
      <w:r>
        <w:rPr>
          <w:spacing w:val="40"/>
        </w:rPr>
        <w:t> </w:t>
      </w:r>
      <w:r>
        <w:rPr/>
        <w:t>be exercised within the limits specified for them.</w:t>
      </w:r>
      <w:r>
        <w:rPr>
          <w:vertAlign w:val="superscript"/>
        </w:rPr>
        <w:t>28</w:t>
      </w:r>
      <w:r>
        <w:rPr>
          <w:vertAlign w:val="baseline"/>
        </w:rPr>
        <w:t> Thus, the use of a power for a collateral purpose in the belief that it</w:t>
      </w:r>
      <w:r>
        <w:rPr>
          <w:spacing w:val="36"/>
          <w:vertAlign w:val="baseline"/>
        </w:rPr>
        <w:t> </w:t>
      </w:r>
      <w:r>
        <w:rPr>
          <w:vertAlign w:val="baseline"/>
        </w:rPr>
        <w:t>is in the best interest of the company, however well intentioned, is liable to be set aside, having been exercised for an improper </w:t>
      </w:r>
      <w:r>
        <w:rPr>
          <w:spacing w:val="-2"/>
          <w:vertAlign w:val="baseline"/>
        </w:rPr>
        <w:t>purpose.</w:t>
      </w:r>
      <w:r>
        <w:rPr>
          <w:spacing w:val="-2"/>
          <w:vertAlign w:val="superscript"/>
        </w:rPr>
        <w:t>29</w:t>
      </w:r>
    </w:p>
    <w:p>
      <w:pPr>
        <w:pStyle w:val="BodyText"/>
        <w:spacing w:line="480" w:lineRule="auto" w:before="3"/>
        <w:ind w:right="233" w:firstLine="720"/>
        <w:jc w:val="both"/>
      </w:pPr>
      <w:r>
        <w:rPr/>
        <w:t>The Act, rightly in this writer‘s view, does not attempt to set out what will qualify as proper purpose: this must be uniquely determined by every given set of circumstance. But clues</w:t>
      </w:r>
      <w:r>
        <w:rPr>
          <w:spacing w:val="-1"/>
        </w:rPr>
        <w:t> </w:t>
      </w:r>
      <w:r>
        <w:rPr/>
        <w:t>can be found in previous case law. Generally, the courts</w:t>
      </w:r>
      <w:r>
        <w:rPr>
          <w:spacing w:val="-1"/>
        </w:rPr>
        <w:t> </w:t>
      </w:r>
      <w:r>
        <w:rPr/>
        <w:t>refrain from</w:t>
      </w:r>
      <w:r>
        <w:rPr>
          <w:spacing w:val="21"/>
        </w:rPr>
        <w:t> </w:t>
      </w:r>
      <w:r>
        <w:rPr/>
        <w:t>substituting</w:t>
      </w:r>
      <w:r>
        <w:rPr>
          <w:spacing w:val="26"/>
        </w:rPr>
        <w:t> </w:t>
      </w:r>
      <w:r>
        <w:rPr/>
        <w:t>their</w:t>
      </w:r>
      <w:r>
        <w:rPr>
          <w:spacing w:val="32"/>
        </w:rPr>
        <w:t> </w:t>
      </w:r>
      <w:r>
        <w:rPr/>
        <w:t>own</w:t>
      </w:r>
      <w:r>
        <w:rPr>
          <w:spacing w:val="25"/>
        </w:rPr>
        <w:t> </w:t>
      </w:r>
      <w:r>
        <w:rPr/>
        <w:t>views</w:t>
      </w:r>
      <w:r>
        <w:rPr>
          <w:spacing w:val="28"/>
        </w:rPr>
        <w:t> </w:t>
      </w:r>
      <w:r>
        <w:rPr/>
        <w:t>for</w:t>
      </w:r>
      <w:r>
        <w:rPr>
          <w:spacing w:val="27"/>
        </w:rPr>
        <w:t> </w:t>
      </w:r>
      <w:r>
        <w:rPr/>
        <w:t>those</w:t>
      </w:r>
      <w:r>
        <w:rPr>
          <w:spacing w:val="25"/>
        </w:rPr>
        <w:t> </w:t>
      </w:r>
      <w:r>
        <w:rPr/>
        <w:t>of</w:t>
      </w:r>
      <w:r>
        <w:rPr>
          <w:spacing w:val="18"/>
        </w:rPr>
        <w:t> </w:t>
      </w:r>
      <w:r>
        <w:rPr/>
        <w:t>the</w:t>
      </w:r>
      <w:r>
        <w:rPr>
          <w:spacing w:val="30"/>
        </w:rPr>
        <w:t> </w:t>
      </w:r>
      <w:r>
        <w:rPr/>
        <w:t>boards</w:t>
      </w:r>
      <w:r>
        <w:rPr>
          <w:spacing w:val="24"/>
        </w:rPr>
        <w:t> </w:t>
      </w:r>
      <w:r>
        <w:rPr/>
        <w:t>as</w:t>
      </w:r>
      <w:r>
        <w:rPr>
          <w:spacing w:val="28"/>
        </w:rPr>
        <w:t> </w:t>
      </w:r>
      <w:r>
        <w:rPr/>
        <w:t>to</w:t>
      </w:r>
      <w:r>
        <w:rPr>
          <w:spacing w:val="31"/>
        </w:rPr>
        <w:t> </w:t>
      </w:r>
      <w:r>
        <w:rPr/>
        <w:t>the</w:t>
      </w:r>
      <w:r>
        <w:rPr>
          <w:spacing w:val="25"/>
        </w:rPr>
        <w:t> </w:t>
      </w:r>
      <w:r>
        <w:rPr/>
        <w:t>correctness</w:t>
      </w:r>
      <w:r>
        <w:rPr>
          <w:spacing w:val="28"/>
        </w:rPr>
        <w:t> </w:t>
      </w:r>
      <w:r>
        <w:rPr/>
        <w:t>of</w:t>
      </w:r>
      <w:r>
        <w:rPr>
          <w:spacing w:val="23"/>
        </w:rPr>
        <w:t> </w:t>
      </w:r>
      <w:r>
        <w:rPr/>
        <w:t>the</w:t>
      </w:r>
    </w:p>
    <w:p>
      <w:pPr>
        <w:pStyle w:val="BodyText"/>
        <w:spacing w:before="158"/>
        <w:ind w:left="0"/>
        <w:rPr>
          <w:sz w:val="20"/>
        </w:rPr>
      </w:pPr>
      <w:r>
        <w:rPr/>
        <mc:AlternateContent>
          <mc:Choice Requires="wps">
            <w:drawing>
              <wp:anchor distT="0" distB="0" distL="0" distR="0" allowOverlap="1" layoutInCell="1" locked="0" behindDoc="1" simplePos="0" relativeHeight="487673856">
                <wp:simplePos x="0" y="0"/>
                <wp:positionH relativeFrom="page">
                  <wp:posOffset>1262481</wp:posOffset>
                </wp:positionH>
                <wp:positionV relativeFrom="paragraph">
                  <wp:posOffset>261960</wp:posOffset>
                </wp:positionV>
                <wp:extent cx="1829435" cy="9525"/>
                <wp:effectExtent l="0" t="0" r="0" b="0"/>
                <wp:wrapTopAndBottom/>
                <wp:docPr id="191" name="Graphic 191"/>
                <wp:cNvGraphicFramePr>
                  <a:graphicFrameLocks/>
                </wp:cNvGraphicFramePr>
                <a:graphic>
                  <a:graphicData uri="http://schemas.microsoft.com/office/word/2010/wordprocessingShape">
                    <wps:wsp>
                      <wps:cNvPr id="191" name="Graphic 191"/>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626844pt;width:144.050pt;height:.72003pt;mso-position-horizontal-relative:page;mso-position-vertical-relative:paragraph;z-index:-15642624;mso-wrap-distance-left:0;mso-wrap-distance-right:0" id="docshape146" filled="true" fillcolor="#000000" stroked="false">
                <v:fill type="solid"/>
                <w10:wrap type="topAndBottom"/>
              </v:rect>
            </w:pict>
          </mc:Fallback>
        </mc:AlternateContent>
      </w:r>
    </w:p>
    <w:p>
      <w:pPr>
        <w:spacing w:line="240" w:lineRule="auto" w:before="102"/>
        <w:ind w:left="308" w:right="228" w:firstLine="0"/>
        <w:jc w:val="both"/>
        <w:rPr>
          <w:rFonts w:ascii="Calibri" w:hAnsi="Calibri"/>
          <w:sz w:val="20"/>
        </w:rPr>
      </w:pPr>
      <w:r>
        <w:rPr>
          <w:rFonts w:ascii="Calibri" w:hAnsi="Calibri"/>
          <w:sz w:val="20"/>
          <w:vertAlign w:val="superscript"/>
        </w:rPr>
        <w:t>27</w:t>
      </w:r>
      <w:r>
        <w:rPr>
          <w:rFonts w:ascii="Calibri" w:hAnsi="Calibri"/>
          <w:sz w:val="20"/>
          <w:vertAlign w:val="baseline"/>
        </w:rPr>
        <w:t> This they can do even where the power in question was originally reserved exclusively for the</w:t>
      </w:r>
      <w:r>
        <w:rPr>
          <w:rFonts w:ascii="Calibri" w:hAnsi="Calibri"/>
          <w:spacing w:val="40"/>
          <w:sz w:val="20"/>
          <w:vertAlign w:val="baseline"/>
        </w:rPr>
        <w:t> </w:t>
      </w:r>
      <w:r>
        <w:rPr>
          <w:rFonts w:ascii="Calibri" w:hAnsi="Calibri"/>
          <w:sz w:val="20"/>
          <w:vertAlign w:val="baseline"/>
        </w:rPr>
        <w:t>directors by the articles. However, it cannot operate retroactively in order to invalidate a previously</w:t>
      </w:r>
      <w:r>
        <w:rPr>
          <w:rFonts w:ascii="Calibri" w:hAnsi="Calibri"/>
          <w:spacing w:val="40"/>
          <w:sz w:val="20"/>
          <w:vertAlign w:val="baseline"/>
        </w:rPr>
        <w:t> </w:t>
      </w:r>
      <w:r>
        <w:rPr>
          <w:rFonts w:ascii="Calibri" w:hAnsi="Calibri"/>
          <w:sz w:val="20"/>
          <w:vertAlign w:val="baseline"/>
        </w:rPr>
        <w:t>valid exercise of the directors’ powers. The proposed model articles supported by the Companies Act (which are applicable to companies by default) make provision for this. See Article 4(1), Schedule 1 Regulation 2, Model Articles for Private Companies Limited by Shares and Article 4(1) Schedule 3 Regulation 4, Model Articles for Public Companies, effective from April 28, 2013.</w:t>
      </w:r>
    </w:p>
    <w:p>
      <w:pPr>
        <w:spacing w:before="0"/>
        <w:ind w:left="308" w:right="235" w:firstLine="0"/>
        <w:jc w:val="both"/>
        <w:rPr>
          <w:rFonts w:ascii="Calibri" w:hAnsi="Calibri"/>
          <w:sz w:val="20"/>
        </w:rPr>
      </w:pPr>
      <w:r>
        <w:rPr>
          <w:rFonts w:ascii="Calibri" w:hAnsi="Calibri"/>
          <w:sz w:val="20"/>
          <w:vertAlign w:val="superscript"/>
        </w:rPr>
        <w:t>28</w:t>
      </w:r>
      <w:r>
        <w:rPr>
          <w:rFonts w:ascii="Calibri" w:hAnsi="Calibri"/>
          <w:sz w:val="20"/>
          <w:vertAlign w:val="baseline"/>
        </w:rPr>
        <w:t> However,</w:t>
      </w:r>
      <w:r>
        <w:rPr>
          <w:rFonts w:ascii="Calibri" w:hAnsi="Calibri"/>
          <w:spacing w:val="-1"/>
          <w:sz w:val="20"/>
          <w:vertAlign w:val="baseline"/>
        </w:rPr>
        <w:t> </w:t>
      </w:r>
      <w:r>
        <w:rPr>
          <w:rFonts w:ascii="Calibri" w:hAnsi="Calibri"/>
          <w:sz w:val="20"/>
          <w:vertAlign w:val="baseline"/>
        </w:rPr>
        <w:t>see s. 40 which is</w:t>
      </w:r>
      <w:r>
        <w:rPr>
          <w:rFonts w:ascii="Calibri" w:hAnsi="Calibri"/>
          <w:spacing w:val="-1"/>
          <w:sz w:val="20"/>
          <w:vertAlign w:val="baseline"/>
        </w:rPr>
        <w:t> </w:t>
      </w:r>
      <w:r>
        <w:rPr>
          <w:rFonts w:ascii="Calibri" w:hAnsi="Calibri"/>
          <w:sz w:val="20"/>
          <w:vertAlign w:val="baseline"/>
        </w:rPr>
        <w:t>a presumption in</w:t>
      </w:r>
      <w:r>
        <w:rPr>
          <w:rFonts w:ascii="Calibri" w:hAnsi="Calibri"/>
          <w:spacing w:val="-4"/>
          <w:sz w:val="20"/>
          <w:vertAlign w:val="baseline"/>
        </w:rPr>
        <w:t> </w:t>
      </w:r>
      <w:r>
        <w:rPr>
          <w:rFonts w:ascii="Calibri" w:hAnsi="Calibri"/>
          <w:sz w:val="20"/>
          <w:vertAlign w:val="baseline"/>
        </w:rPr>
        <w:t>favour of any</w:t>
      </w:r>
      <w:r>
        <w:rPr>
          <w:rFonts w:ascii="Calibri" w:hAnsi="Calibri"/>
          <w:spacing w:val="-3"/>
          <w:sz w:val="20"/>
          <w:vertAlign w:val="baseline"/>
        </w:rPr>
        <w:t> </w:t>
      </w:r>
      <w:r>
        <w:rPr>
          <w:rFonts w:ascii="Calibri" w:hAnsi="Calibri"/>
          <w:sz w:val="20"/>
          <w:vertAlign w:val="baseline"/>
        </w:rPr>
        <w:t>person dealing with</w:t>
      </w:r>
      <w:r>
        <w:rPr>
          <w:rFonts w:ascii="Calibri" w:hAnsi="Calibri"/>
          <w:spacing w:val="-4"/>
          <w:sz w:val="20"/>
          <w:vertAlign w:val="baseline"/>
        </w:rPr>
        <w:t> </w:t>
      </w:r>
      <w:r>
        <w:rPr>
          <w:rFonts w:ascii="Calibri" w:hAnsi="Calibri"/>
          <w:sz w:val="20"/>
          <w:vertAlign w:val="baseline"/>
        </w:rPr>
        <w:t>the company,</w:t>
      </w:r>
      <w:r>
        <w:rPr>
          <w:rFonts w:ascii="Calibri" w:hAnsi="Calibri"/>
          <w:spacing w:val="-1"/>
          <w:sz w:val="20"/>
          <w:vertAlign w:val="baseline"/>
        </w:rPr>
        <w:t> </w:t>
      </w:r>
      <w:r>
        <w:rPr>
          <w:rFonts w:ascii="Calibri" w:hAnsi="Calibri"/>
          <w:sz w:val="20"/>
          <w:vertAlign w:val="baseline"/>
        </w:rPr>
        <w:t>that the directors’ are not restricted in their powers.</w:t>
      </w:r>
    </w:p>
    <w:p>
      <w:pPr>
        <w:spacing w:before="1"/>
        <w:ind w:left="308" w:right="226" w:firstLine="0"/>
        <w:jc w:val="both"/>
        <w:rPr>
          <w:rFonts w:ascii="Calibri"/>
          <w:sz w:val="20"/>
        </w:rPr>
      </w:pPr>
      <w:r>
        <w:rPr>
          <w:rFonts w:ascii="Calibri"/>
          <w:sz w:val="20"/>
          <w:vertAlign w:val="superscript"/>
        </w:rPr>
        <w:t>29</w:t>
      </w:r>
      <w:r>
        <w:rPr>
          <w:rFonts w:ascii="Calibri"/>
          <w:sz w:val="20"/>
          <w:vertAlign w:val="baseline"/>
        </w:rPr>
        <w:t>Refer to the statement of Parker J. in </w:t>
      </w:r>
      <w:r>
        <w:rPr>
          <w:rFonts w:ascii="Calibri"/>
          <w:i/>
          <w:sz w:val="20"/>
          <w:vertAlign w:val="baseline"/>
        </w:rPr>
        <w:t>RegentcrestPlc (In Liquidation) vs. Cohen </w:t>
      </w:r>
      <w:r>
        <w:rPr>
          <w:rFonts w:ascii="Calibri"/>
          <w:sz w:val="20"/>
          <w:vertAlign w:val="baseline"/>
        </w:rPr>
        <w:t>(2001) 2 BCLC 80, at</w:t>
      </w:r>
      <w:r>
        <w:rPr>
          <w:rFonts w:ascii="Calibri"/>
          <w:spacing w:val="40"/>
          <w:sz w:val="20"/>
          <w:vertAlign w:val="baseline"/>
        </w:rPr>
        <w:t> </w:t>
      </w:r>
      <w:r>
        <w:rPr>
          <w:rFonts w:ascii="Calibri"/>
          <w:spacing w:val="-4"/>
          <w:sz w:val="20"/>
          <w:vertAlign w:val="baseline"/>
        </w:rPr>
        <w:t>123.</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32"/>
        <w:jc w:val="both"/>
      </w:pPr>
      <w:r>
        <w:rPr/>
        <w:t>boards‘ exercise of management powers. However, where on an objective review of</w:t>
      </w:r>
      <w:r>
        <w:rPr>
          <w:spacing w:val="-3"/>
        </w:rPr>
        <w:t> </w:t>
      </w:r>
      <w:r>
        <w:rPr/>
        <w:t>the situation, the court finds that a requirement allegedly underlying the board‘s action was not urgent or critical, it may have reason to doubt or discount the assertions of the directors that they acted solely to deal with this requirement.</w:t>
      </w:r>
      <w:r>
        <w:rPr>
          <w:vertAlign w:val="superscript"/>
        </w:rPr>
        <w:t>30</w:t>
      </w:r>
    </w:p>
    <w:p>
      <w:pPr>
        <w:pStyle w:val="BodyText"/>
        <w:spacing w:line="480" w:lineRule="auto"/>
        <w:ind w:right="227" w:firstLine="720"/>
        <w:jc w:val="both"/>
      </w:pPr>
      <w:r>
        <w:rPr/>
        <w:t>Directors have variously been found to have wielded their powers </w:t>
      </w:r>
      <w:r>
        <w:rPr>
          <w:i/>
        </w:rPr>
        <w:t>improperly </w:t>
      </w:r>
      <w:r>
        <w:rPr/>
        <w:t>to cause the company to act ultra vires,</w:t>
      </w:r>
      <w:r>
        <w:rPr>
          <w:vertAlign w:val="superscript"/>
        </w:rPr>
        <w:t>31</w:t>
      </w:r>
      <w:r>
        <w:rPr>
          <w:vertAlign w:val="baseline"/>
        </w:rPr>
        <w:t> or pay dividends or directors remuneration contrary to the provisions of the company‘s articles.</w:t>
      </w:r>
      <w:r>
        <w:rPr>
          <w:vertAlign w:val="superscript"/>
        </w:rPr>
        <w:t>32</w:t>
      </w:r>
      <w:r>
        <w:rPr>
          <w:vertAlign w:val="baseline"/>
        </w:rPr>
        <w:t> However, one power of directors most often</w:t>
      </w:r>
      <w:r>
        <w:rPr>
          <w:spacing w:val="-7"/>
          <w:vertAlign w:val="baseline"/>
        </w:rPr>
        <w:t> </w:t>
      </w:r>
      <w:r>
        <w:rPr>
          <w:vertAlign w:val="baseline"/>
        </w:rPr>
        <w:t>called</w:t>
      </w:r>
      <w:r>
        <w:rPr>
          <w:spacing w:val="-2"/>
          <w:vertAlign w:val="baseline"/>
        </w:rPr>
        <w:t> </w:t>
      </w:r>
      <w:r>
        <w:rPr>
          <w:vertAlign w:val="baseline"/>
        </w:rPr>
        <w:t>to question</w:t>
      </w:r>
      <w:r>
        <w:rPr>
          <w:spacing w:val="-2"/>
          <w:vertAlign w:val="baseline"/>
        </w:rPr>
        <w:t> </w:t>
      </w:r>
      <w:r>
        <w:rPr>
          <w:vertAlign w:val="baseline"/>
        </w:rPr>
        <w:t>in</w:t>
      </w:r>
      <w:r>
        <w:rPr>
          <w:spacing w:val="-7"/>
          <w:vertAlign w:val="baseline"/>
        </w:rPr>
        <w:t> </w:t>
      </w:r>
      <w:r>
        <w:rPr>
          <w:vertAlign w:val="baseline"/>
        </w:rPr>
        <w:t>this</w:t>
      </w:r>
      <w:r>
        <w:rPr>
          <w:spacing w:val="-4"/>
          <w:vertAlign w:val="baseline"/>
        </w:rPr>
        <w:t> </w:t>
      </w:r>
      <w:r>
        <w:rPr>
          <w:vertAlign w:val="baseline"/>
        </w:rPr>
        <w:t>regard is</w:t>
      </w:r>
      <w:r>
        <w:rPr>
          <w:spacing w:val="-4"/>
          <w:vertAlign w:val="baseline"/>
        </w:rPr>
        <w:t> </w:t>
      </w:r>
      <w:r>
        <w:rPr>
          <w:vertAlign w:val="baseline"/>
        </w:rPr>
        <w:t>that for</w:t>
      </w:r>
      <w:r>
        <w:rPr>
          <w:spacing w:val="-5"/>
          <w:vertAlign w:val="baseline"/>
        </w:rPr>
        <w:t> </w:t>
      </w:r>
      <w:r>
        <w:rPr>
          <w:vertAlign w:val="baseline"/>
        </w:rPr>
        <w:t>allotment of</w:t>
      </w:r>
      <w:r>
        <w:rPr>
          <w:spacing w:val="-10"/>
          <w:vertAlign w:val="baseline"/>
        </w:rPr>
        <w:t> </w:t>
      </w:r>
      <w:r>
        <w:rPr>
          <w:vertAlign w:val="baseline"/>
        </w:rPr>
        <w:t>shares. Directors</w:t>
      </w:r>
      <w:r>
        <w:rPr>
          <w:spacing w:val="-4"/>
          <w:vertAlign w:val="baseline"/>
        </w:rPr>
        <w:t> </w:t>
      </w:r>
      <w:r>
        <w:rPr>
          <w:vertAlign w:val="baseline"/>
        </w:rPr>
        <w:t>have more often wielded this in order to stave off a takeover</w:t>
      </w:r>
      <w:r>
        <w:rPr>
          <w:vertAlign w:val="superscript"/>
        </w:rPr>
        <w:t>33</w:t>
      </w:r>
      <w:r>
        <w:rPr>
          <w:vertAlign w:val="baseline"/>
        </w:rPr>
        <w:t> so as to perpetuate</w:t>
      </w:r>
      <w:r>
        <w:rPr>
          <w:spacing w:val="-1"/>
          <w:vertAlign w:val="baseline"/>
        </w:rPr>
        <w:t> </w:t>
      </w:r>
      <w:r>
        <w:rPr>
          <w:vertAlign w:val="baseline"/>
        </w:rPr>
        <w:t>their posts, or favour one bidder over another for selfish interests.</w:t>
      </w:r>
      <w:r>
        <w:rPr>
          <w:vertAlign w:val="superscript"/>
        </w:rPr>
        <w:t>34</w:t>
      </w:r>
      <w:r>
        <w:rPr>
          <w:vertAlign w:val="baseline"/>
        </w:rPr>
        <w:t> Generally, the discussions earlier made under</w:t>
      </w:r>
      <w:r>
        <w:rPr>
          <w:b/>
          <w:vertAlign w:val="baseline"/>
        </w:rPr>
        <w:t>3.5 </w:t>
      </w:r>
      <w:r>
        <w:rPr>
          <w:vertAlign w:val="baseline"/>
        </w:rPr>
        <w:t>in this work, apply here.</w:t>
      </w:r>
    </w:p>
    <w:p>
      <w:pPr>
        <w:pStyle w:val="BodyText"/>
        <w:spacing w:line="480" w:lineRule="auto" w:before="2"/>
        <w:ind w:right="227" w:firstLine="720"/>
        <w:jc w:val="both"/>
      </w:pPr>
      <w:r>
        <w:rPr/>
        <w:t>It is perhaps of particular importance to note that under the UK law as enacted, the courts would more probably need to consider not only an interpretation of a company‘s</w:t>
      </w:r>
      <w:r>
        <w:rPr>
          <w:spacing w:val="-6"/>
        </w:rPr>
        <w:t> </w:t>
      </w:r>
      <w:r>
        <w:rPr/>
        <w:t>articles,</w:t>
      </w:r>
      <w:r>
        <w:rPr>
          <w:spacing w:val="-1"/>
        </w:rPr>
        <w:t> </w:t>
      </w:r>
      <w:r>
        <w:rPr/>
        <w:t>but also any</w:t>
      </w:r>
      <w:r>
        <w:rPr>
          <w:spacing w:val="-8"/>
        </w:rPr>
        <w:t> </w:t>
      </w:r>
      <w:r>
        <w:rPr/>
        <w:t>resolutions by</w:t>
      </w:r>
      <w:r>
        <w:rPr>
          <w:spacing w:val="-8"/>
        </w:rPr>
        <w:t> </w:t>
      </w:r>
      <w:r>
        <w:rPr/>
        <w:t>members</w:t>
      </w:r>
      <w:r>
        <w:rPr>
          <w:spacing w:val="-5"/>
        </w:rPr>
        <w:t> </w:t>
      </w:r>
      <w:r>
        <w:rPr/>
        <w:t>at</w:t>
      </w:r>
      <w:r>
        <w:rPr>
          <w:spacing w:val="-3"/>
        </w:rPr>
        <w:t> </w:t>
      </w:r>
      <w:r>
        <w:rPr/>
        <w:t>the</w:t>
      </w:r>
      <w:r>
        <w:rPr>
          <w:spacing w:val="-4"/>
        </w:rPr>
        <w:t> </w:t>
      </w:r>
      <w:r>
        <w:rPr/>
        <w:t>general</w:t>
      </w:r>
      <w:r>
        <w:rPr>
          <w:spacing w:val="-3"/>
        </w:rPr>
        <w:t> </w:t>
      </w:r>
      <w:r>
        <w:rPr/>
        <w:t>meeting, in</w:t>
      </w:r>
      <w:r>
        <w:rPr>
          <w:spacing w:val="-8"/>
        </w:rPr>
        <w:t> </w:t>
      </w:r>
      <w:r>
        <w:rPr/>
        <w:t>order to determine at any particular point, whether any act of the directors was in fact ultra vires their powers. This is because it is actually possible for the</w:t>
      </w:r>
      <w:r>
        <w:rPr>
          <w:spacing w:val="40"/>
        </w:rPr>
        <w:t> </w:t>
      </w:r>
      <w:r>
        <w:rPr/>
        <w:t>members in a</w:t>
      </w:r>
      <w:r>
        <w:rPr>
          <w:spacing w:val="40"/>
        </w:rPr>
        <w:t> </w:t>
      </w:r>
      <w:r>
        <w:rPr/>
        <w:t>resolution, to authorise the directors to carry out an act which would otherwise be considered an improper utilisation of the directors‘ powers. It is submitted that the Act, by</w:t>
      </w:r>
      <w:r>
        <w:rPr>
          <w:spacing w:val="-1"/>
        </w:rPr>
        <w:t> </w:t>
      </w:r>
      <w:r>
        <w:rPr/>
        <w:t>allowing this possibility, has thereby</w:t>
      </w:r>
      <w:r>
        <w:rPr>
          <w:spacing w:val="-1"/>
        </w:rPr>
        <w:t> </w:t>
      </w:r>
      <w:r>
        <w:rPr/>
        <w:t>augmented</w:t>
      </w:r>
      <w:r>
        <w:rPr>
          <w:spacing w:val="-1"/>
        </w:rPr>
        <w:t> </w:t>
      </w:r>
      <w:r>
        <w:rPr/>
        <w:t>the powers</w:t>
      </w:r>
      <w:r>
        <w:rPr>
          <w:spacing w:val="-3"/>
        </w:rPr>
        <w:t> </w:t>
      </w:r>
      <w:r>
        <w:rPr/>
        <w:t>of</w:t>
      </w:r>
      <w:r>
        <w:rPr>
          <w:spacing w:val="-4"/>
        </w:rPr>
        <w:t> </w:t>
      </w:r>
      <w:r>
        <w:rPr/>
        <w:t>the members over the </w:t>
      </w:r>
      <w:r>
        <w:rPr>
          <w:spacing w:val="-2"/>
        </w:rPr>
        <w:t>board.</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214"/>
        <w:ind w:left="0"/>
        <w:rPr>
          <w:sz w:val="20"/>
        </w:rPr>
      </w:pPr>
      <w:r>
        <w:rPr/>
        <mc:AlternateContent>
          <mc:Choice Requires="wps">
            <w:drawing>
              <wp:anchor distT="0" distB="0" distL="0" distR="0" allowOverlap="1" layoutInCell="1" locked="0" behindDoc="1" simplePos="0" relativeHeight="487674368">
                <wp:simplePos x="0" y="0"/>
                <wp:positionH relativeFrom="page">
                  <wp:posOffset>1262481</wp:posOffset>
                </wp:positionH>
                <wp:positionV relativeFrom="paragraph">
                  <wp:posOffset>297190</wp:posOffset>
                </wp:positionV>
                <wp:extent cx="1829435" cy="9525"/>
                <wp:effectExtent l="0" t="0" r="0" b="0"/>
                <wp:wrapTopAndBottom/>
                <wp:docPr id="192" name="Graphic 192"/>
                <wp:cNvGraphicFramePr>
                  <a:graphicFrameLocks/>
                </wp:cNvGraphicFramePr>
                <a:graphic>
                  <a:graphicData uri="http://schemas.microsoft.com/office/word/2010/wordprocessingShape">
                    <wps:wsp>
                      <wps:cNvPr id="192" name="Graphic 19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3.400812pt;width:144.050pt;height:.71997pt;mso-position-horizontal-relative:page;mso-position-vertical-relative:paragraph;z-index:-15642112;mso-wrap-distance-left:0;mso-wrap-distance-right:0" id="docshape147" filled="true" fillcolor="#000000" stroked="false">
                <v:fill type="solid"/>
                <w10:wrap type="topAndBottom"/>
              </v:rect>
            </w:pict>
          </mc:Fallback>
        </mc:AlternateContent>
      </w:r>
    </w:p>
    <w:p>
      <w:pPr>
        <w:spacing w:before="102"/>
        <w:ind w:left="308" w:right="227" w:firstLine="0"/>
        <w:jc w:val="left"/>
        <w:rPr>
          <w:rFonts w:ascii="Calibri" w:hAnsi="Calibri"/>
          <w:sz w:val="20"/>
        </w:rPr>
      </w:pPr>
      <w:r>
        <w:rPr>
          <w:rFonts w:ascii="Calibri" w:hAnsi="Calibri"/>
          <w:sz w:val="20"/>
          <w:vertAlign w:val="superscript"/>
        </w:rPr>
        <w:t>30</w:t>
      </w:r>
      <w:r>
        <w:rPr>
          <w:rFonts w:ascii="Calibri" w:hAnsi="Calibri"/>
          <w:sz w:val="20"/>
          <w:vertAlign w:val="baseline"/>
        </w:rPr>
        <w:t>Birds, J., et al. (2011).</w:t>
      </w:r>
      <w:r>
        <w:rPr>
          <w:rFonts w:ascii="Calibri" w:hAnsi="Calibri"/>
          <w:i/>
          <w:sz w:val="20"/>
          <w:vertAlign w:val="baseline"/>
        </w:rPr>
        <w:t>Boyle and Birds’ Company Law.</w:t>
      </w:r>
      <w:r>
        <w:rPr>
          <w:rFonts w:ascii="Calibri" w:hAnsi="Calibri"/>
          <w:sz w:val="20"/>
          <w:vertAlign w:val="baseline"/>
        </w:rPr>
        <w:t>8</w:t>
      </w:r>
      <w:r>
        <w:rPr>
          <w:rFonts w:ascii="Calibri" w:hAnsi="Calibri"/>
          <w:sz w:val="20"/>
          <w:vertAlign w:val="superscript"/>
        </w:rPr>
        <w:t>th</w:t>
      </w:r>
      <w:r>
        <w:rPr>
          <w:rFonts w:ascii="Calibri" w:hAnsi="Calibri"/>
          <w:sz w:val="20"/>
          <w:vertAlign w:val="baseline"/>
        </w:rPr>
        <w:t> edition, Jordan Publishing Limited, Bristol, pp. </w:t>
      </w:r>
      <w:r>
        <w:rPr>
          <w:rFonts w:ascii="Calibri" w:hAnsi="Calibri"/>
          <w:spacing w:val="-2"/>
          <w:sz w:val="20"/>
          <w:vertAlign w:val="baseline"/>
        </w:rPr>
        <w:t>631-632.</w:t>
      </w:r>
    </w:p>
    <w:p>
      <w:pPr>
        <w:spacing w:before="2"/>
        <w:ind w:left="308" w:right="0" w:firstLine="0"/>
        <w:jc w:val="left"/>
        <w:rPr>
          <w:rFonts w:ascii="Calibri"/>
          <w:sz w:val="20"/>
        </w:rPr>
      </w:pPr>
      <w:r>
        <w:rPr>
          <w:rFonts w:ascii="Calibri"/>
          <w:sz w:val="20"/>
          <w:vertAlign w:val="superscript"/>
        </w:rPr>
        <w:t>31</w:t>
      </w:r>
      <w:r>
        <w:rPr>
          <w:rFonts w:ascii="Calibri"/>
          <w:i/>
          <w:sz w:val="20"/>
          <w:vertAlign w:val="baseline"/>
        </w:rPr>
        <w:t>Re</w:t>
      </w:r>
      <w:r>
        <w:rPr>
          <w:rFonts w:ascii="Calibri"/>
          <w:i/>
          <w:spacing w:val="-8"/>
          <w:sz w:val="20"/>
          <w:vertAlign w:val="baseline"/>
        </w:rPr>
        <w:t> </w:t>
      </w:r>
      <w:r>
        <w:rPr>
          <w:rFonts w:ascii="Calibri"/>
          <w:i/>
          <w:sz w:val="20"/>
          <w:vertAlign w:val="baseline"/>
        </w:rPr>
        <w:t>Lands</w:t>
      </w:r>
      <w:r>
        <w:rPr>
          <w:rFonts w:ascii="Calibri"/>
          <w:i/>
          <w:spacing w:val="-8"/>
          <w:sz w:val="20"/>
          <w:vertAlign w:val="baseline"/>
        </w:rPr>
        <w:t> </w:t>
      </w:r>
      <w:r>
        <w:rPr>
          <w:rFonts w:ascii="Calibri"/>
          <w:i/>
          <w:sz w:val="20"/>
          <w:vertAlign w:val="baseline"/>
        </w:rPr>
        <w:t>Allotment</w:t>
      </w:r>
      <w:r>
        <w:rPr>
          <w:rFonts w:ascii="Calibri"/>
          <w:i/>
          <w:spacing w:val="-7"/>
          <w:sz w:val="20"/>
          <w:vertAlign w:val="baseline"/>
        </w:rPr>
        <w:t> </w:t>
      </w:r>
      <w:r>
        <w:rPr>
          <w:rFonts w:ascii="Calibri"/>
          <w:i/>
          <w:sz w:val="20"/>
          <w:vertAlign w:val="baseline"/>
        </w:rPr>
        <w:t>Company</w:t>
      </w:r>
      <w:r>
        <w:rPr>
          <w:rFonts w:ascii="Calibri"/>
          <w:i/>
          <w:spacing w:val="-3"/>
          <w:sz w:val="20"/>
          <w:vertAlign w:val="baseline"/>
        </w:rPr>
        <w:t> </w:t>
      </w:r>
      <w:r>
        <w:rPr>
          <w:rFonts w:ascii="Calibri"/>
          <w:sz w:val="20"/>
          <w:vertAlign w:val="baseline"/>
        </w:rPr>
        <w:t>(1894)</w:t>
      </w:r>
      <w:r>
        <w:rPr>
          <w:rFonts w:ascii="Calibri"/>
          <w:spacing w:val="-5"/>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Ch.</w:t>
      </w:r>
      <w:r>
        <w:rPr>
          <w:rFonts w:ascii="Calibri"/>
          <w:spacing w:val="-1"/>
          <w:sz w:val="20"/>
          <w:vertAlign w:val="baseline"/>
        </w:rPr>
        <w:t> </w:t>
      </w:r>
      <w:r>
        <w:rPr>
          <w:rFonts w:ascii="Calibri"/>
          <w:sz w:val="20"/>
          <w:vertAlign w:val="baseline"/>
        </w:rPr>
        <w:t>616</w:t>
      </w:r>
      <w:r>
        <w:rPr>
          <w:rFonts w:ascii="Calibri"/>
          <w:spacing w:val="-8"/>
          <w:sz w:val="20"/>
          <w:vertAlign w:val="baseline"/>
        </w:rPr>
        <w:t> </w:t>
      </w:r>
      <w:r>
        <w:rPr>
          <w:rFonts w:ascii="Calibri"/>
          <w:spacing w:val="-4"/>
          <w:sz w:val="20"/>
          <w:vertAlign w:val="baseline"/>
        </w:rPr>
        <w:t>C.A.</w:t>
      </w:r>
    </w:p>
    <w:p>
      <w:pPr>
        <w:spacing w:before="1"/>
        <w:ind w:left="308" w:right="1930" w:firstLine="0"/>
        <w:jc w:val="left"/>
        <w:rPr>
          <w:rFonts w:ascii="Calibri"/>
          <w:sz w:val="20"/>
        </w:rPr>
      </w:pPr>
      <w:r>
        <w:rPr>
          <w:rFonts w:ascii="Calibri"/>
          <w:sz w:val="20"/>
          <w:vertAlign w:val="superscript"/>
        </w:rPr>
        <w:t>32</w:t>
      </w:r>
      <w:r>
        <w:rPr>
          <w:rFonts w:ascii="Calibri"/>
          <w:i/>
          <w:sz w:val="20"/>
          <w:vertAlign w:val="baseline"/>
        </w:rPr>
        <w:t>Re Oxford Benefit Building and Investment Society </w:t>
      </w:r>
      <w:r>
        <w:rPr>
          <w:rFonts w:ascii="Calibri"/>
          <w:sz w:val="20"/>
          <w:vertAlign w:val="baseline"/>
        </w:rPr>
        <w:t>(1886) 35 Ch. D. 502. </w:t>
      </w:r>
      <w:r>
        <w:rPr>
          <w:rFonts w:ascii="Calibri"/>
          <w:sz w:val="20"/>
          <w:vertAlign w:val="superscript"/>
        </w:rPr>
        <w:t>33</w:t>
      </w:r>
      <w:r>
        <w:rPr>
          <w:rFonts w:ascii="Calibri"/>
          <w:i/>
          <w:sz w:val="20"/>
          <w:vertAlign w:val="baseline"/>
        </w:rPr>
        <w:t>Winthrop</w:t>
      </w:r>
      <w:r>
        <w:rPr>
          <w:rFonts w:ascii="Calibri"/>
          <w:i/>
          <w:spacing w:val="-8"/>
          <w:sz w:val="20"/>
          <w:vertAlign w:val="baseline"/>
        </w:rPr>
        <w:t> </w:t>
      </w:r>
      <w:r>
        <w:rPr>
          <w:rFonts w:ascii="Calibri"/>
          <w:i/>
          <w:sz w:val="20"/>
          <w:vertAlign w:val="baseline"/>
        </w:rPr>
        <w:t>Investments</w:t>
      </w:r>
      <w:r>
        <w:rPr>
          <w:rFonts w:ascii="Calibri"/>
          <w:i/>
          <w:spacing w:val="-8"/>
          <w:sz w:val="20"/>
          <w:vertAlign w:val="baseline"/>
        </w:rPr>
        <w:t> </w:t>
      </w:r>
      <w:r>
        <w:rPr>
          <w:rFonts w:ascii="Calibri"/>
          <w:i/>
          <w:sz w:val="20"/>
          <w:vertAlign w:val="baseline"/>
        </w:rPr>
        <w:t>Ltd.</w:t>
      </w:r>
      <w:r>
        <w:rPr>
          <w:rFonts w:ascii="Calibri"/>
          <w:i/>
          <w:spacing w:val="-4"/>
          <w:sz w:val="20"/>
          <w:vertAlign w:val="baseline"/>
        </w:rPr>
        <w:t> </w:t>
      </w:r>
      <w:r>
        <w:rPr>
          <w:rFonts w:ascii="Calibri"/>
          <w:i/>
          <w:sz w:val="20"/>
          <w:vertAlign w:val="baseline"/>
        </w:rPr>
        <w:t>vs. Winns</w:t>
      </w:r>
      <w:r>
        <w:rPr>
          <w:rFonts w:ascii="Calibri"/>
          <w:i/>
          <w:spacing w:val="-3"/>
          <w:sz w:val="20"/>
          <w:vertAlign w:val="baseline"/>
        </w:rPr>
        <w:t> </w:t>
      </w:r>
      <w:r>
        <w:rPr>
          <w:rFonts w:ascii="Calibri"/>
          <w:i/>
          <w:sz w:val="20"/>
          <w:vertAlign w:val="baseline"/>
        </w:rPr>
        <w:t>Ltd.</w:t>
      </w:r>
      <w:r>
        <w:rPr>
          <w:rFonts w:ascii="Calibri"/>
          <w:i/>
          <w:spacing w:val="-3"/>
          <w:sz w:val="20"/>
          <w:vertAlign w:val="baseline"/>
        </w:rPr>
        <w:t> </w:t>
      </w:r>
      <w:r>
        <w:rPr>
          <w:rFonts w:ascii="Calibri"/>
          <w:sz w:val="20"/>
          <w:vertAlign w:val="baseline"/>
        </w:rPr>
        <w:t>(1975) 2</w:t>
      </w:r>
      <w:r>
        <w:rPr>
          <w:rFonts w:ascii="Calibri"/>
          <w:spacing w:val="-7"/>
          <w:sz w:val="20"/>
          <w:vertAlign w:val="baseline"/>
        </w:rPr>
        <w:t> </w:t>
      </w:r>
      <w:r>
        <w:rPr>
          <w:rFonts w:ascii="Calibri"/>
          <w:sz w:val="20"/>
          <w:vertAlign w:val="baseline"/>
        </w:rPr>
        <w:t>N.S.W.L.R. 666,</w:t>
      </w:r>
      <w:r>
        <w:rPr>
          <w:rFonts w:ascii="Calibri"/>
          <w:spacing w:val="-3"/>
          <w:sz w:val="20"/>
          <w:vertAlign w:val="baseline"/>
        </w:rPr>
        <w:t> </w:t>
      </w:r>
      <w:r>
        <w:rPr>
          <w:rFonts w:ascii="Calibri"/>
          <w:sz w:val="20"/>
          <w:vertAlign w:val="baseline"/>
        </w:rPr>
        <w:t>NSWCA. </w:t>
      </w:r>
      <w:r>
        <w:rPr>
          <w:rFonts w:ascii="Calibri"/>
          <w:sz w:val="20"/>
          <w:vertAlign w:val="superscript"/>
        </w:rPr>
        <w:t>34</w:t>
      </w:r>
      <w:r>
        <w:rPr>
          <w:rFonts w:ascii="Calibri"/>
          <w:i/>
          <w:sz w:val="20"/>
          <w:vertAlign w:val="baseline"/>
        </w:rPr>
        <w:t>Howard Smith Ltd. vs. Ampol Petroleum Ltd. </w:t>
      </w:r>
      <w:r>
        <w:rPr>
          <w:rFonts w:ascii="Calibri"/>
          <w:sz w:val="20"/>
          <w:vertAlign w:val="baseline"/>
        </w:rPr>
        <w:t>(1974) A.C. 821.</w:t>
      </w:r>
    </w:p>
    <w:p>
      <w:pPr>
        <w:spacing w:after="0"/>
        <w:jc w:val="left"/>
        <w:rPr>
          <w:rFonts w:ascii="Calibri"/>
          <w:sz w:val="20"/>
        </w:rPr>
        <w:sectPr>
          <w:pgSz w:w="11910" w:h="16840"/>
          <w:pgMar w:header="0" w:footer="1003" w:top="1320" w:bottom="1200" w:left="1680" w:right="1180"/>
        </w:sectPr>
      </w:pPr>
    </w:p>
    <w:p>
      <w:pPr>
        <w:pStyle w:val="Heading2"/>
        <w:numPr>
          <w:ilvl w:val="2"/>
          <w:numId w:val="15"/>
        </w:numPr>
        <w:tabs>
          <w:tab w:pos="1027" w:val="left" w:leader="none"/>
        </w:tabs>
        <w:spacing w:line="240" w:lineRule="auto" w:before="74" w:after="0"/>
        <w:ind w:left="1027" w:right="0" w:hanging="719"/>
        <w:jc w:val="both"/>
      </w:pPr>
      <w:bookmarkStart w:name="_TOC_250019" w:id="33"/>
      <w:r>
        <w:rPr/>
        <w:t>Duty to</w:t>
      </w:r>
      <w:r>
        <w:rPr>
          <w:spacing w:val="-4"/>
        </w:rPr>
        <w:t> </w:t>
      </w:r>
      <w:r>
        <w:rPr/>
        <w:t>Promote</w:t>
      </w:r>
      <w:r>
        <w:rPr>
          <w:spacing w:val="-1"/>
        </w:rPr>
        <w:t> </w:t>
      </w:r>
      <w:r>
        <w:rPr/>
        <w:t>the Success</w:t>
      </w:r>
      <w:r>
        <w:rPr>
          <w:spacing w:val="-2"/>
        </w:rPr>
        <w:t> </w:t>
      </w:r>
      <w:r>
        <w:rPr/>
        <w:t>of</w:t>
      </w:r>
      <w:r>
        <w:rPr>
          <w:spacing w:val="-2"/>
        </w:rPr>
        <w:t> </w:t>
      </w:r>
      <w:r>
        <w:rPr/>
        <w:t>the </w:t>
      </w:r>
      <w:bookmarkEnd w:id="33"/>
      <w:r>
        <w:rPr>
          <w:spacing w:val="-2"/>
        </w:rPr>
        <w:t>Company</w:t>
      </w:r>
    </w:p>
    <w:p>
      <w:pPr>
        <w:pStyle w:val="BodyText"/>
        <w:spacing w:line="480" w:lineRule="auto" w:before="137"/>
        <w:ind w:right="227"/>
        <w:jc w:val="both"/>
      </w:pPr>
      <w:r>
        <w:rPr/>
        <w:t>This duty is considered the foremost fiduciary duty of directors.</w:t>
      </w:r>
      <w:r>
        <w:rPr>
          <w:vertAlign w:val="superscript"/>
        </w:rPr>
        <w:t>35</w:t>
      </w:r>
      <w:r>
        <w:rPr>
          <w:vertAlign w:val="baseline"/>
        </w:rPr>
        <w:t> It appears to be inextricably linked to the preceding two subheadings above. Thus, the directors must utilize their powers for the ultimate success of the company, which should result in benefit for its members. In other words, success of ―the company‖ is the ―proper purpose‖ for which directors must utilize their powers so that the company‘s members would benefit. As will be observed shortly, this duty</w:t>
      </w:r>
      <w:r>
        <w:rPr>
          <w:spacing w:val="-4"/>
          <w:vertAlign w:val="baseline"/>
        </w:rPr>
        <w:t> </w:t>
      </w:r>
      <w:r>
        <w:rPr>
          <w:vertAlign w:val="baseline"/>
        </w:rPr>
        <w:t>to promote the company‘s success is</w:t>
      </w:r>
      <w:r>
        <w:rPr>
          <w:spacing w:val="-2"/>
          <w:vertAlign w:val="baseline"/>
        </w:rPr>
        <w:t> </w:t>
      </w:r>
      <w:r>
        <w:rPr>
          <w:vertAlign w:val="baseline"/>
        </w:rPr>
        <w:t>related,</w:t>
      </w:r>
      <w:r>
        <w:rPr>
          <w:spacing w:val="-3"/>
          <w:vertAlign w:val="baseline"/>
        </w:rPr>
        <w:t> </w:t>
      </w:r>
      <w:r>
        <w:rPr>
          <w:vertAlign w:val="baseline"/>
        </w:rPr>
        <w:t>though</w:t>
      </w:r>
      <w:r>
        <w:rPr>
          <w:spacing w:val="-5"/>
          <w:vertAlign w:val="baseline"/>
        </w:rPr>
        <w:t> </w:t>
      </w:r>
      <w:r>
        <w:rPr>
          <w:vertAlign w:val="baseline"/>
        </w:rPr>
        <w:t>not entirely</w:t>
      </w:r>
      <w:r>
        <w:rPr>
          <w:spacing w:val="-5"/>
          <w:vertAlign w:val="baseline"/>
        </w:rPr>
        <w:t> </w:t>
      </w:r>
      <w:r>
        <w:rPr>
          <w:vertAlign w:val="baseline"/>
        </w:rPr>
        <w:t>equivalent,</w:t>
      </w:r>
      <w:r>
        <w:rPr>
          <w:spacing w:val="-3"/>
          <w:vertAlign w:val="baseline"/>
        </w:rPr>
        <w:t> </w:t>
      </w:r>
      <w:r>
        <w:rPr>
          <w:vertAlign w:val="baseline"/>
        </w:rPr>
        <w:t>to the</w:t>
      </w:r>
      <w:r>
        <w:rPr>
          <w:spacing w:val="-1"/>
          <w:vertAlign w:val="baseline"/>
        </w:rPr>
        <w:t> </w:t>
      </w:r>
      <w:r>
        <w:rPr>
          <w:vertAlign w:val="baseline"/>
        </w:rPr>
        <w:t>common law</w:t>
      </w:r>
      <w:r>
        <w:rPr>
          <w:spacing w:val="-1"/>
          <w:vertAlign w:val="baseline"/>
        </w:rPr>
        <w:t> </w:t>
      </w:r>
      <w:r>
        <w:rPr>
          <w:vertAlign w:val="baseline"/>
        </w:rPr>
        <w:t>duty</w:t>
      </w:r>
      <w:r>
        <w:rPr>
          <w:spacing w:val="-10"/>
          <w:vertAlign w:val="baseline"/>
        </w:rPr>
        <w:t> </w:t>
      </w:r>
      <w:r>
        <w:rPr>
          <w:vertAlign w:val="baseline"/>
        </w:rPr>
        <w:t>to act bona fide in</w:t>
      </w:r>
      <w:r>
        <w:rPr>
          <w:spacing w:val="-5"/>
          <w:vertAlign w:val="baseline"/>
        </w:rPr>
        <w:t> </w:t>
      </w:r>
      <w:r>
        <w:rPr>
          <w:vertAlign w:val="baseline"/>
        </w:rPr>
        <w:t>the best interests of the company.</w:t>
      </w:r>
    </w:p>
    <w:p>
      <w:pPr>
        <w:pStyle w:val="BodyText"/>
        <w:spacing w:line="480" w:lineRule="auto" w:before="2"/>
        <w:ind w:right="230" w:firstLine="720"/>
        <w:jc w:val="both"/>
      </w:pPr>
      <w:r>
        <w:rPr/>
        <w:t>In the last two decades, the West, particularly Britain and the United States, suffered a wave of major corporate failures</w:t>
      </w:r>
      <w:r>
        <w:rPr>
          <w:vertAlign w:val="superscript"/>
        </w:rPr>
        <w:t>36</w:t>
      </w:r>
      <w:r>
        <w:rPr>
          <w:vertAlign w:val="baseline"/>
        </w:rPr>
        <w:t> which many attributed to, among other causes, short-termism</w:t>
      </w:r>
      <w:r>
        <w:rPr>
          <w:vertAlign w:val="superscript"/>
        </w:rPr>
        <w:t>37</w:t>
      </w:r>
      <w:r>
        <w:rPr>
          <w:vertAlign w:val="baseline"/>
        </w:rPr>
        <w:t>—a corporate strategy that typically neglects the consideration</w:t>
      </w:r>
      <w:r>
        <w:rPr>
          <w:spacing w:val="40"/>
          <w:vertAlign w:val="baseline"/>
        </w:rPr>
        <w:t> </w:t>
      </w:r>
      <w:r>
        <w:rPr>
          <w:vertAlign w:val="baseline"/>
        </w:rPr>
        <w:t>of</w:t>
      </w:r>
      <w:r>
        <w:rPr>
          <w:spacing w:val="-2"/>
          <w:vertAlign w:val="baseline"/>
        </w:rPr>
        <w:t> </w:t>
      </w:r>
      <w:r>
        <w:rPr>
          <w:vertAlign w:val="baseline"/>
        </w:rPr>
        <w:t>the long-term future of</w:t>
      </w:r>
      <w:r>
        <w:rPr>
          <w:spacing w:val="-2"/>
          <w:vertAlign w:val="baseline"/>
        </w:rPr>
        <w:t> </w:t>
      </w:r>
      <w:r>
        <w:rPr>
          <w:vertAlign w:val="baseline"/>
        </w:rPr>
        <w:t>the company, in favour of</w:t>
      </w:r>
      <w:r>
        <w:rPr>
          <w:spacing w:val="-2"/>
          <w:vertAlign w:val="baseline"/>
        </w:rPr>
        <w:t> </w:t>
      </w:r>
      <w:r>
        <w:rPr>
          <w:vertAlign w:val="baseline"/>
        </w:rPr>
        <w:t>satisfying the demand by investors for immediate returns in the present, such that stability</w:t>
      </w:r>
      <w:r>
        <w:rPr>
          <w:spacing w:val="-1"/>
          <w:vertAlign w:val="baseline"/>
        </w:rPr>
        <w:t> </w:t>
      </w:r>
      <w:r>
        <w:rPr>
          <w:vertAlign w:val="baseline"/>
        </w:rPr>
        <w:t>and financial strength needed to endure economic cycles are sacrificed for immediate satisfaction.</w:t>
      </w:r>
      <w:r>
        <w:rPr>
          <w:vertAlign w:val="superscript"/>
        </w:rPr>
        <w:t>38</w:t>
      </w:r>
      <w:r>
        <w:rPr>
          <w:vertAlign w:val="baseline"/>
        </w:rPr>
        <w:t> Although the Companies Act was conceived a long time before this period, and so could not have set out to nip any such recurrence in the future</w:t>
      </w:r>
      <w:r>
        <w:rPr>
          <w:vertAlign w:val="superscript"/>
        </w:rPr>
        <w:t>39</w:t>
      </w:r>
      <w:r>
        <w:rPr>
          <w:vertAlign w:val="baseline"/>
        </w:rPr>
        <w:t>—the law came in force just in time to address</w:t>
      </w:r>
      <w:r>
        <w:rPr>
          <w:spacing w:val="-6"/>
          <w:vertAlign w:val="baseline"/>
        </w:rPr>
        <w:t> </w:t>
      </w:r>
      <w:r>
        <w:rPr>
          <w:vertAlign w:val="baseline"/>
        </w:rPr>
        <w:t>the</w:t>
      </w:r>
      <w:r>
        <w:rPr>
          <w:spacing w:val="-1"/>
          <w:vertAlign w:val="baseline"/>
        </w:rPr>
        <w:t> </w:t>
      </w:r>
      <w:r>
        <w:rPr>
          <w:vertAlign w:val="baseline"/>
        </w:rPr>
        <w:t>aftermath</w:t>
      </w:r>
      <w:r>
        <w:rPr>
          <w:spacing w:val="-7"/>
          <w:vertAlign w:val="baseline"/>
        </w:rPr>
        <w:t> </w:t>
      </w:r>
      <w:r>
        <w:rPr>
          <w:vertAlign w:val="baseline"/>
        </w:rPr>
        <w:t>of</w:t>
      </w:r>
      <w:r>
        <w:rPr>
          <w:spacing w:val="-10"/>
          <w:vertAlign w:val="baseline"/>
        </w:rPr>
        <w:t> </w:t>
      </w:r>
      <w:r>
        <w:rPr>
          <w:vertAlign w:val="baseline"/>
        </w:rPr>
        <w:t>the</w:t>
      </w:r>
      <w:r>
        <w:rPr>
          <w:spacing w:val="-1"/>
          <w:vertAlign w:val="baseline"/>
        </w:rPr>
        <w:t> </w:t>
      </w:r>
      <w:r>
        <w:rPr>
          <w:vertAlign w:val="baseline"/>
        </w:rPr>
        <w:t>crisis.</w:t>
      </w:r>
      <w:r>
        <w:rPr>
          <w:spacing w:val="40"/>
          <w:vertAlign w:val="baseline"/>
        </w:rPr>
        <w:t> </w:t>
      </w:r>
      <w:r>
        <w:rPr>
          <w:vertAlign w:val="baseline"/>
        </w:rPr>
        <w:t>Thus, having</w:t>
      </w:r>
      <w:r>
        <w:rPr>
          <w:spacing w:val="-4"/>
          <w:vertAlign w:val="baseline"/>
        </w:rPr>
        <w:t> </w:t>
      </w:r>
      <w:r>
        <w:rPr>
          <w:vertAlign w:val="baseline"/>
        </w:rPr>
        <w:t>considered</w:t>
      </w:r>
      <w:r>
        <w:rPr>
          <w:spacing w:val="-4"/>
          <w:vertAlign w:val="baseline"/>
        </w:rPr>
        <w:t> </w:t>
      </w:r>
      <w:r>
        <w:rPr>
          <w:vertAlign w:val="baseline"/>
        </w:rPr>
        <w:t>that ―the</w:t>
      </w:r>
      <w:r>
        <w:rPr>
          <w:spacing w:val="-1"/>
          <w:vertAlign w:val="baseline"/>
        </w:rPr>
        <w:t> </w:t>
      </w:r>
      <w:r>
        <w:rPr>
          <w:vertAlign w:val="baseline"/>
        </w:rPr>
        <w:t>state</w:t>
      </w:r>
      <w:r>
        <w:rPr>
          <w:spacing w:val="-8"/>
          <w:vertAlign w:val="baseline"/>
        </w:rPr>
        <w:t> </w:t>
      </w:r>
      <w:r>
        <w:rPr>
          <w:vertAlign w:val="baseline"/>
        </w:rPr>
        <w:t>of</w:t>
      </w:r>
      <w:r>
        <w:rPr>
          <w:spacing w:val="-10"/>
          <w:vertAlign w:val="baseline"/>
        </w:rPr>
        <w:t> </w:t>
      </w:r>
      <w:r>
        <w:rPr>
          <w:vertAlign w:val="baseline"/>
        </w:rPr>
        <w:t>directors‘</w:t>
      </w:r>
    </w:p>
    <w:p>
      <w:pPr>
        <w:pStyle w:val="BodyText"/>
        <w:spacing w:before="3"/>
        <w:ind w:left="0"/>
        <w:rPr>
          <w:sz w:val="14"/>
        </w:rPr>
      </w:pPr>
      <w:r>
        <w:rPr/>
        <mc:AlternateContent>
          <mc:Choice Requires="wps">
            <w:drawing>
              <wp:anchor distT="0" distB="0" distL="0" distR="0" allowOverlap="1" layoutInCell="1" locked="0" behindDoc="1" simplePos="0" relativeHeight="487674880">
                <wp:simplePos x="0" y="0"/>
                <wp:positionH relativeFrom="page">
                  <wp:posOffset>1262481</wp:posOffset>
                </wp:positionH>
                <wp:positionV relativeFrom="paragraph">
                  <wp:posOffset>119392</wp:posOffset>
                </wp:positionV>
                <wp:extent cx="1829435" cy="9525"/>
                <wp:effectExtent l="0" t="0" r="0" b="0"/>
                <wp:wrapTopAndBottom/>
                <wp:docPr id="193" name="Graphic 193"/>
                <wp:cNvGraphicFramePr>
                  <a:graphicFrameLocks/>
                </wp:cNvGraphicFramePr>
                <a:graphic>
                  <a:graphicData uri="http://schemas.microsoft.com/office/word/2010/wordprocessingShape">
                    <wps:wsp>
                      <wps:cNvPr id="193" name="Graphic 193"/>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0986pt;width:144.050pt;height:.72003pt;mso-position-horizontal-relative:page;mso-position-vertical-relative:paragraph;z-index:-15641600;mso-wrap-distance-left:0;mso-wrap-distance-right:0" id="docshape148"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35</w:t>
      </w:r>
      <w:r>
        <w:rPr>
          <w:rFonts w:ascii="Calibri"/>
          <w:sz w:val="20"/>
          <w:vertAlign w:val="baseline"/>
        </w:rPr>
        <w:t>Birds,</w:t>
      </w:r>
      <w:r>
        <w:rPr>
          <w:rFonts w:ascii="Calibri"/>
          <w:spacing w:val="-6"/>
          <w:sz w:val="20"/>
          <w:vertAlign w:val="baseline"/>
        </w:rPr>
        <w:t> </w:t>
      </w:r>
      <w:r>
        <w:rPr>
          <w:rFonts w:ascii="Calibri"/>
          <w:sz w:val="20"/>
          <w:vertAlign w:val="baseline"/>
        </w:rPr>
        <w:t>J.</w:t>
      </w:r>
      <w:r>
        <w:rPr>
          <w:rFonts w:ascii="Calibri"/>
          <w:spacing w:val="-7"/>
          <w:sz w:val="20"/>
          <w:vertAlign w:val="baseline"/>
        </w:rPr>
        <w:t> </w:t>
      </w:r>
      <w:r>
        <w:rPr>
          <w:rFonts w:ascii="Calibri"/>
          <w:sz w:val="20"/>
          <w:vertAlign w:val="baseline"/>
        </w:rPr>
        <w:t>et</w:t>
      </w:r>
      <w:r>
        <w:rPr>
          <w:rFonts w:ascii="Calibri"/>
          <w:spacing w:val="-8"/>
          <w:sz w:val="20"/>
          <w:vertAlign w:val="baseline"/>
        </w:rPr>
        <w:t> </w:t>
      </w:r>
      <w:r>
        <w:rPr>
          <w:rFonts w:ascii="Calibri"/>
          <w:sz w:val="20"/>
          <w:vertAlign w:val="baseline"/>
        </w:rPr>
        <w:t>al.</w:t>
      </w:r>
      <w:r>
        <w:rPr>
          <w:rFonts w:ascii="Calibri"/>
          <w:spacing w:val="-6"/>
          <w:sz w:val="20"/>
          <w:vertAlign w:val="baseline"/>
        </w:rPr>
        <w:t> </w:t>
      </w:r>
      <w:r>
        <w:rPr>
          <w:rFonts w:ascii="Calibri"/>
          <w:sz w:val="20"/>
          <w:vertAlign w:val="baseline"/>
        </w:rPr>
        <w:t>op.cit.at</w:t>
      </w:r>
      <w:r>
        <w:rPr>
          <w:rFonts w:ascii="Calibri"/>
          <w:spacing w:val="-5"/>
          <w:sz w:val="20"/>
          <w:vertAlign w:val="baseline"/>
        </w:rPr>
        <w:t> </w:t>
      </w:r>
      <w:r>
        <w:rPr>
          <w:rFonts w:ascii="Calibri"/>
          <w:sz w:val="20"/>
          <w:vertAlign w:val="baseline"/>
        </w:rPr>
        <w:t>p.</w:t>
      </w:r>
      <w:r>
        <w:rPr>
          <w:rFonts w:ascii="Calibri"/>
          <w:spacing w:val="-1"/>
          <w:sz w:val="20"/>
          <w:vertAlign w:val="baseline"/>
        </w:rPr>
        <w:t> </w:t>
      </w:r>
      <w:r>
        <w:rPr>
          <w:rFonts w:ascii="Calibri"/>
          <w:sz w:val="20"/>
          <w:vertAlign w:val="baseline"/>
        </w:rPr>
        <w:t>634;</w:t>
      </w:r>
      <w:r>
        <w:rPr>
          <w:rFonts w:ascii="Calibri"/>
          <w:spacing w:val="-8"/>
          <w:sz w:val="20"/>
          <w:vertAlign w:val="baseline"/>
        </w:rPr>
        <w:t> </w:t>
      </w:r>
      <w:r>
        <w:rPr>
          <w:rFonts w:ascii="Calibri"/>
          <w:sz w:val="20"/>
          <w:vertAlign w:val="baseline"/>
        </w:rPr>
        <w:t>Davies,</w:t>
      </w:r>
      <w:r>
        <w:rPr>
          <w:rFonts w:ascii="Calibri"/>
          <w:spacing w:val="-6"/>
          <w:sz w:val="20"/>
          <w:vertAlign w:val="baseline"/>
        </w:rPr>
        <w:t> </w:t>
      </w:r>
      <w:r>
        <w:rPr>
          <w:rFonts w:ascii="Calibri"/>
          <w:sz w:val="20"/>
          <w:vertAlign w:val="baseline"/>
        </w:rPr>
        <w:t>L.P.</w:t>
      </w:r>
      <w:r>
        <w:rPr>
          <w:rFonts w:ascii="Calibri"/>
          <w:spacing w:val="-2"/>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10"/>
          <w:sz w:val="20"/>
          <w:vertAlign w:val="baseline"/>
        </w:rPr>
        <w:t> </w:t>
      </w:r>
      <w:r>
        <w:rPr>
          <w:rFonts w:ascii="Calibri"/>
          <w:sz w:val="20"/>
          <w:vertAlign w:val="baseline"/>
        </w:rPr>
        <w:t>S.</w:t>
      </w:r>
      <w:r>
        <w:rPr>
          <w:rFonts w:ascii="Calibri"/>
          <w:spacing w:val="-2"/>
          <w:sz w:val="20"/>
          <w:vertAlign w:val="baseline"/>
        </w:rPr>
        <w:t> </w:t>
      </w:r>
      <w:r>
        <w:rPr>
          <w:rFonts w:ascii="Calibri"/>
          <w:sz w:val="20"/>
          <w:vertAlign w:val="baseline"/>
        </w:rPr>
        <w:t>(2012).Op.cit.</w:t>
      </w:r>
      <w:r>
        <w:rPr>
          <w:rFonts w:ascii="Calibri"/>
          <w:spacing w:val="-7"/>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540.</w:t>
      </w:r>
    </w:p>
    <w:p>
      <w:pPr>
        <w:spacing w:line="242" w:lineRule="exact" w:before="1"/>
        <w:ind w:left="308" w:right="0" w:firstLine="0"/>
        <w:jc w:val="both"/>
        <w:rPr>
          <w:rFonts w:ascii="Calibri"/>
          <w:sz w:val="20"/>
        </w:rPr>
      </w:pPr>
      <w:r>
        <w:rPr>
          <w:rFonts w:ascii="Calibri"/>
          <w:sz w:val="20"/>
          <w:vertAlign w:val="superscript"/>
        </w:rPr>
        <w:t>36</w:t>
      </w:r>
      <w:r>
        <w:rPr>
          <w:rFonts w:ascii="Calibri"/>
          <w:sz w:val="20"/>
          <w:vertAlign w:val="baseline"/>
        </w:rPr>
        <w:t>Such</w:t>
      </w:r>
      <w:r>
        <w:rPr>
          <w:rFonts w:ascii="Calibri"/>
          <w:spacing w:val="-2"/>
          <w:sz w:val="20"/>
          <w:vertAlign w:val="baseline"/>
        </w:rPr>
        <w:t> </w:t>
      </w:r>
      <w:r>
        <w:rPr>
          <w:rFonts w:ascii="Calibri"/>
          <w:sz w:val="20"/>
          <w:vertAlign w:val="baseline"/>
        </w:rPr>
        <w:t>as</w:t>
      </w:r>
      <w:r>
        <w:rPr>
          <w:rFonts w:ascii="Calibri"/>
          <w:spacing w:val="-4"/>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notorious</w:t>
      </w:r>
      <w:r>
        <w:rPr>
          <w:rFonts w:ascii="Calibri"/>
          <w:spacing w:val="-7"/>
          <w:sz w:val="20"/>
          <w:vertAlign w:val="baseline"/>
        </w:rPr>
        <w:t> </w:t>
      </w:r>
      <w:r>
        <w:rPr>
          <w:rFonts w:ascii="Calibri"/>
          <w:sz w:val="20"/>
          <w:vertAlign w:val="baseline"/>
        </w:rPr>
        <w:t>Enron</w:t>
      </w:r>
      <w:r>
        <w:rPr>
          <w:rFonts w:ascii="Calibri"/>
          <w:spacing w:val="-6"/>
          <w:sz w:val="20"/>
          <w:vertAlign w:val="baseline"/>
        </w:rPr>
        <w:t> </w:t>
      </w:r>
      <w:r>
        <w:rPr>
          <w:rFonts w:ascii="Calibri"/>
          <w:spacing w:val="-2"/>
          <w:sz w:val="20"/>
          <w:vertAlign w:val="baseline"/>
        </w:rPr>
        <w:t>debacle.</w:t>
      </w:r>
    </w:p>
    <w:p>
      <w:pPr>
        <w:spacing w:line="240" w:lineRule="auto" w:before="0"/>
        <w:ind w:left="308" w:right="221" w:firstLine="0"/>
        <w:jc w:val="both"/>
        <w:rPr>
          <w:rFonts w:ascii="Calibri"/>
          <w:sz w:val="20"/>
        </w:rPr>
      </w:pPr>
      <w:r>
        <w:rPr>
          <w:rFonts w:ascii="Calibri"/>
          <w:sz w:val="20"/>
          <w:vertAlign w:val="superscript"/>
        </w:rPr>
        <w:t>37</w:t>
      </w:r>
      <w:r>
        <w:rPr>
          <w:rFonts w:ascii="Calibri"/>
          <w:sz w:val="20"/>
          <w:vertAlign w:val="baseline"/>
        </w:rPr>
        <w:t> See Lipton, M., Mirvis, T. andLorsch, J. (2009) </w:t>
      </w:r>
      <w:r>
        <w:rPr>
          <w:rFonts w:ascii="Calibri"/>
          <w:i/>
          <w:sz w:val="20"/>
          <w:vertAlign w:val="baseline"/>
        </w:rPr>
        <w:t>The Proposed Shareholder Bill of Rights Act of 2009</w:t>
      </w:r>
      <w:r>
        <w:rPr>
          <w:rFonts w:ascii="Calibri"/>
          <w:sz w:val="20"/>
          <w:vertAlign w:val="baseline"/>
        </w:rPr>
        <w:t>, Harvard Law School Forum on Corporate Governance &amp; Financial Regulation. Retrieved</w:t>
      </w:r>
      <w:r>
        <w:rPr>
          <w:rFonts w:ascii="Calibri"/>
          <w:spacing w:val="40"/>
          <w:sz w:val="20"/>
          <w:vertAlign w:val="baseline"/>
        </w:rPr>
        <w:t> </w:t>
      </w:r>
      <w:r>
        <w:rPr>
          <w:rFonts w:ascii="Calibri"/>
          <w:sz w:val="20"/>
          <w:vertAlign w:val="baseline"/>
        </w:rPr>
        <w:t>October 10, 2013 from</w:t>
      </w:r>
      <w:hyperlink r:id="rId46">
        <w:r>
          <w:rPr>
            <w:rFonts w:ascii="Calibri"/>
            <w:color w:val="0000FF"/>
            <w:sz w:val="20"/>
            <w:u w:val="single" w:color="0000FF"/>
            <w:vertAlign w:val="baseline"/>
          </w:rPr>
          <w:t>http://blogs.law.harvard.edu/corpgov/2009/05/12/the-proposed-%e2%80%9cshareholder-</w:t>
        </w:r>
      </w:hyperlink>
      <w:r>
        <w:rPr>
          <w:rFonts w:ascii="Calibri"/>
          <w:color w:val="0000FF"/>
          <w:sz w:val="20"/>
          <w:vertAlign w:val="baseline"/>
        </w:rPr>
        <w:t> </w:t>
      </w:r>
      <w:hyperlink r:id="rId46">
        <w:r>
          <w:rPr>
            <w:rFonts w:ascii="Calibri"/>
            <w:color w:val="0000FF"/>
            <w:sz w:val="20"/>
            <w:u w:val="single" w:color="0000FF"/>
            <w:vertAlign w:val="baseline"/>
          </w:rPr>
          <w:t>bill-of-rights-act-of-2009%e2%80%9d</w:t>
        </w:r>
      </w:hyperlink>
      <w:r>
        <w:rPr>
          <w:rFonts w:ascii="Calibri"/>
          <w:color w:val="0000FF"/>
          <w:sz w:val="20"/>
          <w:vertAlign w:val="baseline"/>
        </w:rPr>
        <w:t>; </w:t>
      </w:r>
      <w:r>
        <w:rPr>
          <w:rFonts w:ascii="Calibri"/>
          <w:sz w:val="20"/>
          <w:vertAlign w:val="baseline"/>
        </w:rPr>
        <w:t>Williams, C. (2006)A Tale of Two Trajectories. </w:t>
      </w:r>
      <w:r>
        <w:rPr>
          <w:rFonts w:ascii="Calibri"/>
          <w:i/>
          <w:sz w:val="20"/>
          <w:vertAlign w:val="baseline"/>
        </w:rPr>
        <w:t>FordhamLaw Review,</w:t>
      </w:r>
      <w:r>
        <w:rPr>
          <w:rFonts w:ascii="Calibri"/>
          <w:sz w:val="20"/>
          <w:vertAlign w:val="baseline"/>
        </w:rPr>
        <w:t>75: 1629 at 1654-1655; Sharpe,</w:t>
      </w:r>
      <w:r>
        <w:rPr>
          <w:rFonts w:ascii="Calibri"/>
          <w:spacing w:val="-1"/>
          <w:sz w:val="20"/>
          <w:vertAlign w:val="baseline"/>
        </w:rPr>
        <w:t> </w:t>
      </w:r>
      <w:r>
        <w:rPr>
          <w:rFonts w:ascii="Calibri"/>
          <w:sz w:val="20"/>
          <w:vertAlign w:val="baseline"/>
        </w:rPr>
        <w:t>N.</w:t>
      </w:r>
      <w:r>
        <w:rPr>
          <w:rFonts w:ascii="Calibri"/>
          <w:spacing w:val="-1"/>
          <w:sz w:val="20"/>
          <w:vertAlign w:val="baseline"/>
        </w:rPr>
        <w:t> </w:t>
      </w:r>
      <w:r>
        <w:rPr>
          <w:rFonts w:ascii="Calibri"/>
          <w:sz w:val="20"/>
          <w:vertAlign w:val="baseline"/>
        </w:rPr>
        <w:t>(2010) Rethinking</w:t>
      </w:r>
      <w:r>
        <w:rPr>
          <w:rFonts w:ascii="Calibri"/>
          <w:spacing w:val="-3"/>
          <w:sz w:val="20"/>
          <w:vertAlign w:val="baseline"/>
        </w:rPr>
        <w:t> </w:t>
      </w:r>
      <w:r>
        <w:rPr>
          <w:rFonts w:ascii="Calibri"/>
          <w:sz w:val="20"/>
          <w:vertAlign w:val="baseline"/>
        </w:rPr>
        <w:t>the</w:t>
      </w:r>
      <w:r>
        <w:rPr>
          <w:rFonts w:ascii="Calibri"/>
          <w:spacing w:val="-4"/>
          <w:sz w:val="20"/>
          <w:vertAlign w:val="baseline"/>
        </w:rPr>
        <w:t> </w:t>
      </w:r>
      <w:r>
        <w:rPr>
          <w:rFonts w:ascii="Calibri"/>
          <w:sz w:val="20"/>
          <w:vertAlign w:val="baseline"/>
        </w:rPr>
        <w:t>Board</w:t>
      </w:r>
      <w:r>
        <w:rPr>
          <w:rFonts w:ascii="Calibri"/>
          <w:spacing w:val="-4"/>
          <w:sz w:val="20"/>
          <w:vertAlign w:val="baseline"/>
        </w:rPr>
        <w:t> </w:t>
      </w:r>
      <w:r>
        <w:rPr>
          <w:rFonts w:ascii="Calibri"/>
          <w:sz w:val="20"/>
          <w:vertAlign w:val="baseline"/>
        </w:rPr>
        <w:t>Function</w:t>
      </w:r>
      <w:r>
        <w:rPr>
          <w:rFonts w:ascii="Calibri"/>
          <w:spacing w:val="-4"/>
          <w:sz w:val="20"/>
          <w:vertAlign w:val="baseline"/>
        </w:rPr>
        <w:t> </w:t>
      </w:r>
      <w:r>
        <w:rPr>
          <w:rFonts w:ascii="Calibri"/>
          <w:sz w:val="20"/>
          <w:vertAlign w:val="baseline"/>
        </w:rPr>
        <w:t>in the</w:t>
      </w:r>
      <w:r>
        <w:rPr>
          <w:rFonts w:ascii="Calibri"/>
          <w:spacing w:val="-4"/>
          <w:sz w:val="20"/>
          <w:vertAlign w:val="baseline"/>
        </w:rPr>
        <w:t> </w:t>
      </w:r>
      <w:r>
        <w:rPr>
          <w:rFonts w:ascii="Calibri"/>
          <w:sz w:val="20"/>
          <w:vertAlign w:val="baseline"/>
        </w:rPr>
        <w:t>Wake</w:t>
      </w:r>
      <w:r>
        <w:rPr>
          <w:rFonts w:ascii="Calibri"/>
          <w:spacing w:val="-3"/>
          <w:sz w:val="20"/>
          <w:vertAlign w:val="baseline"/>
        </w:rPr>
        <w:t> </w:t>
      </w:r>
      <w:r>
        <w:rPr>
          <w:rFonts w:ascii="Calibri"/>
          <w:sz w:val="20"/>
          <w:vertAlign w:val="baseline"/>
        </w:rPr>
        <w:t>of the 2008 Financial Crisis</w:t>
      </w:r>
      <w:r>
        <w:rPr>
          <w:rFonts w:ascii="Calibri"/>
          <w:i/>
          <w:sz w:val="20"/>
          <w:vertAlign w:val="baseline"/>
        </w:rPr>
        <w:t>. Journal of Business and Technology Law 5: </w:t>
      </w:r>
      <w:r>
        <w:rPr>
          <w:rFonts w:ascii="Calibri"/>
          <w:sz w:val="20"/>
          <w:vertAlign w:val="baseline"/>
        </w:rPr>
        <w:t>99 at 110-111; Grinyer, J. et al,</w:t>
      </w:r>
      <w:r>
        <w:rPr>
          <w:rFonts w:ascii="Calibri"/>
          <w:spacing w:val="40"/>
          <w:sz w:val="20"/>
          <w:vertAlign w:val="baseline"/>
        </w:rPr>
        <w:t> </w:t>
      </w:r>
      <w:r>
        <w:rPr>
          <w:rFonts w:ascii="Calibri"/>
          <w:sz w:val="20"/>
          <w:vertAlign w:val="baseline"/>
        </w:rPr>
        <w:t>(1998)Evidence of Managerial Short-termism in the UK. </w:t>
      </w:r>
      <w:r>
        <w:rPr>
          <w:rFonts w:ascii="Calibri"/>
          <w:i/>
          <w:sz w:val="20"/>
          <w:vertAlign w:val="baseline"/>
        </w:rPr>
        <w:t>British Journal ofManagement </w:t>
      </w:r>
      <w:r>
        <w:rPr>
          <w:rFonts w:ascii="Calibri"/>
          <w:sz w:val="20"/>
          <w:vertAlign w:val="baseline"/>
        </w:rPr>
        <w:t>9</w:t>
      </w:r>
      <w:r>
        <w:rPr>
          <w:rFonts w:ascii="Calibri"/>
          <w:i/>
          <w:sz w:val="20"/>
          <w:vertAlign w:val="baseline"/>
        </w:rPr>
        <w:t>: </w:t>
      </w:r>
      <w:r>
        <w:rPr>
          <w:rFonts w:ascii="Calibri"/>
          <w:sz w:val="20"/>
          <w:vertAlign w:val="baseline"/>
        </w:rPr>
        <w:t>13 at 14-15.</w:t>
      </w:r>
    </w:p>
    <w:p>
      <w:pPr>
        <w:spacing w:before="0"/>
        <w:ind w:left="308" w:right="227" w:firstLine="0"/>
        <w:jc w:val="both"/>
        <w:rPr>
          <w:rFonts w:ascii="Calibri" w:hAnsi="Calibri"/>
          <w:sz w:val="20"/>
        </w:rPr>
      </w:pPr>
      <w:r>
        <w:rPr>
          <w:rFonts w:ascii="Calibri" w:hAnsi="Calibri"/>
          <w:sz w:val="20"/>
          <w:vertAlign w:val="superscript"/>
        </w:rPr>
        <w:t>38</w:t>
      </w:r>
      <w:r>
        <w:rPr>
          <w:rFonts w:ascii="Calibri" w:hAnsi="Calibri"/>
          <w:sz w:val="20"/>
          <w:vertAlign w:val="baseline"/>
        </w:rPr>
        <w:t> It has been said that to apply a short-term approach strictly would mean that directors would be paying out to shareholders every amount earned as profit and with no consideration of investing funds and expansion of the company’s market. See Heydon, J.</w:t>
      </w:r>
      <w:r>
        <w:rPr>
          <w:rFonts w:ascii="Calibri" w:hAnsi="Calibri"/>
          <w:spacing w:val="17"/>
          <w:sz w:val="20"/>
          <w:vertAlign w:val="baseline"/>
        </w:rPr>
        <w:t> </w:t>
      </w:r>
      <w:r>
        <w:rPr>
          <w:rFonts w:ascii="Calibri" w:hAnsi="Calibri"/>
          <w:i/>
          <w:sz w:val="20"/>
          <w:vertAlign w:val="baseline"/>
        </w:rPr>
        <w:t>Directors’ Duties and the Company’s Interests</w:t>
      </w:r>
      <w:r>
        <w:rPr>
          <w:rFonts w:ascii="Calibri" w:hAnsi="Calibri"/>
          <w:sz w:val="20"/>
          <w:vertAlign w:val="baseline"/>
        </w:rPr>
        <w:t>.</w:t>
      </w:r>
      <w:r>
        <w:rPr>
          <w:rFonts w:ascii="Calibri" w:hAnsi="Calibri"/>
          <w:spacing w:val="40"/>
          <w:sz w:val="20"/>
          <w:vertAlign w:val="baseline"/>
        </w:rPr>
        <w:t> </w:t>
      </w:r>
      <w:r>
        <w:rPr>
          <w:rFonts w:ascii="Calibri" w:hAnsi="Calibri"/>
          <w:sz w:val="20"/>
          <w:vertAlign w:val="baseline"/>
        </w:rPr>
        <w:t>In Finn, P. (ed), </w:t>
      </w:r>
      <w:r>
        <w:rPr>
          <w:rFonts w:ascii="Calibri" w:hAnsi="Calibri"/>
          <w:sz w:val="20"/>
          <w:u w:val="single"/>
          <w:vertAlign w:val="baseline"/>
        </w:rPr>
        <w:t>Equity and Commercial Relationships</w:t>
      </w:r>
      <w:r>
        <w:rPr>
          <w:rFonts w:ascii="Calibri" w:hAnsi="Calibri"/>
          <w:i/>
          <w:sz w:val="20"/>
          <w:vertAlign w:val="baseline"/>
        </w:rPr>
        <w:t>, </w:t>
      </w:r>
      <w:r>
        <w:rPr>
          <w:rFonts w:ascii="Calibri" w:hAnsi="Calibri"/>
          <w:sz w:val="20"/>
          <w:vertAlign w:val="baseline"/>
        </w:rPr>
        <w:t>Law Book Co., Sydney (1987) at 135.</w:t>
      </w:r>
    </w:p>
    <w:p>
      <w:pPr>
        <w:spacing w:before="1"/>
        <w:ind w:left="308" w:right="224" w:firstLine="0"/>
        <w:jc w:val="both"/>
        <w:rPr>
          <w:rFonts w:ascii="Calibri"/>
          <w:sz w:val="20"/>
        </w:rPr>
      </w:pPr>
      <w:r>
        <w:rPr>
          <w:rFonts w:ascii="Calibri"/>
          <w:sz w:val="20"/>
          <w:vertAlign w:val="superscript"/>
        </w:rPr>
        <w:t>39</w:t>
      </w:r>
      <w:r>
        <w:rPr>
          <w:rFonts w:ascii="Calibri"/>
          <w:sz w:val="20"/>
          <w:vertAlign w:val="baseline"/>
        </w:rPr>
        <w:t>Keay, A. (2010)</w:t>
      </w:r>
      <w:r>
        <w:rPr>
          <w:rFonts w:ascii="Calibri"/>
          <w:i/>
          <w:sz w:val="20"/>
          <w:vertAlign w:val="baseline"/>
        </w:rPr>
        <w:t>The Duty to Promote the Success of the Company: Is it Fit for Purpose? </w:t>
      </w:r>
      <w:r>
        <w:rPr>
          <w:rFonts w:ascii="Calibri"/>
          <w:sz w:val="20"/>
          <w:vertAlign w:val="baseline"/>
        </w:rPr>
        <w:t>Working Paper, Centre for Business Law and Practice, School of Law, University of Leeds, England, p. 5.Retrieved</w:t>
      </w:r>
      <w:r>
        <w:rPr>
          <w:rFonts w:ascii="Calibri"/>
          <w:spacing w:val="40"/>
          <w:sz w:val="20"/>
          <w:vertAlign w:val="baseline"/>
        </w:rPr>
        <w:t> </w:t>
      </w:r>
      <w:r>
        <w:rPr>
          <w:rFonts w:ascii="Calibri"/>
          <w:sz w:val="20"/>
          <w:vertAlign w:val="baseline"/>
        </w:rPr>
        <w:t>October 21, 2013 from</w:t>
      </w:r>
      <w:hyperlink r:id="rId47">
        <w:r>
          <w:rPr>
            <w:rFonts w:ascii="Calibri"/>
            <w:color w:val="0000FF"/>
            <w:sz w:val="20"/>
            <w:u w:val="single" w:color="0000FF"/>
            <w:vertAlign w:val="baseline"/>
          </w:rPr>
          <w:t>http://papers.ssrn.com/sol3/papers.cfm?abstract_id=1662411</w:t>
        </w:r>
        <w:r>
          <w:rPr>
            <w:rFonts w:ascii="Calibri"/>
            <w:sz w:val="20"/>
            <w:vertAlign w:val="baseline"/>
          </w:rPr>
          <w:t>.</w:t>
        </w:r>
      </w:hyperlink>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9"/>
        <w:jc w:val="both"/>
      </w:pPr>
      <w:r>
        <w:rPr/>
        <w:t>duties at common law are often regarded as leading to directors having an undue focus on the short term and the narrow interests of members at the expense of what is in a broader and a longer term</w:t>
      </w:r>
      <w:r>
        <w:rPr>
          <w:spacing w:val="-7"/>
        </w:rPr>
        <w:t> </w:t>
      </w:r>
      <w:r>
        <w:rPr/>
        <w:t>sense the best interests</w:t>
      </w:r>
      <w:r>
        <w:rPr>
          <w:spacing w:val="-5"/>
        </w:rPr>
        <w:t> </w:t>
      </w:r>
      <w:r>
        <w:rPr/>
        <w:t>of</w:t>
      </w:r>
      <w:r>
        <w:rPr>
          <w:spacing w:val="-6"/>
        </w:rPr>
        <w:t> </w:t>
      </w:r>
      <w:r>
        <w:rPr/>
        <w:t>the enterprise,‖</w:t>
      </w:r>
      <w:r>
        <w:rPr>
          <w:vertAlign w:val="superscript"/>
        </w:rPr>
        <w:t>40</w:t>
      </w:r>
      <w:r>
        <w:rPr>
          <w:vertAlign w:val="baseline"/>
        </w:rPr>
        <w:t> the Company</w:t>
      </w:r>
      <w:r>
        <w:rPr>
          <w:spacing w:val="-3"/>
          <w:vertAlign w:val="baseline"/>
        </w:rPr>
        <w:t> </w:t>
      </w:r>
      <w:r>
        <w:rPr>
          <w:vertAlign w:val="baseline"/>
        </w:rPr>
        <w:t>Law Review Steering Group (CLRSG)—created by the then Department of Trade and Industry(DTI), now Department of Business, Enterprise and Regulatory Reform (DBERR)—saddled with the responsibility of proposing reforms for adoption by Parliament, proposed</w:t>
      </w:r>
      <w:r>
        <w:rPr>
          <w:spacing w:val="-1"/>
          <w:vertAlign w:val="baseline"/>
        </w:rPr>
        <w:t> </w:t>
      </w:r>
      <w:r>
        <w:rPr>
          <w:vertAlign w:val="baseline"/>
        </w:rPr>
        <w:t>a</w:t>
      </w:r>
      <w:r>
        <w:rPr>
          <w:spacing w:val="-2"/>
          <w:vertAlign w:val="baseline"/>
        </w:rPr>
        <w:t> </w:t>
      </w:r>
      <w:r>
        <w:rPr>
          <w:vertAlign w:val="baseline"/>
        </w:rPr>
        <w:t>solution. S. 172</w:t>
      </w:r>
      <w:r>
        <w:rPr>
          <w:spacing w:val="-1"/>
          <w:vertAlign w:val="baseline"/>
        </w:rPr>
        <w:t> </w:t>
      </w:r>
      <w:r>
        <w:rPr>
          <w:vertAlign w:val="baseline"/>
        </w:rPr>
        <w:t>was</w:t>
      </w:r>
      <w:r>
        <w:rPr>
          <w:spacing w:val="-3"/>
          <w:vertAlign w:val="baseline"/>
        </w:rPr>
        <w:t> </w:t>
      </w:r>
      <w:r>
        <w:rPr>
          <w:vertAlign w:val="baseline"/>
        </w:rPr>
        <w:t>suggested</w:t>
      </w:r>
      <w:r>
        <w:rPr>
          <w:spacing w:val="-1"/>
          <w:vertAlign w:val="baseline"/>
        </w:rPr>
        <w:t> </w:t>
      </w:r>
      <w:r>
        <w:rPr>
          <w:vertAlign w:val="baseline"/>
        </w:rPr>
        <w:t>as</w:t>
      </w:r>
      <w:r>
        <w:rPr>
          <w:spacing w:val="-3"/>
          <w:vertAlign w:val="baseline"/>
        </w:rPr>
        <w:t> </w:t>
      </w:r>
      <w:r>
        <w:rPr>
          <w:vertAlign w:val="baseline"/>
        </w:rPr>
        <w:t>having the</w:t>
      </w:r>
      <w:r>
        <w:rPr>
          <w:spacing w:val="-2"/>
          <w:vertAlign w:val="baseline"/>
        </w:rPr>
        <w:t> </w:t>
      </w:r>
      <w:r>
        <w:rPr>
          <w:vertAlign w:val="baseline"/>
        </w:rPr>
        <w:t>potential</w:t>
      </w:r>
      <w:r>
        <w:rPr>
          <w:spacing w:val="-6"/>
          <w:vertAlign w:val="baseline"/>
        </w:rPr>
        <w:t> </w:t>
      </w:r>
      <w:r>
        <w:rPr>
          <w:vertAlign w:val="baseline"/>
        </w:rPr>
        <w:t>to prevent such corporate failures as well as the attendant devastating consequences. Therein is stated</w:t>
      </w:r>
      <w:r>
        <w:rPr>
          <w:spacing w:val="-5"/>
          <w:vertAlign w:val="baseline"/>
        </w:rPr>
        <w:t> </w:t>
      </w:r>
      <w:r>
        <w:rPr>
          <w:vertAlign w:val="baseline"/>
        </w:rPr>
        <w:t>the modern</w:t>
      </w:r>
      <w:r>
        <w:rPr>
          <w:spacing w:val="-5"/>
          <w:vertAlign w:val="baseline"/>
        </w:rPr>
        <w:t> </w:t>
      </w:r>
      <w:r>
        <w:rPr>
          <w:vertAlign w:val="baseline"/>
        </w:rPr>
        <w:t>objective</w:t>
      </w:r>
      <w:r>
        <w:rPr>
          <w:spacing w:val="-1"/>
          <w:vertAlign w:val="baseline"/>
        </w:rPr>
        <w:t> </w:t>
      </w:r>
      <w:r>
        <w:rPr>
          <w:vertAlign w:val="baseline"/>
        </w:rPr>
        <w:t>of</w:t>
      </w:r>
      <w:r>
        <w:rPr>
          <w:spacing w:val="-8"/>
          <w:vertAlign w:val="baseline"/>
        </w:rPr>
        <w:t> </w:t>
      </w:r>
      <w:r>
        <w:rPr>
          <w:vertAlign w:val="baseline"/>
        </w:rPr>
        <w:t>the</w:t>
      </w:r>
      <w:r>
        <w:rPr>
          <w:spacing w:val="-1"/>
          <w:vertAlign w:val="baseline"/>
        </w:rPr>
        <w:t> </w:t>
      </w:r>
      <w:r>
        <w:rPr>
          <w:vertAlign w:val="baseline"/>
        </w:rPr>
        <w:t>corporation vis a</w:t>
      </w:r>
      <w:r>
        <w:rPr>
          <w:spacing w:val="-1"/>
          <w:vertAlign w:val="baseline"/>
        </w:rPr>
        <w:t> </w:t>
      </w:r>
      <w:r>
        <w:rPr>
          <w:vertAlign w:val="baseline"/>
        </w:rPr>
        <w:t>vis its</w:t>
      </w:r>
      <w:r>
        <w:rPr>
          <w:spacing w:val="-2"/>
          <w:vertAlign w:val="baseline"/>
        </w:rPr>
        <w:t> </w:t>
      </w:r>
      <w:r>
        <w:rPr>
          <w:vertAlign w:val="baseline"/>
        </w:rPr>
        <w:t>relationship with members</w:t>
      </w:r>
      <w:r>
        <w:rPr>
          <w:spacing w:val="-2"/>
          <w:vertAlign w:val="baseline"/>
        </w:rPr>
        <w:t> </w:t>
      </w:r>
      <w:r>
        <w:rPr>
          <w:vertAlign w:val="baseline"/>
        </w:rPr>
        <w:t>on the</w:t>
      </w:r>
      <w:r>
        <w:rPr>
          <w:spacing w:val="-1"/>
          <w:vertAlign w:val="baseline"/>
        </w:rPr>
        <w:t> </w:t>
      </w:r>
      <w:r>
        <w:rPr>
          <w:vertAlign w:val="baseline"/>
        </w:rPr>
        <w:t>one hand and subjects</w:t>
      </w:r>
      <w:r>
        <w:rPr>
          <w:spacing w:val="-2"/>
          <w:vertAlign w:val="baseline"/>
        </w:rPr>
        <w:t> </w:t>
      </w:r>
      <w:r>
        <w:rPr>
          <w:vertAlign w:val="baseline"/>
        </w:rPr>
        <w:t>other than members, on the</w:t>
      </w:r>
      <w:r>
        <w:rPr>
          <w:spacing w:val="-1"/>
          <w:vertAlign w:val="baseline"/>
        </w:rPr>
        <w:t> </w:t>
      </w:r>
      <w:r>
        <w:rPr>
          <w:vertAlign w:val="baseline"/>
        </w:rPr>
        <w:t>other. Prior to the</w:t>
      </w:r>
      <w:r>
        <w:rPr>
          <w:spacing w:val="-1"/>
          <w:vertAlign w:val="baseline"/>
        </w:rPr>
        <w:t> </w:t>
      </w:r>
      <w:r>
        <w:rPr>
          <w:vertAlign w:val="baseline"/>
        </w:rPr>
        <w:t>Companies Act 2006, there had been no definitive legislative statement establishing the core objective</w:t>
      </w:r>
      <w:r>
        <w:rPr>
          <w:spacing w:val="40"/>
          <w:vertAlign w:val="baseline"/>
        </w:rPr>
        <w:t> </w:t>
      </w:r>
      <w:r>
        <w:rPr>
          <w:vertAlign w:val="baseline"/>
        </w:rPr>
        <w:t>of the UK ‗corporation‘. A determination of the scope of company law and governance—i.e. in whose interests companies should be run—was, therefore, a critical aspect of the reform agenda.</w:t>
      </w:r>
      <w:r>
        <w:rPr>
          <w:vertAlign w:val="superscript"/>
        </w:rPr>
        <w:t>41</w:t>
      </w:r>
    </w:p>
    <w:p>
      <w:pPr>
        <w:pStyle w:val="BodyText"/>
        <w:spacing w:line="480" w:lineRule="auto" w:before="3"/>
        <w:ind w:right="233" w:firstLine="720"/>
        <w:jc w:val="both"/>
      </w:pPr>
      <w:r>
        <w:rPr/>
        <w:t>During parliamentary</w:t>
      </w:r>
      <w:r>
        <w:rPr>
          <w:spacing w:val="-9"/>
        </w:rPr>
        <w:t> </w:t>
      </w:r>
      <w:r>
        <w:rPr/>
        <w:t>debate leading up to the completion</w:t>
      </w:r>
      <w:r>
        <w:rPr>
          <w:spacing w:val="-4"/>
        </w:rPr>
        <w:t> </w:t>
      </w:r>
      <w:r>
        <w:rPr/>
        <w:t>of</w:t>
      </w:r>
      <w:r>
        <w:rPr>
          <w:spacing w:val="-7"/>
        </w:rPr>
        <w:t> </w:t>
      </w:r>
      <w:r>
        <w:rPr/>
        <w:t>the Companies Bill that culminated in the Act, therefore, the Berle-Dodd debate</w:t>
      </w:r>
      <w:r>
        <w:rPr>
          <w:vertAlign w:val="superscript"/>
        </w:rPr>
        <w:t>42</w:t>
      </w:r>
      <w:r>
        <w:rPr>
          <w:vertAlign w:val="baseline"/>
        </w:rPr>
        <w:t> was somewhat revived. Traditionally, directors had been required to exercise their powers simply in ―the interests of the company.‖ The latter was believed to be akin to the interests of both present and future members,</w:t>
      </w:r>
      <w:r>
        <w:rPr>
          <w:vertAlign w:val="superscript"/>
        </w:rPr>
        <w:t>43</w:t>
      </w:r>
      <w:r>
        <w:rPr>
          <w:vertAlign w:val="baseline"/>
        </w:rPr>
        <w:t> since it was understood as technically impossible to assign any interests to the artificial entity called ―the company‖ by itself, without relating it to the interests</w:t>
      </w:r>
      <w:r>
        <w:rPr>
          <w:spacing w:val="-3"/>
          <w:vertAlign w:val="baseline"/>
        </w:rPr>
        <w:t> </w:t>
      </w:r>
      <w:r>
        <w:rPr>
          <w:vertAlign w:val="baseline"/>
        </w:rPr>
        <w:t>of</w:t>
      </w:r>
      <w:r>
        <w:rPr>
          <w:spacing w:val="-4"/>
          <w:vertAlign w:val="baseline"/>
        </w:rPr>
        <w:t> </w:t>
      </w:r>
      <w:r>
        <w:rPr>
          <w:vertAlign w:val="baseline"/>
        </w:rPr>
        <w:t>human</w:t>
      </w:r>
      <w:r>
        <w:rPr>
          <w:spacing w:val="-1"/>
          <w:vertAlign w:val="baseline"/>
        </w:rPr>
        <w:t> </w:t>
      </w:r>
      <w:r>
        <w:rPr>
          <w:vertAlign w:val="baseline"/>
        </w:rPr>
        <w:t>persons. The contention</w:t>
      </w:r>
      <w:r>
        <w:rPr>
          <w:spacing w:val="-1"/>
          <w:vertAlign w:val="baseline"/>
        </w:rPr>
        <w:t> </w:t>
      </w:r>
      <w:r>
        <w:rPr>
          <w:vertAlign w:val="baseline"/>
        </w:rPr>
        <w:t>had been</w:t>
      </w:r>
      <w:r>
        <w:rPr>
          <w:spacing w:val="-1"/>
          <w:vertAlign w:val="baseline"/>
        </w:rPr>
        <w:t> </w:t>
      </w:r>
      <w:r>
        <w:rPr>
          <w:vertAlign w:val="baseline"/>
        </w:rPr>
        <w:t>whether to simply</w:t>
      </w:r>
    </w:p>
    <w:p>
      <w:pPr>
        <w:pStyle w:val="BodyText"/>
        <w:ind w:left="0"/>
        <w:rPr>
          <w:sz w:val="7"/>
        </w:rPr>
      </w:pPr>
      <w:r>
        <w:rPr/>
        <mc:AlternateContent>
          <mc:Choice Requires="wps">
            <w:drawing>
              <wp:anchor distT="0" distB="0" distL="0" distR="0" allowOverlap="1" layoutInCell="1" locked="0" behindDoc="1" simplePos="0" relativeHeight="487675392">
                <wp:simplePos x="0" y="0"/>
                <wp:positionH relativeFrom="page">
                  <wp:posOffset>1262481</wp:posOffset>
                </wp:positionH>
                <wp:positionV relativeFrom="paragraph">
                  <wp:posOffset>66919</wp:posOffset>
                </wp:positionV>
                <wp:extent cx="1829435" cy="9525"/>
                <wp:effectExtent l="0" t="0" r="0" b="0"/>
                <wp:wrapTopAndBottom/>
                <wp:docPr id="194" name="Graphic 194"/>
                <wp:cNvGraphicFramePr>
                  <a:graphicFrameLocks/>
                </wp:cNvGraphicFramePr>
                <a:graphic>
                  <a:graphicData uri="http://schemas.microsoft.com/office/word/2010/wordprocessingShape">
                    <wps:wsp>
                      <wps:cNvPr id="194" name="Graphic 19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5.269249pt;width:144.050pt;height:.71997pt;mso-position-horizontal-relative:page;mso-position-vertical-relative:paragraph;z-index:-15641088;mso-wrap-distance-left:0;mso-wrap-distance-right:0" id="docshape149" filled="true" fillcolor="#000000" stroked="false">
                <v:fill type="solid"/>
                <w10:wrap type="topAndBottom"/>
              </v:rect>
            </w:pict>
          </mc:Fallback>
        </mc:AlternateContent>
      </w:r>
    </w:p>
    <w:p>
      <w:pPr>
        <w:spacing w:before="102"/>
        <w:ind w:left="308" w:right="227" w:firstLine="0"/>
        <w:jc w:val="both"/>
        <w:rPr>
          <w:rFonts w:ascii="Calibri"/>
          <w:sz w:val="20"/>
        </w:rPr>
      </w:pPr>
      <w:r>
        <w:rPr>
          <w:rFonts w:ascii="Calibri"/>
          <w:sz w:val="20"/>
          <w:vertAlign w:val="superscript"/>
        </w:rPr>
        <w:t>40</w:t>
      </w:r>
      <w:r>
        <w:rPr>
          <w:rFonts w:ascii="Calibri"/>
          <w:sz w:val="20"/>
          <w:vertAlign w:val="baseline"/>
        </w:rPr>
        <w:t> Company Law Review </w:t>
      </w:r>
      <w:r>
        <w:rPr>
          <w:rFonts w:ascii="Calibri"/>
          <w:i/>
          <w:sz w:val="20"/>
          <w:vertAlign w:val="baseline"/>
        </w:rPr>
        <w:t>Modern Company Law for a Competitive Economy</w:t>
      </w:r>
      <w:r>
        <w:rPr>
          <w:rFonts w:ascii="Calibri"/>
          <w:sz w:val="20"/>
          <w:vertAlign w:val="baseline"/>
        </w:rPr>
        <w:t>: The Strategic Framework (1999) Department of Trade and Industry (DTI) London, at para 5.1.17.</w:t>
      </w:r>
    </w:p>
    <w:p>
      <w:pPr>
        <w:spacing w:line="240" w:lineRule="auto" w:before="0"/>
        <w:ind w:left="308" w:right="227" w:firstLine="0"/>
        <w:jc w:val="both"/>
        <w:rPr>
          <w:rFonts w:ascii="Calibri"/>
          <w:sz w:val="20"/>
        </w:rPr>
      </w:pPr>
      <w:r>
        <w:rPr>
          <w:rFonts w:ascii="Calibri"/>
          <w:sz w:val="20"/>
          <w:vertAlign w:val="superscript"/>
        </w:rPr>
        <w:t>41</w:t>
      </w:r>
      <w:r>
        <w:rPr>
          <w:rFonts w:ascii="Calibri"/>
          <w:sz w:val="20"/>
          <w:vertAlign w:val="baseline"/>
        </w:rPr>
        <w:t> Tate, C.R. (2011).</w:t>
      </w:r>
      <w:r>
        <w:rPr>
          <w:rFonts w:ascii="Calibri"/>
          <w:i/>
          <w:sz w:val="20"/>
          <w:vertAlign w:val="baseline"/>
        </w:rPr>
        <w:t>S.172 CA 2006: The Ticket to Stakeholder Value or Simply Tokenism?</w:t>
      </w:r>
      <w:r>
        <w:rPr>
          <w:rFonts w:ascii="Calibri"/>
          <w:i/>
          <w:spacing w:val="40"/>
          <w:sz w:val="20"/>
          <w:vertAlign w:val="baseline"/>
        </w:rPr>
        <w:t> </w:t>
      </w:r>
      <w:r>
        <w:rPr>
          <w:rFonts w:ascii="Calibri"/>
          <w:sz w:val="20"/>
          <w:vertAlign w:val="baseline"/>
        </w:rPr>
        <w:t>Being term paper submitted to the Graduate School of Law, University of Aberdeen p. 1, citing Modern Company Law for a Competitive Economy: The Strategic Framework, CLRSG (February, 1999), para 5.1.4-5.1.33.</w:t>
      </w:r>
    </w:p>
    <w:p>
      <w:pPr>
        <w:spacing w:before="0"/>
        <w:ind w:left="308" w:right="231" w:firstLine="0"/>
        <w:jc w:val="both"/>
        <w:rPr>
          <w:rFonts w:ascii="Calibri" w:hAnsi="Calibri"/>
          <w:sz w:val="20"/>
        </w:rPr>
      </w:pPr>
      <w:r>
        <w:rPr>
          <w:rFonts w:ascii="Calibri" w:hAnsi="Calibri"/>
          <w:sz w:val="20"/>
          <w:vertAlign w:val="superscript"/>
        </w:rPr>
        <w:t>42</w:t>
      </w:r>
      <w:r>
        <w:rPr>
          <w:rFonts w:ascii="Calibri" w:hAnsi="Calibri"/>
          <w:sz w:val="20"/>
          <w:vertAlign w:val="baseline"/>
        </w:rPr>
        <w:t> Refer extensively to </w:t>
      </w:r>
      <w:r>
        <w:rPr>
          <w:rFonts w:ascii="Calibri" w:hAnsi="Calibri"/>
          <w:b/>
          <w:sz w:val="20"/>
          <w:vertAlign w:val="baseline"/>
        </w:rPr>
        <w:t>3.4.2 </w:t>
      </w:r>
      <w:r>
        <w:rPr>
          <w:rFonts w:ascii="Calibri" w:hAnsi="Calibri"/>
          <w:sz w:val="20"/>
          <w:vertAlign w:val="baseline"/>
        </w:rPr>
        <w:t>in the previous chapter of this work on “In whose Interests and for whose Benefit should Directors Manage the Company?” for a fuller discussion.</w:t>
      </w:r>
    </w:p>
    <w:p>
      <w:pPr>
        <w:spacing w:before="0"/>
        <w:ind w:left="308" w:right="0" w:firstLine="0"/>
        <w:jc w:val="both"/>
        <w:rPr>
          <w:rFonts w:ascii="Calibri"/>
          <w:i/>
          <w:sz w:val="20"/>
        </w:rPr>
      </w:pPr>
      <w:r>
        <w:rPr>
          <w:rFonts w:ascii="Calibri"/>
          <w:sz w:val="20"/>
          <w:vertAlign w:val="superscript"/>
        </w:rPr>
        <w:t>43</w:t>
      </w:r>
      <w:r>
        <w:rPr>
          <w:rFonts w:ascii="Calibri"/>
          <w:i/>
          <w:sz w:val="20"/>
          <w:vertAlign w:val="baseline"/>
        </w:rPr>
        <w:t>Brady</w:t>
      </w:r>
      <w:r>
        <w:rPr>
          <w:rFonts w:ascii="Calibri"/>
          <w:i/>
          <w:spacing w:val="25"/>
          <w:sz w:val="20"/>
          <w:vertAlign w:val="baseline"/>
        </w:rPr>
        <w:t> </w:t>
      </w:r>
      <w:r>
        <w:rPr>
          <w:rFonts w:ascii="Calibri"/>
          <w:i/>
          <w:sz w:val="20"/>
          <w:vertAlign w:val="baseline"/>
        </w:rPr>
        <w:t>vs.</w:t>
      </w:r>
      <w:r>
        <w:rPr>
          <w:rFonts w:ascii="Calibri"/>
          <w:i/>
          <w:spacing w:val="26"/>
          <w:sz w:val="20"/>
          <w:vertAlign w:val="baseline"/>
        </w:rPr>
        <w:t> </w:t>
      </w:r>
      <w:r>
        <w:rPr>
          <w:rFonts w:ascii="Calibri"/>
          <w:i/>
          <w:sz w:val="20"/>
          <w:vertAlign w:val="baseline"/>
        </w:rPr>
        <w:t>Brady</w:t>
      </w:r>
      <w:r>
        <w:rPr>
          <w:rFonts w:ascii="Calibri"/>
          <w:i/>
          <w:spacing w:val="24"/>
          <w:sz w:val="20"/>
          <w:vertAlign w:val="baseline"/>
        </w:rPr>
        <w:t> </w:t>
      </w:r>
      <w:r>
        <w:rPr>
          <w:rFonts w:ascii="Calibri"/>
          <w:sz w:val="20"/>
          <w:vertAlign w:val="baseline"/>
        </w:rPr>
        <w:t>(1987)</w:t>
      </w:r>
      <w:r>
        <w:rPr>
          <w:rFonts w:ascii="Calibri"/>
          <w:spacing w:val="26"/>
          <w:sz w:val="20"/>
          <w:vertAlign w:val="baseline"/>
        </w:rPr>
        <w:t> </w:t>
      </w:r>
      <w:r>
        <w:rPr>
          <w:rFonts w:ascii="Calibri"/>
          <w:sz w:val="20"/>
          <w:vertAlign w:val="baseline"/>
        </w:rPr>
        <w:t>3</w:t>
      </w:r>
      <w:r>
        <w:rPr>
          <w:rFonts w:ascii="Calibri"/>
          <w:spacing w:val="19"/>
          <w:sz w:val="20"/>
          <w:vertAlign w:val="baseline"/>
        </w:rPr>
        <w:t> </w:t>
      </w:r>
      <w:r>
        <w:rPr>
          <w:rFonts w:ascii="Calibri"/>
          <w:sz w:val="20"/>
          <w:vertAlign w:val="baseline"/>
        </w:rPr>
        <w:t>BCC,</w:t>
      </w:r>
      <w:r>
        <w:rPr>
          <w:rFonts w:ascii="Calibri"/>
          <w:spacing w:val="23"/>
          <w:sz w:val="20"/>
          <w:vertAlign w:val="baseline"/>
        </w:rPr>
        <w:t> </w:t>
      </w:r>
      <w:r>
        <w:rPr>
          <w:rFonts w:ascii="Calibri"/>
          <w:sz w:val="20"/>
          <w:vertAlign w:val="baseline"/>
        </w:rPr>
        <w:t>535</w:t>
      </w:r>
      <w:r>
        <w:rPr>
          <w:rFonts w:ascii="Calibri"/>
          <w:spacing w:val="23"/>
          <w:sz w:val="20"/>
          <w:vertAlign w:val="baseline"/>
        </w:rPr>
        <w:t> </w:t>
      </w:r>
      <w:r>
        <w:rPr>
          <w:rFonts w:ascii="Calibri"/>
          <w:sz w:val="20"/>
          <w:vertAlign w:val="baseline"/>
        </w:rPr>
        <w:t>at</w:t>
      </w:r>
      <w:r>
        <w:rPr>
          <w:rFonts w:ascii="Calibri"/>
          <w:spacing w:val="25"/>
          <w:sz w:val="20"/>
          <w:vertAlign w:val="baseline"/>
        </w:rPr>
        <w:t> </w:t>
      </w:r>
      <w:r>
        <w:rPr>
          <w:rFonts w:ascii="Calibri"/>
          <w:sz w:val="20"/>
          <w:vertAlign w:val="baseline"/>
        </w:rPr>
        <w:t>552</w:t>
      </w:r>
      <w:r>
        <w:rPr>
          <w:rFonts w:ascii="Calibri"/>
          <w:spacing w:val="23"/>
          <w:sz w:val="20"/>
          <w:vertAlign w:val="baseline"/>
        </w:rPr>
        <w:t> </w:t>
      </w:r>
      <w:r>
        <w:rPr>
          <w:rFonts w:ascii="Calibri"/>
          <w:sz w:val="20"/>
          <w:vertAlign w:val="baseline"/>
        </w:rPr>
        <w:t>(CA);</w:t>
      </w:r>
      <w:r>
        <w:rPr>
          <w:rFonts w:ascii="Calibri"/>
          <w:spacing w:val="20"/>
          <w:sz w:val="20"/>
          <w:vertAlign w:val="baseline"/>
        </w:rPr>
        <w:t> </w:t>
      </w:r>
      <w:r>
        <w:rPr>
          <w:rFonts w:ascii="Calibri"/>
          <w:i/>
          <w:sz w:val="20"/>
          <w:vertAlign w:val="baseline"/>
        </w:rPr>
        <w:t>Gaiman</w:t>
      </w:r>
      <w:r>
        <w:rPr>
          <w:rFonts w:ascii="Calibri"/>
          <w:i/>
          <w:spacing w:val="23"/>
          <w:sz w:val="20"/>
          <w:vertAlign w:val="baseline"/>
        </w:rPr>
        <w:t> </w:t>
      </w:r>
      <w:r>
        <w:rPr>
          <w:rFonts w:ascii="Calibri"/>
          <w:i/>
          <w:sz w:val="20"/>
          <w:vertAlign w:val="baseline"/>
        </w:rPr>
        <w:t>vs.</w:t>
      </w:r>
      <w:r>
        <w:rPr>
          <w:rFonts w:ascii="Calibri"/>
          <w:i/>
          <w:spacing w:val="26"/>
          <w:sz w:val="20"/>
          <w:vertAlign w:val="baseline"/>
        </w:rPr>
        <w:t> </w:t>
      </w:r>
      <w:r>
        <w:rPr>
          <w:rFonts w:ascii="Calibri"/>
          <w:i/>
          <w:sz w:val="20"/>
          <w:vertAlign w:val="baseline"/>
        </w:rPr>
        <w:t>National</w:t>
      </w:r>
      <w:r>
        <w:rPr>
          <w:rFonts w:ascii="Calibri"/>
          <w:i/>
          <w:spacing w:val="27"/>
          <w:sz w:val="20"/>
          <w:vertAlign w:val="baseline"/>
        </w:rPr>
        <w:t> </w:t>
      </w:r>
      <w:r>
        <w:rPr>
          <w:rFonts w:ascii="Calibri"/>
          <w:i/>
          <w:sz w:val="20"/>
          <w:vertAlign w:val="baseline"/>
        </w:rPr>
        <w:t>Association</w:t>
      </w:r>
      <w:r>
        <w:rPr>
          <w:rFonts w:ascii="Calibri"/>
          <w:i/>
          <w:spacing w:val="26"/>
          <w:sz w:val="20"/>
          <w:vertAlign w:val="baseline"/>
        </w:rPr>
        <w:t> </w:t>
      </w:r>
      <w:r>
        <w:rPr>
          <w:rFonts w:ascii="Calibri"/>
          <w:i/>
          <w:sz w:val="20"/>
          <w:vertAlign w:val="baseline"/>
        </w:rPr>
        <w:t>for</w:t>
      </w:r>
      <w:r>
        <w:rPr>
          <w:rFonts w:ascii="Calibri"/>
          <w:i/>
          <w:spacing w:val="23"/>
          <w:sz w:val="20"/>
          <w:vertAlign w:val="baseline"/>
        </w:rPr>
        <w:t> </w:t>
      </w:r>
      <w:r>
        <w:rPr>
          <w:rFonts w:ascii="Calibri"/>
          <w:i/>
          <w:sz w:val="20"/>
          <w:vertAlign w:val="baseline"/>
        </w:rPr>
        <w:t>Mental</w:t>
      </w:r>
      <w:r>
        <w:rPr>
          <w:rFonts w:ascii="Calibri"/>
          <w:i/>
          <w:spacing w:val="22"/>
          <w:sz w:val="20"/>
          <w:vertAlign w:val="baseline"/>
        </w:rPr>
        <w:t> </w:t>
      </w:r>
      <w:r>
        <w:rPr>
          <w:rFonts w:ascii="Calibri"/>
          <w:i/>
          <w:spacing w:val="-2"/>
          <w:sz w:val="20"/>
          <w:vertAlign w:val="baseline"/>
        </w:rPr>
        <w:t>Health</w:t>
      </w:r>
    </w:p>
    <w:p>
      <w:pPr>
        <w:spacing w:before="1"/>
        <w:ind w:left="308" w:right="0" w:firstLine="0"/>
        <w:jc w:val="both"/>
        <w:rPr>
          <w:rFonts w:ascii="Calibri"/>
          <w:sz w:val="20"/>
        </w:rPr>
      </w:pPr>
      <w:r>
        <w:rPr>
          <w:rFonts w:ascii="Calibri"/>
          <w:sz w:val="20"/>
        </w:rPr>
        <w:t>(1971)</w:t>
      </w:r>
      <w:r>
        <w:rPr>
          <w:rFonts w:ascii="Calibri"/>
          <w:spacing w:val="-1"/>
          <w:sz w:val="20"/>
        </w:rPr>
        <w:t> </w:t>
      </w:r>
      <w:r>
        <w:rPr>
          <w:rFonts w:ascii="Calibri"/>
          <w:sz w:val="20"/>
        </w:rPr>
        <w:t>Ch.</w:t>
      </w:r>
      <w:r>
        <w:rPr>
          <w:rFonts w:ascii="Calibri"/>
          <w:spacing w:val="-4"/>
          <w:sz w:val="20"/>
        </w:rPr>
        <w:t> </w:t>
      </w:r>
      <w:r>
        <w:rPr>
          <w:rFonts w:ascii="Calibri"/>
          <w:sz w:val="20"/>
        </w:rPr>
        <w:t>at</w:t>
      </w:r>
      <w:r>
        <w:rPr>
          <w:rFonts w:ascii="Calibri"/>
          <w:spacing w:val="-2"/>
          <w:sz w:val="20"/>
        </w:rPr>
        <w:t> </w:t>
      </w:r>
      <w:r>
        <w:rPr>
          <w:rFonts w:ascii="Calibri"/>
          <w:spacing w:val="-4"/>
          <w:sz w:val="20"/>
        </w:rPr>
        <w:t>330.</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8"/>
        <w:jc w:val="both"/>
      </w:pPr>
      <w:r>
        <w:rPr/>
        <w:t>codify this traditional notion, thereby adopting a </w:t>
      </w:r>
      <w:r>
        <w:rPr>
          <w:i/>
        </w:rPr>
        <w:t>shareholder primacy </w:t>
      </w:r>
      <w:r>
        <w:rPr/>
        <w:t>attitude or whether to give equal status to all the company‘s numerous stakeholders and thereby accept the </w:t>
      </w:r>
      <w:r>
        <w:rPr>
          <w:i/>
        </w:rPr>
        <w:t>pluralist </w:t>
      </w:r>
      <w:r>
        <w:rPr/>
        <w:t>corporate ideology increasingly popularised by business schools.</w:t>
      </w:r>
    </w:p>
    <w:p>
      <w:pPr>
        <w:pStyle w:val="BodyText"/>
        <w:spacing w:line="480" w:lineRule="auto"/>
        <w:ind w:right="232" w:firstLine="720"/>
        <w:jc w:val="both"/>
      </w:pPr>
      <w:r>
        <w:rPr/>
        <w:t>In rejecting the latter two and finally settling for the contents of s. 172, Parliament thereby introduced what the CLRSG dubbed </w:t>
      </w:r>
      <w:r>
        <w:rPr>
          <w:i/>
        </w:rPr>
        <w:t>enlightened shareholder value </w:t>
      </w:r>
      <w:r>
        <w:rPr/>
        <w:t>(ESV) approach. The section in part provides that</w:t>
      </w:r>
    </w:p>
    <w:p>
      <w:pPr>
        <w:pStyle w:val="ListParagraph"/>
        <w:numPr>
          <w:ilvl w:val="3"/>
          <w:numId w:val="15"/>
        </w:numPr>
        <w:tabs>
          <w:tab w:pos="2293" w:val="left" w:leader="none"/>
          <w:tab w:pos="2295" w:val="left" w:leader="none"/>
        </w:tabs>
        <w:spacing w:line="240" w:lineRule="auto" w:before="1" w:after="0"/>
        <w:ind w:left="2295" w:right="1881" w:hanging="288"/>
        <w:jc w:val="both"/>
        <w:rPr>
          <w:i/>
          <w:sz w:val="24"/>
        </w:rPr>
      </w:pPr>
      <w:r>
        <w:rPr>
          <w:i/>
          <w:sz w:val="24"/>
        </w:rPr>
        <w:t>A director of a company must act in the way he considers, in good faith, would be most likely to promote the success of the company for </w:t>
      </w:r>
      <w:r>
        <w:rPr>
          <w:i/>
          <w:sz w:val="24"/>
        </w:rPr>
        <w:t>the</w:t>
      </w:r>
      <w:r>
        <w:rPr>
          <w:i/>
          <w:spacing w:val="80"/>
          <w:sz w:val="24"/>
        </w:rPr>
        <w:t> </w:t>
      </w:r>
      <w:r>
        <w:rPr>
          <w:i/>
          <w:sz w:val="24"/>
        </w:rPr>
        <w:t>benefit of its members as a whole, and in doing so have regard (amongst other matters) to—</w:t>
      </w:r>
    </w:p>
    <w:p>
      <w:pPr>
        <w:pStyle w:val="ListParagraph"/>
        <w:numPr>
          <w:ilvl w:val="4"/>
          <w:numId w:val="15"/>
        </w:numPr>
        <w:tabs>
          <w:tab w:pos="2295" w:val="left" w:leader="none"/>
          <w:tab w:pos="2350" w:val="left" w:leader="none"/>
        </w:tabs>
        <w:spacing w:line="237" w:lineRule="auto" w:before="5" w:after="0"/>
        <w:ind w:left="2295" w:right="1881" w:hanging="288"/>
        <w:jc w:val="both"/>
        <w:rPr>
          <w:i/>
          <w:sz w:val="24"/>
        </w:rPr>
      </w:pPr>
      <w:r>
        <w:rPr>
          <w:i/>
          <w:sz w:val="24"/>
        </w:rPr>
        <w:tab/>
        <w:t>the likely consequences of any decision in the</w:t>
      </w:r>
      <w:r>
        <w:rPr>
          <w:i/>
          <w:spacing w:val="40"/>
          <w:sz w:val="24"/>
        </w:rPr>
        <w:t> </w:t>
      </w:r>
      <w:r>
        <w:rPr>
          <w:i/>
          <w:sz w:val="24"/>
        </w:rPr>
        <w:t>long term,</w:t>
      </w:r>
    </w:p>
    <w:p>
      <w:pPr>
        <w:pStyle w:val="ListParagraph"/>
        <w:numPr>
          <w:ilvl w:val="4"/>
          <w:numId w:val="15"/>
        </w:numPr>
        <w:tabs>
          <w:tab w:pos="2355" w:val="left" w:leader="none"/>
        </w:tabs>
        <w:spacing w:line="275" w:lineRule="exact" w:before="4" w:after="0"/>
        <w:ind w:left="2355" w:right="0" w:hanging="348"/>
        <w:jc w:val="both"/>
        <w:rPr>
          <w:i/>
          <w:sz w:val="24"/>
        </w:rPr>
      </w:pPr>
      <w:r>
        <w:rPr>
          <w:i/>
          <w:sz w:val="24"/>
        </w:rPr>
        <w:t>the</w:t>
      </w:r>
      <w:r>
        <w:rPr>
          <w:i/>
          <w:spacing w:val="-2"/>
          <w:sz w:val="24"/>
        </w:rPr>
        <w:t> </w:t>
      </w:r>
      <w:r>
        <w:rPr>
          <w:i/>
          <w:sz w:val="24"/>
        </w:rPr>
        <w:t>interests</w:t>
      </w:r>
      <w:r>
        <w:rPr>
          <w:i/>
          <w:spacing w:val="-2"/>
          <w:sz w:val="24"/>
        </w:rPr>
        <w:t> </w:t>
      </w:r>
      <w:r>
        <w:rPr>
          <w:i/>
          <w:sz w:val="24"/>
        </w:rPr>
        <w:t>of the</w:t>
      </w:r>
      <w:r>
        <w:rPr>
          <w:i/>
          <w:spacing w:val="-1"/>
          <w:sz w:val="24"/>
        </w:rPr>
        <w:t> </w:t>
      </w:r>
      <w:r>
        <w:rPr>
          <w:i/>
          <w:sz w:val="24"/>
        </w:rPr>
        <w:t>company‘s</w:t>
      </w:r>
      <w:r>
        <w:rPr>
          <w:i/>
          <w:spacing w:val="-3"/>
          <w:sz w:val="24"/>
        </w:rPr>
        <w:t> </w:t>
      </w:r>
      <w:r>
        <w:rPr>
          <w:i/>
          <w:spacing w:val="-2"/>
          <w:sz w:val="24"/>
        </w:rPr>
        <w:t>employees,</w:t>
      </w:r>
    </w:p>
    <w:p>
      <w:pPr>
        <w:pStyle w:val="ListParagraph"/>
        <w:numPr>
          <w:ilvl w:val="4"/>
          <w:numId w:val="15"/>
        </w:numPr>
        <w:tabs>
          <w:tab w:pos="2295" w:val="left" w:leader="none"/>
          <w:tab w:pos="2351" w:val="left" w:leader="none"/>
        </w:tabs>
        <w:spacing w:line="240" w:lineRule="auto" w:before="0" w:after="0"/>
        <w:ind w:left="2295" w:right="1888" w:hanging="288"/>
        <w:jc w:val="both"/>
        <w:rPr>
          <w:i/>
          <w:sz w:val="24"/>
        </w:rPr>
      </w:pPr>
      <w:r>
        <w:rPr>
          <w:i/>
          <w:sz w:val="24"/>
        </w:rPr>
        <w:tab/>
        <w:t>the need to foster the company‘s business relationships with suppliers, customers and</w:t>
      </w:r>
      <w:r>
        <w:rPr>
          <w:i/>
          <w:spacing w:val="40"/>
          <w:sz w:val="24"/>
        </w:rPr>
        <w:t> </w:t>
      </w:r>
      <w:r>
        <w:rPr>
          <w:i/>
          <w:spacing w:val="-2"/>
          <w:sz w:val="24"/>
        </w:rPr>
        <w:t>others,</w:t>
      </w:r>
    </w:p>
    <w:p>
      <w:pPr>
        <w:pStyle w:val="ListParagraph"/>
        <w:numPr>
          <w:ilvl w:val="4"/>
          <w:numId w:val="15"/>
        </w:numPr>
        <w:tabs>
          <w:tab w:pos="2295" w:val="left" w:leader="none"/>
          <w:tab w:pos="2350" w:val="left" w:leader="none"/>
        </w:tabs>
        <w:spacing w:line="237" w:lineRule="auto" w:before="4" w:after="0"/>
        <w:ind w:left="2295" w:right="1890" w:hanging="288"/>
        <w:jc w:val="both"/>
        <w:rPr>
          <w:i/>
          <w:sz w:val="24"/>
        </w:rPr>
      </w:pPr>
      <w:r>
        <w:rPr>
          <w:i/>
          <w:sz w:val="24"/>
        </w:rPr>
        <w:tab/>
        <w:t>the impact of the company‘s operations on the community and the environment,</w:t>
      </w:r>
    </w:p>
    <w:p>
      <w:pPr>
        <w:pStyle w:val="ListParagraph"/>
        <w:numPr>
          <w:ilvl w:val="4"/>
          <w:numId w:val="15"/>
        </w:numPr>
        <w:tabs>
          <w:tab w:pos="2293" w:val="left" w:leader="none"/>
          <w:tab w:pos="2295" w:val="left" w:leader="none"/>
        </w:tabs>
        <w:spacing w:line="240" w:lineRule="auto" w:before="3" w:after="0"/>
        <w:ind w:left="2295" w:right="1881" w:hanging="288"/>
        <w:jc w:val="both"/>
        <w:rPr>
          <w:i/>
          <w:sz w:val="24"/>
        </w:rPr>
      </w:pPr>
      <w:r>
        <w:rPr>
          <w:i/>
          <w:sz w:val="24"/>
        </w:rPr>
        <w:t>the desirability of the company maintaining a reputation for</w:t>
      </w:r>
      <w:r>
        <w:rPr>
          <w:i/>
          <w:spacing w:val="-1"/>
          <w:sz w:val="24"/>
        </w:rPr>
        <w:t> </w:t>
      </w:r>
      <w:r>
        <w:rPr>
          <w:i/>
          <w:sz w:val="24"/>
        </w:rPr>
        <w:t>high</w:t>
      </w:r>
      <w:r>
        <w:rPr>
          <w:i/>
          <w:spacing w:val="-3"/>
          <w:sz w:val="24"/>
        </w:rPr>
        <w:t> </w:t>
      </w:r>
      <w:r>
        <w:rPr>
          <w:i/>
          <w:sz w:val="24"/>
        </w:rPr>
        <w:t>standards</w:t>
      </w:r>
      <w:r>
        <w:rPr>
          <w:i/>
          <w:spacing w:val="-1"/>
          <w:sz w:val="24"/>
        </w:rPr>
        <w:t> </w:t>
      </w:r>
      <w:r>
        <w:rPr>
          <w:i/>
          <w:sz w:val="24"/>
        </w:rPr>
        <w:t>of business</w:t>
      </w:r>
      <w:r>
        <w:rPr>
          <w:i/>
          <w:spacing w:val="-1"/>
          <w:sz w:val="24"/>
        </w:rPr>
        <w:t> </w:t>
      </w:r>
      <w:r>
        <w:rPr>
          <w:i/>
          <w:sz w:val="24"/>
        </w:rPr>
        <w:t>conduct, </w:t>
      </w:r>
      <w:r>
        <w:rPr>
          <w:i/>
          <w:spacing w:val="-4"/>
          <w:sz w:val="24"/>
        </w:rPr>
        <w:t>and</w:t>
      </w:r>
    </w:p>
    <w:p>
      <w:pPr>
        <w:pStyle w:val="ListParagraph"/>
        <w:numPr>
          <w:ilvl w:val="4"/>
          <w:numId w:val="15"/>
        </w:numPr>
        <w:tabs>
          <w:tab w:pos="2293" w:val="left" w:leader="none"/>
          <w:tab w:pos="2295" w:val="left" w:leader="none"/>
        </w:tabs>
        <w:spacing w:line="242" w:lineRule="auto" w:before="0" w:after="0"/>
        <w:ind w:left="2295" w:right="1886" w:hanging="288"/>
        <w:jc w:val="both"/>
        <w:rPr>
          <w:sz w:val="24"/>
        </w:rPr>
      </w:pPr>
      <w:r>
        <w:rPr>
          <w:i/>
          <w:sz w:val="24"/>
        </w:rPr>
        <w:t>the need to act fairly as between members of the </w:t>
      </w:r>
      <w:r>
        <w:rPr>
          <w:i/>
          <w:spacing w:val="-2"/>
          <w:sz w:val="24"/>
        </w:rPr>
        <w:t>company.</w:t>
      </w:r>
    </w:p>
    <w:p>
      <w:pPr>
        <w:pStyle w:val="BodyText"/>
        <w:spacing w:line="480" w:lineRule="auto" w:before="271"/>
        <w:ind w:right="225"/>
        <w:jc w:val="both"/>
      </w:pPr>
      <w:r>
        <w:rPr/>
        <w:t>By this provision, the law makers attempted to avoid taking sides in the Berle-Dodd debate</w:t>
      </w:r>
      <w:r>
        <w:rPr>
          <w:spacing w:val="-1"/>
        </w:rPr>
        <w:t> </w:t>
      </w:r>
      <w:r>
        <w:rPr/>
        <w:t>earlier discussed by</w:t>
      </w:r>
      <w:r>
        <w:rPr>
          <w:spacing w:val="-5"/>
        </w:rPr>
        <w:t> </w:t>
      </w:r>
      <w:r>
        <w:rPr/>
        <w:t>seeking a middle course, although</w:t>
      </w:r>
      <w:r>
        <w:rPr>
          <w:spacing w:val="-5"/>
        </w:rPr>
        <w:t> </w:t>
      </w:r>
      <w:r>
        <w:rPr/>
        <w:t>undoubtedly one closer to Berle‘s view, considered the traditional</w:t>
      </w:r>
      <w:r>
        <w:rPr>
          <w:spacing w:val="-1"/>
        </w:rPr>
        <w:t> </w:t>
      </w:r>
      <w:r>
        <w:rPr/>
        <w:t>shareholder primacy model.</w:t>
      </w:r>
      <w:r>
        <w:rPr>
          <w:vertAlign w:val="superscript"/>
        </w:rPr>
        <w:t>44</w:t>
      </w:r>
      <w:r>
        <w:rPr>
          <w:vertAlign w:val="baseline"/>
        </w:rPr>
        <w:t> This is evident in the statement ―for the benefit of its members as a whole,‖ which comes first before </w:t>
      </w:r>
      <w:r>
        <w:rPr>
          <w:i/>
          <w:vertAlign w:val="baseline"/>
        </w:rPr>
        <w:t>having regard </w:t>
      </w:r>
      <w:r>
        <w:rPr>
          <w:vertAlign w:val="baseline"/>
        </w:rPr>
        <w:t>to the items mentioned in subsection 1 (a) to (e) above. However, the pluralist approach, which might have given all stakeholders equivalent status by allowing all to enforce directors‘ duties, was rejected. But the drafters still lent</w:t>
      </w:r>
      <w:r>
        <w:rPr>
          <w:spacing w:val="80"/>
          <w:vertAlign w:val="baseline"/>
        </w:rPr>
        <w:t> </w:t>
      </w:r>
      <w:r>
        <w:rPr>
          <w:vertAlign w:val="baseline"/>
        </w:rPr>
        <w:t>credence,</w:t>
      </w:r>
      <w:r>
        <w:rPr>
          <w:spacing w:val="39"/>
          <w:vertAlign w:val="baseline"/>
        </w:rPr>
        <w:t> </w:t>
      </w:r>
      <w:r>
        <w:rPr>
          <w:vertAlign w:val="baseline"/>
        </w:rPr>
        <w:t>albeit</w:t>
      </w:r>
      <w:r>
        <w:rPr>
          <w:spacing w:val="40"/>
          <w:vertAlign w:val="baseline"/>
        </w:rPr>
        <w:t> </w:t>
      </w:r>
      <w:r>
        <w:rPr>
          <w:vertAlign w:val="baseline"/>
        </w:rPr>
        <w:t>a</w:t>
      </w:r>
      <w:r>
        <w:rPr>
          <w:spacing w:val="40"/>
          <w:vertAlign w:val="baseline"/>
        </w:rPr>
        <w:t> </w:t>
      </w:r>
      <w:r>
        <w:rPr>
          <w:vertAlign w:val="baseline"/>
        </w:rPr>
        <w:t>modest</w:t>
      </w:r>
      <w:r>
        <w:rPr>
          <w:spacing w:val="40"/>
          <w:vertAlign w:val="baseline"/>
        </w:rPr>
        <w:t> </w:t>
      </w:r>
      <w:r>
        <w:rPr>
          <w:vertAlign w:val="baseline"/>
        </w:rPr>
        <w:t>one,</w:t>
      </w:r>
      <w:r>
        <w:rPr>
          <w:spacing w:val="39"/>
          <w:vertAlign w:val="baseline"/>
        </w:rPr>
        <w:t> </w:t>
      </w:r>
      <w:r>
        <w:rPr>
          <w:vertAlign w:val="baseline"/>
        </w:rPr>
        <w:t>to</w:t>
      </w:r>
      <w:r>
        <w:rPr>
          <w:spacing w:val="40"/>
          <w:vertAlign w:val="baseline"/>
        </w:rPr>
        <w:t> </w:t>
      </w:r>
      <w:r>
        <w:rPr>
          <w:vertAlign w:val="baseline"/>
        </w:rPr>
        <w:t>Dodd‘s</w:t>
      </w:r>
      <w:r>
        <w:rPr>
          <w:spacing w:val="35"/>
          <w:vertAlign w:val="baseline"/>
        </w:rPr>
        <w:t> </w:t>
      </w:r>
      <w:r>
        <w:rPr>
          <w:vertAlign w:val="baseline"/>
        </w:rPr>
        <w:t>side</w:t>
      </w:r>
      <w:r>
        <w:rPr>
          <w:spacing w:val="36"/>
          <w:vertAlign w:val="baseline"/>
        </w:rPr>
        <w:t> </w:t>
      </w:r>
      <w:r>
        <w:rPr>
          <w:vertAlign w:val="baseline"/>
        </w:rPr>
        <w:t>of</w:t>
      </w:r>
      <w:r>
        <w:rPr>
          <w:spacing w:val="34"/>
          <w:vertAlign w:val="baseline"/>
        </w:rPr>
        <w:t> </w:t>
      </w:r>
      <w:r>
        <w:rPr>
          <w:vertAlign w:val="baseline"/>
        </w:rPr>
        <w:t>the</w:t>
      </w:r>
      <w:r>
        <w:rPr>
          <w:spacing w:val="36"/>
          <w:vertAlign w:val="baseline"/>
        </w:rPr>
        <w:t> </w:t>
      </w:r>
      <w:r>
        <w:rPr>
          <w:vertAlign w:val="baseline"/>
        </w:rPr>
        <w:t>argument</w:t>
      </w:r>
      <w:r>
        <w:rPr>
          <w:spacing w:val="40"/>
          <w:vertAlign w:val="baseline"/>
        </w:rPr>
        <w:t> </w:t>
      </w:r>
      <w:r>
        <w:rPr>
          <w:vertAlign w:val="baseline"/>
        </w:rPr>
        <w:t>by</w:t>
      </w:r>
      <w:r>
        <w:rPr>
          <w:spacing w:val="32"/>
          <w:vertAlign w:val="baseline"/>
        </w:rPr>
        <w:t> </w:t>
      </w:r>
      <w:r>
        <w:rPr>
          <w:vertAlign w:val="baseline"/>
        </w:rPr>
        <w:t>recognising</w:t>
      </w:r>
      <w:r>
        <w:rPr>
          <w:spacing w:val="37"/>
          <w:vertAlign w:val="baseline"/>
        </w:rPr>
        <w:t> </w:t>
      </w:r>
      <w:r>
        <w:rPr>
          <w:vertAlign w:val="baseline"/>
        </w:rPr>
        <w:t>other</w:t>
      </w:r>
    </w:p>
    <w:p>
      <w:pPr>
        <w:pStyle w:val="BodyText"/>
        <w:ind w:left="0"/>
        <w:rPr>
          <w:sz w:val="20"/>
        </w:rPr>
      </w:pPr>
    </w:p>
    <w:p>
      <w:pPr>
        <w:pStyle w:val="BodyText"/>
        <w:spacing w:before="193"/>
        <w:ind w:left="0"/>
        <w:rPr>
          <w:sz w:val="20"/>
        </w:rPr>
      </w:pPr>
      <w:r>
        <w:rPr/>
        <mc:AlternateContent>
          <mc:Choice Requires="wps">
            <w:drawing>
              <wp:anchor distT="0" distB="0" distL="0" distR="0" allowOverlap="1" layoutInCell="1" locked="0" behindDoc="1" simplePos="0" relativeHeight="487675904">
                <wp:simplePos x="0" y="0"/>
                <wp:positionH relativeFrom="page">
                  <wp:posOffset>1262481</wp:posOffset>
                </wp:positionH>
                <wp:positionV relativeFrom="paragraph">
                  <wp:posOffset>284052</wp:posOffset>
                </wp:positionV>
                <wp:extent cx="1829435" cy="9525"/>
                <wp:effectExtent l="0" t="0" r="0" b="0"/>
                <wp:wrapTopAndBottom/>
                <wp:docPr id="195" name="Graphic 195"/>
                <wp:cNvGraphicFramePr>
                  <a:graphicFrameLocks/>
                </wp:cNvGraphicFramePr>
                <a:graphic>
                  <a:graphicData uri="http://schemas.microsoft.com/office/word/2010/wordprocessingShape">
                    <wps:wsp>
                      <wps:cNvPr id="195" name="Graphic 19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366306pt;width:144.050pt;height:.71997pt;mso-position-horizontal-relative:page;mso-position-vertical-relative:paragraph;z-index:-15640576;mso-wrap-distance-left:0;mso-wrap-distance-right:0" id="docshape15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44</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(2012).Op.cit.</w:t>
      </w:r>
      <w:r>
        <w:rPr>
          <w:rFonts w:ascii="Calibri"/>
          <w:spacing w:val="-2"/>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541.</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44"/>
        <w:jc w:val="both"/>
      </w:pPr>
      <w:r>
        <w:rPr/>
        <w:t>interests apart from a company‘s members. This adoption of aspects of both views in a holistic manner is what Parliament intended as the principle of ESV.</w:t>
      </w:r>
    </w:p>
    <w:p>
      <w:pPr>
        <w:pStyle w:val="BodyText"/>
        <w:spacing w:line="480" w:lineRule="auto"/>
        <w:ind w:right="226" w:firstLine="720"/>
        <w:jc w:val="both"/>
      </w:pPr>
      <w:r>
        <w:rPr/>
        <w:t>Policy makers consisting of the members of the committee of the CLRSG of England, in making their recommendations for the companies bill, saw the overall objective of codifying the directors duties as one of</w:t>
      </w:r>
      <w:r>
        <w:rPr>
          <w:spacing w:val="-3"/>
        </w:rPr>
        <w:t> </w:t>
      </w:r>
      <w:r>
        <w:rPr/>
        <w:t>achieving a ―shareholder oriented, but inclusively framed, duty of loyalty‖, which involved the recognition that, whilst the objective</w:t>
      </w:r>
      <w:r>
        <w:rPr>
          <w:spacing w:val="-1"/>
        </w:rPr>
        <w:t> </w:t>
      </w:r>
      <w:r>
        <w:rPr/>
        <w:t>of</w:t>
      </w:r>
      <w:r>
        <w:rPr>
          <w:spacing w:val="-8"/>
        </w:rPr>
        <w:t> </w:t>
      </w:r>
      <w:r>
        <w:rPr/>
        <w:t>directors</w:t>
      </w:r>
      <w:r>
        <w:rPr>
          <w:spacing w:val="-2"/>
        </w:rPr>
        <w:t> </w:t>
      </w:r>
      <w:r>
        <w:rPr/>
        <w:t>was</w:t>
      </w:r>
      <w:r>
        <w:rPr>
          <w:spacing w:val="-2"/>
        </w:rPr>
        <w:t> </w:t>
      </w:r>
      <w:r>
        <w:rPr/>
        <w:t>to act in the</w:t>
      </w:r>
      <w:r>
        <w:rPr>
          <w:spacing w:val="-1"/>
        </w:rPr>
        <w:t> </w:t>
      </w:r>
      <w:r>
        <w:rPr/>
        <w:t>collective best interest of</w:t>
      </w:r>
      <w:r>
        <w:rPr>
          <w:spacing w:val="-8"/>
        </w:rPr>
        <w:t> </w:t>
      </w:r>
      <w:r>
        <w:rPr/>
        <w:t>shareholders, this could only be achieved by taking due account of wider interests.</w:t>
      </w:r>
      <w:r>
        <w:rPr>
          <w:vertAlign w:val="superscript"/>
        </w:rPr>
        <w:t>45</w:t>
      </w:r>
      <w:r>
        <w:rPr>
          <w:vertAlign w:val="baseline"/>
        </w:rPr>
        <w:t> This policy essentially combines aspects of the traditional shareholder primacy with those of the pluralist, stakeholder management model. In the words of the CLRSG, the ESV is ―a hybrid of the two approaches which maintains the primacy of</w:t>
      </w:r>
      <w:r>
        <w:rPr>
          <w:spacing w:val="-3"/>
          <w:vertAlign w:val="baseline"/>
        </w:rPr>
        <w:t> </w:t>
      </w:r>
      <w:r>
        <w:rPr>
          <w:vertAlign w:val="baseline"/>
        </w:rPr>
        <w:t>shareholders but requires long term approach and permits directors to consider other interests as the best way of securing prosperity and welfare overall.‖</w:t>
      </w:r>
      <w:r>
        <w:rPr>
          <w:vertAlign w:val="superscript"/>
        </w:rPr>
        <w:t>46</w:t>
      </w:r>
    </w:p>
    <w:p>
      <w:pPr>
        <w:pStyle w:val="BodyText"/>
        <w:spacing w:line="480" w:lineRule="auto" w:before="2"/>
        <w:ind w:right="226" w:firstLine="720"/>
        <w:jc w:val="both"/>
      </w:pPr>
      <w:r>
        <w:rPr/>
        <w:t>The committee was of the view that this approach would better achieve wealth generation and competitiveness by discouraging the exclusive focus on the short-term financial bottom line widely believed to have caused corporate failures and instead, advocating a more inclusive approach that values the building of long-term relationships,</w:t>
      </w:r>
      <w:r>
        <w:rPr>
          <w:vertAlign w:val="superscript"/>
        </w:rPr>
        <w:t>47</w:t>
      </w:r>
      <w:r>
        <w:rPr>
          <w:vertAlign w:val="baseline"/>
        </w:rPr>
        <w:t> so that a balance is struck between the competing interests of different stakeholders,</w:t>
      </w:r>
      <w:r>
        <w:rPr>
          <w:spacing w:val="49"/>
          <w:vertAlign w:val="baseline"/>
        </w:rPr>
        <w:t> </w:t>
      </w:r>
      <w:r>
        <w:rPr>
          <w:vertAlign w:val="baseline"/>
        </w:rPr>
        <w:t>in</w:t>
      </w:r>
      <w:r>
        <w:rPr>
          <w:spacing w:val="42"/>
          <w:vertAlign w:val="baseline"/>
        </w:rPr>
        <w:t> </w:t>
      </w:r>
      <w:r>
        <w:rPr>
          <w:vertAlign w:val="baseline"/>
        </w:rPr>
        <w:t>order</w:t>
      </w:r>
      <w:r>
        <w:rPr>
          <w:spacing w:val="39"/>
          <w:vertAlign w:val="baseline"/>
        </w:rPr>
        <w:t> </w:t>
      </w:r>
      <w:r>
        <w:rPr>
          <w:vertAlign w:val="baseline"/>
        </w:rPr>
        <w:t>to</w:t>
      </w:r>
      <w:r>
        <w:rPr>
          <w:spacing w:val="48"/>
          <w:vertAlign w:val="baseline"/>
        </w:rPr>
        <w:t> </w:t>
      </w:r>
      <w:r>
        <w:rPr>
          <w:vertAlign w:val="baseline"/>
        </w:rPr>
        <w:t>benefit</w:t>
      </w:r>
      <w:r>
        <w:rPr>
          <w:spacing w:val="47"/>
          <w:vertAlign w:val="baseline"/>
        </w:rPr>
        <w:t> </w:t>
      </w:r>
      <w:r>
        <w:rPr>
          <w:vertAlign w:val="baseline"/>
        </w:rPr>
        <w:t>the</w:t>
      </w:r>
      <w:r>
        <w:rPr>
          <w:spacing w:val="46"/>
          <w:vertAlign w:val="baseline"/>
        </w:rPr>
        <w:t> </w:t>
      </w:r>
      <w:r>
        <w:rPr>
          <w:vertAlign w:val="baseline"/>
        </w:rPr>
        <w:t>company‘s</w:t>
      </w:r>
      <w:r>
        <w:rPr>
          <w:spacing w:val="45"/>
          <w:vertAlign w:val="baseline"/>
        </w:rPr>
        <w:t> </w:t>
      </w:r>
      <w:r>
        <w:rPr>
          <w:vertAlign w:val="baseline"/>
        </w:rPr>
        <w:t>shareholders</w:t>
      </w:r>
      <w:r>
        <w:rPr>
          <w:spacing w:val="44"/>
          <w:vertAlign w:val="baseline"/>
        </w:rPr>
        <w:t> </w:t>
      </w:r>
      <w:r>
        <w:rPr>
          <w:vertAlign w:val="baseline"/>
        </w:rPr>
        <w:t>in</w:t>
      </w:r>
      <w:r>
        <w:rPr>
          <w:spacing w:val="42"/>
          <w:vertAlign w:val="baseline"/>
        </w:rPr>
        <w:t> </w:t>
      </w:r>
      <w:r>
        <w:rPr>
          <w:vertAlign w:val="baseline"/>
        </w:rPr>
        <w:t>the</w:t>
      </w:r>
      <w:r>
        <w:rPr>
          <w:spacing w:val="46"/>
          <w:vertAlign w:val="baseline"/>
        </w:rPr>
        <w:t> </w:t>
      </w:r>
      <w:r>
        <w:rPr>
          <w:vertAlign w:val="baseline"/>
        </w:rPr>
        <w:t>long</w:t>
      </w:r>
      <w:r>
        <w:rPr>
          <w:spacing w:val="43"/>
          <w:vertAlign w:val="baseline"/>
        </w:rPr>
        <w:t> </w:t>
      </w:r>
      <w:r>
        <w:rPr>
          <w:vertAlign w:val="baseline"/>
        </w:rPr>
        <w:t>run.</w:t>
      </w:r>
      <w:r>
        <w:rPr>
          <w:vertAlign w:val="superscript"/>
        </w:rPr>
        <w:t>48</w:t>
      </w:r>
      <w:r>
        <w:rPr>
          <w:spacing w:val="45"/>
          <w:vertAlign w:val="baseline"/>
        </w:rPr>
        <w:t> </w:t>
      </w:r>
      <w:r>
        <w:rPr>
          <w:vertAlign w:val="baseline"/>
        </w:rPr>
        <w:t>It</w:t>
      </w:r>
      <w:r>
        <w:rPr>
          <w:spacing w:val="47"/>
          <w:vertAlign w:val="baseline"/>
        </w:rPr>
        <w:t> </w:t>
      </w:r>
      <w:r>
        <w:rPr>
          <w:spacing w:val="-5"/>
          <w:vertAlign w:val="baseline"/>
        </w:rPr>
        <w:t>is</w:t>
      </w:r>
    </w:p>
    <w:p>
      <w:pPr>
        <w:pStyle w:val="BodyText"/>
        <w:ind w:left="0"/>
        <w:rPr>
          <w:sz w:val="20"/>
        </w:rPr>
      </w:pPr>
    </w:p>
    <w:p>
      <w:pPr>
        <w:pStyle w:val="BodyText"/>
        <w:spacing w:before="155"/>
        <w:ind w:left="0"/>
        <w:rPr>
          <w:sz w:val="20"/>
        </w:rPr>
      </w:pPr>
      <w:r>
        <w:rPr/>
        <mc:AlternateContent>
          <mc:Choice Requires="wps">
            <w:drawing>
              <wp:anchor distT="0" distB="0" distL="0" distR="0" allowOverlap="1" layoutInCell="1" locked="0" behindDoc="1" simplePos="0" relativeHeight="487676416">
                <wp:simplePos x="0" y="0"/>
                <wp:positionH relativeFrom="page">
                  <wp:posOffset>1262481</wp:posOffset>
                </wp:positionH>
                <wp:positionV relativeFrom="paragraph">
                  <wp:posOffset>259785</wp:posOffset>
                </wp:positionV>
                <wp:extent cx="1829435" cy="9525"/>
                <wp:effectExtent l="0" t="0" r="0" b="0"/>
                <wp:wrapTopAndBottom/>
                <wp:docPr id="196" name="Graphic 196"/>
                <wp:cNvGraphicFramePr>
                  <a:graphicFrameLocks/>
                </wp:cNvGraphicFramePr>
                <a:graphic>
                  <a:graphicData uri="http://schemas.microsoft.com/office/word/2010/wordprocessingShape">
                    <wps:wsp>
                      <wps:cNvPr id="196" name="Graphic 19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455538pt;width:144.050pt;height:.71997pt;mso-position-horizontal-relative:page;mso-position-vertical-relative:paragraph;z-index:-15640064;mso-wrap-distance-left:0;mso-wrap-distance-right:0" id="docshape151" filled="true" fillcolor="#000000" stroked="false">
                <v:fill type="solid"/>
                <w10:wrap type="topAndBottom"/>
              </v:rect>
            </w:pict>
          </mc:Fallback>
        </mc:AlternateContent>
      </w:r>
    </w:p>
    <w:p>
      <w:pPr>
        <w:spacing w:before="102"/>
        <w:ind w:left="308" w:right="225" w:firstLine="0"/>
        <w:jc w:val="both"/>
        <w:rPr>
          <w:rFonts w:ascii="Calibri"/>
          <w:sz w:val="20"/>
        </w:rPr>
      </w:pPr>
      <w:r>
        <w:rPr>
          <w:rFonts w:ascii="Calibri"/>
          <w:sz w:val="20"/>
          <w:vertAlign w:val="superscript"/>
        </w:rPr>
        <w:t>45</w:t>
      </w:r>
      <w:r>
        <w:rPr>
          <w:rFonts w:ascii="Calibri"/>
          <w:i/>
          <w:sz w:val="20"/>
          <w:vertAlign w:val="baseline"/>
        </w:rPr>
        <w:t>Developing the Framework, </w:t>
      </w:r>
      <w:r>
        <w:rPr>
          <w:rFonts w:ascii="Calibri"/>
          <w:sz w:val="20"/>
          <w:vertAlign w:val="baseline"/>
        </w:rPr>
        <w:t>(March, 2000).A report of the Company Law Review Steering Group (CLRSG), published by the Department of Trade and Industry, paragraph 2.22.Retrieved October 10,</w:t>
      </w:r>
      <w:r>
        <w:rPr>
          <w:rFonts w:ascii="Calibri"/>
          <w:spacing w:val="40"/>
          <w:sz w:val="20"/>
          <w:vertAlign w:val="baseline"/>
        </w:rPr>
        <w:t> </w:t>
      </w:r>
      <w:r>
        <w:rPr>
          <w:rFonts w:ascii="Calibri"/>
          <w:sz w:val="20"/>
          <w:vertAlign w:val="baseline"/>
        </w:rPr>
        <w:t>2013 from</w:t>
      </w:r>
      <w:hyperlink r:id="rId13">
        <w:r>
          <w:rPr>
            <w:rFonts w:ascii="Calibri"/>
            <w:color w:val="0000FF"/>
            <w:sz w:val="20"/>
            <w:u w:val="single" w:color="0000FF"/>
            <w:vertAlign w:val="baseline"/>
          </w:rPr>
          <w:t>http://www.berr.gov.uk/bbf/co-act-2006/clr-review/page25086.html</w:t>
        </w:r>
        <w:r>
          <w:rPr>
            <w:rFonts w:ascii="Calibri"/>
            <w:sz w:val="20"/>
            <w:vertAlign w:val="baseline"/>
          </w:rPr>
          <w:t>.</w:t>
        </w:r>
      </w:hyperlink>
    </w:p>
    <w:p>
      <w:pPr>
        <w:spacing w:line="237" w:lineRule="auto" w:before="86"/>
        <w:ind w:left="308" w:right="230" w:firstLine="0"/>
        <w:jc w:val="both"/>
        <w:rPr>
          <w:rFonts w:ascii="Calibri"/>
          <w:sz w:val="20"/>
        </w:rPr>
      </w:pPr>
      <w:r>
        <w:rPr>
          <w:rFonts w:ascii="Calibri"/>
          <w:sz w:val="20"/>
          <w:vertAlign w:val="superscript"/>
        </w:rPr>
        <w:t>46</w:t>
      </w:r>
      <w:r>
        <w:rPr>
          <w:rFonts w:ascii="Calibri"/>
          <w:sz w:val="20"/>
          <w:vertAlign w:val="baseline"/>
        </w:rPr>
        <w:t> Modern Company</w:t>
      </w:r>
      <w:r>
        <w:rPr>
          <w:rFonts w:ascii="Calibri"/>
          <w:spacing w:val="-5"/>
          <w:sz w:val="20"/>
          <w:vertAlign w:val="baseline"/>
        </w:rPr>
        <w:t> </w:t>
      </w:r>
      <w:r>
        <w:rPr>
          <w:rFonts w:ascii="Calibri"/>
          <w:sz w:val="20"/>
          <w:vertAlign w:val="baseline"/>
        </w:rPr>
        <w:t>Law for a</w:t>
      </w:r>
      <w:r>
        <w:rPr>
          <w:rFonts w:ascii="Calibri"/>
          <w:spacing w:val="-5"/>
          <w:sz w:val="20"/>
          <w:vertAlign w:val="baseline"/>
        </w:rPr>
        <w:t> </w:t>
      </w:r>
      <w:r>
        <w:rPr>
          <w:rFonts w:ascii="Calibri"/>
          <w:sz w:val="20"/>
          <w:vertAlign w:val="baseline"/>
        </w:rPr>
        <w:t>Competitive</w:t>
      </w:r>
      <w:r>
        <w:rPr>
          <w:rFonts w:ascii="Calibri"/>
          <w:spacing w:val="-4"/>
          <w:sz w:val="20"/>
          <w:vertAlign w:val="baseline"/>
        </w:rPr>
        <w:t> </w:t>
      </w:r>
      <w:r>
        <w:rPr>
          <w:rFonts w:ascii="Calibri"/>
          <w:sz w:val="20"/>
          <w:vertAlign w:val="baseline"/>
        </w:rPr>
        <w:t>Economy:</w:t>
      </w:r>
      <w:r>
        <w:rPr>
          <w:rFonts w:ascii="Calibri"/>
          <w:spacing w:val="-1"/>
          <w:sz w:val="20"/>
          <w:vertAlign w:val="baseline"/>
        </w:rPr>
        <w:t> </w:t>
      </w:r>
      <w:r>
        <w:rPr>
          <w:rFonts w:ascii="Calibri"/>
          <w:sz w:val="20"/>
          <w:vertAlign w:val="baseline"/>
        </w:rPr>
        <w:t>The</w:t>
      </w:r>
      <w:r>
        <w:rPr>
          <w:rFonts w:ascii="Calibri"/>
          <w:spacing w:val="-4"/>
          <w:sz w:val="20"/>
          <w:vertAlign w:val="baseline"/>
        </w:rPr>
        <w:t> </w:t>
      </w:r>
      <w:r>
        <w:rPr>
          <w:rFonts w:ascii="Calibri"/>
          <w:sz w:val="20"/>
          <w:vertAlign w:val="baseline"/>
        </w:rPr>
        <w:t>Strategic Framework,</w:t>
      </w:r>
      <w:r>
        <w:rPr>
          <w:rFonts w:ascii="Calibri"/>
          <w:spacing w:val="-3"/>
          <w:sz w:val="20"/>
          <w:vertAlign w:val="baseline"/>
        </w:rPr>
        <w:t> </w:t>
      </w:r>
      <w:r>
        <w:rPr>
          <w:rFonts w:ascii="Calibri"/>
          <w:sz w:val="20"/>
          <w:vertAlign w:val="baseline"/>
        </w:rPr>
        <w:t>a</w:t>
      </w:r>
      <w:r>
        <w:rPr>
          <w:rFonts w:ascii="Calibri"/>
          <w:spacing w:val="-5"/>
          <w:sz w:val="20"/>
          <w:vertAlign w:val="baseline"/>
        </w:rPr>
        <w:t> </w:t>
      </w:r>
      <w:r>
        <w:rPr>
          <w:rFonts w:ascii="Calibri"/>
          <w:sz w:val="20"/>
          <w:vertAlign w:val="baseline"/>
        </w:rPr>
        <w:t>report</w:t>
      </w:r>
      <w:r>
        <w:rPr>
          <w:rFonts w:ascii="Calibri"/>
          <w:spacing w:val="-5"/>
          <w:sz w:val="20"/>
          <w:vertAlign w:val="baseline"/>
        </w:rPr>
        <w:t> </w:t>
      </w:r>
      <w:r>
        <w:rPr>
          <w:rFonts w:ascii="Calibri"/>
          <w:sz w:val="20"/>
          <w:vertAlign w:val="baseline"/>
        </w:rPr>
        <w:t>of the Company Law Review Steering Group (CLRSG) (1999), para 5.1.12. It can be accessed at </w:t>
      </w:r>
      <w:hyperlink r:id="rId48">
        <w:r>
          <w:rPr>
            <w:rFonts w:ascii="Calibri"/>
            <w:color w:val="0000FF"/>
            <w:spacing w:val="-2"/>
            <w:sz w:val="20"/>
            <w:u w:val="single" w:color="0000FF"/>
            <w:vertAlign w:val="baseline"/>
          </w:rPr>
          <w:t>http://www.berr.gov.uk/files/file23279.pdf</w:t>
        </w:r>
        <w:r>
          <w:rPr>
            <w:rFonts w:ascii="Calibri"/>
            <w:spacing w:val="-2"/>
            <w:sz w:val="20"/>
            <w:vertAlign w:val="baseline"/>
          </w:rPr>
          <w:t>.</w:t>
        </w:r>
      </w:hyperlink>
    </w:p>
    <w:p>
      <w:pPr>
        <w:spacing w:before="3"/>
        <w:ind w:left="308" w:right="226" w:firstLine="0"/>
        <w:jc w:val="both"/>
        <w:rPr>
          <w:rFonts w:ascii="Calibri"/>
          <w:sz w:val="16"/>
        </w:rPr>
      </w:pPr>
      <w:r>
        <w:rPr>
          <w:rFonts w:ascii="Calibri"/>
          <w:sz w:val="20"/>
          <w:vertAlign w:val="superscript"/>
        </w:rPr>
        <w:t>47</w:t>
      </w:r>
      <w:r>
        <w:rPr>
          <w:rFonts w:ascii="Calibri"/>
          <w:i/>
          <w:sz w:val="20"/>
          <w:vertAlign w:val="baseline"/>
        </w:rPr>
        <w:t>Developing the Framework, </w:t>
      </w:r>
      <w:r>
        <w:rPr>
          <w:rFonts w:ascii="Calibri"/>
          <w:sz w:val="20"/>
          <w:vertAlign w:val="baseline"/>
        </w:rPr>
        <w:t>a report of the Company Law Review Steering Group (CLRSG), published March, 2000, paragraph 2.22. It can be accessed at </w:t>
      </w:r>
      <w:hyperlink r:id="rId13">
        <w:r>
          <w:rPr>
            <w:rFonts w:ascii="Calibri"/>
            <w:color w:val="0000FF"/>
            <w:sz w:val="20"/>
            <w:u w:val="single" w:color="0000FF"/>
            <w:vertAlign w:val="baseline"/>
          </w:rPr>
          <w:t>http://www.berr.gov.uk/bbf/co-act-2006/clr-</w:t>
        </w:r>
      </w:hyperlink>
      <w:r>
        <w:rPr>
          <w:rFonts w:ascii="Calibri"/>
          <w:color w:val="0000FF"/>
          <w:sz w:val="20"/>
          <w:vertAlign w:val="baseline"/>
        </w:rPr>
        <w:t> </w:t>
      </w:r>
      <w:hyperlink r:id="rId13">
        <w:r>
          <w:rPr>
            <w:rFonts w:ascii="Calibri"/>
            <w:color w:val="0000FF"/>
            <w:spacing w:val="-2"/>
            <w:sz w:val="20"/>
            <w:u w:val="single" w:color="0000FF"/>
            <w:vertAlign w:val="baseline"/>
          </w:rPr>
          <w:t>review/page25086.html</w:t>
        </w:r>
        <w:r>
          <w:rPr>
            <w:rFonts w:ascii="Calibri"/>
            <w:spacing w:val="-2"/>
            <w:sz w:val="16"/>
            <w:vertAlign w:val="baseline"/>
          </w:rPr>
          <w:t>.</w:t>
        </w:r>
      </w:hyperlink>
    </w:p>
    <w:p>
      <w:pPr>
        <w:spacing w:before="2"/>
        <w:ind w:left="308" w:right="226" w:firstLine="0"/>
        <w:jc w:val="both"/>
        <w:rPr>
          <w:rFonts w:ascii="Calibri"/>
          <w:sz w:val="20"/>
        </w:rPr>
      </w:pPr>
      <w:r>
        <w:rPr>
          <w:rFonts w:ascii="Calibri"/>
          <w:sz w:val="20"/>
          <w:vertAlign w:val="superscript"/>
        </w:rPr>
        <w:t>48</w:t>
      </w:r>
      <w:r>
        <w:rPr>
          <w:rFonts w:ascii="Calibri"/>
          <w:sz w:val="20"/>
          <w:vertAlign w:val="baseline"/>
        </w:rPr>
        <w:t>Armour, J. et al. (2003) Shareholder Primacy and the Trajectory of UK Corporate Governance.</w:t>
      </w:r>
      <w:r>
        <w:rPr>
          <w:rFonts w:ascii="Calibri"/>
          <w:i/>
          <w:sz w:val="20"/>
          <w:vertAlign w:val="baseline"/>
        </w:rPr>
        <w:t>British Journal</w:t>
      </w:r>
      <w:r>
        <w:rPr>
          <w:rFonts w:ascii="Calibri"/>
          <w:i/>
          <w:spacing w:val="26"/>
          <w:sz w:val="20"/>
          <w:vertAlign w:val="baseline"/>
        </w:rPr>
        <w:t> </w:t>
      </w:r>
      <w:r>
        <w:rPr>
          <w:rFonts w:ascii="Calibri"/>
          <w:i/>
          <w:sz w:val="20"/>
          <w:vertAlign w:val="baseline"/>
        </w:rPr>
        <w:t>of</w:t>
      </w:r>
      <w:r>
        <w:rPr>
          <w:rFonts w:ascii="Calibri"/>
          <w:i/>
          <w:spacing w:val="26"/>
          <w:sz w:val="20"/>
          <w:vertAlign w:val="baseline"/>
        </w:rPr>
        <w:t> </w:t>
      </w:r>
      <w:r>
        <w:rPr>
          <w:rFonts w:ascii="Calibri"/>
          <w:i/>
          <w:sz w:val="20"/>
          <w:vertAlign w:val="baseline"/>
        </w:rPr>
        <w:t>Industrial</w:t>
      </w:r>
      <w:r>
        <w:rPr>
          <w:rFonts w:ascii="Calibri"/>
          <w:i/>
          <w:spacing w:val="31"/>
          <w:sz w:val="20"/>
          <w:vertAlign w:val="baseline"/>
        </w:rPr>
        <w:t> </w:t>
      </w:r>
      <w:r>
        <w:rPr>
          <w:rFonts w:ascii="Calibri"/>
          <w:i/>
          <w:sz w:val="20"/>
          <w:vertAlign w:val="baseline"/>
        </w:rPr>
        <w:t>Relations</w:t>
      </w:r>
      <w:r>
        <w:rPr>
          <w:rFonts w:ascii="Calibri"/>
          <w:sz w:val="20"/>
          <w:vertAlign w:val="baseline"/>
        </w:rPr>
        <w:t>,</w:t>
      </w:r>
      <w:r>
        <w:rPr>
          <w:rFonts w:ascii="Calibri"/>
          <w:spacing w:val="28"/>
          <w:sz w:val="20"/>
          <w:vertAlign w:val="baseline"/>
        </w:rPr>
        <w:t> </w:t>
      </w:r>
      <w:r>
        <w:rPr>
          <w:rFonts w:ascii="Calibri"/>
          <w:sz w:val="20"/>
          <w:vertAlign w:val="baseline"/>
        </w:rPr>
        <w:t>41:</w:t>
      </w:r>
      <w:r>
        <w:rPr>
          <w:rFonts w:ascii="Calibri"/>
          <w:spacing w:val="29"/>
          <w:sz w:val="20"/>
          <w:vertAlign w:val="baseline"/>
        </w:rPr>
        <w:t> </w:t>
      </w:r>
      <w:r>
        <w:rPr>
          <w:rFonts w:ascii="Calibri"/>
          <w:sz w:val="20"/>
          <w:vertAlign w:val="baseline"/>
        </w:rPr>
        <w:t>531</w:t>
      </w:r>
      <w:r>
        <w:rPr>
          <w:rFonts w:ascii="Calibri"/>
          <w:spacing w:val="28"/>
          <w:sz w:val="20"/>
          <w:vertAlign w:val="baseline"/>
        </w:rPr>
        <w:t> </w:t>
      </w:r>
      <w:r>
        <w:rPr>
          <w:rFonts w:ascii="Calibri"/>
          <w:sz w:val="20"/>
          <w:vertAlign w:val="baseline"/>
        </w:rPr>
        <w:t>at</w:t>
      </w:r>
      <w:r>
        <w:rPr>
          <w:rFonts w:ascii="Calibri"/>
          <w:spacing w:val="29"/>
          <w:sz w:val="20"/>
          <w:vertAlign w:val="baseline"/>
        </w:rPr>
        <w:t> </w:t>
      </w:r>
      <w:r>
        <w:rPr>
          <w:rFonts w:ascii="Calibri"/>
          <w:sz w:val="20"/>
          <w:vertAlign w:val="baseline"/>
        </w:rPr>
        <w:t>p.</w:t>
      </w:r>
      <w:r>
        <w:rPr>
          <w:rFonts w:ascii="Calibri"/>
          <w:spacing w:val="31"/>
          <w:sz w:val="20"/>
          <w:vertAlign w:val="baseline"/>
        </w:rPr>
        <w:t> </w:t>
      </w:r>
      <w:r>
        <w:rPr>
          <w:rFonts w:ascii="Calibri"/>
          <w:sz w:val="20"/>
          <w:vertAlign w:val="baseline"/>
        </w:rPr>
        <w:t>537;</w:t>
      </w:r>
      <w:r>
        <w:rPr>
          <w:rFonts w:ascii="Calibri"/>
          <w:spacing w:val="29"/>
          <w:sz w:val="20"/>
          <w:vertAlign w:val="baseline"/>
        </w:rPr>
        <w:t> </w:t>
      </w:r>
      <w:r>
        <w:rPr>
          <w:rFonts w:ascii="Calibri"/>
          <w:sz w:val="20"/>
          <w:vertAlign w:val="baseline"/>
        </w:rPr>
        <w:t>cited</w:t>
      </w:r>
      <w:r>
        <w:rPr>
          <w:rFonts w:ascii="Calibri"/>
          <w:spacing w:val="25"/>
          <w:sz w:val="20"/>
          <w:vertAlign w:val="baseline"/>
        </w:rPr>
        <w:t> </w:t>
      </w:r>
      <w:r>
        <w:rPr>
          <w:rFonts w:ascii="Calibri"/>
          <w:sz w:val="20"/>
          <w:vertAlign w:val="baseline"/>
        </w:rPr>
        <w:t>in:</w:t>
      </w:r>
      <w:r>
        <w:rPr>
          <w:rFonts w:ascii="Calibri"/>
          <w:spacing w:val="29"/>
          <w:sz w:val="20"/>
          <w:vertAlign w:val="baseline"/>
        </w:rPr>
        <w:t> </w:t>
      </w:r>
      <w:r>
        <w:rPr>
          <w:rFonts w:ascii="Calibri"/>
          <w:sz w:val="20"/>
          <w:vertAlign w:val="baseline"/>
        </w:rPr>
        <w:t>Keay,</w:t>
      </w:r>
      <w:r>
        <w:rPr>
          <w:rFonts w:ascii="Calibri"/>
          <w:spacing w:val="27"/>
          <w:sz w:val="20"/>
          <w:vertAlign w:val="baseline"/>
        </w:rPr>
        <w:t> </w:t>
      </w:r>
      <w:r>
        <w:rPr>
          <w:rFonts w:ascii="Calibri"/>
          <w:sz w:val="20"/>
          <w:vertAlign w:val="baseline"/>
        </w:rPr>
        <w:t>A.</w:t>
      </w:r>
      <w:r>
        <w:rPr>
          <w:rFonts w:ascii="Calibri"/>
          <w:spacing w:val="35"/>
          <w:sz w:val="20"/>
          <w:vertAlign w:val="baseline"/>
        </w:rPr>
        <w:t> </w:t>
      </w:r>
      <w:r>
        <w:rPr>
          <w:rFonts w:ascii="Calibri"/>
          <w:sz w:val="20"/>
          <w:vertAlign w:val="baseline"/>
        </w:rPr>
        <w:t>(2007).</w:t>
      </w:r>
      <w:r>
        <w:rPr>
          <w:rFonts w:ascii="Calibri"/>
          <w:spacing w:val="32"/>
          <w:sz w:val="20"/>
          <w:vertAlign w:val="baseline"/>
        </w:rPr>
        <w:t> </w:t>
      </w:r>
      <w:r>
        <w:rPr>
          <w:rFonts w:ascii="Calibri"/>
          <w:sz w:val="20"/>
          <w:vertAlign w:val="baseline"/>
        </w:rPr>
        <w:t>Tackling</w:t>
      </w:r>
      <w:r>
        <w:rPr>
          <w:rFonts w:ascii="Calibri"/>
          <w:spacing w:val="30"/>
          <w:sz w:val="20"/>
          <w:vertAlign w:val="baseline"/>
        </w:rPr>
        <w:t> </w:t>
      </w:r>
      <w:r>
        <w:rPr>
          <w:rFonts w:ascii="Calibri"/>
          <w:sz w:val="20"/>
          <w:vertAlign w:val="baseline"/>
        </w:rPr>
        <w:t>the</w:t>
      </w:r>
      <w:r>
        <w:rPr>
          <w:rFonts w:ascii="Calibri"/>
          <w:spacing w:val="30"/>
          <w:sz w:val="20"/>
          <w:vertAlign w:val="baseline"/>
        </w:rPr>
        <w:t> </w:t>
      </w:r>
      <w:r>
        <w:rPr>
          <w:rFonts w:ascii="Calibri"/>
          <w:sz w:val="20"/>
          <w:vertAlign w:val="baseline"/>
        </w:rPr>
        <w:t>Issue</w:t>
      </w:r>
      <w:r>
        <w:rPr>
          <w:rFonts w:ascii="Calibri"/>
          <w:spacing w:val="30"/>
          <w:sz w:val="20"/>
          <w:vertAlign w:val="baseline"/>
        </w:rPr>
        <w:t> </w:t>
      </w:r>
      <w:r>
        <w:rPr>
          <w:rFonts w:ascii="Calibri"/>
          <w:sz w:val="20"/>
          <w:vertAlign w:val="baseline"/>
        </w:rPr>
        <w:t>of</w:t>
      </w:r>
      <w:r>
        <w:rPr>
          <w:rFonts w:ascii="Calibri"/>
          <w:spacing w:val="26"/>
          <w:sz w:val="20"/>
          <w:vertAlign w:val="baseline"/>
        </w:rPr>
        <w:t> </w:t>
      </w:r>
      <w:r>
        <w:rPr>
          <w:rFonts w:ascii="Calibri"/>
          <w:sz w:val="20"/>
          <w:vertAlign w:val="baseline"/>
        </w:rPr>
        <w:t>the</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36"/>
        <w:jc w:val="both"/>
      </w:pPr>
      <w:r>
        <w:rPr/>
        <w:t>hoped that this would make the process of management more enlightened and</w:t>
      </w:r>
      <w:r>
        <w:rPr>
          <w:spacing w:val="40"/>
        </w:rPr>
        <w:t> </w:t>
      </w:r>
      <w:r>
        <w:rPr/>
        <w:t>encourage more responsible decision-making that would avert corporate failure. Hodge MP,</w:t>
      </w:r>
      <w:r>
        <w:rPr>
          <w:vertAlign w:val="superscript"/>
        </w:rPr>
        <w:t>49</w:t>
      </w:r>
      <w:r>
        <w:rPr>
          <w:vertAlign w:val="baseline"/>
        </w:rPr>
        <w:t>remarked</w:t>
      </w:r>
      <w:r>
        <w:rPr>
          <w:spacing w:val="-11"/>
          <w:vertAlign w:val="baseline"/>
        </w:rPr>
        <w:t> </w:t>
      </w:r>
      <w:r>
        <w:rPr>
          <w:vertAlign w:val="baseline"/>
        </w:rPr>
        <w:t>regarding</w:t>
      </w:r>
      <w:r>
        <w:rPr>
          <w:spacing w:val="-9"/>
          <w:vertAlign w:val="baseline"/>
        </w:rPr>
        <w:t> </w:t>
      </w:r>
      <w:r>
        <w:rPr>
          <w:vertAlign w:val="baseline"/>
        </w:rPr>
        <w:t>s.</w:t>
      </w:r>
      <w:r>
        <w:rPr>
          <w:spacing w:val="-10"/>
          <w:vertAlign w:val="baseline"/>
        </w:rPr>
        <w:t> </w:t>
      </w:r>
      <w:r>
        <w:rPr>
          <w:vertAlign w:val="baseline"/>
        </w:rPr>
        <w:t>172,</w:t>
      </w:r>
      <w:r>
        <w:rPr>
          <w:spacing w:val="-10"/>
          <w:vertAlign w:val="baseline"/>
        </w:rPr>
        <w:t> </w:t>
      </w:r>
      <w:r>
        <w:rPr>
          <w:vertAlign w:val="baseline"/>
        </w:rPr>
        <w:t>that</w:t>
      </w:r>
      <w:r>
        <w:rPr>
          <w:spacing w:val="-8"/>
          <w:vertAlign w:val="baseline"/>
        </w:rPr>
        <w:t> </w:t>
      </w:r>
      <w:r>
        <w:rPr>
          <w:vertAlign w:val="baseline"/>
        </w:rPr>
        <w:t>the</w:t>
      </w:r>
      <w:r>
        <w:rPr>
          <w:spacing w:val="-12"/>
          <w:vertAlign w:val="baseline"/>
        </w:rPr>
        <w:t> </w:t>
      </w:r>
      <w:r>
        <w:rPr>
          <w:vertAlign w:val="baseline"/>
        </w:rPr>
        <w:t>provision</w:t>
      </w:r>
      <w:r>
        <w:rPr>
          <w:spacing w:val="-15"/>
          <w:vertAlign w:val="baseline"/>
        </w:rPr>
        <w:t> </w:t>
      </w:r>
      <w:r>
        <w:rPr>
          <w:vertAlign w:val="baseline"/>
        </w:rPr>
        <w:t>therein</w:t>
      </w:r>
      <w:r>
        <w:rPr>
          <w:spacing w:val="-9"/>
          <w:vertAlign w:val="baseline"/>
        </w:rPr>
        <w:t> </w:t>
      </w:r>
      <w:r>
        <w:rPr>
          <w:vertAlign w:val="baseline"/>
        </w:rPr>
        <w:t>―marks</w:t>
      </w:r>
      <w:r>
        <w:rPr>
          <w:spacing w:val="-14"/>
          <w:vertAlign w:val="baseline"/>
        </w:rPr>
        <w:t> </w:t>
      </w:r>
      <w:r>
        <w:rPr>
          <w:vertAlign w:val="baseline"/>
        </w:rPr>
        <w:t>a</w:t>
      </w:r>
      <w:r>
        <w:rPr>
          <w:spacing w:val="-12"/>
          <w:vertAlign w:val="baseline"/>
        </w:rPr>
        <w:t> </w:t>
      </w:r>
      <w:r>
        <w:rPr>
          <w:vertAlign w:val="baseline"/>
        </w:rPr>
        <w:t>radical</w:t>
      </w:r>
      <w:r>
        <w:rPr>
          <w:spacing w:val="-12"/>
          <w:vertAlign w:val="baseline"/>
        </w:rPr>
        <w:t> </w:t>
      </w:r>
      <w:r>
        <w:rPr>
          <w:vertAlign w:val="baseline"/>
        </w:rPr>
        <w:t>departure</w:t>
      </w:r>
      <w:r>
        <w:rPr>
          <w:spacing w:val="-9"/>
          <w:vertAlign w:val="baseline"/>
        </w:rPr>
        <w:t> </w:t>
      </w:r>
      <w:r>
        <w:rPr>
          <w:vertAlign w:val="baseline"/>
        </w:rPr>
        <w:t>in articulating the connection between what is good for a company and what is good for society at large.</w:t>
      </w:r>
      <w:r>
        <w:rPr>
          <w:vertAlign w:val="superscript"/>
        </w:rPr>
        <w:t>50</w:t>
      </w:r>
    </w:p>
    <w:p>
      <w:pPr>
        <w:pStyle w:val="BodyText"/>
        <w:spacing w:line="480" w:lineRule="auto" w:before="1"/>
        <w:ind w:right="224" w:firstLine="720"/>
        <w:jc w:val="both"/>
      </w:pPr>
      <w:r>
        <w:rPr/>
        <w:t>The</w:t>
      </w:r>
      <w:r>
        <w:rPr>
          <w:spacing w:val="-3"/>
        </w:rPr>
        <w:t> </w:t>
      </w:r>
      <w:r>
        <w:rPr/>
        <w:t>otherwise ineffectual</w:t>
      </w:r>
      <w:r>
        <w:rPr>
          <w:spacing w:val="-10"/>
        </w:rPr>
        <w:t> </w:t>
      </w:r>
      <w:r>
        <w:rPr/>
        <w:t>provision for non-shareholder stakeholders in s. 172 is fortified by a further requirement under s. 417 for a business review</w:t>
      </w:r>
      <w:r>
        <w:rPr>
          <w:vertAlign w:val="superscript"/>
        </w:rPr>
        <w:t>51</w:t>
      </w:r>
      <w:r>
        <w:rPr>
          <w:vertAlign w:val="baseline"/>
        </w:rPr>
        <w:t> by directors of large</w:t>
      </w:r>
      <w:r>
        <w:rPr>
          <w:spacing w:val="-3"/>
          <w:vertAlign w:val="baseline"/>
        </w:rPr>
        <w:t> </w:t>
      </w:r>
      <w:r>
        <w:rPr>
          <w:vertAlign w:val="baseline"/>
        </w:rPr>
        <w:t>or</w:t>
      </w:r>
      <w:r>
        <w:rPr>
          <w:spacing w:val="-1"/>
          <w:vertAlign w:val="baseline"/>
        </w:rPr>
        <w:t> </w:t>
      </w:r>
      <w:r>
        <w:rPr>
          <w:vertAlign w:val="baseline"/>
        </w:rPr>
        <w:t>quoted</w:t>
      </w:r>
      <w:r>
        <w:rPr>
          <w:spacing w:val="-2"/>
          <w:vertAlign w:val="baseline"/>
        </w:rPr>
        <w:t> </w:t>
      </w:r>
      <w:r>
        <w:rPr>
          <w:vertAlign w:val="baseline"/>
        </w:rPr>
        <w:t>companies. This must state</w:t>
      </w:r>
      <w:r>
        <w:rPr>
          <w:spacing w:val="-3"/>
          <w:vertAlign w:val="baseline"/>
        </w:rPr>
        <w:t> </w:t>
      </w:r>
      <w:r>
        <w:rPr>
          <w:vertAlign w:val="baseline"/>
        </w:rPr>
        <w:t>how, if</w:t>
      </w:r>
      <w:r>
        <w:rPr>
          <w:spacing w:val="-1"/>
          <w:vertAlign w:val="baseline"/>
        </w:rPr>
        <w:t> </w:t>
      </w:r>
      <w:r>
        <w:rPr>
          <w:vertAlign w:val="baseline"/>
        </w:rPr>
        <w:t>at all, they</w:t>
      </w:r>
      <w:r>
        <w:rPr>
          <w:spacing w:val="-2"/>
          <w:vertAlign w:val="baseline"/>
        </w:rPr>
        <w:t> </w:t>
      </w:r>
      <w:r>
        <w:rPr>
          <w:vertAlign w:val="baseline"/>
        </w:rPr>
        <w:t>have</w:t>
      </w:r>
      <w:r>
        <w:rPr>
          <w:spacing w:val="-3"/>
          <w:vertAlign w:val="baseline"/>
        </w:rPr>
        <w:t> </w:t>
      </w:r>
      <w:r>
        <w:rPr>
          <w:vertAlign w:val="baseline"/>
        </w:rPr>
        <w:t>performed</w:t>
      </w:r>
      <w:r>
        <w:rPr>
          <w:spacing w:val="-2"/>
          <w:vertAlign w:val="baseline"/>
        </w:rPr>
        <w:t> </w:t>
      </w:r>
      <w:r>
        <w:rPr>
          <w:vertAlign w:val="baseline"/>
        </w:rPr>
        <w:t>their</w:t>
      </w:r>
      <w:r>
        <w:rPr>
          <w:spacing w:val="-1"/>
          <w:vertAlign w:val="baseline"/>
        </w:rPr>
        <w:t> </w:t>
      </w:r>
      <w:r>
        <w:rPr>
          <w:vertAlign w:val="baseline"/>
        </w:rPr>
        <w:t>duty under s.172, to be presented before the general</w:t>
      </w:r>
      <w:r>
        <w:rPr>
          <w:spacing w:val="-4"/>
          <w:vertAlign w:val="baseline"/>
        </w:rPr>
        <w:t> </w:t>
      </w:r>
      <w:r>
        <w:rPr>
          <w:vertAlign w:val="baseline"/>
        </w:rPr>
        <w:t>meeting as</w:t>
      </w:r>
      <w:r>
        <w:rPr>
          <w:spacing w:val="-2"/>
          <w:vertAlign w:val="baseline"/>
        </w:rPr>
        <w:t> </w:t>
      </w:r>
      <w:r>
        <w:rPr>
          <w:vertAlign w:val="baseline"/>
        </w:rPr>
        <w:t>part of</w:t>
      </w:r>
      <w:r>
        <w:rPr>
          <w:spacing w:val="-7"/>
          <w:vertAlign w:val="baseline"/>
        </w:rPr>
        <w:t> </w:t>
      </w:r>
      <w:r>
        <w:rPr>
          <w:vertAlign w:val="baseline"/>
        </w:rPr>
        <w:t>the (annual) directors‘ report. By this, Parliament intends that directors should consciously advert their minds to the requirements under the section and justify their decisions, presumably, by presenting ―evidence‖ of their thought process, to show that they have in fact done so. However, the members are the likely recipients of the information contained in the directors‘ report: the stakeholders listed have therefore, no means of coming to the information contained therein.</w:t>
      </w:r>
    </w:p>
    <w:p>
      <w:pPr>
        <w:pStyle w:val="BodyText"/>
        <w:spacing w:line="480" w:lineRule="auto" w:before="2"/>
        <w:ind w:right="229" w:firstLine="720"/>
        <w:jc w:val="both"/>
      </w:pPr>
      <w:r>
        <w:rPr/>
        <w:t>There has been much speculation concerning the proper interpretation and effectiveness of s.172 due to its novelty and partly because it is not so closely aligned with a previous duty as are other duties provided in the Act.</w:t>
      </w:r>
      <w:r>
        <w:rPr>
          <w:vertAlign w:val="superscript"/>
        </w:rPr>
        <w:t>52</w:t>
      </w:r>
      <w:r>
        <w:rPr>
          <w:vertAlign w:val="baseline"/>
        </w:rPr>
        <w:t>The fact that very few courts have so far had the chance to interpret the duty in their deliberations,</w:t>
      </w:r>
      <w:r>
        <w:rPr>
          <w:spacing w:val="40"/>
          <w:vertAlign w:val="baseline"/>
        </w:rPr>
        <w:t> </w:t>
      </w:r>
      <w:r>
        <w:rPr>
          <w:vertAlign w:val="baseline"/>
        </w:rPr>
        <w:t>has not</w:t>
      </w:r>
      <w:r>
        <w:rPr>
          <w:spacing w:val="40"/>
          <w:vertAlign w:val="baseline"/>
        </w:rPr>
        <w:t> </w:t>
      </w:r>
      <w:r>
        <w:rPr>
          <w:vertAlign w:val="baseline"/>
        </w:rPr>
        <w:t>been</w:t>
      </w:r>
      <w:r>
        <w:rPr>
          <w:spacing w:val="-4"/>
          <w:vertAlign w:val="baseline"/>
        </w:rPr>
        <w:t> </w:t>
      </w:r>
      <w:r>
        <w:rPr>
          <w:vertAlign w:val="baseline"/>
        </w:rPr>
        <w:t>helpful.However,</w:t>
      </w:r>
      <w:r>
        <w:rPr>
          <w:spacing w:val="1"/>
          <w:vertAlign w:val="baseline"/>
        </w:rPr>
        <w:t> </w:t>
      </w:r>
      <w:r>
        <w:rPr>
          <w:vertAlign w:val="baseline"/>
        </w:rPr>
        <w:t>commentators</w:t>
      </w:r>
      <w:r>
        <w:rPr>
          <w:spacing w:val="-4"/>
          <w:vertAlign w:val="baseline"/>
        </w:rPr>
        <w:t> </w:t>
      </w:r>
      <w:r>
        <w:rPr>
          <w:vertAlign w:val="baseline"/>
        </w:rPr>
        <w:t>have</w:t>
      </w:r>
      <w:r>
        <w:rPr>
          <w:spacing w:val="-2"/>
          <w:vertAlign w:val="baseline"/>
        </w:rPr>
        <w:t> </w:t>
      </w:r>
      <w:r>
        <w:rPr>
          <w:vertAlign w:val="baseline"/>
        </w:rPr>
        <w:t>since</w:t>
      </w:r>
      <w:r>
        <w:rPr>
          <w:spacing w:val="-3"/>
          <w:vertAlign w:val="baseline"/>
        </w:rPr>
        <w:t> </w:t>
      </w:r>
      <w:r>
        <w:rPr>
          <w:vertAlign w:val="baseline"/>
        </w:rPr>
        <w:t>been</w:t>
      </w:r>
      <w:r>
        <w:rPr>
          <w:spacing w:val="-6"/>
          <w:vertAlign w:val="baseline"/>
        </w:rPr>
        <w:t> </w:t>
      </w:r>
      <w:r>
        <w:rPr>
          <w:vertAlign w:val="baseline"/>
        </w:rPr>
        <w:t>advancing</w:t>
      </w:r>
      <w:r>
        <w:rPr>
          <w:spacing w:val="-1"/>
          <w:vertAlign w:val="baseline"/>
        </w:rPr>
        <w:t> </w:t>
      </w:r>
      <w:r>
        <w:rPr>
          <w:vertAlign w:val="baseline"/>
        </w:rPr>
        <w:t>their</w:t>
      </w:r>
      <w:r>
        <w:rPr>
          <w:spacing w:val="4"/>
          <w:vertAlign w:val="baseline"/>
        </w:rPr>
        <w:t> </w:t>
      </w:r>
      <w:r>
        <w:rPr>
          <w:vertAlign w:val="baseline"/>
        </w:rPr>
        <w:t>views.</w:t>
      </w:r>
      <w:r>
        <w:rPr>
          <w:spacing w:val="1"/>
          <w:vertAlign w:val="baseline"/>
        </w:rPr>
        <w:t> </w:t>
      </w:r>
      <w:r>
        <w:rPr>
          <w:spacing w:val="-2"/>
          <w:vertAlign w:val="baseline"/>
        </w:rPr>
        <w:t>Many</w:t>
      </w:r>
      <w:r>
        <w:rPr>
          <w:spacing w:val="-2"/>
          <w:vertAlign w:val="superscript"/>
        </w:rPr>
        <w:t>53</w:t>
      </w:r>
      <w:r>
        <w:rPr>
          <w:spacing w:val="-2"/>
          <w:vertAlign w:val="baseline"/>
        </w:rPr>
        <w:t>are</w:t>
      </w:r>
    </w:p>
    <w:p>
      <w:pPr>
        <w:pStyle w:val="BodyText"/>
        <w:spacing w:before="5"/>
        <w:ind w:left="0"/>
        <w:rPr>
          <w:sz w:val="12"/>
        </w:rPr>
      </w:pPr>
      <w:r>
        <w:rPr/>
        <mc:AlternateContent>
          <mc:Choice Requires="wps">
            <w:drawing>
              <wp:anchor distT="0" distB="0" distL="0" distR="0" allowOverlap="1" layoutInCell="1" locked="0" behindDoc="1" simplePos="0" relativeHeight="487676928">
                <wp:simplePos x="0" y="0"/>
                <wp:positionH relativeFrom="page">
                  <wp:posOffset>1262481</wp:posOffset>
                </wp:positionH>
                <wp:positionV relativeFrom="paragraph">
                  <wp:posOffset>106512</wp:posOffset>
                </wp:positionV>
                <wp:extent cx="5400040" cy="9525"/>
                <wp:effectExtent l="0" t="0" r="0" b="0"/>
                <wp:wrapTopAndBottom/>
                <wp:docPr id="197" name="Graphic 197"/>
                <wp:cNvGraphicFramePr>
                  <a:graphicFrameLocks/>
                </wp:cNvGraphicFramePr>
                <a:graphic>
                  <a:graphicData uri="http://schemas.microsoft.com/office/word/2010/wordprocessingShape">
                    <wps:wsp>
                      <wps:cNvPr id="197" name="Graphic 197"/>
                      <wps:cNvSpPr/>
                      <wps:spPr>
                        <a:xfrm>
                          <a:off x="0" y="0"/>
                          <a:ext cx="5400040" cy="9525"/>
                        </a:xfrm>
                        <a:custGeom>
                          <a:avLst/>
                          <a:gdLst/>
                          <a:ahLst/>
                          <a:cxnLst/>
                          <a:rect l="l" t="t" r="r" b="b"/>
                          <a:pathLst>
                            <a:path w="5400040" h="9525">
                              <a:moveTo>
                                <a:pt x="5399785" y="0"/>
                              </a:moveTo>
                              <a:lnTo>
                                <a:pt x="0" y="0"/>
                              </a:lnTo>
                              <a:lnTo>
                                <a:pt x="0" y="9144"/>
                              </a:lnTo>
                              <a:lnTo>
                                <a:pt x="5399785" y="9144"/>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386845pt;width:425.18pt;height:.72003pt;mso-position-horizontal-relative:page;mso-position-vertical-relative:paragraph;z-index:-15639552;mso-wrap-distance-left:0;mso-wrap-distance-right:0" id="docshape152" filled="true" fillcolor="#000000" stroked="false">
                <v:fill type="solid"/>
                <w10:wrap type="topAndBottom"/>
              </v:rect>
            </w:pict>
          </mc:Fallback>
        </mc:AlternateContent>
      </w:r>
    </w:p>
    <w:p>
      <w:pPr>
        <w:spacing w:before="102"/>
        <w:ind w:left="308" w:right="228" w:firstLine="0"/>
        <w:jc w:val="both"/>
        <w:rPr>
          <w:rFonts w:ascii="Calibri" w:hAnsi="Calibri"/>
          <w:sz w:val="20"/>
        </w:rPr>
      </w:pPr>
      <w:r>
        <w:rPr>
          <w:rFonts w:ascii="Calibri" w:hAnsi="Calibri"/>
          <w:sz w:val="20"/>
        </w:rPr>
        <w:t>Corporate Objective: An Analysis of the United Kingdom’s Enlightened Shareholder Value Approach.</w:t>
      </w:r>
      <w:r>
        <w:rPr>
          <w:rFonts w:ascii="Calibri" w:hAnsi="Calibri"/>
          <w:i/>
          <w:sz w:val="20"/>
        </w:rPr>
        <w:t>Sydney Law Review. </w:t>
      </w:r>
      <w:r>
        <w:rPr>
          <w:rFonts w:ascii="Calibri" w:hAnsi="Calibri"/>
          <w:sz w:val="20"/>
        </w:rPr>
        <w:t>29: 577-612, at 590.</w:t>
      </w:r>
    </w:p>
    <w:p>
      <w:pPr>
        <w:spacing w:before="1"/>
        <w:ind w:left="308" w:right="0" w:firstLine="0"/>
        <w:jc w:val="both"/>
        <w:rPr>
          <w:rFonts w:ascii="Calibri"/>
          <w:sz w:val="20"/>
        </w:rPr>
      </w:pPr>
      <w:r>
        <w:rPr>
          <w:rFonts w:ascii="Calibri"/>
          <w:sz w:val="20"/>
          <w:vertAlign w:val="superscript"/>
        </w:rPr>
        <w:t>49</w:t>
      </w:r>
      <w:r>
        <w:rPr>
          <w:rFonts w:ascii="Calibri"/>
          <w:spacing w:val="-2"/>
          <w:sz w:val="20"/>
          <w:vertAlign w:val="baseline"/>
        </w:rPr>
        <w:t> </w:t>
      </w:r>
      <w:r>
        <w:rPr>
          <w:rFonts w:ascii="Calibri"/>
          <w:sz w:val="20"/>
          <w:vertAlign w:val="baseline"/>
        </w:rPr>
        <w:t>Also</w:t>
      </w:r>
      <w:r>
        <w:rPr>
          <w:rFonts w:ascii="Calibri"/>
          <w:spacing w:val="-3"/>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Minister</w:t>
      </w:r>
      <w:r>
        <w:rPr>
          <w:rFonts w:ascii="Calibri"/>
          <w:spacing w:val="-5"/>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State</w:t>
      </w:r>
      <w:r>
        <w:rPr>
          <w:rFonts w:ascii="Calibri"/>
          <w:spacing w:val="-6"/>
          <w:sz w:val="20"/>
          <w:vertAlign w:val="baseline"/>
        </w:rPr>
        <w:t> </w:t>
      </w:r>
      <w:r>
        <w:rPr>
          <w:rFonts w:ascii="Calibri"/>
          <w:sz w:val="20"/>
          <w:vertAlign w:val="baseline"/>
        </w:rPr>
        <w:t>for</w:t>
      </w:r>
      <w:r>
        <w:rPr>
          <w:rFonts w:ascii="Calibri"/>
          <w:spacing w:val="-6"/>
          <w:sz w:val="20"/>
          <w:vertAlign w:val="baseline"/>
        </w:rPr>
        <w:t> </w:t>
      </w:r>
      <w:r>
        <w:rPr>
          <w:rFonts w:ascii="Calibri"/>
          <w:sz w:val="20"/>
          <w:vertAlign w:val="baseline"/>
        </w:rPr>
        <w:t>Industry</w:t>
      </w:r>
      <w:r>
        <w:rPr>
          <w:rFonts w:ascii="Calibri"/>
          <w:spacing w:val="-7"/>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time</w:t>
      </w:r>
      <w:r>
        <w:rPr>
          <w:rFonts w:ascii="Calibri"/>
          <w:spacing w:val="-2"/>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enacting</w:t>
      </w:r>
      <w:r>
        <w:rPr>
          <w:rFonts w:ascii="Calibri"/>
          <w:spacing w:val="-2"/>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new</w:t>
      </w:r>
      <w:r>
        <w:rPr>
          <w:rFonts w:ascii="Calibri"/>
          <w:spacing w:val="-8"/>
          <w:sz w:val="20"/>
          <w:vertAlign w:val="baseline"/>
        </w:rPr>
        <w:t> </w:t>
      </w:r>
      <w:r>
        <w:rPr>
          <w:rFonts w:ascii="Calibri"/>
          <w:sz w:val="20"/>
          <w:vertAlign w:val="baseline"/>
        </w:rPr>
        <w:t>companies</w:t>
      </w:r>
      <w:r>
        <w:rPr>
          <w:rFonts w:ascii="Calibri"/>
          <w:spacing w:val="-8"/>
          <w:sz w:val="20"/>
          <w:vertAlign w:val="baseline"/>
        </w:rPr>
        <w:t> </w:t>
      </w:r>
      <w:r>
        <w:rPr>
          <w:rFonts w:ascii="Calibri"/>
          <w:spacing w:val="-4"/>
          <w:sz w:val="20"/>
          <w:vertAlign w:val="baseline"/>
        </w:rPr>
        <w:t>law.</w:t>
      </w:r>
    </w:p>
    <w:p>
      <w:pPr>
        <w:spacing w:line="237" w:lineRule="auto" w:before="3"/>
        <w:ind w:left="308" w:right="229" w:firstLine="0"/>
        <w:jc w:val="both"/>
        <w:rPr>
          <w:rFonts w:ascii="Calibri"/>
          <w:sz w:val="20"/>
        </w:rPr>
      </w:pPr>
      <w:r>
        <w:rPr>
          <w:rFonts w:ascii="Calibri"/>
          <w:sz w:val="20"/>
          <w:vertAlign w:val="superscript"/>
        </w:rPr>
        <w:t>50</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3,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before="3"/>
        <w:ind w:left="308" w:right="0" w:firstLine="0"/>
        <w:jc w:val="both"/>
        <w:rPr>
          <w:rFonts w:ascii="Calibri"/>
          <w:sz w:val="20"/>
        </w:rPr>
      </w:pPr>
      <w:r>
        <w:rPr>
          <w:rFonts w:ascii="Calibri"/>
          <w:sz w:val="20"/>
          <w:vertAlign w:val="superscript"/>
        </w:rPr>
        <w:t>51</w:t>
      </w:r>
      <w:r>
        <w:rPr>
          <w:rFonts w:ascii="Calibri"/>
          <w:sz w:val="20"/>
          <w:vertAlign w:val="baseline"/>
        </w:rPr>
        <w:t>So-called</w:t>
      </w:r>
      <w:r>
        <w:rPr>
          <w:rFonts w:ascii="Calibri"/>
          <w:spacing w:val="-10"/>
          <w:sz w:val="20"/>
          <w:vertAlign w:val="baseline"/>
        </w:rPr>
        <w:t> </w:t>
      </w:r>
      <w:r>
        <w:rPr>
          <w:rFonts w:ascii="Calibri"/>
          <w:sz w:val="20"/>
          <w:vertAlign w:val="baseline"/>
        </w:rPr>
        <w:t>non-financial</w:t>
      </w:r>
      <w:r>
        <w:rPr>
          <w:rFonts w:ascii="Calibri"/>
          <w:spacing w:val="-10"/>
          <w:sz w:val="20"/>
          <w:vertAlign w:val="baseline"/>
        </w:rPr>
        <w:t> </w:t>
      </w:r>
      <w:r>
        <w:rPr>
          <w:rFonts w:ascii="Calibri"/>
          <w:spacing w:val="-2"/>
          <w:sz w:val="20"/>
          <w:vertAlign w:val="baseline"/>
        </w:rPr>
        <w:t>disclosure.</w:t>
      </w:r>
    </w:p>
    <w:p>
      <w:pPr>
        <w:spacing w:before="1"/>
        <w:ind w:left="308" w:right="0" w:firstLine="0"/>
        <w:jc w:val="both"/>
        <w:rPr>
          <w:rFonts w:ascii="Calibri"/>
          <w:sz w:val="20"/>
        </w:rPr>
      </w:pPr>
      <w:r>
        <w:rPr>
          <w:rFonts w:ascii="Calibri"/>
          <w:sz w:val="20"/>
          <w:vertAlign w:val="superscript"/>
        </w:rPr>
        <w:t>52</w:t>
      </w:r>
      <w:r>
        <w:rPr>
          <w:rFonts w:ascii="Calibri"/>
          <w:sz w:val="20"/>
          <w:vertAlign w:val="baseline"/>
        </w:rPr>
        <w:t>Keay,</w:t>
      </w:r>
      <w:r>
        <w:rPr>
          <w:rFonts w:ascii="Calibri"/>
          <w:spacing w:val="-8"/>
          <w:sz w:val="20"/>
          <w:vertAlign w:val="baseline"/>
        </w:rPr>
        <w:t> </w:t>
      </w:r>
      <w:r>
        <w:rPr>
          <w:rFonts w:ascii="Calibri"/>
          <w:sz w:val="20"/>
          <w:vertAlign w:val="baseline"/>
        </w:rPr>
        <w:t>A.</w:t>
      </w:r>
      <w:r>
        <w:rPr>
          <w:rFonts w:ascii="Calibri"/>
          <w:spacing w:val="-8"/>
          <w:sz w:val="20"/>
          <w:vertAlign w:val="baseline"/>
        </w:rPr>
        <w:t> </w:t>
      </w:r>
      <w:r>
        <w:rPr>
          <w:rFonts w:ascii="Calibri"/>
          <w:sz w:val="20"/>
          <w:vertAlign w:val="baseline"/>
        </w:rPr>
        <w:t>(2010)op.cit.atp.</w:t>
      </w:r>
      <w:r>
        <w:rPr>
          <w:rFonts w:ascii="Calibri"/>
          <w:spacing w:val="-4"/>
          <w:sz w:val="20"/>
          <w:vertAlign w:val="baseline"/>
        </w:rPr>
        <w:t> </w:t>
      </w:r>
      <w:r>
        <w:rPr>
          <w:rFonts w:ascii="Calibri"/>
          <w:spacing w:val="-5"/>
          <w:sz w:val="20"/>
          <w:vertAlign w:val="baseline"/>
        </w:rPr>
        <w:t>5.</w:t>
      </w:r>
    </w:p>
    <w:p>
      <w:pPr>
        <w:spacing w:before="0"/>
        <w:ind w:left="308" w:right="226" w:firstLine="0"/>
        <w:jc w:val="both"/>
        <w:rPr>
          <w:rFonts w:ascii="Calibri"/>
          <w:sz w:val="20"/>
        </w:rPr>
      </w:pPr>
      <w:r>
        <w:rPr>
          <w:rFonts w:ascii="Calibri"/>
          <w:sz w:val="20"/>
          <w:vertAlign w:val="superscript"/>
        </w:rPr>
        <w:t>53</w:t>
      </w:r>
      <w:r>
        <w:rPr>
          <w:rFonts w:ascii="Calibri"/>
          <w:sz w:val="20"/>
          <w:vertAlign w:val="baseline"/>
        </w:rPr>
        <w:t> Including Lord</w:t>
      </w:r>
      <w:r>
        <w:rPr>
          <w:rFonts w:ascii="Calibri"/>
          <w:spacing w:val="-4"/>
          <w:sz w:val="20"/>
          <w:vertAlign w:val="baseline"/>
        </w:rPr>
        <w:t> </w:t>
      </w:r>
      <w:r>
        <w:rPr>
          <w:rFonts w:ascii="Calibri"/>
          <w:sz w:val="20"/>
          <w:vertAlign w:val="baseline"/>
        </w:rPr>
        <w:t>Glennie</w:t>
      </w:r>
      <w:r>
        <w:rPr>
          <w:rFonts w:ascii="Calibri"/>
          <w:spacing w:val="-3"/>
          <w:sz w:val="20"/>
          <w:vertAlign w:val="baseline"/>
        </w:rPr>
        <w:t> </w:t>
      </w:r>
      <w:r>
        <w:rPr>
          <w:rFonts w:ascii="Calibri"/>
          <w:sz w:val="20"/>
          <w:vertAlign w:val="baseline"/>
        </w:rPr>
        <w:t>in</w:t>
      </w:r>
      <w:r>
        <w:rPr>
          <w:rFonts w:ascii="Calibri"/>
          <w:spacing w:val="-2"/>
          <w:sz w:val="20"/>
          <w:vertAlign w:val="baseline"/>
        </w:rPr>
        <w:t> </w:t>
      </w:r>
      <w:r>
        <w:rPr>
          <w:rFonts w:ascii="Calibri"/>
          <w:i/>
          <w:sz w:val="20"/>
          <w:vertAlign w:val="baseline"/>
        </w:rPr>
        <w:t>Re West Coast Capital</w:t>
      </w:r>
      <w:r>
        <w:rPr>
          <w:rFonts w:ascii="Calibri"/>
          <w:i/>
          <w:spacing w:val="-2"/>
          <w:sz w:val="20"/>
          <w:vertAlign w:val="baseline"/>
        </w:rPr>
        <w:t> </w:t>
      </w:r>
      <w:r>
        <w:rPr>
          <w:rFonts w:ascii="Calibri"/>
          <w:i/>
          <w:sz w:val="20"/>
          <w:vertAlign w:val="baseline"/>
        </w:rPr>
        <w:t>(LIOS) Ltd</w:t>
      </w:r>
      <w:r>
        <w:rPr>
          <w:rFonts w:ascii="Calibri"/>
          <w:sz w:val="20"/>
          <w:vertAlign w:val="baseline"/>
        </w:rPr>
        <w:t>. (2008) CSOH,</w:t>
      </w:r>
      <w:r>
        <w:rPr>
          <w:rFonts w:ascii="Calibri"/>
          <w:spacing w:val="-1"/>
          <w:sz w:val="20"/>
          <w:vertAlign w:val="baseline"/>
        </w:rPr>
        <w:t> </w:t>
      </w:r>
      <w:r>
        <w:rPr>
          <w:rFonts w:ascii="Calibri"/>
          <w:sz w:val="20"/>
          <w:vertAlign w:val="baseline"/>
        </w:rPr>
        <w:t>72; 2008 Scot (D) 16/5 (Outer House, Court of Sessions, Lord Glennie at 21; Warren J. in </w:t>
      </w:r>
      <w:r>
        <w:rPr>
          <w:rFonts w:ascii="Calibri"/>
          <w:i/>
          <w:sz w:val="20"/>
          <w:vertAlign w:val="baseline"/>
        </w:rPr>
        <w:t>Cobden Investments Ltd. vs. RWM Rangport Ltd</w:t>
      </w:r>
      <w:r>
        <w:rPr>
          <w:rFonts w:ascii="Calibri"/>
          <w:sz w:val="20"/>
          <w:vertAlign w:val="baseline"/>
        </w:rPr>
        <w:t>.</w:t>
      </w:r>
      <w:r>
        <w:rPr>
          <w:rFonts w:ascii="Calibri"/>
          <w:spacing w:val="33"/>
          <w:sz w:val="20"/>
          <w:vertAlign w:val="baseline"/>
        </w:rPr>
        <w:t> </w:t>
      </w:r>
      <w:r>
        <w:rPr>
          <w:rFonts w:ascii="Calibri"/>
          <w:sz w:val="20"/>
          <w:vertAlign w:val="baseline"/>
        </w:rPr>
        <w:t>(2008)</w:t>
      </w:r>
      <w:r>
        <w:rPr>
          <w:rFonts w:ascii="Calibri"/>
          <w:spacing w:val="32"/>
          <w:sz w:val="20"/>
          <w:vertAlign w:val="baseline"/>
        </w:rPr>
        <w:t> </w:t>
      </w:r>
      <w:r>
        <w:rPr>
          <w:rFonts w:ascii="Calibri"/>
          <w:sz w:val="20"/>
          <w:vertAlign w:val="baseline"/>
        </w:rPr>
        <w:t>EWHC</w:t>
      </w:r>
      <w:r>
        <w:rPr>
          <w:rFonts w:ascii="Calibri"/>
          <w:spacing w:val="29"/>
          <w:sz w:val="20"/>
          <w:vertAlign w:val="baseline"/>
        </w:rPr>
        <w:t> </w:t>
      </w:r>
      <w:r>
        <w:rPr>
          <w:rFonts w:ascii="Calibri"/>
          <w:sz w:val="20"/>
          <w:vertAlign w:val="baseline"/>
        </w:rPr>
        <w:t>2810,</w:t>
      </w:r>
      <w:r>
        <w:rPr>
          <w:rFonts w:ascii="Calibri"/>
          <w:spacing w:val="30"/>
          <w:sz w:val="20"/>
          <w:vertAlign w:val="baseline"/>
        </w:rPr>
        <w:t> </w:t>
      </w:r>
      <w:r>
        <w:rPr>
          <w:rFonts w:ascii="Calibri"/>
          <w:sz w:val="20"/>
          <w:vertAlign w:val="baseline"/>
        </w:rPr>
        <w:t>(Ch);</w:t>
      </w:r>
      <w:r>
        <w:rPr>
          <w:rFonts w:ascii="Calibri"/>
          <w:spacing w:val="31"/>
          <w:sz w:val="20"/>
          <w:vertAlign w:val="baseline"/>
        </w:rPr>
        <w:t> </w:t>
      </w:r>
      <w:r>
        <w:rPr>
          <w:rFonts w:ascii="Calibri"/>
          <w:sz w:val="20"/>
          <w:vertAlign w:val="baseline"/>
        </w:rPr>
        <w:t>Birds,</w:t>
      </w:r>
      <w:r>
        <w:rPr>
          <w:rFonts w:ascii="Calibri"/>
          <w:spacing w:val="29"/>
          <w:sz w:val="20"/>
          <w:vertAlign w:val="baseline"/>
        </w:rPr>
        <w:t> </w:t>
      </w:r>
      <w:r>
        <w:rPr>
          <w:rFonts w:ascii="Calibri"/>
          <w:sz w:val="20"/>
          <w:vertAlign w:val="baseline"/>
        </w:rPr>
        <w:t>J.</w:t>
      </w:r>
      <w:r>
        <w:rPr>
          <w:rFonts w:ascii="Calibri"/>
          <w:spacing w:val="32"/>
          <w:sz w:val="20"/>
          <w:vertAlign w:val="baseline"/>
        </w:rPr>
        <w:t> </w:t>
      </w:r>
      <w:r>
        <w:rPr>
          <w:rFonts w:ascii="Calibri"/>
          <w:sz w:val="20"/>
          <w:vertAlign w:val="baseline"/>
        </w:rPr>
        <w:t>et</w:t>
      </w:r>
      <w:r>
        <w:rPr>
          <w:rFonts w:ascii="Calibri"/>
          <w:spacing w:val="31"/>
          <w:sz w:val="20"/>
          <w:vertAlign w:val="baseline"/>
        </w:rPr>
        <w:t> </w:t>
      </w:r>
      <w:r>
        <w:rPr>
          <w:rFonts w:ascii="Calibri"/>
          <w:sz w:val="20"/>
          <w:vertAlign w:val="baseline"/>
        </w:rPr>
        <w:t>al.</w:t>
      </w:r>
      <w:r>
        <w:rPr>
          <w:rFonts w:ascii="Calibri"/>
          <w:spacing w:val="32"/>
          <w:sz w:val="20"/>
          <w:vertAlign w:val="baseline"/>
        </w:rPr>
        <w:t> </w:t>
      </w:r>
      <w:r>
        <w:rPr>
          <w:rFonts w:ascii="Calibri"/>
          <w:sz w:val="20"/>
          <w:vertAlign w:val="baseline"/>
        </w:rPr>
        <w:t>op.cit.</w:t>
      </w:r>
      <w:r>
        <w:rPr>
          <w:rFonts w:ascii="Calibri"/>
          <w:spacing w:val="32"/>
          <w:sz w:val="20"/>
          <w:vertAlign w:val="baseline"/>
        </w:rPr>
        <w:t> </w:t>
      </w:r>
      <w:r>
        <w:rPr>
          <w:rFonts w:ascii="Calibri"/>
          <w:sz w:val="20"/>
          <w:vertAlign w:val="baseline"/>
        </w:rPr>
        <w:t>at</w:t>
      </w:r>
      <w:r>
        <w:rPr>
          <w:rFonts w:ascii="Calibri"/>
          <w:spacing w:val="32"/>
          <w:sz w:val="20"/>
          <w:vertAlign w:val="baseline"/>
        </w:rPr>
        <w:t> </w:t>
      </w:r>
      <w:r>
        <w:rPr>
          <w:rFonts w:ascii="Calibri"/>
          <w:sz w:val="20"/>
          <w:vertAlign w:val="baseline"/>
        </w:rPr>
        <w:t>pp.</w:t>
      </w:r>
      <w:r>
        <w:rPr>
          <w:rFonts w:ascii="Calibri"/>
          <w:spacing w:val="27"/>
          <w:sz w:val="20"/>
          <w:vertAlign w:val="baseline"/>
        </w:rPr>
        <w:t> </w:t>
      </w:r>
      <w:r>
        <w:rPr>
          <w:rFonts w:ascii="Calibri"/>
          <w:sz w:val="20"/>
          <w:vertAlign w:val="baseline"/>
        </w:rPr>
        <w:t>637-638;</w:t>
      </w:r>
      <w:r>
        <w:rPr>
          <w:rFonts w:ascii="Calibri"/>
          <w:spacing w:val="30"/>
          <w:sz w:val="20"/>
          <w:vertAlign w:val="baseline"/>
        </w:rPr>
        <w:t> </w:t>
      </w:r>
      <w:r>
        <w:rPr>
          <w:rFonts w:ascii="Calibri"/>
          <w:sz w:val="20"/>
          <w:vertAlign w:val="baseline"/>
        </w:rPr>
        <w:t>Davies,</w:t>
      </w:r>
      <w:r>
        <w:rPr>
          <w:rFonts w:ascii="Calibri"/>
          <w:spacing w:val="28"/>
          <w:sz w:val="20"/>
          <w:vertAlign w:val="baseline"/>
        </w:rPr>
        <w:t> </w:t>
      </w:r>
      <w:r>
        <w:rPr>
          <w:rFonts w:ascii="Calibri"/>
          <w:sz w:val="20"/>
          <w:vertAlign w:val="baseline"/>
        </w:rPr>
        <w:t>L.P.</w:t>
      </w:r>
      <w:r>
        <w:rPr>
          <w:rFonts w:ascii="Calibri"/>
          <w:spacing w:val="32"/>
          <w:sz w:val="20"/>
          <w:vertAlign w:val="baseline"/>
        </w:rPr>
        <w:t> </w:t>
      </w:r>
      <w:r>
        <w:rPr>
          <w:rFonts w:ascii="Calibri"/>
          <w:sz w:val="20"/>
          <w:vertAlign w:val="baseline"/>
        </w:rPr>
        <w:t>and</w:t>
      </w:r>
      <w:r>
        <w:rPr>
          <w:rFonts w:ascii="Calibri"/>
          <w:spacing w:val="30"/>
          <w:sz w:val="20"/>
          <w:vertAlign w:val="baseline"/>
        </w:rPr>
        <w:t> </w:t>
      </w:r>
      <w:r>
        <w:rPr>
          <w:rFonts w:ascii="Calibri"/>
          <w:sz w:val="20"/>
          <w:vertAlign w:val="baseline"/>
        </w:rPr>
        <w:t>Worthington,</w:t>
      </w:r>
      <w:r>
        <w:rPr>
          <w:rFonts w:ascii="Calibri"/>
          <w:spacing w:val="28"/>
          <w:sz w:val="20"/>
          <w:vertAlign w:val="baseline"/>
        </w:rPr>
        <w:t> </w:t>
      </w:r>
      <w:r>
        <w:rPr>
          <w:rFonts w:ascii="Calibri"/>
          <w:sz w:val="20"/>
          <w:vertAlign w:val="baseline"/>
        </w:rPr>
        <w:t>S.</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49"/>
        <w:jc w:val="both"/>
      </w:pPr>
      <w:r>
        <w:rPr/>
        <w:t>of</w:t>
      </w:r>
      <w:r>
        <w:rPr>
          <w:spacing w:val="-9"/>
        </w:rPr>
        <w:t> </w:t>
      </w:r>
      <w:r>
        <w:rPr/>
        <w:t>the</w:t>
      </w:r>
      <w:r>
        <w:rPr>
          <w:spacing w:val="-3"/>
        </w:rPr>
        <w:t> </w:t>
      </w:r>
      <w:r>
        <w:rPr/>
        <w:t>opinion</w:t>
      </w:r>
      <w:r>
        <w:rPr>
          <w:spacing w:val="-6"/>
        </w:rPr>
        <w:t> </w:t>
      </w:r>
      <w:r>
        <w:rPr/>
        <w:t>that not much</w:t>
      </w:r>
      <w:r>
        <w:rPr>
          <w:spacing w:val="-2"/>
        </w:rPr>
        <w:t> </w:t>
      </w:r>
      <w:r>
        <w:rPr/>
        <w:t>has been</w:t>
      </w:r>
      <w:r>
        <w:rPr>
          <w:spacing w:val="-6"/>
        </w:rPr>
        <w:t> </w:t>
      </w:r>
      <w:r>
        <w:rPr/>
        <w:t>changed from</w:t>
      </w:r>
      <w:r>
        <w:rPr>
          <w:spacing w:val="-6"/>
        </w:rPr>
        <w:t> </w:t>
      </w:r>
      <w:r>
        <w:rPr/>
        <w:t>the</w:t>
      </w:r>
      <w:r>
        <w:rPr>
          <w:spacing w:val="-3"/>
        </w:rPr>
        <w:t> </w:t>
      </w:r>
      <w:r>
        <w:rPr/>
        <w:t>closest common</w:t>
      </w:r>
      <w:r>
        <w:rPr>
          <w:spacing w:val="-2"/>
        </w:rPr>
        <w:t> </w:t>
      </w:r>
      <w:r>
        <w:rPr/>
        <w:t>law antecedent of the duty</w:t>
      </w:r>
      <w:r>
        <w:rPr>
          <w:spacing w:val="-1"/>
        </w:rPr>
        <w:t> </w:t>
      </w:r>
      <w:r>
        <w:rPr/>
        <w:t>and that whatever development made thereto is, at best, modest.</w:t>
      </w:r>
    </w:p>
    <w:p>
      <w:pPr>
        <w:pStyle w:val="BodyText"/>
        <w:spacing w:line="480" w:lineRule="auto"/>
        <w:ind w:right="224" w:firstLine="720"/>
        <w:jc w:val="both"/>
      </w:pPr>
      <w:r>
        <w:rPr/>
        <w:t>As famously demonstrated by the decision in </w:t>
      </w:r>
      <w:r>
        <w:rPr>
          <w:b/>
        </w:rPr>
        <w:t>Re Smith &amp; Fawcett</w:t>
      </w:r>
      <w:r>
        <w:rPr>
          <w:vertAlign w:val="superscript"/>
        </w:rPr>
        <w:t>54</w:t>
      </w:r>
      <w:r>
        <w:rPr>
          <w:vertAlign w:val="baseline"/>
        </w:rPr>
        <w:t> directors were</w:t>
      </w:r>
      <w:r>
        <w:rPr>
          <w:spacing w:val="-7"/>
          <w:vertAlign w:val="baseline"/>
        </w:rPr>
        <w:t> </w:t>
      </w:r>
      <w:r>
        <w:rPr>
          <w:vertAlign w:val="baseline"/>
        </w:rPr>
        <w:t>formerly</w:t>
      </w:r>
      <w:r>
        <w:rPr>
          <w:spacing w:val="-14"/>
          <w:vertAlign w:val="baseline"/>
        </w:rPr>
        <w:t> </w:t>
      </w:r>
      <w:r>
        <w:rPr>
          <w:vertAlign w:val="baseline"/>
        </w:rPr>
        <w:t>required</w:t>
      </w:r>
      <w:r>
        <w:rPr>
          <w:spacing w:val="-10"/>
          <w:vertAlign w:val="baseline"/>
        </w:rPr>
        <w:t> </w:t>
      </w:r>
      <w:r>
        <w:rPr>
          <w:vertAlign w:val="baseline"/>
        </w:rPr>
        <w:t>to</w:t>
      </w:r>
      <w:r>
        <w:rPr>
          <w:spacing w:val="-7"/>
          <w:vertAlign w:val="baseline"/>
        </w:rPr>
        <w:t> </w:t>
      </w:r>
      <w:r>
        <w:rPr>
          <w:vertAlign w:val="baseline"/>
        </w:rPr>
        <w:t>act</w:t>
      </w:r>
      <w:r>
        <w:rPr>
          <w:spacing w:val="-6"/>
          <w:vertAlign w:val="baseline"/>
        </w:rPr>
        <w:t> </w:t>
      </w:r>
      <w:r>
        <w:rPr>
          <w:vertAlign w:val="baseline"/>
        </w:rPr>
        <w:t>―bona</w:t>
      </w:r>
      <w:r>
        <w:rPr>
          <w:spacing w:val="-7"/>
          <w:vertAlign w:val="baseline"/>
        </w:rPr>
        <w:t> </w:t>
      </w:r>
      <w:r>
        <w:rPr>
          <w:vertAlign w:val="baseline"/>
        </w:rPr>
        <w:t>fide</w:t>
      </w:r>
      <w:r>
        <w:rPr>
          <w:spacing w:val="-7"/>
          <w:vertAlign w:val="baseline"/>
        </w:rPr>
        <w:t> </w:t>
      </w:r>
      <w:r>
        <w:rPr>
          <w:vertAlign w:val="baseline"/>
        </w:rPr>
        <w:t>in</w:t>
      </w:r>
      <w:r>
        <w:rPr>
          <w:spacing w:val="-10"/>
          <w:vertAlign w:val="baseline"/>
        </w:rPr>
        <w:t> </w:t>
      </w:r>
      <w:r>
        <w:rPr>
          <w:vertAlign w:val="baseline"/>
        </w:rPr>
        <w:t>what</w:t>
      </w:r>
      <w:r>
        <w:rPr>
          <w:spacing w:val="-6"/>
          <w:vertAlign w:val="baseline"/>
        </w:rPr>
        <w:t> </w:t>
      </w:r>
      <w:r>
        <w:rPr>
          <w:vertAlign w:val="baseline"/>
        </w:rPr>
        <w:t>they</w:t>
      </w:r>
      <w:r>
        <w:rPr>
          <w:spacing w:val="-10"/>
          <w:vertAlign w:val="baseline"/>
        </w:rPr>
        <w:t> </w:t>
      </w:r>
      <w:r>
        <w:rPr>
          <w:vertAlign w:val="baseline"/>
        </w:rPr>
        <w:t>consider—not</w:t>
      </w:r>
      <w:r>
        <w:rPr>
          <w:spacing w:val="-6"/>
          <w:vertAlign w:val="baseline"/>
        </w:rPr>
        <w:t> </w:t>
      </w:r>
      <w:r>
        <w:rPr>
          <w:vertAlign w:val="baseline"/>
        </w:rPr>
        <w:t>what</w:t>
      </w:r>
      <w:r>
        <w:rPr>
          <w:spacing w:val="-10"/>
          <w:vertAlign w:val="baseline"/>
        </w:rPr>
        <w:t> </w:t>
      </w:r>
      <w:r>
        <w:rPr>
          <w:vertAlign w:val="baseline"/>
        </w:rPr>
        <w:t>the</w:t>
      </w:r>
      <w:r>
        <w:rPr>
          <w:spacing w:val="-11"/>
          <w:vertAlign w:val="baseline"/>
        </w:rPr>
        <w:t> </w:t>
      </w:r>
      <w:r>
        <w:rPr>
          <w:vertAlign w:val="baseline"/>
        </w:rPr>
        <w:t>court</w:t>
      </w:r>
      <w:r>
        <w:rPr>
          <w:spacing w:val="-6"/>
          <w:vertAlign w:val="baseline"/>
        </w:rPr>
        <w:t> </w:t>
      </w:r>
      <w:r>
        <w:rPr>
          <w:vertAlign w:val="baseline"/>
        </w:rPr>
        <w:t>may consider—is in the interests of the company‖,</w:t>
      </w:r>
      <w:r>
        <w:rPr>
          <w:vertAlign w:val="superscript"/>
        </w:rPr>
        <w:t>55</w:t>
      </w:r>
      <w:r>
        <w:rPr>
          <w:vertAlign w:val="baseline"/>
        </w:rPr>
        <w:t> so that the issue of reasonableness</w:t>
      </w:r>
      <w:r>
        <w:rPr>
          <w:spacing w:val="40"/>
          <w:vertAlign w:val="baseline"/>
        </w:rPr>
        <w:t> </w:t>
      </w:r>
      <w:r>
        <w:rPr>
          <w:vertAlign w:val="baseline"/>
        </w:rPr>
        <w:t>would never arise.</w:t>
      </w:r>
      <w:r>
        <w:rPr>
          <w:vertAlign w:val="superscript"/>
        </w:rPr>
        <w:t>56</w:t>
      </w:r>
      <w:r>
        <w:rPr>
          <w:vertAlign w:val="baseline"/>
        </w:rPr>
        <w:t> Provided directors believed in good faith to be doing what they thought to be best for the company, their actions were safe from</w:t>
      </w:r>
      <w:r>
        <w:rPr>
          <w:spacing w:val="-1"/>
          <w:vertAlign w:val="baseline"/>
        </w:rPr>
        <w:t> </w:t>
      </w:r>
      <w:r>
        <w:rPr>
          <w:vertAlign w:val="baseline"/>
        </w:rPr>
        <w:t>court scrutiny. In fact, the courts took the subjectivity yardstick to such levels that not only did they decline to impose their own views as to whether the decisions made by the director were in the</w:t>
      </w:r>
      <w:r>
        <w:rPr>
          <w:spacing w:val="40"/>
          <w:vertAlign w:val="baseline"/>
        </w:rPr>
        <w:t> </w:t>
      </w:r>
      <w:r>
        <w:rPr>
          <w:vertAlign w:val="baseline"/>
        </w:rPr>
        <w:t>best interests of the company,</w:t>
      </w:r>
      <w:r>
        <w:rPr>
          <w:vertAlign w:val="superscript"/>
        </w:rPr>
        <w:t>57</w:t>
      </w:r>
      <w:r>
        <w:rPr>
          <w:vertAlign w:val="baseline"/>
        </w:rPr>
        <w:t> but also refused to hold a director liable simply based</w:t>
      </w:r>
      <w:r>
        <w:rPr>
          <w:spacing w:val="80"/>
          <w:vertAlign w:val="baseline"/>
        </w:rPr>
        <w:t> </w:t>
      </w:r>
      <w:r>
        <w:rPr>
          <w:vertAlign w:val="baseline"/>
        </w:rPr>
        <w:t>on the fact that a particular decision he took happened to result in injury to the company.</w:t>
      </w:r>
      <w:r>
        <w:rPr>
          <w:vertAlign w:val="superscript"/>
        </w:rPr>
        <w:t>58</w:t>
      </w:r>
      <w:r>
        <w:rPr>
          <w:vertAlign w:val="baseline"/>
        </w:rPr>
        <w:t> However, in</w:t>
      </w:r>
      <w:r>
        <w:rPr>
          <w:spacing w:val="-5"/>
          <w:vertAlign w:val="baseline"/>
        </w:rPr>
        <w:t> </w:t>
      </w:r>
      <w:r>
        <w:rPr>
          <w:vertAlign w:val="baseline"/>
        </w:rPr>
        <w:t>all instances, the</w:t>
      </w:r>
      <w:r>
        <w:rPr>
          <w:spacing w:val="-1"/>
          <w:vertAlign w:val="baseline"/>
        </w:rPr>
        <w:t> </w:t>
      </w:r>
      <w:r>
        <w:rPr>
          <w:vertAlign w:val="baseline"/>
        </w:rPr>
        <w:t>proper purpose</w:t>
      </w:r>
      <w:r>
        <w:rPr>
          <w:spacing w:val="-1"/>
          <w:vertAlign w:val="baseline"/>
        </w:rPr>
        <w:t> </w:t>
      </w:r>
      <w:r>
        <w:rPr>
          <w:vertAlign w:val="baseline"/>
        </w:rPr>
        <w:t>doctrine took precedence over the bona fide rule. Thus, directors would only be exonerated where they had exercised their powers for the proper purpose, in the first place. Here, the dictum of Parker J. is particularly apposite:</w:t>
      </w:r>
    </w:p>
    <w:p>
      <w:pPr>
        <w:spacing w:line="240" w:lineRule="auto" w:before="3"/>
        <w:ind w:left="2007" w:right="1887" w:firstLine="0"/>
        <w:jc w:val="both"/>
        <w:rPr>
          <w:i/>
          <w:sz w:val="24"/>
        </w:rPr>
      </w:pPr>
      <w:r>
        <w:rPr>
          <w:i/>
          <w:sz w:val="24"/>
        </w:rPr>
        <w:t>The duty imposed on directors to act bona fide in the interests of the company is a subjective one… The question is not whether viewed objectively by the court, the particular act or omission which is challenged was in fact in the interests of the company; still less is the question whether the court, had</w:t>
      </w:r>
      <w:r>
        <w:rPr>
          <w:i/>
          <w:spacing w:val="58"/>
          <w:sz w:val="24"/>
        </w:rPr>
        <w:t> </w:t>
      </w:r>
      <w:r>
        <w:rPr>
          <w:i/>
          <w:sz w:val="24"/>
        </w:rPr>
        <w:t>it</w:t>
      </w:r>
      <w:r>
        <w:rPr>
          <w:i/>
          <w:spacing w:val="60"/>
          <w:sz w:val="24"/>
        </w:rPr>
        <w:t> </w:t>
      </w:r>
      <w:r>
        <w:rPr>
          <w:i/>
          <w:sz w:val="24"/>
        </w:rPr>
        <w:t>been</w:t>
      </w:r>
      <w:r>
        <w:rPr>
          <w:i/>
          <w:spacing w:val="58"/>
          <w:sz w:val="24"/>
        </w:rPr>
        <w:t> </w:t>
      </w:r>
      <w:r>
        <w:rPr>
          <w:i/>
          <w:sz w:val="24"/>
        </w:rPr>
        <w:t>in</w:t>
      </w:r>
      <w:r>
        <w:rPr>
          <w:i/>
          <w:spacing w:val="60"/>
          <w:sz w:val="24"/>
        </w:rPr>
        <w:t> </w:t>
      </w:r>
      <w:r>
        <w:rPr>
          <w:i/>
          <w:sz w:val="24"/>
        </w:rPr>
        <w:t>the</w:t>
      </w:r>
      <w:r>
        <w:rPr>
          <w:i/>
          <w:spacing w:val="63"/>
          <w:sz w:val="24"/>
        </w:rPr>
        <w:t> </w:t>
      </w:r>
      <w:r>
        <w:rPr>
          <w:i/>
          <w:sz w:val="24"/>
        </w:rPr>
        <w:t>position</w:t>
      </w:r>
      <w:r>
        <w:rPr>
          <w:i/>
          <w:spacing w:val="59"/>
          <w:sz w:val="24"/>
        </w:rPr>
        <w:t> </w:t>
      </w:r>
      <w:r>
        <w:rPr>
          <w:i/>
          <w:sz w:val="24"/>
        </w:rPr>
        <w:t>of</w:t>
      </w:r>
      <w:r>
        <w:rPr>
          <w:i/>
          <w:spacing w:val="64"/>
          <w:sz w:val="24"/>
        </w:rPr>
        <w:t> </w:t>
      </w:r>
      <w:r>
        <w:rPr>
          <w:i/>
          <w:sz w:val="24"/>
        </w:rPr>
        <w:t>the</w:t>
      </w:r>
      <w:r>
        <w:rPr>
          <w:i/>
          <w:spacing w:val="58"/>
          <w:sz w:val="24"/>
        </w:rPr>
        <w:t> </w:t>
      </w:r>
      <w:r>
        <w:rPr>
          <w:i/>
          <w:sz w:val="24"/>
        </w:rPr>
        <w:t>director</w:t>
      </w:r>
      <w:r>
        <w:rPr>
          <w:i/>
          <w:spacing w:val="57"/>
          <w:sz w:val="24"/>
        </w:rPr>
        <w:t> </w:t>
      </w:r>
      <w:r>
        <w:rPr>
          <w:i/>
          <w:sz w:val="24"/>
        </w:rPr>
        <w:t>at</w:t>
      </w:r>
      <w:r>
        <w:rPr>
          <w:i/>
          <w:spacing w:val="65"/>
          <w:sz w:val="24"/>
        </w:rPr>
        <w:t> </w:t>
      </w:r>
      <w:r>
        <w:rPr>
          <w:i/>
          <w:spacing w:val="-5"/>
          <w:sz w:val="24"/>
        </w:rPr>
        <w:t>the</w:t>
      </w:r>
    </w:p>
    <w:p>
      <w:pPr>
        <w:pStyle w:val="BodyText"/>
        <w:spacing w:before="6"/>
        <w:ind w:left="0"/>
        <w:rPr>
          <w:i/>
          <w:sz w:val="20"/>
        </w:rPr>
      </w:pPr>
      <w:r>
        <w:rPr/>
        <mc:AlternateContent>
          <mc:Choice Requires="wps">
            <w:drawing>
              <wp:anchor distT="0" distB="0" distL="0" distR="0" allowOverlap="1" layoutInCell="1" locked="0" behindDoc="1" simplePos="0" relativeHeight="487677440">
                <wp:simplePos x="0" y="0"/>
                <wp:positionH relativeFrom="page">
                  <wp:posOffset>1262481</wp:posOffset>
                </wp:positionH>
                <wp:positionV relativeFrom="paragraph">
                  <wp:posOffset>165651</wp:posOffset>
                </wp:positionV>
                <wp:extent cx="5400040" cy="9525"/>
                <wp:effectExtent l="0" t="0" r="0" b="0"/>
                <wp:wrapTopAndBottom/>
                <wp:docPr id="198" name="Graphic 198"/>
                <wp:cNvGraphicFramePr>
                  <a:graphicFrameLocks/>
                </wp:cNvGraphicFramePr>
                <a:graphic>
                  <a:graphicData uri="http://schemas.microsoft.com/office/word/2010/wordprocessingShape">
                    <wps:wsp>
                      <wps:cNvPr id="198" name="Graphic 198"/>
                      <wps:cNvSpPr/>
                      <wps:spPr>
                        <a:xfrm>
                          <a:off x="0" y="0"/>
                          <a:ext cx="5400040" cy="9525"/>
                        </a:xfrm>
                        <a:custGeom>
                          <a:avLst/>
                          <a:gdLst/>
                          <a:ahLst/>
                          <a:cxnLst/>
                          <a:rect l="l" t="t" r="r" b="b"/>
                          <a:pathLst>
                            <a:path w="5400040" h="9525">
                              <a:moveTo>
                                <a:pt x="5399785" y="0"/>
                              </a:moveTo>
                              <a:lnTo>
                                <a:pt x="0" y="0"/>
                              </a:lnTo>
                              <a:lnTo>
                                <a:pt x="0" y="9143"/>
                              </a:lnTo>
                              <a:lnTo>
                                <a:pt x="5399785" y="9143"/>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3.043389pt;width:425.18pt;height:.71997pt;mso-position-horizontal-relative:page;mso-position-vertical-relative:paragraph;z-index:-15639040;mso-wrap-distance-left:0;mso-wrap-distance-right:0" id="docshape153"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rPr>
        <w:t>(2012).Op.cit.</w:t>
      </w:r>
      <w:r>
        <w:rPr>
          <w:rFonts w:ascii="Calibri"/>
          <w:spacing w:val="11"/>
          <w:sz w:val="20"/>
        </w:rPr>
        <w:t> </w:t>
      </w:r>
      <w:r>
        <w:rPr>
          <w:rFonts w:ascii="Calibri"/>
          <w:sz w:val="20"/>
        </w:rPr>
        <w:t>at</w:t>
      </w:r>
      <w:r>
        <w:rPr>
          <w:rFonts w:ascii="Calibri"/>
          <w:spacing w:val="13"/>
          <w:sz w:val="20"/>
        </w:rPr>
        <w:t> </w:t>
      </w:r>
      <w:r>
        <w:rPr>
          <w:rFonts w:ascii="Calibri"/>
          <w:sz w:val="20"/>
        </w:rPr>
        <w:t>p.</w:t>
      </w:r>
      <w:r>
        <w:rPr>
          <w:rFonts w:ascii="Calibri"/>
          <w:spacing w:val="14"/>
          <w:sz w:val="20"/>
        </w:rPr>
        <w:t> </w:t>
      </w:r>
      <w:r>
        <w:rPr>
          <w:rFonts w:ascii="Calibri"/>
          <w:sz w:val="20"/>
        </w:rPr>
        <w:t>543;</w:t>
      </w:r>
      <w:r>
        <w:rPr>
          <w:rFonts w:ascii="Calibri"/>
          <w:spacing w:val="10"/>
          <w:sz w:val="20"/>
        </w:rPr>
        <w:t> </w:t>
      </w:r>
      <w:r>
        <w:rPr>
          <w:rFonts w:ascii="Calibri"/>
          <w:sz w:val="20"/>
        </w:rPr>
        <w:t>Tate,</w:t>
      </w:r>
      <w:r>
        <w:rPr>
          <w:rFonts w:ascii="Calibri"/>
          <w:spacing w:val="11"/>
          <w:sz w:val="20"/>
        </w:rPr>
        <w:t> </w:t>
      </w:r>
      <w:r>
        <w:rPr>
          <w:rFonts w:ascii="Calibri"/>
          <w:sz w:val="20"/>
        </w:rPr>
        <w:t>C.R.</w:t>
      </w:r>
      <w:r>
        <w:rPr>
          <w:rFonts w:ascii="Calibri"/>
          <w:spacing w:val="10"/>
          <w:sz w:val="20"/>
        </w:rPr>
        <w:t> </w:t>
      </w:r>
      <w:r>
        <w:rPr>
          <w:rFonts w:ascii="Calibri"/>
          <w:i/>
          <w:sz w:val="20"/>
        </w:rPr>
        <w:t>op.cit.</w:t>
      </w:r>
      <w:r>
        <w:rPr>
          <w:rFonts w:ascii="Calibri"/>
          <w:sz w:val="20"/>
        </w:rPr>
        <w:t>at</w:t>
      </w:r>
      <w:r>
        <w:rPr>
          <w:rFonts w:ascii="Calibri"/>
          <w:spacing w:val="12"/>
          <w:sz w:val="20"/>
        </w:rPr>
        <w:t> </w:t>
      </w:r>
      <w:r>
        <w:rPr>
          <w:rFonts w:ascii="Calibri"/>
          <w:sz w:val="20"/>
        </w:rPr>
        <w:t>pp.</w:t>
      </w:r>
      <w:r>
        <w:rPr>
          <w:rFonts w:ascii="Calibri"/>
          <w:spacing w:val="13"/>
          <w:sz w:val="20"/>
        </w:rPr>
        <w:t> </w:t>
      </w:r>
      <w:r>
        <w:rPr>
          <w:rFonts w:ascii="Calibri"/>
          <w:sz w:val="20"/>
        </w:rPr>
        <w:t>2,</w:t>
      </w:r>
      <w:r>
        <w:rPr>
          <w:rFonts w:ascii="Calibri"/>
          <w:spacing w:val="10"/>
          <w:sz w:val="20"/>
        </w:rPr>
        <w:t> </w:t>
      </w:r>
      <w:r>
        <w:rPr>
          <w:rFonts w:ascii="Calibri"/>
          <w:sz w:val="20"/>
        </w:rPr>
        <w:t>3</w:t>
      </w:r>
      <w:r>
        <w:rPr>
          <w:rFonts w:ascii="Calibri"/>
          <w:spacing w:val="10"/>
          <w:sz w:val="20"/>
        </w:rPr>
        <w:t> </w:t>
      </w:r>
      <w:r>
        <w:rPr>
          <w:rFonts w:ascii="Calibri"/>
          <w:sz w:val="20"/>
        </w:rPr>
        <w:t>and</w:t>
      </w:r>
      <w:r>
        <w:rPr>
          <w:rFonts w:ascii="Calibri"/>
          <w:spacing w:val="12"/>
          <w:sz w:val="20"/>
        </w:rPr>
        <w:t> </w:t>
      </w:r>
      <w:r>
        <w:rPr>
          <w:rFonts w:ascii="Calibri"/>
          <w:sz w:val="20"/>
        </w:rPr>
        <w:t>8;</w:t>
      </w:r>
      <w:r>
        <w:rPr>
          <w:rFonts w:ascii="Calibri"/>
          <w:spacing w:val="10"/>
          <w:sz w:val="20"/>
        </w:rPr>
        <w:t> </w:t>
      </w:r>
      <w:r>
        <w:rPr>
          <w:rFonts w:ascii="Calibri"/>
          <w:sz w:val="20"/>
        </w:rPr>
        <w:t>Keay,</w:t>
      </w:r>
      <w:r>
        <w:rPr>
          <w:rFonts w:ascii="Calibri"/>
          <w:spacing w:val="10"/>
          <w:sz w:val="20"/>
        </w:rPr>
        <w:t> </w:t>
      </w:r>
      <w:r>
        <w:rPr>
          <w:rFonts w:ascii="Calibri"/>
          <w:sz w:val="20"/>
        </w:rPr>
        <w:t>A.</w:t>
      </w:r>
      <w:r>
        <w:rPr>
          <w:rFonts w:ascii="Calibri"/>
          <w:spacing w:val="15"/>
          <w:sz w:val="20"/>
        </w:rPr>
        <w:t> </w:t>
      </w:r>
      <w:r>
        <w:rPr>
          <w:rFonts w:ascii="Calibri"/>
          <w:sz w:val="20"/>
        </w:rPr>
        <w:t>(2007).</w:t>
      </w:r>
      <w:r>
        <w:rPr>
          <w:rFonts w:ascii="Calibri"/>
          <w:spacing w:val="13"/>
          <w:sz w:val="20"/>
        </w:rPr>
        <w:t> </w:t>
      </w:r>
      <w:r>
        <w:rPr>
          <w:rFonts w:ascii="Calibri"/>
          <w:sz w:val="20"/>
        </w:rPr>
        <w:t>Op.cit.</w:t>
      </w:r>
      <w:r>
        <w:rPr>
          <w:rFonts w:ascii="Calibri"/>
          <w:spacing w:val="16"/>
          <w:sz w:val="20"/>
        </w:rPr>
        <w:t> </w:t>
      </w:r>
      <w:r>
        <w:rPr>
          <w:rFonts w:ascii="Calibri"/>
          <w:sz w:val="20"/>
        </w:rPr>
        <w:t>at</w:t>
      </w:r>
      <w:r>
        <w:rPr>
          <w:rFonts w:ascii="Calibri"/>
          <w:spacing w:val="11"/>
          <w:sz w:val="20"/>
        </w:rPr>
        <w:t> </w:t>
      </w:r>
      <w:r>
        <w:rPr>
          <w:rFonts w:ascii="Calibri"/>
          <w:sz w:val="20"/>
        </w:rPr>
        <w:t>pp.</w:t>
      </w:r>
      <w:r>
        <w:rPr>
          <w:rFonts w:ascii="Calibri"/>
          <w:spacing w:val="14"/>
          <w:sz w:val="20"/>
        </w:rPr>
        <w:t> </w:t>
      </w:r>
      <w:r>
        <w:rPr>
          <w:rFonts w:ascii="Calibri"/>
          <w:sz w:val="20"/>
        </w:rPr>
        <w:t>604,</w:t>
      </w:r>
      <w:r>
        <w:rPr>
          <w:rFonts w:ascii="Calibri"/>
          <w:spacing w:val="10"/>
          <w:sz w:val="20"/>
        </w:rPr>
        <w:t> </w:t>
      </w:r>
      <w:r>
        <w:rPr>
          <w:rFonts w:ascii="Calibri"/>
          <w:sz w:val="20"/>
        </w:rPr>
        <w:t>610</w:t>
      </w:r>
      <w:r>
        <w:rPr>
          <w:rFonts w:ascii="Calibri"/>
          <w:spacing w:val="11"/>
          <w:sz w:val="20"/>
        </w:rPr>
        <w:t> </w:t>
      </w:r>
      <w:r>
        <w:rPr>
          <w:rFonts w:ascii="Calibri"/>
          <w:spacing w:val="-5"/>
          <w:sz w:val="20"/>
        </w:rPr>
        <w:t>and</w:t>
      </w:r>
    </w:p>
    <w:p>
      <w:pPr>
        <w:spacing w:before="1"/>
        <w:ind w:left="308" w:right="0" w:firstLine="0"/>
        <w:jc w:val="left"/>
        <w:rPr>
          <w:rFonts w:ascii="Calibri"/>
          <w:sz w:val="20"/>
        </w:rPr>
      </w:pPr>
      <w:r>
        <w:rPr>
          <w:rFonts w:ascii="Calibri"/>
          <w:spacing w:val="-4"/>
          <w:sz w:val="20"/>
        </w:rPr>
        <w:t>611.</w:t>
      </w:r>
    </w:p>
    <w:p>
      <w:pPr>
        <w:spacing w:before="1"/>
        <w:ind w:left="308" w:right="0" w:firstLine="0"/>
        <w:jc w:val="left"/>
        <w:rPr>
          <w:rFonts w:ascii="Calibri"/>
          <w:sz w:val="20"/>
        </w:rPr>
      </w:pPr>
      <w:r>
        <w:rPr>
          <w:rFonts w:ascii="Calibri"/>
          <w:spacing w:val="-2"/>
          <w:sz w:val="20"/>
          <w:vertAlign w:val="superscript"/>
        </w:rPr>
        <w:t>54</w:t>
      </w:r>
      <w:r>
        <w:rPr>
          <w:rFonts w:ascii="Calibri"/>
          <w:spacing w:val="-2"/>
          <w:sz w:val="20"/>
          <w:vertAlign w:val="baseline"/>
        </w:rPr>
        <w:t>Supra.</w:t>
      </w:r>
    </w:p>
    <w:p>
      <w:pPr>
        <w:spacing w:before="0"/>
        <w:ind w:left="308" w:right="224" w:firstLine="0"/>
        <w:jc w:val="both"/>
        <w:rPr>
          <w:rFonts w:ascii="Calibri"/>
          <w:sz w:val="20"/>
        </w:rPr>
      </w:pPr>
      <w:r>
        <w:rPr>
          <w:rFonts w:ascii="Calibri"/>
          <w:sz w:val="20"/>
          <w:vertAlign w:val="superscript"/>
        </w:rPr>
        <w:t>55</w:t>
      </w:r>
      <w:r>
        <w:rPr>
          <w:rFonts w:ascii="Calibri"/>
          <w:sz w:val="20"/>
          <w:vertAlign w:val="baseline"/>
        </w:rPr>
        <w:t>Per Lord Greene M.R. in </w:t>
      </w:r>
      <w:r>
        <w:rPr>
          <w:rFonts w:ascii="Calibri"/>
          <w:i/>
          <w:sz w:val="20"/>
          <w:vertAlign w:val="baseline"/>
        </w:rPr>
        <w:t>Re Smith &amp; Fawcett Ltd. </w:t>
      </w:r>
      <w:r>
        <w:rPr>
          <w:rFonts w:ascii="Calibri"/>
          <w:sz w:val="20"/>
          <w:vertAlign w:val="baseline"/>
        </w:rPr>
        <w:t>(1942) Ch. 304 at 306. See also the relatively more recent cases of </w:t>
      </w:r>
      <w:r>
        <w:rPr>
          <w:rFonts w:ascii="Calibri"/>
          <w:i/>
          <w:sz w:val="20"/>
          <w:vertAlign w:val="baseline"/>
        </w:rPr>
        <w:t>Clemens vs. Clemens Bros Ltd. </w:t>
      </w:r>
      <w:r>
        <w:rPr>
          <w:rFonts w:ascii="Calibri"/>
          <w:sz w:val="20"/>
          <w:vertAlign w:val="baseline"/>
        </w:rPr>
        <w:t>(1976) 2 All ER 268, at 268-280; </w:t>
      </w:r>
      <w:r>
        <w:rPr>
          <w:rFonts w:ascii="Calibri"/>
          <w:i/>
          <w:sz w:val="20"/>
          <w:vertAlign w:val="baseline"/>
        </w:rPr>
        <w:t>RegentcrestPlc (in liquidation)</w:t>
      </w:r>
      <w:r>
        <w:rPr>
          <w:rFonts w:ascii="Calibri"/>
          <w:i/>
          <w:spacing w:val="22"/>
          <w:sz w:val="20"/>
          <w:vertAlign w:val="baseline"/>
        </w:rPr>
        <w:t> </w:t>
      </w:r>
      <w:r>
        <w:rPr>
          <w:rFonts w:ascii="Calibri"/>
          <w:i/>
          <w:sz w:val="20"/>
          <w:vertAlign w:val="baseline"/>
        </w:rPr>
        <w:t>vs.</w:t>
      </w:r>
      <w:r>
        <w:rPr>
          <w:rFonts w:ascii="Calibri"/>
          <w:i/>
          <w:spacing w:val="23"/>
          <w:sz w:val="20"/>
          <w:vertAlign w:val="baseline"/>
        </w:rPr>
        <w:t> </w:t>
      </w:r>
      <w:r>
        <w:rPr>
          <w:rFonts w:ascii="Calibri"/>
          <w:i/>
          <w:sz w:val="20"/>
          <w:vertAlign w:val="baseline"/>
        </w:rPr>
        <w:t>Cohen</w:t>
      </w:r>
      <w:r>
        <w:rPr>
          <w:rFonts w:ascii="Calibri"/>
          <w:i/>
          <w:spacing w:val="24"/>
          <w:sz w:val="20"/>
          <w:vertAlign w:val="baseline"/>
        </w:rPr>
        <w:t> </w:t>
      </w:r>
      <w:r>
        <w:rPr>
          <w:rFonts w:ascii="Calibri"/>
          <w:sz w:val="20"/>
          <w:vertAlign w:val="baseline"/>
        </w:rPr>
        <w:t>(2001)</w:t>
      </w:r>
      <w:r>
        <w:rPr>
          <w:rFonts w:ascii="Calibri"/>
          <w:spacing w:val="22"/>
          <w:sz w:val="20"/>
          <w:vertAlign w:val="baseline"/>
        </w:rPr>
        <w:t> </w:t>
      </w:r>
      <w:r>
        <w:rPr>
          <w:rFonts w:ascii="Calibri"/>
          <w:sz w:val="20"/>
          <w:vertAlign w:val="baseline"/>
        </w:rPr>
        <w:t>2</w:t>
      </w:r>
      <w:r>
        <w:rPr>
          <w:rFonts w:ascii="Calibri"/>
          <w:spacing w:val="20"/>
          <w:sz w:val="20"/>
          <w:vertAlign w:val="baseline"/>
        </w:rPr>
        <w:t> </w:t>
      </w:r>
      <w:r>
        <w:rPr>
          <w:rFonts w:ascii="Calibri"/>
          <w:sz w:val="20"/>
          <w:vertAlign w:val="baseline"/>
        </w:rPr>
        <w:t>BCLC</w:t>
      </w:r>
      <w:r>
        <w:rPr>
          <w:rFonts w:ascii="Calibri"/>
          <w:spacing w:val="19"/>
          <w:sz w:val="20"/>
          <w:vertAlign w:val="baseline"/>
        </w:rPr>
        <w:t> </w:t>
      </w:r>
      <w:r>
        <w:rPr>
          <w:rFonts w:ascii="Calibri"/>
          <w:sz w:val="20"/>
          <w:vertAlign w:val="baseline"/>
        </w:rPr>
        <w:t>80</w:t>
      </w:r>
      <w:r>
        <w:rPr>
          <w:rFonts w:ascii="Calibri"/>
          <w:spacing w:val="20"/>
          <w:sz w:val="20"/>
          <w:vertAlign w:val="baseline"/>
        </w:rPr>
        <w:t> </w:t>
      </w:r>
      <w:r>
        <w:rPr>
          <w:rFonts w:ascii="Calibri"/>
          <w:sz w:val="20"/>
          <w:vertAlign w:val="baseline"/>
        </w:rPr>
        <w:t>and</w:t>
      </w:r>
      <w:r>
        <w:rPr>
          <w:rFonts w:ascii="Calibri"/>
          <w:spacing w:val="23"/>
          <w:sz w:val="20"/>
          <w:vertAlign w:val="baseline"/>
        </w:rPr>
        <w:t> </w:t>
      </w:r>
      <w:r>
        <w:rPr>
          <w:rFonts w:ascii="Calibri"/>
          <w:i/>
          <w:sz w:val="20"/>
          <w:vertAlign w:val="baseline"/>
        </w:rPr>
        <w:t>Extrasure</w:t>
      </w:r>
      <w:r>
        <w:rPr>
          <w:rFonts w:ascii="Calibri"/>
          <w:i/>
          <w:spacing w:val="21"/>
          <w:sz w:val="20"/>
          <w:vertAlign w:val="baseline"/>
        </w:rPr>
        <w:t> </w:t>
      </w:r>
      <w:r>
        <w:rPr>
          <w:rFonts w:ascii="Calibri"/>
          <w:i/>
          <w:sz w:val="20"/>
          <w:vertAlign w:val="baseline"/>
        </w:rPr>
        <w:t>Travel</w:t>
      </w:r>
      <w:r>
        <w:rPr>
          <w:rFonts w:ascii="Calibri"/>
          <w:i/>
          <w:spacing w:val="22"/>
          <w:sz w:val="20"/>
          <w:vertAlign w:val="baseline"/>
        </w:rPr>
        <w:t> </w:t>
      </w:r>
      <w:r>
        <w:rPr>
          <w:rFonts w:ascii="Calibri"/>
          <w:i/>
          <w:sz w:val="20"/>
          <w:vertAlign w:val="baseline"/>
        </w:rPr>
        <w:t>Insurances</w:t>
      </w:r>
      <w:r>
        <w:rPr>
          <w:rFonts w:ascii="Calibri"/>
          <w:i/>
          <w:spacing w:val="19"/>
          <w:sz w:val="20"/>
          <w:vertAlign w:val="baseline"/>
        </w:rPr>
        <w:t> </w:t>
      </w:r>
      <w:r>
        <w:rPr>
          <w:rFonts w:ascii="Calibri"/>
          <w:i/>
          <w:sz w:val="20"/>
          <w:vertAlign w:val="baseline"/>
        </w:rPr>
        <w:t>Ltd.</w:t>
      </w:r>
      <w:r>
        <w:rPr>
          <w:rFonts w:ascii="Calibri"/>
          <w:i/>
          <w:spacing w:val="23"/>
          <w:sz w:val="20"/>
          <w:vertAlign w:val="baseline"/>
        </w:rPr>
        <w:t> </w:t>
      </w:r>
      <w:r>
        <w:rPr>
          <w:rFonts w:ascii="Calibri"/>
          <w:i/>
          <w:sz w:val="20"/>
          <w:vertAlign w:val="baseline"/>
        </w:rPr>
        <w:t>vs.</w:t>
      </w:r>
      <w:r>
        <w:rPr>
          <w:rFonts w:ascii="Calibri"/>
          <w:i/>
          <w:spacing w:val="23"/>
          <w:sz w:val="20"/>
          <w:vertAlign w:val="baseline"/>
        </w:rPr>
        <w:t> </w:t>
      </w:r>
      <w:r>
        <w:rPr>
          <w:rFonts w:ascii="Calibri"/>
          <w:i/>
          <w:sz w:val="20"/>
          <w:vertAlign w:val="baseline"/>
        </w:rPr>
        <w:t>Scattergood</w:t>
      </w:r>
      <w:r>
        <w:rPr>
          <w:rFonts w:ascii="Calibri"/>
          <w:i/>
          <w:spacing w:val="24"/>
          <w:sz w:val="20"/>
          <w:vertAlign w:val="baseline"/>
        </w:rPr>
        <w:t> </w:t>
      </w:r>
      <w:r>
        <w:rPr>
          <w:rFonts w:ascii="Calibri"/>
          <w:sz w:val="20"/>
          <w:vertAlign w:val="baseline"/>
        </w:rPr>
        <w:t>(2003)</w:t>
      </w:r>
      <w:r>
        <w:rPr>
          <w:rFonts w:ascii="Calibri"/>
          <w:spacing w:val="22"/>
          <w:sz w:val="20"/>
          <w:vertAlign w:val="baseline"/>
        </w:rPr>
        <w:t> </w:t>
      </w:r>
      <w:r>
        <w:rPr>
          <w:rFonts w:ascii="Calibri"/>
          <w:sz w:val="20"/>
          <w:vertAlign w:val="baseline"/>
        </w:rPr>
        <w:t>1</w:t>
      </w:r>
    </w:p>
    <w:p>
      <w:pPr>
        <w:spacing w:line="242" w:lineRule="exact" w:before="2"/>
        <w:ind w:left="308" w:right="0" w:firstLine="0"/>
        <w:jc w:val="both"/>
        <w:rPr>
          <w:rFonts w:ascii="Calibri"/>
          <w:sz w:val="20"/>
        </w:rPr>
      </w:pPr>
      <w:r>
        <w:rPr>
          <w:rFonts w:ascii="Calibri"/>
          <w:sz w:val="20"/>
        </w:rPr>
        <w:t>BCLC</w:t>
      </w:r>
      <w:r>
        <w:rPr>
          <w:rFonts w:ascii="Calibri"/>
          <w:spacing w:val="-5"/>
          <w:sz w:val="20"/>
        </w:rPr>
        <w:t> </w:t>
      </w:r>
      <w:r>
        <w:rPr>
          <w:rFonts w:ascii="Calibri"/>
          <w:sz w:val="20"/>
        </w:rPr>
        <w:t>598,</w:t>
      </w:r>
      <w:r>
        <w:rPr>
          <w:rFonts w:ascii="Calibri"/>
          <w:spacing w:val="-2"/>
          <w:sz w:val="20"/>
        </w:rPr>
        <w:t> </w:t>
      </w:r>
      <w:r>
        <w:rPr>
          <w:rFonts w:ascii="Calibri"/>
          <w:sz w:val="20"/>
        </w:rPr>
        <w:t>at</w:t>
      </w:r>
      <w:r>
        <w:rPr>
          <w:rFonts w:ascii="Calibri"/>
          <w:spacing w:val="-1"/>
          <w:sz w:val="20"/>
        </w:rPr>
        <w:t> </w:t>
      </w:r>
      <w:r>
        <w:rPr>
          <w:rFonts w:ascii="Calibri"/>
          <w:spacing w:val="-5"/>
          <w:sz w:val="20"/>
        </w:rPr>
        <w:t>90.</w:t>
      </w:r>
    </w:p>
    <w:p>
      <w:pPr>
        <w:spacing w:line="240" w:lineRule="auto" w:before="0"/>
        <w:ind w:left="308" w:right="227" w:firstLine="0"/>
        <w:jc w:val="both"/>
        <w:rPr>
          <w:rFonts w:ascii="Calibri"/>
          <w:sz w:val="20"/>
        </w:rPr>
      </w:pPr>
      <w:r>
        <w:rPr>
          <w:rFonts w:ascii="Calibri"/>
          <w:sz w:val="20"/>
          <w:vertAlign w:val="superscript"/>
        </w:rPr>
        <w:t>56</w:t>
      </w:r>
      <w:r>
        <w:rPr>
          <w:rFonts w:ascii="Calibri"/>
          <w:sz w:val="20"/>
          <w:vertAlign w:val="baseline"/>
        </w:rPr>
        <w:t> However, cf. the decision of Arden, L.J. in </w:t>
      </w:r>
      <w:r>
        <w:rPr>
          <w:rFonts w:ascii="Calibri"/>
          <w:i/>
          <w:sz w:val="20"/>
          <w:vertAlign w:val="baseline"/>
        </w:rPr>
        <w:t>Item Software (UK) Ltd. vs. Fassihi</w:t>
      </w:r>
      <w:r>
        <w:rPr>
          <w:rFonts w:ascii="Calibri"/>
          <w:i/>
          <w:spacing w:val="9"/>
          <w:sz w:val="20"/>
          <w:vertAlign w:val="baseline"/>
        </w:rPr>
        <w:t> </w:t>
      </w:r>
      <w:r>
        <w:rPr>
          <w:rFonts w:ascii="Calibri"/>
          <w:sz w:val="20"/>
          <w:vertAlign w:val="baseline"/>
        </w:rPr>
        <w:t>(2005) 2 B.C.L.C. 91, that</w:t>
      </w:r>
      <w:r>
        <w:rPr>
          <w:rFonts w:ascii="Calibri"/>
          <w:spacing w:val="40"/>
          <w:sz w:val="20"/>
          <w:vertAlign w:val="baseline"/>
        </w:rPr>
        <w:t> </w:t>
      </w:r>
      <w:r>
        <w:rPr>
          <w:rFonts w:ascii="Calibri"/>
          <w:sz w:val="20"/>
          <w:vertAlign w:val="baseline"/>
        </w:rPr>
        <w:t>if</w:t>
      </w:r>
      <w:r>
        <w:rPr>
          <w:rFonts w:ascii="Calibri"/>
          <w:spacing w:val="-1"/>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director embarks</w:t>
      </w:r>
      <w:r>
        <w:rPr>
          <w:rFonts w:ascii="Calibri"/>
          <w:spacing w:val="-4"/>
          <w:sz w:val="20"/>
          <w:vertAlign w:val="baseline"/>
        </w:rPr>
        <w:t> </w:t>
      </w:r>
      <w:r>
        <w:rPr>
          <w:rFonts w:ascii="Calibri"/>
          <w:sz w:val="20"/>
          <w:vertAlign w:val="baseline"/>
        </w:rPr>
        <w:t>on</w:t>
      </w:r>
      <w:r>
        <w:rPr>
          <w:rFonts w:ascii="Calibri"/>
          <w:spacing w:val="-2"/>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course</w:t>
      </w:r>
      <w:r>
        <w:rPr>
          <w:rFonts w:ascii="Calibri"/>
          <w:spacing w:val="-1"/>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action</w:t>
      </w:r>
      <w:r>
        <w:rPr>
          <w:rFonts w:ascii="Calibri"/>
          <w:spacing w:val="-2"/>
          <w:sz w:val="20"/>
          <w:vertAlign w:val="baseline"/>
        </w:rPr>
        <w:t> </w:t>
      </w:r>
      <w:r>
        <w:rPr>
          <w:rFonts w:ascii="Calibri"/>
          <w:sz w:val="20"/>
          <w:vertAlign w:val="baseline"/>
        </w:rPr>
        <w:t>without</w:t>
      </w:r>
      <w:r>
        <w:rPr>
          <w:rFonts w:ascii="Calibri"/>
          <w:spacing w:val="-2"/>
          <w:sz w:val="20"/>
          <w:vertAlign w:val="baseline"/>
        </w:rPr>
        <w:t> </w:t>
      </w:r>
      <w:r>
        <w:rPr>
          <w:rFonts w:ascii="Calibri"/>
          <w:sz w:val="20"/>
          <w:vertAlign w:val="baseline"/>
        </w:rPr>
        <w:t>considering</w:t>
      </w:r>
      <w:r>
        <w:rPr>
          <w:rFonts w:ascii="Calibri"/>
          <w:spacing w:val="-1"/>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interests</w:t>
      </w:r>
      <w:r>
        <w:rPr>
          <w:rFonts w:ascii="Calibri"/>
          <w:spacing w:val="-4"/>
          <w:sz w:val="20"/>
          <w:vertAlign w:val="baseline"/>
        </w:rPr>
        <w:t> </w:t>
      </w:r>
      <w:r>
        <w:rPr>
          <w:rFonts w:ascii="Calibri"/>
          <w:sz w:val="20"/>
          <w:vertAlign w:val="baseline"/>
        </w:rPr>
        <w:t>of</w:t>
      </w:r>
      <w:r>
        <w:rPr>
          <w:rFonts w:ascii="Calibri"/>
          <w:spacing w:val="-1"/>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company</w:t>
      </w:r>
      <w:r>
        <w:rPr>
          <w:rFonts w:ascii="Calibri"/>
          <w:spacing w:val="-2"/>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there</w:t>
      </w:r>
      <w:r>
        <w:rPr>
          <w:rFonts w:ascii="Calibri"/>
          <w:spacing w:val="-1"/>
          <w:sz w:val="20"/>
          <w:vertAlign w:val="baseline"/>
        </w:rPr>
        <w:t> </w:t>
      </w:r>
      <w:r>
        <w:rPr>
          <w:rFonts w:ascii="Calibri"/>
          <w:sz w:val="20"/>
          <w:vertAlign w:val="baseline"/>
        </w:rPr>
        <w:t>is no basis on which he or she could </w:t>
      </w:r>
      <w:r>
        <w:rPr>
          <w:rFonts w:ascii="Calibri"/>
          <w:i/>
          <w:sz w:val="20"/>
          <w:vertAlign w:val="baseline"/>
        </w:rPr>
        <w:t>reasonably </w:t>
      </w:r>
      <w:r>
        <w:rPr>
          <w:rFonts w:ascii="Calibri"/>
          <w:sz w:val="20"/>
          <w:vertAlign w:val="baseline"/>
        </w:rPr>
        <w:t>have come to the conclusion that it was in the interests of the company, the director will be in breach.</w:t>
      </w:r>
    </w:p>
    <w:p>
      <w:pPr>
        <w:spacing w:before="2"/>
        <w:ind w:left="308" w:right="224" w:firstLine="0"/>
        <w:jc w:val="both"/>
        <w:rPr>
          <w:rFonts w:ascii="Calibri"/>
          <w:sz w:val="20"/>
        </w:rPr>
      </w:pPr>
      <w:r>
        <w:rPr>
          <w:rFonts w:ascii="Calibri"/>
          <w:sz w:val="20"/>
          <w:vertAlign w:val="superscript"/>
        </w:rPr>
        <w:t>57</w:t>
      </w:r>
      <w:r>
        <w:rPr>
          <w:rFonts w:ascii="Calibri"/>
          <w:i/>
          <w:sz w:val="20"/>
          <w:vertAlign w:val="baseline"/>
        </w:rPr>
        <w:t>Re Smith &amp; Fawcett Ltd. </w:t>
      </w:r>
      <w:r>
        <w:rPr>
          <w:rFonts w:ascii="Calibri"/>
          <w:sz w:val="20"/>
          <w:vertAlign w:val="baseline"/>
        </w:rPr>
        <w:t>(1942) Ch. 304 at 306; </w:t>
      </w:r>
      <w:r>
        <w:rPr>
          <w:rFonts w:ascii="Calibri"/>
          <w:i/>
          <w:sz w:val="20"/>
          <w:vertAlign w:val="baseline"/>
        </w:rPr>
        <w:t>RegentcrestPlc (in liquidation) vs. Cohen </w:t>
      </w:r>
      <w:r>
        <w:rPr>
          <w:rFonts w:ascii="Calibri"/>
          <w:sz w:val="20"/>
          <w:vertAlign w:val="baseline"/>
        </w:rPr>
        <w:t>(2001) 2 BCLC 80 and </w:t>
      </w:r>
      <w:r>
        <w:rPr>
          <w:rFonts w:ascii="Calibri"/>
          <w:i/>
          <w:sz w:val="20"/>
          <w:vertAlign w:val="baseline"/>
        </w:rPr>
        <w:t>Extrasure Travel Insurances Ltd. vs. Scattergood </w:t>
      </w:r>
      <w:r>
        <w:rPr>
          <w:rFonts w:ascii="Calibri"/>
          <w:sz w:val="20"/>
          <w:vertAlign w:val="baseline"/>
        </w:rPr>
        <w:t>(2003) 1 BCLC 598, at 90.</w:t>
      </w:r>
    </w:p>
    <w:p>
      <w:pPr>
        <w:spacing w:before="1"/>
        <w:ind w:left="308" w:right="0" w:firstLine="0"/>
        <w:jc w:val="both"/>
        <w:rPr>
          <w:rFonts w:ascii="Calibri"/>
          <w:sz w:val="20"/>
        </w:rPr>
      </w:pPr>
      <w:r>
        <w:rPr>
          <w:rFonts w:ascii="Calibri"/>
          <w:sz w:val="20"/>
          <w:vertAlign w:val="superscript"/>
        </w:rPr>
        <w:t>58</w:t>
      </w:r>
      <w:r>
        <w:rPr>
          <w:rFonts w:ascii="Calibri"/>
          <w:i/>
          <w:sz w:val="20"/>
          <w:vertAlign w:val="baseline"/>
        </w:rPr>
        <w:t>Extrasure</w:t>
      </w:r>
      <w:r>
        <w:rPr>
          <w:rFonts w:ascii="Calibri"/>
          <w:i/>
          <w:spacing w:val="-9"/>
          <w:sz w:val="20"/>
          <w:vertAlign w:val="baseline"/>
        </w:rPr>
        <w:t> </w:t>
      </w:r>
      <w:r>
        <w:rPr>
          <w:rFonts w:ascii="Calibri"/>
          <w:i/>
          <w:sz w:val="20"/>
          <w:vertAlign w:val="baseline"/>
        </w:rPr>
        <w:t>Travel</w:t>
      </w:r>
      <w:r>
        <w:rPr>
          <w:rFonts w:ascii="Calibri"/>
          <w:i/>
          <w:spacing w:val="-7"/>
          <w:sz w:val="20"/>
          <w:vertAlign w:val="baseline"/>
        </w:rPr>
        <w:t> </w:t>
      </w:r>
      <w:r>
        <w:rPr>
          <w:rFonts w:ascii="Calibri"/>
          <w:i/>
          <w:sz w:val="20"/>
          <w:vertAlign w:val="baseline"/>
        </w:rPr>
        <w:t>Insurances</w:t>
      </w:r>
      <w:r>
        <w:rPr>
          <w:rFonts w:ascii="Calibri"/>
          <w:i/>
          <w:spacing w:val="-7"/>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Scattergood</w:t>
      </w:r>
      <w:r>
        <w:rPr>
          <w:rFonts w:ascii="Calibri"/>
          <w:i/>
          <w:spacing w:val="-2"/>
          <w:sz w:val="20"/>
          <w:vertAlign w:val="baseline"/>
        </w:rPr>
        <w:t> </w:t>
      </w:r>
      <w:r>
        <w:rPr>
          <w:rFonts w:ascii="Calibri"/>
          <w:sz w:val="20"/>
          <w:vertAlign w:val="baseline"/>
        </w:rPr>
        <w:t>(2003)</w:t>
      </w:r>
      <w:r>
        <w:rPr>
          <w:rFonts w:ascii="Calibri"/>
          <w:spacing w:val="-3"/>
          <w:sz w:val="20"/>
          <w:vertAlign w:val="baseline"/>
        </w:rPr>
        <w:t> </w:t>
      </w:r>
      <w:r>
        <w:rPr>
          <w:rFonts w:ascii="Calibri"/>
          <w:sz w:val="20"/>
          <w:vertAlign w:val="baseline"/>
        </w:rPr>
        <w:t>1</w:t>
      </w:r>
      <w:r>
        <w:rPr>
          <w:rFonts w:ascii="Calibri"/>
          <w:spacing w:val="-10"/>
          <w:sz w:val="20"/>
          <w:vertAlign w:val="baseline"/>
        </w:rPr>
        <w:t> </w:t>
      </w:r>
      <w:r>
        <w:rPr>
          <w:rFonts w:ascii="Calibri"/>
          <w:sz w:val="20"/>
          <w:vertAlign w:val="baseline"/>
        </w:rPr>
        <w:t>BCLC</w:t>
      </w:r>
      <w:r>
        <w:rPr>
          <w:rFonts w:ascii="Calibri"/>
          <w:spacing w:val="-6"/>
          <w:sz w:val="20"/>
          <w:vertAlign w:val="baseline"/>
        </w:rPr>
        <w:t> </w:t>
      </w:r>
      <w:r>
        <w:rPr>
          <w:rFonts w:ascii="Calibri"/>
          <w:sz w:val="20"/>
          <w:vertAlign w:val="baseline"/>
        </w:rPr>
        <w:t>598,</w:t>
      </w:r>
      <w:r>
        <w:rPr>
          <w:rFonts w:ascii="Calibri"/>
          <w:spacing w:val="-6"/>
          <w:sz w:val="20"/>
          <w:vertAlign w:val="baseline"/>
        </w:rPr>
        <w:t> </w:t>
      </w:r>
      <w:r>
        <w:rPr>
          <w:rFonts w:ascii="Calibri"/>
          <w:sz w:val="20"/>
          <w:vertAlign w:val="baseline"/>
        </w:rPr>
        <w:t>at</w:t>
      </w:r>
      <w:r>
        <w:rPr>
          <w:rFonts w:ascii="Calibri"/>
          <w:spacing w:val="-6"/>
          <w:sz w:val="20"/>
          <w:vertAlign w:val="baseline"/>
        </w:rPr>
        <w:t> </w:t>
      </w:r>
      <w:r>
        <w:rPr>
          <w:rFonts w:ascii="Calibri"/>
          <w:spacing w:val="-5"/>
          <w:sz w:val="20"/>
          <w:vertAlign w:val="baseline"/>
        </w:rPr>
        <w:t>90.</w:t>
      </w:r>
    </w:p>
    <w:p>
      <w:pPr>
        <w:spacing w:after="0"/>
        <w:jc w:val="both"/>
        <w:rPr>
          <w:rFonts w:ascii="Calibri"/>
          <w:sz w:val="20"/>
        </w:rPr>
        <w:sectPr>
          <w:pgSz w:w="11910" w:h="16840"/>
          <w:pgMar w:header="0" w:footer="1003" w:top="1320" w:bottom="1200" w:left="1680" w:right="1180"/>
        </w:sectPr>
      </w:pPr>
    </w:p>
    <w:p>
      <w:pPr>
        <w:spacing w:line="240" w:lineRule="auto" w:before="70"/>
        <w:ind w:left="2007" w:right="1887" w:firstLine="0"/>
        <w:jc w:val="both"/>
        <w:rPr>
          <w:i/>
          <w:sz w:val="24"/>
        </w:rPr>
      </w:pPr>
      <w:r>
        <w:rPr>
          <w:i/>
          <w:sz w:val="24"/>
        </w:rPr>
        <w:t>relevant time, might have acted differently. Rather, the</w:t>
      </w:r>
      <w:r>
        <w:rPr>
          <w:i/>
          <w:spacing w:val="-3"/>
          <w:sz w:val="24"/>
        </w:rPr>
        <w:t> </w:t>
      </w:r>
      <w:r>
        <w:rPr>
          <w:i/>
          <w:sz w:val="24"/>
        </w:rPr>
        <w:t>question</w:t>
      </w:r>
      <w:r>
        <w:rPr>
          <w:i/>
          <w:spacing w:val="-2"/>
          <w:sz w:val="24"/>
        </w:rPr>
        <w:t> </w:t>
      </w:r>
      <w:r>
        <w:rPr>
          <w:i/>
          <w:sz w:val="24"/>
        </w:rPr>
        <w:t>is whether</w:t>
      </w:r>
      <w:r>
        <w:rPr>
          <w:i/>
          <w:spacing w:val="-5"/>
          <w:sz w:val="24"/>
        </w:rPr>
        <w:t> </w:t>
      </w:r>
      <w:r>
        <w:rPr>
          <w:i/>
          <w:sz w:val="24"/>
        </w:rPr>
        <w:t>the</w:t>
      </w:r>
      <w:r>
        <w:rPr>
          <w:i/>
          <w:spacing w:val="-3"/>
          <w:sz w:val="24"/>
        </w:rPr>
        <w:t> </w:t>
      </w:r>
      <w:r>
        <w:rPr>
          <w:i/>
          <w:sz w:val="24"/>
        </w:rPr>
        <w:t>director</w:t>
      </w:r>
      <w:r>
        <w:rPr>
          <w:i/>
          <w:spacing w:val="-4"/>
          <w:sz w:val="24"/>
        </w:rPr>
        <w:t> </w:t>
      </w:r>
      <w:r>
        <w:rPr>
          <w:i/>
          <w:sz w:val="24"/>
        </w:rPr>
        <w:t>honestly believed that his act or omission was in the interests of the company. The issue is as to the director‘s state of mind. No doubt where it is clear that the act or omission under challenge resulted in substantial detriment to the company, the director will have a harder task persuading the court that he honestly believed it to be in the company‘s interests; but that does not detract from the subjective nature of the </w:t>
      </w:r>
      <w:r>
        <w:rPr>
          <w:i/>
          <w:spacing w:val="-2"/>
          <w:sz w:val="24"/>
        </w:rPr>
        <w:t>test…</w:t>
      </w:r>
    </w:p>
    <w:p>
      <w:pPr>
        <w:spacing w:line="240" w:lineRule="auto" w:before="3"/>
        <w:ind w:left="2007" w:right="1887" w:firstLine="0"/>
        <w:jc w:val="both"/>
        <w:rPr>
          <w:i/>
          <w:sz w:val="24"/>
        </w:rPr>
      </w:pPr>
      <w:r>
        <w:rPr>
          <w:i/>
          <w:sz w:val="24"/>
        </w:rPr>
        <w:t>The position is different where a power conferred on a director is used for a collateral purpose. In such circumstances it matters not whether the director honestly believed that in exercising the power as he did</w:t>
      </w:r>
      <w:r>
        <w:rPr>
          <w:i/>
          <w:spacing w:val="-1"/>
          <w:sz w:val="24"/>
        </w:rPr>
        <w:t> </w:t>
      </w:r>
      <w:r>
        <w:rPr>
          <w:i/>
          <w:sz w:val="24"/>
        </w:rPr>
        <w:t>he was</w:t>
      </w:r>
      <w:r>
        <w:rPr>
          <w:i/>
          <w:spacing w:val="-3"/>
          <w:sz w:val="24"/>
        </w:rPr>
        <w:t> </w:t>
      </w:r>
      <w:r>
        <w:rPr>
          <w:i/>
          <w:sz w:val="24"/>
        </w:rPr>
        <w:t>acting</w:t>
      </w:r>
      <w:r>
        <w:rPr>
          <w:i/>
          <w:spacing w:val="-1"/>
          <w:sz w:val="24"/>
        </w:rPr>
        <w:t> </w:t>
      </w:r>
      <w:r>
        <w:rPr>
          <w:i/>
          <w:sz w:val="24"/>
        </w:rPr>
        <w:t>in</w:t>
      </w:r>
      <w:r>
        <w:rPr>
          <w:i/>
          <w:spacing w:val="-1"/>
          <w:sz w:val="24"/>
        </w:rPr>
        <w:t> </w:t>
      </w:r>
      <w:r>
        <w:rPr>
          <w:i/>
          <w:sz w:val="24"/>
        </w:rPr>
        <w:t>the</w:t>
      </w:r>
      <w:r>
        <w:rPr>
          <w:i/>
          <w:spacing w:val="-2"/>
          <w:sz w:val="24"/>
        </w:rPr>
        <w:t> </w:t>
      </w:r>
      <w:r>
        <w:rPr>
          <w:i/>
          <w:sz w:val="24"/>
        </w:rPr>
        <w:t>interests</w:t>
      </w:r>
      <w:r>
        <w:rPr>
          <w:i/>
          <w:spacing w:val="-3"/>
          <w:sz w:val="24"/>
        </w:rPr>
        <w:t> </w:t>
      </w:r>
      <w:r>
        <w:rPr>
          <w:i/>
          <w:sz w:val="24"/>
        </w:rPr>
        <w:t>of the</w:t>
      </w:r>
      <w:r>
        <w:rPr>
          <w:i/>
          <w:spacing w:val="-2"/>
          <w:sz w:val="24"/>
        </w:rPr>
        <w:t> </w:t>
      </w:r>
      <w:r>
        <w:rPr>
          <w:i/>
          <w:sz w:val="24"/>
        </w:rPr>
        <w:t>company; the power having been exercised for an improper purpose, its exercise will be liable to be set</w:t>
      </w:r>
      <w:r>
        <w:rPr>
          <w:i/>
          <w:spacing w:val="80"/>
          <w:sz w:val="24"/>
        </w:rPr>
        <w:t> </w:t>
      </w:r>
      <w:r>
        <w:rPr>
          <w:i/>
          <w:spacing w:val="-2"/>
          <w:sz w:val="24"/>
        </w:rPr>
        <w:t>aside…‖</w:t>
      </w:r>
      <w:r>
        <w:rPr>
          <w:i/>
          <w:spacing w:val="-2"/>
          <w:sz w:val="24"/>
          <w:vertAlign w:val="superscript"/>
        </w:rPr>
        <w:t>59</w:t>
      </w:r>
    </w:p>
    <w:p>
      <w:pPr>
        <w:pStyle w:val="BodyText"/>
        <w:spacing w:line="480" w:lineRule="auto" w:before="275"/>
        <w:ind w:right="228"/>
        <w:jc w:val="both"/>
      </w:pPr>
      <w:r>
        <w:rPr/>
        <w:t>There is some evidence that the duty as provided under s.172 would be interpreted in much the same way as under common law, at least, when it comes to the standard required in decision-making. Apart from the fact that s.170(4) already endorses</w:t>
      </w:r>
      <w:r>
        <w:rPr>
          <w:spacing w:val="80"/>
        </w:rPr>
        <w:t> </w:t>
      </w:r>
      <w:r>
        <w:rPr/>
        <w:t>common law interpretation, familiar wordings used in s. 172, such as ―in the way he considers,‖ ―in good faith‖ and ―promote...the</w:t>
      </w:r>
      <w:r>
        <w:rPr>
          <w:spacing w:val="-1"/>
        </w:rPr>
        <w:t> </w:t>
      </w:r>
      <w:r>
        <w:rPr/>
        <w:t>company‖ prompt such</w:t>
      </w:r>
      <w:r>
        <w:rPr>
          <w:spacing w:val="-4"/>
        </w:rPr>
        <w:t> </w:t>
      </w:r>
      <w:r>
        <w:rPr/>
        <w:t>a conclusion. In fact,</w:t>
      </w:r>
      <w:r>
        <w:rPr>
          <w:spacing w:val="-4"/>
        </w:rPr>
        <w:t> </w:t>
      </w:r>
      <w:r>
        <w:rPr/>
        <w:t>Hodge</w:t>
      </w:r>
      <w:r>
        <w:rPr>
          <w:spacing w:val="-6"/>
        </w:rPr>
        <w:t> </w:t>
      </w:r>
      <w:r>
        <w:rPr/>
        <w:t>MP</w:t>
      </w:r>
      <w:r>
        <w:rPr>
          <w:spacing w:val="-5"/>
        </w:rPr>
        <w:t> </w:t>
      </w:r>
      <w:r>
        <w:rPr/>
        <w:t>believed</w:t>
      </w:r>
      <w:r>
        <w:rPr>
          <w:spacing w:val="-2"/>
        </w:rPr>
        <w:t> </w:t>
      </w:r>
      <w:r>
        <w:rPr/>
        <w:t>it ―...essential</w:t>
      </w:r>
      <w:r>
        <w:rPr>
          <w:spacing w:val="-9"/>
        </w:rPr>
        <w:t> </w:t>
      </w:r>
      <w:r>
        <w:rPr/>
        <w:t>for</w:t>
      </w:r>
      <w:r>
        <w:rPr>
          <w:spacing w:val="-4"/>
        </w:rPr>
        <w:t> </w:t>
      </w:r>
      <w:r>
        <w:rPr/>
        <w:t>the</w:t>
      </w:r>
      <w:r>
        <w:rPr>
          <w:spacing w:val="-6"/>
        </w:rPr>
        <w:t> </w:t>
      </w:r>
      <w:r>
        <w:rPr/>
        <w:t>weight</w:t>
      </w:r>
      <w:r>
        <w:rPr>
          <w:spacing w:val="-1"/>
        </w:rPr>
        <w:t> </w:t>
      </w:r>
      <w:r>
        <w:rPr/>
        <w:t>given</w:t>
      </w:r>
      <w:r>
        <w:rPr>
          <w:spacing w:val="-9"/>
        </w:rPr>
        <w:t> </w:t>
      </w:r>
      <w:r>
        <w:rPr/>
        <w:t>to</w:t>
      </w:r>
      <w:r>
        <w:rPr>
          <w:spacing w:val="-1"/>
        </w:rPr>
        <w:t> </w:t>
      </w:r>
      <w:r>
        <w:rPr/>
        <w:t>any</w:t>
      </w:r>
      <w:r>
        <w:rPr>
          <w:spacing w:val="-9"/>
        </w:rPr>
        <w:t> </w:t>
      </w:r>
      <w:r>
        <w:rPr/>
        <w:t>factor</w:t>
      </w:r>
      <w:r>
        <w:rPr>
          <w:spacing w:val="-9"/>
        </w:rPr>
        <w:t> </w:t>
      </w:r>
      <w:r>
        <w:rPr/>
        <w:t>to</w:t>
      </w:r>
      <w:r>
        <w:rPr>
          <w:spacing w:val="-1"/>
        </w:rPr>
        <w:t> </w:t>
      </w:r>
      <w:r>
        <w:rPr/>
        <w:t>be</w:t>
      </w:r>
      <w:r>
        <w:rPr>
          <w:spacing w:val="-6"/>
        </w:rPr>
        <w:t> </w:t>
      </w:r>
      <w:r>
        <w:rPr/>
        <w:t>a</w:t>
      </w:r>
      <w:r>
        <w:rPr>
          <w:spacing w:val="-6"/>
        </w:rPr>
        <w:t> </w:t>
      </w:r>
      <w:r>
        <w:rPr/>
        <w:t>matter for the director‘s good faith judgement. Importantly, the decision is not subject to the reasonableness test...‖</w:t>
      </w:r>
      <w:r>
        <w:rPr>
          <w:vertAlign w:val="superscript"/>
        </w:rPr>
        <w:t>60</w:t>
      </w:r>
    </w:p>
    <w:p>
      <w:pPr>
        <w:pStyle w:val="BodyText"/>
        <w:spacing w:line="480" w:lineRule="auto" w:before="1"/>
        <w:ind w:right="233" w:firstLine="720"/>
        <w:jc w:val="both"/>
      </w:pPr>
      <w:r>
        <w:rPr/>
        <w:t>Certainly, the courts have taken the hint that the director is still allowed this discretion</w:t>
      </w:r>
      <w:r>
        <w:rPr>
          <w:spacing w:val="-2"/>
        </w:rPr>
        <w:t> </w:t>
      </w:r>
      <w:r>
        <w:rPr/>
        <w:t>to decide how best to achieve the objective in s.172; he still has a right to his business judgment. The English High Court ruled the duty</w:t>
      </w:r>
      <w:r>
        <w:rPr>
          <w:spacing w:val="-1"/>
        </w:rPr>
        <w:t> </w:t>
      </w:r>
      <w:r>
        <w:rPr/>
        <w:t>therein to be subjective, just like</w:t>
      </w:r>
      <w:r>
        <w:rPr>
          <w:spacing w:val="26"/>
        </w:rPr>
        <w:t> </w:t>
      </w:r>
      <w:r>
        <w:rPr/>
        <w:t>its</w:t>
      </w:r>
      <w:r>
        <w:rPr>
          <w:spacing w:val="20"/>
        </w:rPr>
        <w:t> </w:t>
      </w:r>
      <w:r>
        <w:rPr/>
        <w:t>precursor.</w:t>
      </w:r>
      <w:r>
        <w:rPr>
          <w:vertAlign w:val="superscript"/>
        </w:rPr>
        <w:t>61</w:t>
      </w:r>
      <w:r>
        <w:rPr>
          <w:spacing w:val="25"/>
          <w:vertAlign w:val="baseline"/>
        </w:rPr>
        <w:t> </w:t>
      </w:r>
      <w:r>
        <w:rPr>
          <w:vertAlign w:val="baseline"/>
        </w:rPr>
        <w:t>This</w:t>
      </w:r>
      <w:r>
        <w:rPr>
          <w:spacing w:val="20"/>
          <w:vertAlign w:val="baseline"/>
        </w:rPr>
        <w:t> </w:t>
      </w:r>
      <w:r>
        <w:rPr>
          <w:vertAlign w:val="baseline"/>
        </w:rPr>
        <w:t>position</w:t>
      </w:r>
      <w:r>
        <w:rPr>
          <w:spacing w:val="18"/>
          <w:vertAlign w:val="baseline"/>
        </w:rPr>
        <w:t> </w:t>
      </w:r>
      <w:r>
        <w:rPr>
          <w:vertAlign w:val="baseline"/>
        </w:rPr>
        <w:t>has</w:t>
      </w:r>
      <w:r>
        <w:rPr>
          <w:spacing w:val="20"/>
          <w:vertAlign w:val="baseline"/>
        </w:rPr>
        <w:t> </w:t>
      </w:r>
      <w:r>
        <w:rPr>
          <w:vertAlign w:val="baseline"/>
        </w:rPr>
        <w:t>so</w:t>
      </w:r>
      <w:r>
        <w:rPr>
          <w:spacing w:val="27"/>
          <w:vertAlign w:val="baseline"/>
        </w:rPr>
        <w:t> </w:t>
      </w:r>
      <w:r>
        <w:rPr>
          <w:vertAlign w:val="baseline"/>
        </w:rPr>
        <w:t>far</w:t>
      </w:r>
      <w:r>
        <w:rPr>
          <w:spacing w:val="27"/>
          <w:vertAlign w:val="baseline"/>
        </w:rPr>
        <w:t> </w:t>
      </w:r>
      <w:r>
        <w:rPr>
          <w:vertAlign w:val="baseline"/>
        </w:rPr>
        <w:t>consistently</w:t>
      </w:r>
      <w:r>
        <w:rPr>
          <w:spacing w:val="23"/>
          <w:vertAlign w:val="baseline"/>
        </w:rPr>
        <w:t> </w:t>
      </w:r>
      <w:r>
        <w:rPr>
          <w:vertAlign w:val="baseline"/>
        </w:rPr>
        <w:t>been</w:t>
      </w:r>
      <w:r>
        <w:rPr>
          <w:spacing w:val="23"/>
          <w:vertAlign w:val="baseline"/>
        </w:rPr>
        <w:t> </w:t>
      </w:r>
      <w:r>
        <w:rPr>
          <w:vertAlign w:val="baseline"/>
        </w:rPr>
        <w:t>maintained</w:t>
      </w:r>
      <w:r>
        <w:rPr>
          <w:spacing w:val="22"/>
          <w:vertAlign w:val="baseline"/>
        </w:rPr>
        <w:t> </w:t>
      </w:r>
      <w:r>
        <w:rPr>
          <w:vertAlign w:val="baseline"/>
        </w:rPr>
        <w:t>by</w:t>
      </w:r>
      <w:r>
        <w:rPr>
          <w:spacing w:val="18"/>
          <w:vertAlign w:val="baseline"/>
        </w:rPr>
        <w:t> </w:t>
      </w:r>
      <w:r>
        <w:rPr>
          <w:vertAlign w:val="baseline"/>
        </w:rPr>
        <w:t>the</w:t>
      </w:r>
      <w:r>
        <w:rPr>
          <w:spacing w:val="21"/>
          <w:vertAlign w:val="baseline"/>
        </w:rPr>
        <w:t> </w:t>
      </w:r>
      <w:r>
        <w:rPr>
          <w:spacing w:val="-4"/>
          <w:vertAlign w:val="baseline"/>
        </w:rPr>
        <w:t>same</w:t>
      </w:r>
    </w:p>
    <w:p>
      <w:pPr>
        <w:pStyle w:val="BodyText"/>
        <w:ind w:left="0"/>
        <w:rPr>
          <w:sz w:val="20"/>
        </w:rPr>
      </w:pPr>
    </w:p>
    <w:p>
      <w:pPr>
        <w:pStyle w:val="BodyText"/>
        <w:ind w:left="0"/>
        <w:rPr>
          <w:sz w:val="20"/>
        </w:rPr>
      </w:pPr>
    </w:p>
    <w:p>
      <w:pPr>
        <w:pStyle w:val="BodyText"/>
        <w:ind w:left="0"/>
        <w:rPr>
          <w:sz w:val="20"/>
        </w:rPr>
      </w:pPr>
    </w:p>
    <w:p>
      <w:pPr>
        <w:pStyle w:val="BodyText"/>
        <w:spacing w:before="74"/>
        <w:ind w:left="0"/>
        <w:rPr>
          <w:sz w:val="20"/>
        </w:rPr>
      </w:pPr>
      <w:r>
        <w:rPr/>
        <mc:AlternateContent>
          <mc:Choice Requires="wps">
            <w:drawing>
              <wp:anchor distT="0" distB="0" distL="0" distR="0" allowOverlap="1" layoutInCell="1" locked="0" behindDoc="1" simplePos="0" relativeHeight="487677952">
                <wp:simplePos x="0" y="0"/>
                <wp:positionH relativeFrom="page">
                  <wp:posOffset>1262481</wp:posOffset>
                </wp:positionH>
                <wp:positionV relativeFrom="paragraph">
                  <wp:posOffset>208322</wp:posOffset>
                </wp:positionV>
                <wp:extent cx="1829435" cy="9525"/>
                <wp:effectExtent l="0" t="0" r="0" b="0"/>
                <wp:wrapTopAndBottom/>
                <wp:docPr id="199" name="Graphic 199"/>
                <wp:cNvGraphicFramePr>
                  <a:graphicFrameLocks/>
                </wp:cNvGraphicFramePr>
                <a:graphic>
                  <a:graphicData uri="http://schemas.microsoft.com/office/word/2010/wordprocessingShape">
                    <wps:wsp>
                      <wps:cNvPr id="199" name="Graphic 19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403351pt;width:144.050pt;height:.71997pt;mso-position-horizontal-relative:page;mso-position-vertical-relative:paragraph;z-index:-15638528;mso-wrap-distance-left:0;mso-wrap-distance-right:0" id="docshape154"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59</w:t>
      </w:r>
      <w:r>
        <w:rPr>
          <w:rFonts w:ascii="Calibri"/>
          <w:i/>
          <w:sz w:val="20"/>
          <w:vertAlign w:val="baseline"/>
        </w:rPr>
        <w:t>RegentcrestPlc</w:t>
      </w:r>
      <w:r>
        <w:rPr>
          <w:rFonts w:ascii="Calibri"/>
          <w:i/>
          <w:spacing w:val="-9"/>
          <w:sz w:val="20"/>
          <w:vertAlign w:val="baseline"/>
        </w:rPr>
        <w:t> </w:t>
      </w:r>
      <w:r>
        <w:rPr>
          <w:rFonts w:ascii="Calibri"/>
          <w:i/>
          <w:sz w:val="20"/>
          <w:vertAlign w:val="baseline"/>
        </w:rPr>
        <w:t>(in</w:t>
      </w:r>
      <w:r>
        <w:rPr>
          <w:rFonts w:ascii="Calibri"/>
          <w:i/>
          <w:spacing w:val="-6"/>
          <w:sz w:val="20"/>
          <w:vertAlign w:val="baseline"/>
        </w:rPr>
        <w:t> </w:t>
      </w:r>
      <w:r>
        <w:rPr>
          <w:rFonts w:ascii="Calibri"/>
          <w:i/>
          <w:sz w:val="20"/>
          <w:vertAlign w:val="baseline"/>
        </w:rPr>
        <w:t>liquidation)</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Cohen</w:t>
      </w:r>
      <w:r>
        <w:rPr>
          <w:rFonts w:ascii="Calibri"/>
          <w:i/>
          <w:spacing w:val="-4"/>
          <w:sz w:val="20"/>
          <w:vertAlign w:val="baseline"/>
        </w:rPr>
        <w:t> </w:t>
      </w:r>
      <w:r>
        <w:rPr>
          <w:rFonts w:ascii="Calibri"/>
          <w:sz w:val="20"/>
          <w:vertAlign w:val="baseline"/>
        </w:rPr>
        <w:t>(2001)</w:t>
      </w:r>
      <w:r>
        <w:rPr>
          <w:rFonts w:ascii="Calibri"/>
          <w:spacing w:val="-2"/>
          <w:sz w:val="20"/>
          <w:vertAlign w:val="baseline"/>
        </w:rPr>
        <w:t> </w:t>
      </w:r>
      <w:r>
        <w:rPr>
          <w:rFonts w:ascii="Calibri"/>
          <w:sz w:val="20"/>
          <w:vertAlign w:val="baseline"/>
        </w:rPr>
        <w:t>2</w:t>
      </w:r>
      <w:r>
        <w:rPr>
          <w:rFonts w:ascii="Calibri"/>
          <w:spacing w:val="-8"/>
          <w:sz w:val="20"/>
          <w:vertAlign w:val="baseline"/>
        </w:rPr>
        <w:t> </w:t>
      </w:r>
      <w:r>
        <w:rPr>
          <w:rFonts w:ascii="Calibri"/>
          <w:sz w:val="20"/>
          <w:vertAlign w:val="baseline"/>
        </w:rPr>
        <w:t>BCLC</w:t>
      </w:r>
      <w:r>
        <w:rPr>
          <w:rFonts w:ascii="Calibri"/>
          <w:spacing w:val="-8"/>
          <w:sz w:val="20"/>
          <w:vertAlign w:val="baseline"/>
        </w:rPr>
        <w:t> </w:t>
      </w:r>
      <w:r>
        <w:rPr>
          <w:rFonts w:ascii="Calibri"/>
          <w:sz w:val="20"/>
          <w:vertAlign w:val="baseline"/>
        </w:rPr>
        <w:t>80</w:t>
      </w:r>
      <w:r>
        <w:rPr>
          <w:rFonts w:ascii="Calibri"/>
          <w:spacing w:val="-4"/>
          <w:sz w:val="20"/>
          <w:vertAlign w:val="baseline"/>
        </w:rPr>
        <w:t> </w:t>
      </w:r>
      <w:r>
        <w:rPr>
          <w:rFonts w:ascii="Calibri"/>
          <w:sz w:val="20"/>
          <w:vertAlign w:val="baseline"/>
        </w:rPr>
        <w:t>at</w:t>
      </w:r>
      <w:r>
        <w:rPr>
          <w:rFonts w:ascii="Calibri"/>
          <w:spacing w:val="-11"/>
          <w:sz w:val="20"/>
          <w:vertAlign w:val="baseline"/>
        </w:rPr>
        <w:t> </w:t>
      </w:r>
      <w:r>
        <w:rPr>
          <w:rFonts w:ascii="Calibri"/>
          <w:sz w:val="20"/>
          <w:vertAlign w:val="baseline"/>
        </w:rPr>
        <w:t>120</w:t>
      </w:r>
      <w:r>
        <w:rPr>
          <w:rFonts w:ascii="Calibri"/>
          <w:spacing w:val="-3"/>
          <w:sz w:val="20"/>
          <w:vertAlign w:val="baseline"/>
        </w:rPr>
        <w:t> </w:t>
      </w:r>
      <w:r>
        <w:rPr>
          <w:rFonts w:ascii="Calibri"/>
          <w:sz w:val="20"/>
          <w:vertAlign w:val="baseline"/>
        </w:rPr>
        <w:t>and</w:t>
      </w:r>
      <w:r>
        <w:rPr>
          <w:rFonts w:ascii="Calibri"/>
          <w:spacing w:val="-3"/>
          <w:sz w:val="20"/>
          <w:vertAlign w:val="baseline"/>
        </w:rPr>
        <w:t> </w:t>
      </w:r>
      <w:r>
        <w:rPr>
          <w:rFonts w:ascii="Calibri"/>
          <w:spacing w:val="-4"/>
          <w:sz w:val="20"/>
          <w:vertAlign w:val="baseline"/>
        </w:rPr>
        <w:t>123.</w:t>
      </w:r>
    </w:p>
    <w:p>
      <w:pPr>
        <w:spacing w:before="1"/>
        <w:ind w:left="308" w:right="0" w:firstLine="0"/>
        <w:jc w:val="left"/>
        <w:rPr>
          <w:rFonts w:ascii="Calibri"/>
          <w:sz w:val="20"/>
        </w:rPr>
      </w:pPr>
      <w:r>
        <w:rPr>
          <w:rFonts w:ascii="Calibri"/>
          <w:sz w:val="20"/>
          <w:vertAlign w:val="superscript"/>
        </w:rPr>
        <w:t>60</w:t>
      </w:r>
      <w:r>
        <w:rPr>
          <w:rFonts w:ascii="Calibri"/>
          <w:spacing w:val="-2"/>
          <w:sz w:val="20"/>
          <w:vertAlign w:val="baseline"/>
        </w:rPr>
        <w:t> </w:t>
      </w:r>
      <w:r>
        <w:rPr>
          <w:rFonts w:ascii="Calibri"/>
          <w:sz w:val="20"/>
          <w:vertAlign w:val="baseline"/>
        </w:rPr>
        <w:t>House</w:t>
      </w:r>
      <w:r>
        <w:rPr>
          <w:rFonts w:ascii="Calibri"/>
          <w:spacing w:val="-3"/>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Commons</w:t>
      </w:r>
      <w:r>
        <w:rPr>
          <w:rFonts w:ascii="Calibri"/>
          <w:spacing w:val="-5"/>
          <w:sz w:val="20"/>
          <w:vertAlign w:val="baseline"/>
        </w:rPr>
        <w:t> </w:t>
      </w:r>
      <w:r>
        <w:rPr>
          <w:rFonts w:ascii="Calibri"/>
          <w:sz w:val="20"/>
          <w:vertAlign w:val="baseline"/>
        </w:rPr>
        <w:t>(HC)</w:t>
      </w:r>
      <w:r>
        <w:rPr>
          <w:rFonts w:ascii="Calibri"/>
          <w:spacing w:val="-6"/>
          <w:sz w:val="20"/>
          <w:vertAlign w:val="baseline"/>
        </w:rPr>
        <w:t> </w:t>
      </w:r>
      <w:r>
        <w:rPr>
          <w:rFonts w:ascii="Calibri"/>
          <w:sz w:val="20"/>
          <w:vertAlign w:val="baseline"/>
        </w:rPr>
        <w:t>Standing</w:t>
      </w:r>
      <w:r>
        <w:rPr>
          <w:rFonts w:ascii="Calibri"/>
          <w:spacing w:val="-7"/>
          <w:sz w:val="20"/>
          <w:vertAlign w:val="baseline"/>
        </w:rPr>
        <w:t> </w:t>
      </w:r>
      <w:r>
        <w:rPr>
          <w:rFonts w:ascii="Calibri"/>
          <w:sz w:val="20"/>
          <w:vertAlign w:val="baseline"/>
        </w:rPr>
        <w:t>Committee</w:t>
      </w:r>
      <w:r>
        <w:rPr>
          <w:rFonts w:ascii="Calibri"/>
          <w:spacing w:val="-7"/>
          <w:sz w:val="20"/>
          <w:vertAlign w:val="baseline"/>
        </w:rPr>
        <w:t> </w:t>
      </w:r>
      <w:r>
        <w:rPr>
          <w:rFonts w:ascii="Calibri"/>
          <w:sz w:val="20"/>
          <w:vertAlign w:val="baseline"/>
        </w:rPr>
        <w:t>D,</w:t>
      </w:r>
      <w:r>
        <w:rPr>
          <w:rFonts w:ascii="Calibri"/>
          <w:spacing w:val="-5"/>
          <w:sz w:val="20"/>
          <w:vertAlign w:val="baseline"/>
        </w:rPr>
        <w:t> </w:t>
      </w:r>
      <w:r>
        <w:rPr>
          <w:rFonts w:ascii="Calibri"/>
          <w:sz w:val="20"/>
          <w:vertAlign w:val="baseline"/>
        </w:rPr>
        <w:t>5</w:t>
      </w:r>
      <w:r>
        <w:rPr>
          <w:rFonts w:ascii="Calibri"/>
          <w:sz w:val="20"/>
          <w:vertAlign w:val="superscript"/>
        </w:rPr>
        <w:t>th</w:t>
      </w:r>
      <w:r>
        <w:rPr>
          <w:rFonts w:ascii="Calibri"/>
          <w:spacing w:val="-5"/>
          <w:sz w:val="20"/>
          <w:vertAlign w:val="baseline"/>
        </w:rPr>
        <w:t> </w:t>
      </w:r>
      <w:r>
        <w:rPr>
          <w:rFonts w:ascii="Calibri"/>
          <w:sz w:val="20"/>
          <w:vertAlign w:val="baseline"/>
        </w:rPr>
        <w:t>Sitting,</w:t>
      </w:r>
      <w:r>
        <w:rPr>
          <w:rFonts w:ascii="Calibri"/>
          <w:spacing w:val="-10"/>
          <w:sz w:val="20"/>
          <w:vertAlign w:val="baseline"/>
        </w:rPr>
        <w:t> </w:t>
      </w:r>
      <w:r>
        <w:rPr>
          <w:rFonts w:ascii="Calibri"/>
          <w:sz w:val="20"/>
          <w:vertAlign w:val="baseline"/>
        </w:rPr>
        <w:t>July</w:t>
      </w:r>
      <w:r>
        <w:rPr>
          <w:rFonts w:ascii="Calibri"/>
          <w:spacing w:val="-3"/>
          <w:sz w:val="20"/>
          <w:vertAlign w:val="baseline"/>
        </w:rPr>
        <w:t> </w:t>
      </w:r>
      <w:r>
        <w:rPr>
          <w:rFonts w:ascii="Calibri"/>
          <w:sz w:val="20"/>
          <w:vertAlign w:val="baseline"/>
        </w:rPr>
        <w:t>11,</w:t>
      </w:r>
      <w:r>
        <w:rPr>
          <w:rFonts w:ascii="Calibri"/>
          <w:spacing w:val="-5"/>
          <w:sz w:val="20"/>
          <w:vertAlign w:val="baseline"/>
        </w:rPr>
        <w:t> </w:t>
      </w:r>
      <w:r>
        <w:rPr>
          <w:rFonts w:ascii="Calibri"/>
          <w:sz w:val="20"/>
          <w:vertAlign w:val="baseline"/>
        </w:rPr>
        <w:t>2006,</w:t>
      </w:r>
      <w:r>
        <w:rPr>
          <w:rFonts w:ascii="Calibri"/>
          <w:spacing w:val="-6"/>
          <w:sz w:val="20"/>
          <w:vertAlign w:val="baseline"/>
        </w:rPr>
        <w:t> </w:t>
      </w:r>
      <w:r>
        <w:rPr>
          <w:rFonts w:ascii="Calibri"/>
          <w:sz w:val="20"/>
          <w:vertAlign w:val="baseline"/>
        </w:rPr>
        <w:t>Cols</w:t>
      </w:r>
      <w:r>
        <w:rPr>
          <w:rFonts w:ascii="Calibri"/>
          <w:spacing w:val="-5"/>
          <w:sz w:val="20"/>
          <w:vertAlign w:val="baseline"/>
        </w:rPr>
        <w:t> </w:t>
      </w:r>
      <w:r>
        <w:rPr>
          <w:rFonts w:ascii="Calibri"/>
          <w:sz w:val="20"/>
          <w:vertAlign w:val="baseline"/>
        </w:rPr>
        <w:t>591-</w:t>
      </w:r>
      <w:r>
        <w:rPr>
          <w:rFonts w:ascii="Calibri"/>
          <w:spacing w:val="-4"/>
          <w:sz w:val="20"/>
          <w:vertAlign w:val="baseline"/>
        </w:rPr>
        <w:t>593.</w:t>
      </w:r>
    </w:p>
    <w:p>
      <w:pPr>
        <w:spacing w:before="0"/>
        <w:ind w:left="308" w:right="0" w:firstLine="0"/>
        <w:jc w:val="left"/>
        <w:rPr>
          <w:rFonts w:ascii="Calibri"/>
          <w:sz w:val="20"/>
        </w:rPr>
      </w:pPr>
      <w:r>
        <w:rPr>
          <w:rFonts w:ascii="Calibri"/>
          <w:sz w:val="20"/>
          <w:vertAlign w:val="superscript"/>
        </w:rPr>
        <w:t>61</w:t>
      </w:r>
      <w:r>
        <w:rPr>
          <w:rFonts w:ascii="Calibri"/>
          <w:i/>
          <w:sz w:val="20"/>
          <w:vertAlign w:val="baseline"/>
        </w:rPr>
        <w:t>Cobden</w:t>
      </w:r>
      <w:r>
        <w:rPr>
          <w:rFonts w:ascii="Calibri"/>
          <w:i/>
          <w:spacing w:val="-7"/>
          <w:sz w:val="20"/>
          <w:vertAlign w:val="baseline"/>
        </w:rPr>
        <w:t> </w:t>
      </w:r>
      <w:r>
        <w:rPr>
          <w:rFonts w:ascii="Calibri"/>
          <w:i/>
          <w:sz w:val="20"/>
          <w:vertAlign w:val="baseline"/>
        </w:rPr>
        <w:t>Investments</w:t>
      </w:r>
      <w:r>
        <w:rPr>
          <w:rFonts w:ascii="Calibri"/>
          <w:i/>
          <w:spacing w:val="-5"/>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RWM</w:t>
      </w:r>
      <w:r>
        <w:rPr>
          <w:rFonts w:ascii="Calibri"/>
          <w:i/>
          <w:spacing w:val="-7"/>
          <w:sz w:val="20"/>
          <w:vertAlign w:val="baseline"/>
        </w:rPr>
        <w:t> </w:t>
      </w:r>
      <w:r>
        <w:rPr>
          <w:rFonts w:ascii="Calibri"/>
          <w:i/>
          <w:sz w:val="20"/>
          <w:vertAlign w:val="baseline"/>
        </w:rPr>
        <w:t>Rangport</w:t>
      </w:r>
      <w:r>
        <w:rPr>
          <w:rFonts w:ascii="Calibri"/>
          <w:i/>
          <w:spacing w:val="-8"/>
          <w:sz w:val="20"/>
          <w:vertAlign w:val="baseline"/>
        </w:rPr>
        <w:t> </w:t>
      </w:r>
      <w:r>
        <w:rPr>
          <w:rFonts w:ascii="Calibri"/>
          <w:i/>
          <w:sz w:val="20"/>
          <w:vertAlign w:val="baseline"/>
        </w:rPr>
        <w:t>Ltd</w:t>
      </w:r>
      <w:r>
        <w:rPr>
          <w:rFonts w:ascii="Calibri"/>
          <w:sz w:val="20"/>
          <w:vertAlign w:val="baseline"/>
        </w:rPr>
        <w:t>.</w:t>
      </w:r>
      <w:r>
        <w:rPr>
          <w:rFonts w:ascii="Calibri"/>
          <w:spacing w:val="-7"/>
          <w:sz w:val="20"/>
          <w:vertAlign w:val="baseline"/>
        </w:rPr>
        <w:t> </w:t>
      </w:r>
      <w:r>
        <w:rPr>
          <w:rFonts w:ascii="Calibri"/>
          <w:sz w:val="20"/>
          <w:vertAlign w:val="baseline"/>
        </w:rPr>
        <w:t>(2008)</w:t>
      </w:r>
      <w:r>
        <w:rPr>
          <w:rFonts w:ascii="Calibri"/>
          <w:spacing w:val="-6"/>
          <w:sz w:val="20"/>
          <w:vertAlign w:val="baseline"/>
        </w:rPr>
        <w:t> </w:t>
      </w:r>
      <w:r>
        <w:rPr>
          <w:rFonts w:ascii="Calibri"/>
          <w:sz w:val="20"/>
          <w:vertAlign w:val="baseline"/>
        </w:rPr>
        <w:t>EWHC</w:t>
      </w:r>
      <w:r>
        <w:rPr>
          <w:rFonts w:ascii="Calibri"/>
          <w:spacing w:val="-5"/>
          <w:sz w:val="20"/>
          <w:vertAlign w:val="baseline"/>
        </w:rPr>
        <w:t> </w:t>
      </w:r>
      <w:r>
        <w:rPr>
          <w:rFonts w:ascii="Calibri"/>
          <w:sz w:val="20"/>
          <w:vertAlign w:val="baseline"/>
        </w:rPr>
        <w:t>2810</w:t>
      </w:r>
      <w:r>
        <w:rPr>
          <w:rFonts w:ascii="Calibri"/>
          <w:spacing w:val="-5"/>
          <w:sz w:val="20"/>
          <w:vertAlign w:val="baseline"/>
        </w:rPr>
        <w:t> </w:t>
      </w:r>
      <w:r>
        <w:rPr>
          <w:rFonts w:ascii="Calibri"/>
          <w:sz w:val="20"/>
          <w:vertAlign w:val="baseline"/>
        </w:rPr>
        <w:t>(Ch.)</w:t>
      </w:r>
      <w:r>
        <w:rPr>
          <w:rFonts w:ascii="Calibri"/>
          <w:spacing w:val="-3"/>
          <w:sz w:val="20"/>
          <w:vertAlign w:val="baseline"/>
        </w:rPr>
        <w:t> </w:t>
      </w:r>
      <w:r>
        <w:rPr>
          <w:rFonts w:ascii="Calibri"/>
          <w:sz w:val="20"/>
          <w:vertAlign w:val="baseline"/>
        </w:rPr>
        <w:t>at</w:t>
      </w:r>
      <w:r>
        <w:rPr>
          <w:rFonts w:ascii="Calibri"/>
          <w:spacing w:val="-9"/>
          <w:sz w:val="20"/>
          <w:vertAlign w:val="baseline"/>
        </w:rPr>
        <w:t> </w:t>
      </w:r>
      <w:r>
        <w:rPr>
          <w:rFonts w:ascii="Calibri"/>
          <w:spacing w:val="-5"/>
          <w:sz w:val="20"/>
          <w:vertAlign w:val="baseline"/>
        </w:rPr>
        <w:t>53.</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32"/>
        <w:jc w:val="both"/>
      </w:pPr>
      <w:r>
        <w:rPr/>
        <w:t>court,</w:t>
      </w:r>
      <w:r>
        <w:rPr>
          <w:vertAlign w:val="superscript"/>
        </w:rPr>
        <w:t>62</w:t>
      </w:r>
      <w:r>
        <w:rPr>
          <w:vertAlign w:val="baseline"/>
        </w:rPr>
        <w:t> so that</w:t>
      </w:r>
      <w:r>
        <w:rPr>
          <w:spacing w:val="-1"/>
          <w:vertAlign w:val="baseline"/>
        </w:rPr>
        <w:t> </w:t>
      </w:r>
      <w:r>
        <w:rPr>
          <w:vertAlign w:val="baseline"/>
        </w:rPr>
        <w:t>the</w:t>
      </w:r>
      <w:r>
        <w:rPr>
          <w:spacing w:val="-2"/>
          <w:vertAlign w:val="baseline"/>
        </w:rPr>
        <w:t> </w:t>
      </w:r>
      <w:r>
        <w:rPr>
          <w:vertAlign w:val="baseline"/>
        </w:rPr>
        <w:t>court would still</w:t>
      </w:r>
      <w:r>
        <w:rPr>
          <w:spacing w:val="-1"/>
          <w:vertAlign w:val="baseline"/>
        </w:rPr>
        <w:t> </w:t>
      </w:r>
      <w:r>
        <w:rPr>
          <w:vertAlign w:val="baseline"/>
        </w:rPr>
        <w:t>not interfere</w:t>
      </w:r>
      <w:r>
        <w:rPr>
          <w:spacing w:val="-2"/>
          <w:vertAlign w:val="baseline"/>
        </w:rPr>
        <w:t> </w:t>
      </w:r>
      <w:r>
        <w:rPr>
          <w:vertAlign w:val="baseline"/>
        </w:rPr>
        <w:t>with</w:t>
      </w:r>
      <w:r>
        <w:rPr>
          <w:spacing w:val="-5"/>
          <w:vertAlign w:val="baseline"/>
        </w:rPr>
        <w:t> </w:t>
      </w:r>
      <w:r>
        <w:rPr>
          <w:vertAlign w:val="baseline"/>
        </w:rPr>
        <w:t>the</w:t>
      </w:r>
      <w:r>
        <w:rPr>
          <w:spacing w:val="-2"/>
          <w:vertAlign w:val="baseline"/>
        </w:rPr>
        <w:t> </w:t>
      </w:r>
      <w:r>
        <w:rPr>
          <w:vertAlign w:val="baseline"/>
        </w:rPr>
        <w:t>director‘s</w:t>
      </w:r>
      <w:r>
        <w:rPr>
          <w:spacing w:val="-4"/>
          <w:vertAlign w:val="baseline"/>
        </w:rPr>
        <w:t> </w:t>
      </w:r>
      <w:r>
        <w:rPr>
          <w:vertAlign w:val="baseline"/>
        </w:rPr>
        <w:t>good</w:t>
      </w:r>
      <w:r>
        <w:rPr>
          <w:spacing w:val="-1"/>
          <w:vertAlign w:val="baseline"/>
        </w:rPr>
        <w:t> </w:t>
      </w:r>
      <w:r>
        <w:rPr>
          <w:vertAlign w:val="baseline"/>
        </w:rPr>
        <w:t>faith</w:t>
      </w:r>
      <w:r>
        <w:rPr>
          <w:spacing w:val="-1"/>
          <w:vertAlign w:val="baseline"/>
        </w:rPr>
        <w:t> </w:t>
      </w:r>
      <w:r>
        <w:rPr>
          <w:vertAlign w:val="baseline"/>
        </w:rPr>
        <w:t>judgment in the best interests</w:t>
      </w:r>
      <w:r>
        <w:rPr>
          <w:spacing w:val="-2"/>
          <w:vertAlign w:val="baseline"/>
        </w:rPr>
        <w:t> </w:t>
      </w:r>
      <w:r>
        <w:rPr>
          <w:vertAlign w:val="baseline"/>
        </w:rPr>
        <w:t>of</w:t>
      </w:r>
      <w:r>
        <w:rPr>
          <w:spacing w:val="-8"/>
          <w:vertAlign w:val="baseline"/>
        </w:rPr>
        <w:t> </w:t>
      </w:r>
      <w:r>
        <w:rPr>
          <w:vertAlign w:val="baseline"/>
        </w:rPr>
        <w:t>the</w:t>
      </w:r>
      <w:r>
        <w:rPr>
          <w:spacing w:val="-1"/>
          <w:vertAlign w:val="baseline"/>
        </w:rPr>
        <w:t> </w:t>
      </w:r>
      <w:r>
        <w:rPr>
          <w:vertAlign w:val="baseline"/>
        </w:rPr>
        <w:t>company, as</w:t>
      </w:r>
      <w:r>
        <w:rPr>
          <w:spacing w:val="-2"/>
          <w:vertAlign w:val="baseline"/>
        </w:rPr>
        <w:t> </w:t>
      </w:r>
      <w:r>
        <w:rPr>
          <w:vertAlign w:val="baseline"/>
        </w:rPr>
        <w:t>under common law, if</w:t>
      </w:r>
      <w:r>
        <w:rPr>
          <w:spacing w:val="-3"/>
          <w:vertAlign w:val="baseline"/>
        </w:rPr>
        <w:t> </w:t>
      </w:r>
      <w:r>
        <w:rPr>
          <w:vertAlign w:val="baseline"/>
        </w:rPr>
        <w:t>there was, prima facie, no reason to believe that he had acted mala fide, even where this results in consequences which are not in the company‘s favour, which was the case in </w:t>
      </w:r>
      <w:r>
        <w:rPr>
          <w:b/>
          <w:vertAlign w:val="baseline"/>
        </w:rPr>
        <w:t>Shepherd vs. Williamson</w:t>
      </w:r>
      <w:r>
        <w:rPr>
          <w:vertAlign w:val="baseline"/>
        </w:rPr>
        <w:t>.</w:t>
      </w:r>
      <w:r>
        <w:rPr>
          <w:vertAlign w:val="superscript"/>
        </w:rPr>
        <w:t>63</w:t>
      </w:r>
      <w:r>
        <w:rPr>
          <w:vertAlign w:val="baseline"/>
        </w:rPr>
        <w:t> There, the plaintiff was one of two directors as well as shareholders in a construction company. The company had been a bidder regarding a construction</w:t>
      </w:r>
      <w:r>
        <w:rPr>
          <w:spacing w:val="40"/>
          <w:vertAlign w:val="baseline"/>
        </w:rPr>
        <w:t> </w:t>
      </w:r>
      <w:r>
        <w:rPr>
          <w:vertAlign w:val="baseline"/>
        </w:rPr>
        <w:t>contract for a hotel chain. The Office of Fair Trading (OFT) had earlier launched an investigation into collusive</w:t>
      </w:r>
      <w:r>
        <w:rPr>
          <w:spacing w:val="-1"/>
          <w:vertAlign w:val="baseline"/>
        </w:rPr>
        <w:t> </w:t>
      </w:r>
      <w:r>
        <w:rPr>
          <w:vertAlign w:val="baseline"/>
        </w:rPr>
        <w:t>practices in the construction industry. One</w:t>
      </w:r>
      <w:r>
        <w:rPr>
          <w:spacing w:val="-1"/>
          <w:vertAlign w:val="baseline"/>
        </w:rPr>
        <w:t> </w:t>
      </w:r>
      <w:r>
        <w:rPr>
          <w:vertAlign w:val="baseline"/>
        </w:rPr>
        <w:t>of</w:t>
      </w:r>
      <w:r>
        <w:rPr>
          <w:spacing w:val="-8"/>
          <w:vertAlign w:val="baseline"/>
        </w:rPr>
        <w:t> </w:t>
      </w:r>
      <w:r>
        <w:rPr>
          <w:vertAlign w:val="baseline"/>
        </w:rPr>
        <w:t>those</w:t>
      </w:r>
      <w:r>
        <w:rPr>
          <w:spacing w:val="-1"/>
          <w:vertAlign w:val="baseline"/>
        </w:rPr>
        <w:t> </w:t>
      </w:r>
      <w:r>
        <w:rPr>
          <w:vertAlign w:val="baseline"/>
        </w:rPr>
        <w:t>practices was</w:t>
      </w:r>
      <w:r>
        <w:rPr>
          <w:spacing w:val="-12"/>
          <w:vertAlign w:val="baseline"/>
        </w:rPr>
        <w:t> </w:t>
      </w:r>
      <w:r>
        <w:rPr>
          <w:vertAlign w:val="baseline"/>
        </w:rPr>
        <w:t>the</w:t>
      </w:r>
      <w:r>
        <w:rPr>
          <w:spacing w:val="-10"/>
          <w:vertAlign w:val="baseline"/>
        </w:rPr>
        <w:t> </w:t>
      </w:r>
      <w:r>
        <w:rPr>
          <w:vertAlign w:val="baseline"/>
        </w:rPr>
        <w:t>giving</w:t>
      </w:r>
      <w:r>
        <w:rPr>
          <w:spacing w:val="-9"/>
          <w:vertAlign w:val="baseline"/>
        </w:rPr>
        <w:t> </w:t>
      </w:r>
      <w:r>
        <w:rPr>
          <w:vertAlign w:val="baseline"/>
        </w:rPr>
        <w:t>and</w:t>
      </w:r>
      <w:r>
        <w:rPr>
          <w:spacing w:val="-9"/>
          <w:vertAlign w:val="baseline"/>
        </w:rPr>
        <w:t> </w:t>
      </w:r>
      <w:r>
        <w:rPr>
          <w:vertAlign w:val="baseline"/>
        </w:rPr>
        <w:t>taking</w:t>
      </w:r>
      <w:r>
        <w:rPr>
          <w:spacing w:val="-9"/>
          <w:vertAlign w:val="baseline"/>
        </w:rPr>
        <w:t> </w:t>
      </w:r>
      <w:r>
        <w:rPr>
          <w:vertAlign w:val="baseline"/>
        </w:rPr>
        <w:t>of</w:t>
      </w:r>
      <w:r>
        <w:rPr>
          <w:spacing w:val="-12"/>
          <w:vertAlign w:val="baseline"/>
        </w:rPr>
        <w:t> </w:t>
      </w:r>
      <w:r>
        <w:rPr>
          <w:vertAlign w:val="baseline"/>
        </w:rPr>
        <w:t>―covers,‖</w:t>
      </w:r>
      <w:r>
        <w:rPr>
          <w:spacing w:val="-10"/>
          <w:vertAlign w:val="baseline"/>
        </w:rPr>
        <w:t> </w:t>
      </w:r>
      <w:r>
        <w:rPr>
          <w:vertAlign w:val="baseline"/>
        </w:rPr>
        <w:t>that</w:t>
      </w:r>
      <w:r>
        <w:rPr>
          <w:spacing w:val="-5"/>
          <w:vertAlign w:val="baseline"/>
        </w:rPr>
        <w:t> </w:t>
      </w:r>
      <w:r>
        <w:rPr>
          <w:vertAlign w:val="baseline"/>
        </w:rPr>
        <w:t>is</w:t>
      </w:r>
      <w:r>
        <w:rPr>
          <w:spacing w:val="-12"/>
          <w:vertAlign w:val="baseline"/>
        </w:rPr>
        <w:t> </w:t>
      </w:r>
      <w:r>
        <w:rPr>
          <w:vertAlign w:val="baseline"/>
        </w:rPr>
        <w:t>to</w:t>
      </w:r>
      <w:r>
        <w:rPr>
          <w:spacing w:val="-5"/>
          <w:vertAlign w:val="baseline"/>
        </w:rPr>
        <w:t> </w:t>
      </w:r>
      <w:r>
        <w:rPr>
          <w:vertAlign w:val="baseline"/>
        </w:rPr>
        <w:t>say,</w:t>
      </w:r>
      <w:r>
        <w:rPr>
          <w:spacing w:val="-7"/>
          <w:vertAlign w:val="baseline"/>
        </w:rPr>
        <w:t> </w:t>
      </w:r>
      <w:r>
        <w:rPr>
          <w:vertAlign w:val="baseline"/>
        </w:rPr>
        <w:t>deliberately</w:t>
      </w:r>
      <w:r>
        <w:rPr>
          <w:spacing w:val="-6"/>
          <w:vertAlign w:val="baseline"/>
        </w:rPr>
        <w:t> </w:t>
      </w:r>
      <w:r>
        <w:rPr>
          <w:vertAlign w:val="baseline"/>
        </w:rPr>
        <w:t>submitting</w:t>
      </w:r>
      <w:r>
        <w:rPr>
          <w:spacing w:val="-9"/>
          <w:vertAlign w:val="baseline"/>
        </w:rPr>
        <w:t> </w:t>
      </w:r>
      <w:r>
        <w:rPr>
          <w:vertAlign w:val="baseline"/>
        </w:rPr>
        <w:t>a</w:t>
      </w:r>
      <w:r>
        <w:rPr>
          <w:spacing w:val="-6"/>
          <w:vertAlign w:val="baseline"/>
        </w:rPr>
        <w:t> </w:t>
      </w:r>
      <w:r>
        <w:rPr>
          <w:vertAlign w:val="baseline"/>
        </w:rPr>
        <w:t>bid</w:t>
      </w:r>
      <w:r>
        <w:rPr>
          <w:spacing w:val="-9"/>
          <w:vertAlign w:val="baseline"/>
        </w:rPr>
        <w:t> </w:t>
      </w:r>
      <w:r>
        <w:rPr>
          <w:vertAlign w:val="baseline"/>
        </w:rPr>
        <w:t>higher than other competing bids for a contract in the knowledge that it would not succeed, with the object of favouring a chosen tenderer amongst those colluding. Aware that the company was a subject of</w:t>
      </w:r>
      <w:r>
        <w:rPr>
          <w:spacing w:val="-3"/>
          <w:vertAlign w:val="baseline"/>
        </w:rPr>
        <w:t> </w:t>
      </w:r>
      <w:r>
        <w:rPr>
          <w:vertAlign w:val="baseline"/>
        </w:rPr>
        <w:t>the ongoing OFT investigation, when the plaintiff discovered that the company was involved in a cover regarding the hotel contract bid, he blew the whistle through an anonymous phone call placed to the senior project manager of the hotel.Angered by this, the defendant, the only other director and shareholder of the company, proceeded to exclude the plaintiff from the affairs of the company, alleging that the plaintiff had all the while acted in bad faith by attempting to jeopardize its business interests.</w:t>
      </w:r>
    </w:p>
    <w:p>
      <w:pPr>
        <w:pStyle w:val="BodyText"/>
        <w:spacing w:line="480" w:lineRule="auto" w:before="3"/>
        <w:ind w:right="235" w:firstLine="720"/>
        <w:jc w:val="both"/>
      </w:pPr>
      <w:r>
        <w:rPr/>
        <w:t>In a petition brought by the plaintiff against the defendant for his shares to be compulsorily bought at a fair price, citing unfair prejudice, the court made its findings</w:t>
      </w:r>
      <w:r>
        <w:rPr>
          <w:spacing w:val="40"/>
        </w:rPr>
        <w:t> </w:t>
      </w:r>
      <w:r>
        <w:rPr/>
        <w:t>as to his motives and concluded that he had acted</w:t>
      </w:r>
      <w:r>
        <w:rPr>
          <w:spacing w:val="-1"/>
        </w:rPr>
        <w:t> </w:t>
      </w:r>
      <w:r>
        <w:rPr/>
        <w:t>in</w:t>
      </w:r>
      <w:r>
        <w:rPr>
          <w:spacing w:val="-1"/>
        </w:rPr>
        <w:t> </w:t>
      </w:r>
      <w:r>
        <w:rPr/>
        <w:t>good faith</w:t>
      </w:r>
      <w:r>
        <w:rPr>
          <w:spacing w:val="-1"/>
        </w:rPr>
        <w:t> </w:t>
      </w:r>
      <w:r>
        <w:rPr/>
        <w:t>and in</w:t>
      </w:r>
      <w:r>
        <w:rPr>
          <w:spacing w:val="-1"/>
        </w:rPr>
        <w:t> </w:t>
      </w:r>
      <w:r>
        <w:rPr/>
        <w:t>the interest of</w:t>
      </w:r>
      <w:r>
        <w:rPr>
          <w:spacing w:val="-4"/>
        </w:rPr>
        <w:t> </w:t>
      </w:r>
      <w:r>
        <w:rPr/>
        <w:t>the company in exposing the unfair practice. Mrs Justice Proudman ruled that</w:t>
      </w:r>
    </w:p>
    <w:p>
      <w:pPr>
        <w:pStyle w:val="BodyText"/>
        <w:ind w:left="0"/>
        <w:rPr>
          <w:sz w:val="20"/>
        </w:rPr>
      </w:pPr>
    </w:p>
    <w:p>
      <w:pPr>
        <w:pStyle w:val="BodyText"/>
        <w:spacing w:before="43"/>
        <w:ind w:left="0"/>
        <w:rPr>
          <w:sz w:val="20"/>
        </w:rPr>
      </w:pPr>
      <w:r>
        <w:rPr/>
        <mc:AlternateContent>
          <mc:Choice Requires="wps">
            <w:drawing>
              <wp:anchor distT="0" distB="0" distL="0" distR="0" allowOverlap="1" layoutInCell="1" locked="0" behindDoc="1" simplePos="0" relativeHeight="487678464">
                <wp:simplePos x="0" y="0"/>
                <wp:positionH relativeFrom="page">
                  <wp:posOffset>1262481</wp:posOffset>
                </wp:positionH>
                <wp:positionV relativeFrom="paragraph">
                  <wp:posOffset>189134</wp:posOffset>
                </wp:positionV>
                <wp:extent cx="1829435" cy="9525"/>
                <wp:effectExtent l="0" t="0" r="0" b="0"/>
                <wp:wrapTopAndBottom/>
                <wp:docPr id="200" name="Graphic 200"/>
                <wp:cNvGraphicFramePr>
                  <a:graphicFrameLocks/>
                </wp:cNvGraphicFramePr>
                <a:graphic>
                  <a:graphicData uri="http://schemas.microsoft.com/office/word/2010/wordprocessingShape">
                    <wps:wsp>
                      <wps:cNvPr id="200" name="Graphic 20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509pt;width:144.050pt;height:.72003pt;mso-position-horizontal-relative:page;mso-position-vertical-relative:paragraph;z-index:-15638016;mso-wrap-distance-left:0;mso-wrap-distance-right:0" id="docshape155" filled="true" fillcolor="#000000" stroked="false">
                <v:fill type="solid"/>
                <w10:wrap type="topAndBottom"/>
              </v:rect>
            </w:pict>
          </mc:Fallback>
        </mc:AlternateContent>
      </w:r>
    </w:p>
    <w:p>
      <w:pPr>
        <w:spacing w:before="103"/>
        <w:ind w:left="308" w:right="224" w:firstLine="0"/>
        <w:jc w:val="both"/>
        <w:rPr>
          <w:rFonts w:ascii="Calibri"/>
          <w:sz w:val="20"/>
        </w:rPr>
      </w:pPr>
      <w:r>
        <w:rPr>
          <w:rFonts w:ascii="Calibri"/>
          <w:sz w:val="20"/>
          <w:vertAlign w:val="superscript"/>
        </w:rPr>
        <w:t>62</w:t>
      </w:r>
      <w:r>
        <w:rPr>
          <w:rFonts w:ascii="Calibri"/>
          <w:i/>
          <w:sz w:val="20"/>
          <w:vertAlign w:val="baseline"/>
        </w:rPr>
        <w:t>Shepherd vs. Williamson </w:t>
      </w:r>
      <w:r>
        <w:rPr>
          <w:rFonts w:ascii="Calibri"/>
          <w:sz w:val="20"/>
          <w:vertAlign w:val="baseline"/>
        </w:rPr>
        <w:t>(2010) EWHC 2375, Ch. An electronic copy of the judgment can be accessed</w:t>
      </w:r>
      <w:r>
        <w:rPr>
          <w:rFonts w:ascii="Calibri"/>
          <w:spacing w:val="80"/>
          <w:sz w:val="20"/>
          <w:vertAlign w:val="baseline"/>
        </w:rPr>
        <w:t> </w:t>
      </w:r>
      <w:r>
        <w:rPr>
          <w:rFonts w:ascii="Calibri"/>
          <w:sz w:val="20"/>
          <w:vertAlign w:val="baseline"/>
        </w:rPr>
        <w:t>at </w:t>
      </w:r>
      <w:hyperlink r:id="rId49">
        <w:r>
          <w:rPr>
            <w:rFonts w:ascii="Calibri"/>
            <w:color w:val="0000FF"/>
            <w:sz w:val="20"/>
            <w:u w:val="single" w:color="0000FF"/>
            <w:vertAlign w:val="baseline"/>
          </w:rPr>
          <w:t>http://www.bailii.org/ew/cases/EWHC/Ch/2010/2375.html</w:t>
        </w:r>
      </w:hyperlink>
      <w:r>
        <w:rPr>
          <w:rFonts w:ascii="Calibri"/>
          <w:i/>
          <w:sz w:val="20"/>
          <w:vertAlign w:val="baseline"/>
        </w:rPr>
        <w:t>, </w:t>
      </w:r>
      <w:r>
        <w:rPr>
          <w:rFonts w:ascii="Calibri"/>
          <w:sz w:val="20"/>
          <w:vertAlign w:val="baseline"/>
        </w:rPr>
        <w:t>last visited October 23, 2013. The court cited the</w:t>
      </w:r>
      <w:r>
        <w:rPr>
          <w:rFonts w:ascii="Calibri"/>
          <w:spacing w:val="-4"/>
          <w:sz w:val="20"/>
          <w:vertAlign w:val="baseline"/>
        </w:rPr>
        <w:t> </w:t>
      </w:r>
      <w:r>
        <w:rPr>
          <w:rFonts w:ascii="Calibri"/>
          <w:sz w:val="20"/>
          <w:vertAlign w:val="baseline"/>
        </w:rPr>
        <w:t>cases</w:t>
      </w:r>
      <w:r>
        <w:rPr>
          <w:rFonts w:ascii="Calibri"/>
          <w:spacing w:val="-1"/>
          <w:sz w:val="20"/>
          <w:vertAlign w:val="baseline"/>
        </w:rPr>
        <w:t> </w:t>
      </w:r>
      <w:r>
        <w:rPr>
          <w:rFonts w:ascii="Calibri"/>
          <w:sz w:val="20"/>
          <w:vertAlign w:val="baseline"/>
        </w:rPr>
        <w:t>of </w:t>
      </w:r>
      <w:r>
        <w:rPr>
          <w:rFonts w:ascii="Calibri"/>
          <w:i/>
          <w:sz w:val="20"/>
          <w:vertAlign w:val="baseline"/>
        </w:rPr>
        <w:t>Re Smith and Fawcett Ltd. </w:t>
      </w:r>
      <w:r>
        <w:rPr>
          <w:rFonts w:ascii="Calibri"/>
          <w:sz w:val="20"/>
          <w:vertAlign w:val="baseline"/>
        </w:rPr>
        <w:t>(1942) Ch. 304; </w:t>
      </w:r>
      <w:r>
        <w:rPr>
          <w:rFonts w:ascii="Calibri"/>
          <w:i/>
          <w:sz w:val="20"/>
          <w:vertAlign w:val="baseline"/>
        </w:rPr>
        <w:t>Re Regentcrest Plc. vs. Cohen </w:t>
      </w:r>
      <w:r>
        <w:rPr>
          <w:rFonts w:ascii="Calibri"/>
          <w:sz w:val="20"/>
          <w:vertAlign w:val="baseline"/>
        </w:rPr>
        <w:t>(2001) 2 BCLC 80; and </w:t>
      </w:r>
      <w:r>
        <w:rPr>
          <w:rFonts w:ascii="Calibri"/>
          <w:i/>
          <w:sz w:val="20"/>
          <w:vertAlign w:val="baseline"/>
        </w:rPr>
        <w:t>Extrasure Travel Insurance Ltd. vs. Scattergood </w:t>
      </w:r>
      <w:r>
        <w:rPr>
          <w:rFonts w:ascii="Calibri"/>
          <w:sz w:val="20"/>
          <w:vertAlign w:val="baseline"/>
        </w:rPr>
        <w:t>(2003) 1 BCLC 598, Ch.D., with approval.</w:t>
      </w:r>
    </w:p>
    <w:p>
      <w:pPr>
        <w:spacing w:before="2"/>
        <w:ind w:left="308" w:right="0" w:firstLine="0"/>
        <w:jc w:val="both"/>
        <w:rPr>
          <w:rFonts w:ascii="Calibri"/>
          <w:sz w:val="20"/>
        </w:rPr>
      </w:pPr>
      <w:r>
        <w:rPr>
          <w:rFonts w:ascii="Calibri"/>
          <w:sz w:val="20"/>
          <w:vertAlign w:val="superscript"/>
        </w:rPr>
        <w:t>63</w:t>
      </w:r>
      <w:r>
        <w:rPr>
          <w:rFonts w:ascii="Calibri"/>
          <w:spacing w:val="-1"/>
          <w:sz w:val="20"/>
          <w:vertAlign w:val="baseline"/>
        </w:rPr>
        <w:t> </w:t>
      </w:r>
      <w:r>
        <w:rPr>
          <w:rFonts w:ascii="Calibri"/>
          <w:sz w:val="20"/>
          <w:vertAlign w:val="baseline"/>
        </w:rPr>
        <w:t>(2010)</w:t>
      </w:r>
      <w:r>
        <w:rPr>
          <w:rFonts w:ascii="Calibri"/>
          <w:spacing w:val="-5"/>
          <w:sz w:val="20"/>
          <w:vertAlign w:val="baseline"/>
        </w:rPr>
        <w:t> </w:t>
      </w:r>
      <w:r>
        <w:rPr>
          <w:rFonts w:ascii="Calibri"/>
          <w:sz w:val="20"/>
          <w:vertAlign w:val="baseline"/>
        </w:rPr>
        <w:t>EWHC</w:t>
      </w:r>
      <w:r>
        <w:rPr>
          <w:rFonts w:ascii="Calibri"/>
          <w:spacing w:val="-4"/>
          <w:sz w:val="20"/>
          <w:vertAlign w:val="baseline"/>
        </w:rPr>
        <w:t> </w:t>
      </w:r>
      <w:r>
        <w:rPr>
          <w:rFonts w:ascii="Calibri"/>
          <w:sz w:val="20"/>
          <w:vertAlign w:val="baseline"/>
        </w:rPr>
        <w:t>2375,</w:t>
      </w:r>
      <w:r>
        <w:rPr>
          <w:rFonts w:ascii="Calibri"/>
          <w:spacing w:val="-4"/>
          <w:sz w:val="20"/>
          <w:vertAlign w:val="baseline"/>
        </w:rPr>
        <w:t> </w:t>
      </w:r>
      <w:r>
        <w:rPr>
          <w:rFonts w:ascii="Calibri"/>
          <w:spacing w:val="-5"/>
          <w:sz w:val="20"/>
          <w:vertAlign w:val="baseline"/>
        </w:rPr>
        <w:t>Ch.</w:t>
      </w:r>
    </w:p>
    <w:p>
      <w:pPr>
        <w:spacing w:after="0"/>
        <w:jc w:val="both"/>
        <w:rPr>
          <w:rFonts w:ascii="Calibri"/>
          <w:sz w:val="20"/>
        </w:rPr>
        <w:sectPr>
          <w:pgSz w:w="11910" w:h="16840"/>
          <w:pgMar w:header="0" w:footer="1003" w:top="1280" w:bottom="1200" w:left="1680" w:right="1180"/>
        </w:sectPr>
      </w:pPr>
    </w:p>
    <w:p>
      <w:pPr>
        <w:spacing w:line="240" w:lineRule="auto" w:before="70"/>
        <w:ind w:left="2007" w:right="1886" w:firstLine="0"/>
        <w:jc w:val="both"/>
        <w:rPr>
          <w:i/>
          <w:sz w:val="24"/>
        </w:rPr>
      </w:pPr>
      <w:r>
        <w:rPr>
          <w:i/>
          <w:sz w:val="24"/>
        </w:rPr>
        <w:t>Applying the criteria laid down in s. 172, Mr Shepherd was balancing the </w:t>
      </w:r>
      <w:r>
        <w:rPr>
          <w:i/>
          <w:sz w:val="24"/>
        </w:rPr>
        <w:t>deleterious consequences of his conduct as far as its relations with its major customer was concerned, and the potential for damage to the Company's employees if the contract was not gained, (s. 172 (1) (a) (b) and (c)), against the Company's reputation as a whole (s. 172(1)(d) and (e)) in the light of the OFT investigation. The decision as to what promotes the success of the Company within s. 172(1) is one for a director's subjective judgment, exercised in good faith...In my judgment Mr Shepherd cannot be criticised for wanting to ensure that the contract was not obtained by the use of collusive activities, irrespective of whether it meant that the Company might lose the contract altogether.</w:t>
      </w:r>
      <w:r>
        <w:rPr>
          <w:i/>
          <w:sz w:val="24"/>
          <w:vertAlign w:val="superscript"/>
        </w:rPr>
        <w:t>64</w:t>
      </w:r>
    </w:p>
    <w:p>
      <w:pPr>
        <w:pStyle w:val="BodyText"/>
        <w:spacing w:before="4"/>
        <w:ind w:left="0"/>
        <w:rPr>
          <w:i/>
        </w:rPr>
      </w:pPr>
    </w:p>
    <w:p>
      <w:pPr>
        <w:pStyle w:val="BodyText"/>
        <w:spacing w:line="480" w:lineRule="auto"/>
        <w:ind w:right="228"/>
        <w:jc w:val="both"/>
      </w:pPr>
      <w:r>
        <w:rPr/>
        <w:t>Conclusively, if a director can justify his actions under s.172, he cannot be found to be in breach of his duty to act in the best interests of the company. A fortiori, securing a contract or improving profit cannot be a defence to contravening any law or public policy. The fact that</w:t>
      </w:r>
      <w:r>
        <w:rPr>
          <w:spacing w:val="-1"/>
        </w:rPr>
        <w:t> </w:t>
      </w:r>
      <w:r>
        <w:rPr/>
        <w:t>they</w:t>
      </w:r>
      <w:r>
        <w:rPr>
          <w:spacing w:val="-6"/>
        </w:rPr>
        <w:t> </w:t>
      </w:r>
      <w:r>
        <w:rPr/>
        <w:t>benefit from</w:t>
      </w:r>
      <w:r>
        <w:rPr>
          <w:spacing w:val="-9"/>
        </w:rPr>
        <w:t> </w:t>
      </w:r>
      <w:r>
        <w:rPr/>
        <w:t>the success of</w:t>
      </w:r>
      <w:r>
        <w:rPr>
          <w:spacing w:val="-8"/>
        </w:rPr>
        <w:t> </w:t>
      </w:r>
      <w:r>
        <w:rPr/>
        <w:t>the</w:t>
      </w:r>
      <w:r>
        <w:rPr>
          <w:spacing w:val="-2"/>
        </w:rPr>
        <w:t> </w:t>
      </w:r>
      <w:r>
        <w:rPr/>
        <w:t>company</w:t>
      </w:r>
      <w:r>
        <w:rPr>
          <w:spacing w:val="-1"/>
        </w:rPr>
        <w:t> </w:t>
      </w:r>
      <w:r>
        <w:rPr/>
        <w:t>should not encourage a director to jettison the items in s.172 in order to please shareholders. The idea, as earlier stated, is to always consider the long-term consequences. Yet, it has been suggested that the reference by the section to ―the long-term‖ does not mean that the directors</w:t>
      </w:r>
      <w:r>
        <w:rPr>
          <w:spacing w:val="-2"/>
        </w:rPr>
        <w:t> </w:t>
      </w:r>
      <w:r>
        <w:rPr/>
        <w:t>cannot focus</w:t>
      </w:r>
      <w:r>
        <w:rPr>
          <w:spacing w:val="-2"/>
        </w:rPr>
        <w:t> </w:t>
      </w:r>
      <w:r>
        <w:rPr/>
        <w:t>on</w:t>
      </w:r>
      <w:r>
        <w:rPr>
          <w:spacing w:val="-5"/>
        </w:rPr>
        <w:t> </w:t>
      </w:r>
      <w:r>
        <w:rPr/>
        <w:t>the</w:t>
      </w:r>
      <w:r>
        <w:rPr>
          <w:spacing w:val="-1"/>
        </w:rPr>
        <w:t> </w:t>
      </w:r>
      <w:r>
        <w:rPr/>
        <w:t>short term</w:t>
      </w:r>
      <w:r>
        <w:rPr>
          <w:spacing w:val="-5"/>
        </w:rPr>
        <w:t> </w:t>
      </w:r>
      <w:r>
        <w:rPr/>
        <w:t>if</w:t>
      </w:r>
      <w:r>
        <w:rPr>
          <w:spacing w:val="-3"/>
        </w:rPr>
        <w:t> </w:t>
      </w:r>
      <w:r>
        <w:rPr/>
        <w:t>they believe bona fide</w:t>
      </w:r>
      <w:r>
        <w:rPr>
          <w:spacing w:val="-1"/>
        </w:rPr>
        <w:t> </w:t>
      </w:r>
      <w:r>
        <w:rPr/>
        <w:t>that it will</w:t>
      </w:r>
      <w:r>
        <w:rPr>
          <w:spacing w:val="-4"/>
        </w:rPr>
        <w:t> </w:t>
      </w:r>
      <w:r>
        <w:rPr/>
        <w:t>promote</w:t>
      </w:r>
      <w:r>
        <w:rPr>
          <w:spacing w:val="-6"/>
        </w:rPr>
        <w:t> </w:t>
      </w:r>
      <w:r>
        <w:rPr/>
        <w:t>the success of the company for the benefit of its members.</w:t>
      </w:r>
      <w:r>
        <w:rPr>
          <w:vertAlign w:val="superscript"/>
        </w:rPr>
        <w:t>65</w:t>
      </w:r>
    </w:p>
    <w:p>
      <w:pPr>
        <w:pStyle w:val="BodyText"/>
        <w:spacing w:line="480" w:lineRule="auto" w:before="2"/>
        <w:ind w:right="231" w:firstLine="720"/>
        <w:jc w:val="both"/>
      </w:pPr>
      <w:r>
        <w:rPr/>
        <w:t>But what does Parliament mean by ―success‖ in relation to the company and how is it to be determined? Can it be rated purely on financial terms? In answer to the question</w:t>
      </w:r>
      <w:r>
        <w:rPr>
          <w:spacing w:val="-5"/>
        </w:rPr>
        <w:t> </w:t>
      </w:r>
      <w:r>
        <w:rPr/>
        <w:t>posed, Lord Goldsmith</w:t>
      </w:r>
      <w:r>
        <w:rPr>
          <w:spacing w:val="-5"/>
        </w:rPr>
        <w:t> </w:t>
      </w:r>
      <w:r>
        <w:rPr/>
        <w:t>of</w:t>
      </w:r>
      <w:r>
        <w:rPr>
          <w:spacing w:val="-7"/>
        </w:rPr>
        <w:t> </w:t>
      </w:r>
      <w:r>
        <w:rPr/>
        <w:t>the Lords</w:t>
      </w:r>
      <w:r>
        <w:rPr>
          <w:spacing w:val="-2"/>
        </w:rPr>
        <w:t> </w:t>
      </w:r>
      <w:r>
        <w:rPr/>
        <w:t>Grand Committee</w:t>
      </w:r>
      <w:r>
        <w:rPr>
          <w:spacing w:val="-1"/>
        </w:rPr>
        <w:t> </w:t>
      </w:r>
      <w:r>
        <w:rPr/>
        <w:t>of</w:t>
      </w:r>
      <w:r>
        <w:rPr>
          <w:spacing w:val="-7"/>
        </w:rPr>
        <w:t> </w:t>
      </w:r>
      <w:r>
        <w:rPr/>
        <w:t>Parliament suggested </w:t>
      </w:r>
      <w:r>
        <w:rPr>
          <w:spacing w:val="-4"/>
        </w:rPr>
        <w:t>that</w:t>
      </w:r>
    </w:p>
    <w:p>
      <w:pPr>
        <w:spacing w:line="240" w:lineRule="auto" w:before="0"/>
        <w:ind w:left="2007" w:right="1888" w:firstLine="0"/>
        <w:jc w:val="both"/>
        <w:rPr>
          <w:i/>
          <w:sz w:val="24"/>
        </w:rPr>
      </w:pPr>
      <w:r>
        <w:rPr>
          <w:i/>
          <w:sz w:val="24"/>
        </w:rPr>
        <w:t>The starting point is that it is essentially for the members of the company to define the objective they wish to achieve. Success means what the members collectively</w:t>
      </w:r>
      <w:r>
        <w:rPr>
          <w:i/>
          <w:spacing w:val="50"/>
          <w:w w:val="150"/>
          <w:sz w:val="24"/>
        </w:rPr>
        <w:t> </w:t>
      </w:r>
      <w:r>
        <w:rPr>
          <w:i/>
          <w:sz w:val="24"/>
        </w:rPr>
        <w:t>want</w:t>
      </w:r>
      <w:r>
        <w:rPr>
          <w:i/>
          <w:spacing w:val="76"/>
          <w:sz w:val="24"/>
        </w:rPr>
        <w:t> </w:t>
      </w:r>
      <w:r>
        <w:rPr>
          <w:i/>
          <w:sz w:val="24"/>
        </w:rPr>
        <w:t>the</w:t>
      </w:r>
      <w:r>
        <w:rPr>
          <w:i/>
          <w:spacing w:val="75"/>
          <w:sz w:val="24"/>
        </w:rPr>
        <w:t> </w:t>
      </w:r>
      <w:r>
        <w:rPr>
          <w:i/>
          <w:sz w:val="24"/>
        </w:rPr>
        <w:t>company</w:t>
      </w:r>
      <w:r>
        <w:rPr>
          <w:i/>
          <w:spacing w:val="74"/>
          <w:sz w:val="24"/>
        </w:rPr>
        <w:t> </w:t>
      </w:r>
      <w:r>
        <w:rPr>
          <w:i/>
          <w:sz w:val="24"/>
        </w:rPr>
        <w:t>to</w:t>
      </w:r>
      <w:r>
        <w:rPr>
          <w:i/>
          <w:spacing w:val="76"/>
          <w:sz w:val="24"/>
        </w:rPr>
        <w:t> </w:t>
      </w:r>
      <w:r>
        <w:rPr>
          <w:i/>
          <w:sz w:val="24"/>
        </w:rPr>
        <w:t>achieve.</w:t>
      </w:r>
      <w:r>
        <w:rPr>
          <w:i/>
          <w:spacing w:val="78"/>
          <w:sz w:val="24"/>
        </w:rPr>
        <w:t> </w:t>
      </w:r>
      <w:r>
        <w:rPr>
          <w:i/>
          <w:sz w:val="24"/>
        </w:rPr>
        <w:t>For</w:t>
      </w:r>
      <w:r>
        <w:rPr>
          <w:i/>
          <w:spacing w:val="79"/>
          <w:sz w:val="24"/>
        </w:rPr>
        <w:t> </w:t>
      </w:r>
      <w:r>
        <w:rPr>
          <w:i/>
          <w:spacing w:val="-10"/>
          <w:sz w:val="24"/>
        </w:rPr>
        <w:t>a</w:t>
      </w:r>
    </w:p>
    <w:p>
      <w:pPr>
        <w:pStyle w:val="BodyText"/>
        <w:spacing w:before="177"/>
        <w:ind w:left="0"/>
        <w:rPr>
          <w:i/>
          <w:sz w:val="20"/>
        </w:rPr>
      </w:pPr>
      <w:r>
        <w:rPr/>
        <mc:AlternateContent>
          <mc:Choice Requires="wps">
            <w:drawing>
              <wp:anchor distT="0" distB="0" distL="0" distR="0" allowOverlap="1" layoutInCell="1" locked="0" behindDoc="1" simplePos="0" relativeHeight="487678976">
                <wp:simplePos x="0" y="0"/>
                <wp:positionH relativeFrom="page">
                  <wp:posOffset>1262481</wp:posOffset>
                </wp:positionH>
                <wp:positionV relativeFrom="paragraph">
                  <wp:posOffset>274257</wp:posOffset>
                </wp:positionV>
                <wp:extent cx="1829435" cy="9525"/>
                <wp:effectExtent l="0" t="0" r="0" b="0"/>
                <wp:wrapTopAndBottom/>
                <wp:docPr id="201" name="Graphic 201"/>
                <wp:cNvGraphicFramePr>
                  <a:graphicFrameLocks/>
                </wp:cNvGraphicFramePr>
                <a:graphic>
                  <a:graphicData uri="http://schemas.microsoft.com/office/word/2010/wordprocessingShape">
                    <wps:wsp>
                      <wps:cNvPr id="201" name="Graphic 20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595108pt;width:144.050pt;height:.71997pt;mso-position-horizontal-relative:page;mso-position-vertical-relative:paragraph;z-index:-15637504;mso-wrap-distance-left:0;mso-wrap-distance-right:0" id="docshape15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64</w:t>
      </w:r>
      <w:r>
        <w:rPr>
          <w:rFonts w:ascii="Calibri"/>
          <w:sz w:val="20"/>
          <w:vertAlign w:val="baseline"/>
        </w:rPr>
        <w:t>Ibid.,</w:t>
      </w:r>
      <w:r>
        <w:rPr>
          <w:rFonts w:ascii="Calibri"/>
          <w:spacing w:val="-6"/>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paragraphs</w:t>
      </w:r>
      <w:r>
        <w:rPr>
          <w:rFonts w:ascii="Calibri"/>
          <w:spacing w:val="-10"/>
          <w:sz w:val="20"/>
          <w:vertAlign w:val="baseline"/>
        </w:rPr>
        <w:t> </w:t>
      </w:r>
      <w:r>
        <w:rPr>
          <w:rFonts w:ascii="Calibri"/>
          <w:sz w:val="20"/>
          <w:vertAlign w:val="baseline"/>
        </w:rPr>
        <w:t>103-</w:t>
      </w:r>
      <w:r>
        <w:rPr>
          <w:rFonts w:ascii="Calibri"/>
          <w:spacing w:val="-4"/>
          <w:sz w:val="20"/>
          <w:vertAlign w:val="baseline"/>
        </w:rPr>
        <w:t>104.</w:t>
      </w:r>
    </w:p>
    <w:p>
      <w:pPr>
        <w:spacing w:before="1"/>
        <w:ind w:left="308" w:right="0" w:firstLine="0"/>
        <w:jc w:val="left"/>
        <w:rPr>
          <w:rFonts w:ascii="Calibri"/>
          <w:sz w:val="20"/>
        </w:rPr>
      </w:pPr>
      <w:r>
        <w:rPr>
          <w:rFonts w:ascii="Calibri"/>
          <w:sz w:val="20"/>
          <w:vertAlign w:val="superscript"/>
        </w:rPr>
        <w:t>65</w:t>
      </w:r>
      <w:r>
        <w:rPr>
          <w:rFonts w:ascii="Calibri"/>
          <w:sz w:val="20"/>
          <w:vertAlign w:val="baseline"/>
        </w:rPr>
        <w:t>Keay,</w:t>
      </w:r>
      <w:r>
        <w:rPr>
          <w:rFonts w:ascii="Calibri"/>
          <w:spacing w:val="-5"/>
          <w:sz w:val="20"/>
          <w:vertAlign w:val="baseline"/>
        </w:rPr>
        <w:t> </w:t>
      </w:r>
      <w:r>
        <w:rPr>
          <w:rFonts w:ascii="Calibri"/>
          <w:sz w:val="20"/>
          <w:vertAlign w:val="baseline"/>
        </w:rPr>
        <w:t>A.</w:t>
      </w:r>
      <w:r>
        <w:rPr>
          <w:rFonts w:ascii="Calibri"/>
          <w:spacing w:val="-5"/>
          <w:sz w:val="20"/>
          <w:vertAlign w:val="baseline"/>
        </w:rPr>
        <w:t> </w:t>
      </w:r>
      <w:r>
        <w:rPr>
          <w:rFonts w:ascii="Calibri"/>
          <w:sz w:val="20"/>
          <w:vertAlign w:val="baseline"/>
        </w:rPr>
        <w:t>(2010)</w:t>
      </w:r>
      <w:r>
        <w:rPr>
          <w:rFonts w:ascii="Calibri"/>
          <w:spacing w:val="-6"/>
          <w:sz w:val="20"/>
          <w:vertAlign w:val="baseline"/>
        </w:rPr>
        <w:t> </w:t>
      </w:r>
      <w:r>
        <w:rPr>
          <w:rFonts w:ascii="Calibri"/>
          <w:sz w:val="20"/>
          <w:vertAlign w:val="baseline"/>
        </w:rPr>
        <w:t>op.cit.atp.</w:t>
      </w:r>
      <w:r>
        <w:rPr>
          <w:rFonts w:ascii="Calibri"/>
          <w:spacing w:val="-6"/>
          <w:sz w:val="20"/>
          <w:vertAlign w:val="baseline"/>
        </w:rPr>
        <w:t> </w:t>
      </w:r>
      <w:r>
        <w:rPr>
          <w:rFonts w:ascii="Calibri"/>
          <w:spacing w:val="-5"/>
          <w:sz w:val="20"/>
          <w:vertAlign w:val="baseline"/>
        </w:rPr>
        <w:t>25.</w:t>
      </w:r>
    </w:p>
    <w:p>
      <w:pPr>
        <w:spacing w:after="0"/>
        <w:jc w:val="left"/>
        <w:rPr>
          <w:rFonts w:ascii="Calibri"/>
          <w:sz w:val="20"/>
        </w:rPr>
        <w:sectPr>
          <w:pgSz w:w="11910" w:h="16840"/>
          <w:pgMar w:header="0" w:footer="1003" w:top="1320" w:bottom="1200" w:left="1680" w:right="1180"/>
        </w:sectPr>
      </w:pPr>
    </w:p>
    <w:p>
      <w:pPr>
        <w:spacing w:line="240" w:lineRule="auto" w:before="70"/>
        <w:ind w:left="2007" w:right="1887" w:firstLine="0"/>
        <w:jc w:val="both"/>
        <w:rPr>
          <w:sz w:val="24"/>
        </w:rPr>
      </w:pPr>
      <w:r>
        <w:rPr>
          <w:i/>
          <w:sz w:val="24"/>
        </w:rPr>
        <w:t>commercial company, success will usually mean long-term increase in value. but the company's constitution and decisions made under it may also</w:t>
      </w:r>
      <w:r>
        <w:rPr>
          <w:i/>
          <w:spacing w:val="40"/>
          <w:sz w:val="24"/>
        </w:rPr>
        <w:t> </w:t>
      </w:r>
      <w:r>
        <w:rPr>
          <w:i/>
          <w:sz w:val="24"/>
        </w:rPr>
        <w:t>lay down the appropriate success model for the company...For certain companies, such as charities and community interest companies, it will mean the attainment of the objectives for which the company has been established.</w:t>
      </w:r>
      <w:r>
        <w:rPr>
          <w:sz w:val="24"/>
          <w:vertAlign w:val="superscript"/>
        </w:rPr>
        <w:t>66</w:t>
      </w:r>
    </w:p>
    <w:p>
      <w:pPr>
        <w:pStyle w:val="BodyText"/>
        <w:spacing w:before="3"/>
        <w:ind w:left="0"/>
      </w:pPr>
    </w:p>
    <w:p>
      <w:pPr>
        <w:pStyle w:val="BodyText"/>
        <w:spacing w:line="480" w:lineRule="auto"/>
        <w:ind w:right="235"/>
        <w:jc w:val="both"/>
      </w:pPr>
      <w:r>
        <w:rPr/>
        <w:t>Although most companies are usually set up for the benefit of members, s. 172(2) recognises the peculiarity of charitable or other altruistic companies in having</w:t>
      </w:r>
      <w:r>
        <w:rPr>
          <w:spacing w:val="40"/>
        </w:rPr>
        <w:t> </w:t>
      </w:r>
      <w:r>
        <w:rPr/>
        <w:t>objectives other than benefiting members. Apart from such designated companies, however, the vast majority which are commercially inclined can venture into anything. Indeed, the Act abolishes the need for companies to state their objective in the memorandum: unless a company‘s articles specifically restrict the objects of the company, its objects are unrestricted.</w:t>
      </w:r>
      <w:r>
        <w:rPr>
          <w:vertAlign w:val="superscript"/>
        </w:rPr>
        <w:t>67</w:t>
      </w:r>
      <w:r>
        <w:rPr>
          <w:vertAlign w:val="baseline"/>
        </w:rPr>
        <w:t> Thus members can, through resolutions, decide at every turn, what the company should aim to achieve.</w:t>
      </w:r>
    </w:p>
    <w:p>
      <w:pPr>
        <w:pStyle w:val="BodyText"/>
        <w:spacing w:line="480" w:lineRule="auto" w:before="2"/>
        <w:ind w:right="221" w:firstLine="720"/>
        <w:jc w:val="both"/>
      </w:pPr>
      <w:r>
        <w:rPr/>
        <w:t>Lord Goldsmith‘s suggestion that </w:t>
      </w:r>
      <w:r>
        <w:rPr>
          <w:i/>
        </w:rPr>
        <w:t>success for a commercial company will</w:t>
      </w:r>
      <w:r>
        <w:rPr>
          <w:i/>
          <w:spacing w:val="40"/>
        </w:rPr>
        <w:t> </w:t>
      </w:r>
      <w:r>
        <w:rPr>
          <w:i/>
        </w:rPr>
        <w:t>usually mean long-term increase in value</w:t>
      </w:r>
      <w:r>
        <w:rPr/>
        <w:t>, is an attempt to draw attention to the ESV principle promoted by the section, so that shareholders would not always be looking to lay their hands on profit at the slightest opportunity but instead, consider the long-term implications of their demands on the company. Accordingly, the legitimate aim of maximising shareholder wealth should be tempered with an express acknowledgement that any company‘s prospects of success are dependent on its effective management of the various risks that confront it along the way.</w:t>
      </w:r>
      <w:r>
        <w:rPr>
          <w:vertAlign w:val="superscript"/>
        </w:rPr>
        <w:t>68</w:t>
      </w:r>
      <w:r>
        <w:rPr>
          <w:vertAlign w:val="baseline"/>
        </w:rPr>
        <w:t> It is intended that this </w:t>
      </w:r>
      <w:r>
        <w:rPr>
          <w:i/>
          <w:vertAlign w:val="baseline"/>
        </w:rPr>
        <w:t>decision </w:t>
      </w:r>
      <w:r>
        <w:rPr>
          <w:vertAlign w:val="baseline"/>
        </w:rPr>
        <w:t>as to what</w:t>
      </w:r>
      <w:r>
        <w:rPr>
          <w:spacing w:val="31"/>
          <w:vertAlign w:val="baseline"/>
        </w:rPr>
        <w:t> </w:t>
      </w:r>
      <w:r>
        <w:rPr>
          <w:vertAlign w:val="baseline"/>
        </w:rPr>
        <w:t>will</w:t>
      </w:r>
      <w:r>
        <w:rPr>
          <w:spacing w:val="25"/>
          <w:vertAlign w:val="baseline"/>
        </w:rPr>
        <w:t> </w:t>
      </w:r>
      <w:r>
        <w:rPr>
          <w:vertAlign w:val="baseline"/>
        </w:rPr>
        <w:t>promote</w:t>
      </w:r>
      <w:r>
        <w:rPr>
          <w:spacing w:val="23"/>
          <w:vertAlign w:val="baseline"/>
        </w:rPr>
        <w:t> </w:t>
      </w:r>
      <w:r>
        <w:rPr>
          <w:vertAlign w:val="baseline"/>
        </w:rPr>
        <w:t>the</w:t>
      </w:r>
      <w:r>
        <w:rPr>
          <w:spacing w:val="28"/>
          <w:vertAlign w:val="baseline"/>
        </w:rPr>
        <w:t> </w:t>
      </w:r>
      <w:r>
        <w:rPr>
          <w:vertAlign w:val="baseline"/>
        </w:rPr>
        <w:t>success</w:t>
      </w:r>
      <w:r>
        <w:rPr>
          <w:spacing w:val="26"/>
          <w:vertAlign w:val="baseline"/>
        </w:rPr>
        <w:t> </w:t>
      </w:r>
      <w:r>
        <w:rPr>
          <w:vertAlign w:val="baseline"/>
        </w:rPr>
        <w:t>of</w:t>
      </w:r>
      <w:r>
        <w:rPr>
          <w:spacing w:val="21"/>
          <w:vertAlign w:val="baseline"/>
        </w:rPr>
        <w:t> </w:t>
      </w:r>
      <w:r>
        <w:rPr>
          <w:vertAlign w:val="baseline"/>
        </w:rPr>
        <w:t>the</w:t>
      </w:r>
      <w:r>
        <w:rPr>
          <w:spacing w:val="27"/>
          <w:vertAlign w:val="baseline"/>
        </w:rPr>
        <w:t> </w:t>
      </w:r>
      <w:r>
        <w:rPr>
          <w:vertAlign w:val="baseline"/>
        </w:rPr>
        <w:t>company,</w:t>
      </w:r>
      <w:r>
        <w:rPr>
          <w:spacing w:val="35"/>
          <w:vertAlign w:val="baseline"/>
        </w:rPr>
        <w:t> </w:t>
      </w:r>
      <w:r>
        <w:rPr>
          <w:vertAlign w:val="baseline"/>
        </w:rPr>
        <w:t>and</w:t>
      </w:r>
      <w:r>
        <w:rPr>
          <w:spacing w:val="40"/>
          <w:vertAlign w:val="baseline"/>
        </w:rPr>
        <w:t> </w:t>
      </w:r>
      <w:r>
        <w:rPr>
          <w:i/>
          <w:vertAlign w:val="baseline"/>
        </w:rPr>
        <w:t>what</w:t>
      </w:r>
      <w:r>
        <w:rPr>
          <w:i/>
          <w:spacing w:val="29"/>
          <w:vertAlign w:val="baseline"/>
        </w:rPr>
        <w:t> </w:t>
      </w:r>
      <w:r>
        <w:rPr>
          <w:i/>
          <w:vertAlign w:val="baseline"/>
        </w:rPr>
        <w:t>constitutes</w:t>
      </w:r>
      <w:r>
        <w:rPr>
          <w:i/>
          <w:spacing w:val="26"/>
          <w:vertAlign w:val="baseline"/>
        </w:rPr>
        <w:t> </w:t>
      </w:r>
      <w:r>
        <w:rPr>
          <w:i/>
          <w:vertAlign w:val="baseline"/>
        </w:rPr>
        <w:t>such</w:t>
      </w:r>
      <w:r>
        <w:rPr>
          <w:i/>
          <w:spacing w:val="28"/>
          <w:vertAlign w:val="baseline"/>
        </w:rPr>
        <w:t> </w:t>
      </w:r>
      <w:r>
        <w:rPr>
          <w:i/>
          <w:vertAlign w:val="baseline"/>
        </w:rPr>
        <w:t>success</w:t>
      </w:r>
      <w:r>
        <w:rPr>
          <w:i/>
          <w:spacing w:val="30"/>
          <w:vertAlign w:val="baseline"/>
        </w:rPr>
        <w:t> </w:t>
      </w:r>
      <w:r>
        <w:rPr>
          <w:spacing w:val="-5"/>
          <w:vertAlign w:val="baseline"/>
        </w:rPr>
        <w:t>on</w:t>
      </w:r>
    </w:p>
    <w:p>
      <w:pPr>
        <w:pStyle w:val="BodyText"/>
        <w:spacing w:before="2"/>
        <w:ind w:left="0"/>
        <w:rPr>
          <w:sz w:val="4"/>
        </w:rPr>
      </w:pPr>
      <w:r>
        <w:rPr/>
        <mc:AlternateContent>
          <mc:Choice Requires="wps">
            <w:drawing>
              <wp:anchor distT="0" distB="0" distL="0" distR="0" allowOverlap="1" layoutInCell="1" locked="0" behindDoc="1" simplePos="0" relativeHeight="487679488">
                <wp:simplePos x="0" y="0"/>
                <wp:positionH relativeFrom="page">
                  <wp:posOffset>1262481</wp:posOffset>
                </wp:positionH>
                <wp:positionV relativeFrom="paragraph">
                  <wp:posOffset>45852</wp:posOffset>
                </wp:positionV>
                <wp:extent cx="1829435" cy="9525"/>
                <wp:effectExtent l="0" t="0" r="0" b="0"/>
                <wp:wrapTopAndBottom/>
                <wp:docPr id="202" name="Graphic 202"/>
                <wp:cNvGraphicFramePr>
                  <a:graphicFrameLocks/>
                </wp:cNvGraphicFramePr>
                <a:graphic>
                  <a:graphicData uri="http://schemas.microsoft.com/office/word/2010/wordprocessingShape">
                    <wps:wsp>
                      <wps:cNvPr id="202" name="Graphic 20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3.610421pt;width:144.050pt;height:.71997pt;mso-position-horizontal-relative:page;mso-position-vertical-relative:paragraph;z-index:-15636992;mso-wrap-distance-left:0;mso-wrap-distance-right:0" id="docshape157" filled="true" fillcolor="#000000" stroked="false">
                <v:fill type="solid"/>
                <w10:wrap type="topAndBottom"/>
              </v:rect>
            </w:pict>
          </mc:Fallback>
        </mc:AlternateContent>
      </w:r>
    </w:p>
    <w:p>
      <w:pPr>
        <w:spacing w:line="237" w:lineRule="auto" w:before="104"/>
        <w:ind w:left="308" w:right="229" w:firstLine="0"/>
        <w:jc w:val="both"/>
        <w:rPr>
          <w:rFonts w:ascii="Calibri"/>
          <w:sz w:val="20"/>
        </w:rPr>
      </w:pPr>
      <w:r>
        <w:rPr>
          <w:rFonts w:ascii="Calibri"/>
          <w:sz w:val="20"/>
          <w:vertAlign w:val="superscript"/>
        </w:rPr>
        <w:t>66</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9, quoting the Hansard of February 6, 2006, column 255, accessible at </w:t>
      </w:r>
      <w:hyperlink r:id="rId12">
        <w:r>
          <w:rPr>
            <w:rFonts w:ascii="Calibri"/>
            <w:color w:val="0000FF"/>
            <w:sz w:val="20"/>
            <w:u w:val="single" w:color="0000FF"/>
            <w:vertAlign w:val="baseline"/>
          </w:rPr>
          <w:t>http://www.berr.gov.uk/files/file40139.pdf</w:t>
        </w:r>
        <w:r>
          <w:rPr>
            <w:rFonts w:ascii="Calibri"/>
            <w:sz w:val="20"/>
            <w:vertAlign w:val="baseline"/>
          </w:rPr>
          <w:t>.</w:t>
        </w:r>
      </w:hyperlink>
    </w:p>
    <w:p>
      <w:pPr>
        <w:spacing w:before="3"/>
        <w:ind w:left="308" w:right="0" w:firstLine="0"/>
        <w:jc w:val="left"/>
        <w:rPr>
          <w:rFonts w:ascii="Calibri"/>
          <w:sz w:val="20"/>
        </w:rPr>
      </w:pPr>
      <w:r>
        <w:rPr>
          <w:rFonts w:ascii="Calibri"/>
          <w:sz w:val="20"/>
          <w:vertAlign w:val="superscript"/>
        </w:rPr>
        <w:t>67</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pacing w:val="-5"/>
          <w:sz w:val="20"/>
          <w:vertAlign w:val="baseline"/>
        </w:rPr>
        <w:t>31.</w:t>
      </w:r>
    </w:p>
    <w:p>
      <w:pPr>
        <w:tabs>
          <w:tab w:pos="2084" w:val="left" w:leader="none"/>
          <w:tab w:pos="3370" w:val="left" w:leader="none"/>
          <w:tab w:pos="4767" w:val="left" w:leader="none"/>
          <w:tab w:pos="5737" w:val="left" w:leader="none"/>
          <w:tab w:pos="6812" w:val="left" w:leader="none"/>
          <w:tab w:pos="8415" w:val="left" w:leader="none"/>
        </w:tabs>
        <w:spacing w:before="1"/>
        <w:ind w:left="308" w:right="224" w:firstLine="0"/>
        <w:jc w:val="left"/>
        <w:rPr>
          <w:rFonts w:ascii="Calibri" w:hAnsi="Calibri"/>
          <w:sz w:val="20"/>
        </w:rPr>
      </w:pPr>
      <w:r>
        <w:rPr>
          <w:rFonts w:ascii="Calibri" w:hAnsi="Calibri"/>
          <w:sz w:val="20"/>
          <w:vertAlign w:val="superscript"/>
        </w:rPr>
        <w:t>68</w:t>
      </w:r>
      <w:r>
        <w:rPr>
          <w:rFonts w:ascii="Calibri" w:hAnsi="Calibri"/>
          <w:sz w:val="20"/>
          <w:vertAlign w:val="baseline"/>
        </w:rPr>
        <w:t> Davies, J. </w:t>
      </w:r>
      <w:r>
        <w:rPr>
          <w:rFonts w:ascii="Calibri" w:hAnsi="Calibri"/>
          <w:i/>
          <w:sz w:val="20"/>
          <w:vertAlign w:val="baseline"/>
        </w:rPr>
        <w:t>A Guide to Directors’ Responsibilities Under the Companies Act 2006, </w:t>
      </w:r>
      <w:r>
        <w:rPr>
          <w:rFonts w:ascii="Calibri" w:hAnsi="Calibri"/>
          <w:sz w:val="20"/>
          <w:vertAlign w:val="baseline"/>
        </w:rPr>
        <w:t>Certified Accountants </w:t>
      </w:r>
      <w:r>
        <w:rPr>
          <w:rFonts w:ascii="Calibri" w:hAnsi="Calibri"/>
          <w:spacing w:val="-2"/>
          <w:sz w:val="20"/>
          <w:vertAlign w:val="baseline"/>
        </w:rPr>
        <w:t>Educational</w:t>
      </w:r>
      <w:r>
        <w:rPr>
          <w:rFonts w:ascii="Calibri" w:hAnsi="Calibri"/>
          <w:sz w:val="20"/>
          <w:vertAlign w:val="baseline"/>
        </w:rPr>
        <w:tab/>
      </w:r>
      <w:r>
        <w:rPr>
          <w:rFonts w:ascii="Calibri" w:hAnsi="Calibri"/>
          <w:spacing w:val="-2"/>
          <w:sz w:val="20"/>
          <w:vertAlign w:val="baseline"/>
        </w:rPr>
        <w:t>Trust,</w:t>
      </w:r>
      <w:r>
        <w:rPr>
          <w:rFonts w:ascii="Calibri" w:hAnsi="Calibri"/>
          <w:sz w:val="20"/>
          <w:vertAlign w:val="baseline"/>
        </w:rPr>
        <w:tab/>
      </w:r>
      <w:r>
        <w:rPr>
          <w:rFonts w:ascii="Calibri" w:hAnsi="Calibri"/>
          <w:spacing w:val="-2"/>
          <w:sz w:val="20"/>
          <w:vertAlign w:val="baseline"/>
        </w:rPr>
        <w:t>(2007),</w:t>
      </w:r>
      <w:r>
        <w:rPr>
          <w:rFonts w:ascii="Calibri" w:hAnsi="Calibri"/>
          <w:sz w:val="20"/>
          <w:vertAlign w:val="baseline"/>
        </w:rPr>
        <w:tab/>
      </w:r>
      <w:r>
        <w:rPr>
          <w:rFonts w:ascii="Calibri" w:hAnsi="Calibri"/>
          <w:spacing w:val="-6"/>
          <w:sz w:val="20"/>
          <w:vertAlign w:val="baseline"/>
        </w:rPr>
        <w:t>p.</w:t>
      </w:r>
      <w:r>
        <w:rPr>
          <w:rFonts w:ascii="Calibri" w:hAnsi="Calibri"/>
          <w:sz w:val="20"/>
          <w:vertAlign w:val="baseline"/>
        </w:rPr>
        <w:tab/>
      </w:r>
      <w:r>
        <w:rPr>
          <w:rFonts w:ascii="Calibri" w:hAnsi="Calibri"/>
          <w:spacing w:val="-4"/>
          <w:sz w:val="20"/>
          <w:vertAlign w:val="baseline"/>
        </w:rPr>
        <w:t>29.</w:t>
      </w:r>
      <w:r>
        <w:rPr>
          <w:rFonts w:ascii="Calibri" w:hAnsi="Calibri"/>
          <w:sz w:val="20"/>
          <w:vertAlign w:val="baseline"/>
        </w:rPr>
        <w:tab/>
      </w:r>
      <w:r>
        <w:rPr>
          <w:rFonts w:ascii="Calibri" w:hAnsi="Calibri"/>
          <w:spacing w:val="-2"/>
          <w:sz w:val="20"/>
          <w:vertAlign w:val="baseline"/>
        </w:rPr>
        <w:t>Retrieved</w:t>
      </w:r>
      <w:r>
        <w:rPr>
          <w:rFonts w:ascii="Calibri" w:hAnsi="Calibri"/>
          <w:sz w:val="20"/>
          <w:vertAlign w:val="baseline"/>
        </w:rPr>
        <w:tab/>
      </w:r>
      <w:r>
        <w:rPr>
          <w:rFonts w:ascii="Calibri" w:hAnsi="Calibri"/>
          <w:spacing w:val="-4"/>
          <w:sz w:val="20"/>
          <w:vertAlign w:val="baseline"/>
        </w:rPr>
        <w:t>from </w:t>
      </w:r>
      <w:hyperlink r:id="rId25">
        <w:r>
          <w:rPr>
            <w:rFonts w:ascii="Calibri" w:hAnsi="Calibri"/>
            <w:color w:val="0000FF"/>
            <w:spacing w:val="-2"/>
            <w:sz w:val="20"/>
            <w:u w:val="single" w:color="0000FF"/>
            <w:vertAlign w:val="baseline"/>
          </w:rPr>
          <w:t>http://www.accaglobal.com/content/dam/acca/global/PDF-technical/business-law/tech-tp-cdd.pdf</w:t>
        </w:r>
      </w:hyperlink>
      <w:r>
        <w:rPr>
          <w:rFonts w:ascii="Calibri" w:hAnsi="Calibri"/>
          <w:spacing w:val="-2"/>
          <w:sz w:val="20"/>
          <w:vertAlign w:val="baseline"/>
        </w:rPr>
        <w:t>, </w:t>
      </w:r>
      <w:r>
        <w:rPr>
          <w:rFonts w:ascii="Calibri" w:hAnsi="Calibri"/>
          <w:sz w:val="20"/>
          <w:vertAlign w:val="baseline"/>
        </w:rPr>
        <w:t>accessed March 27, 2013.</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110"/>
        <w:ind w:right="228"/>
        <w:jc w:val="both"/>
      </w:pPr>
      <w:r>
        <w:rPr/>
        <w:t>these terms, is one for the </w:t>
      </w:r>
      <w:r>
        <w:rPr>
          <w:i/>
        </w:rPr>
        <w:t>directors‘ good faith judgement</w:t>
      </w:r>
      <w:r>
        <w:rPr/>
        <w:t>,</w:t>
      </w:r>
      <w:r>
        <w:rPr>
          <w:vertAlign w:val="superscript"/>
        </w:rPr>
        <w:t>69</w:t>
      </w:r>
      <w:r>
        <w:rPr>
          <w:vertAlign w:val="baseline"/>
        </w:rPr>
        <w:t> after having regard to the company‘s constitution, shareholder decisions and anything else they consider relevant in helping them to reach that judgment.</w:t>
      </w:r>
      <w:r>
        <w:rPr>
          <w:vertAlign w:val="superscript"/>
        </w:rPr>
        <w:t>70</w:t>
      </w:r>
      <w:r>
        <w:rPr>
          <w:vertAlign w:val="baseline"/>
        </w:rPr>
        <w:t> The directors‘ interpretation of any business objectives could be important. It might be argued that what is done to fulfil that interpretation cannot be impugned provided that it cannot be established that the directors did not in fact have a good faith belief in the strategy they had adopted for promoting the company‘s success.</w:t>
      </w:r>
      <w:r>
        <w:rPr>
          <w:vertAlign w:val="superscript"/>
        </w:rPr>
        <w:t>71</w:t>
      </w:r>
    </w:p>
    <w:p>
      <w:pPr>
        <w:pStyle w:val="BodyText"/>
        <w:spacing w:line="480" w:lineRule="auto" w:before="1"/>
        <w:ind w:right="226" w:firstLine="720"/>
        <w:jc w:val="both"/>
      </w:pPr>
      <w:r>
        <w:rPr/>
        <w:t>Previously, the director was required to consider the ―best interests‖ of the company and, as earlier stated, this was usually equated with the interests of both present</w:t>
      </w:r>
      <w:r>
        <w:rPr>
          <w:spacing w:val="-6"/>
        </w:rPr>
        <w:t> </w:t>
      </w:r>
      <w:r>
        <w:rPr/>
        <w:t>and</w:t>
      </w:r>
      <w:r>
        <w:rPr>
          <w:spacing w:val="-7"/>
        </w:rPr>
        <w:t> </w:t>
      </w:r>
      <w:r>
        <w:rPr/>
        <w:t>future</w:t>
      </w:r>
      <w:r>
        <w:rPr>
          <w:spacing w:val="-7"/>
        </w:rPr>
        <w:t> </w:t>
      </w:r>
      <w:r>
        <w:rPr/>
        <w:t>members.</w:t>
      </w:r>
      <w:r>
        <w:rPr>
          <w:spacing w:val="-8"/>
        </w:rPr>
        <w:t> </w:t>
      </w:r>
      <w:r>
        <w:rPr/>
        <w:t>Thus,</w:t>
      </w:r>
      <w:r>
        <w:rPr>
          <w:spacing w:val="-8"/>
        </w:rPr>
        <w:t> </w:t>
      </w:r>
      <w:r>
        <w:rPr/>
        <w:t>transforming</w:t>
      </w:r>
      <w:r>
        <w:rPr>
          <w:spacing w:val="-10"/>
        </w:rPr>
        <w:t> </w:t>
      </w:r>
      <w:r>
        <w:rPr/>
        <w:t>this</w:t>
      </w:r>
      <w:r>
        <w:rPr>
          <w:spacing w:val="-12"/>
        </w:rPr>
        <w:t> </w:t>
      </w:r>
      <w:r>
        <w:rPr/>
        <w:t>to</w:t>
      </w:r>
      <w:r>
        <w:rPr>
          <w:spacing w:val="-10"/>
        </w:rPr>
        <w:t> </w:t>
      </w:r>
      <w:r>
        <w:rPr/>
        <w:t>―benefit</w:t>
      </w:r>
      <w:r>
        <w:rPr>
          <w:spacing w:val="-6"/>
        </w:rPr>
        <w:t> </w:t>
      </w:r>
      <w:r>
        <w:rPr/>
        <w:t>of</w:t>
      </w:r>
      <w:r>
        <w:rPr>
          <w:spacing w:val="-12"/>
        </w:rPr>
        <w:t> </w:t>
      </w:r>
      <w:r>
        <w:rPr/>
        <w:t>members</w:t>
      </w:r>
      <w:r>
        <w:rPr>
          <w:spacing w:val="-12"/>
        </w:rPr>
        <w:t> </w:t>
      </w:r>
      <w:r>
        <w:rPr/>
        <w:t>as</w:t>
      </w:r>
      <w:r>
        <w:rPr>
          <w:spacing w:val="-12"/>
        </w:rPr>
        <w:t> </w:t>
      </w:r>
      <w:r>
        <w:rPr/>
        <w:t>a</w:t>
      </w:r>
      <w:r>
        <w:rPr>
          <w:spacing w:val="-11"/>
        </w:rPr>
        <w:t> </w:t>
      </w:r>
      <w:r>
        <w:rPr/>
        <w:t>whole‖ would tend to be logical and judicially proper. The statement also appears to embrace future shareholders as well, just as it did under common law.</w:t>
      </w:r>
      <w:r>
        <w:rPr>
          <w:vertAlign w:val="superscript"/>
        </w:rPr>
        <w:t>72</w:t>
      </w:r>
      <w:r>
        <w:rPr>
          <w:vertAlign w:val="baseline"/>
        </w:rPr>
        <w:t> A fortiori, the CLRSG cautioned that directors should not, in the course of their duties, ignore events that may occur after the present members have ceased being members.</w:t>
      </w:r>
      <w:r>
        <w:rPr>
          <w:vertAlign w:val="superscript"/>
        </w:rPr>
        <w:t>73</w:t>
      </w:r>
    </w:p>
    <w:p>
      <w:pPr>
        <w:pStyle w:val="BodyText"/>
        <w:spacing w:line="480" w:lineRule="auto" w:before="2"/>
        <w:ind w:right="233" w:firstLine="720"/>
        <w:jc w:val="both"/>
      </w:pPr>
      <w:r>
        <w:rPr/>
        <w:t>As for the factors listed in s. 172 (1)(a)-(f), particularly factors (b), (c) and (d), common law decisions suggest that nothing previously prevented directors from considering</w:t>
      </w:r>
      <w:r>
        <w:rPr>
          <w:spacing w:val="18"/>
        </w:rPr>
        <w:t> </w:t>
      </w:r>
      <w:r>
        <w:rPr/>
        <w:t>them or</w:t>
      </w:r>
      <w:r>
        <w:rPr>
          <w:spacing w:val="19"/>
        </w:rPr>
        <w:t> </w:t>
      </w:r>
      <w:r>
        <w:rPr/>
        <w:t>any others,</w:t>
      </w:r>
      <w:r>
        <w:rPr>
          <w:spacing w:val="20"/>
        </w:rPr>
        <w:t> </w:t>
      </w:r>
      <w:r>
        <w:rPr/>
        <w:t>provided</w:t>
      </w:r>
      <w:r>
        <w:rPr>
          <w:spacing w:val="18"/>
        </w:rPr>
        <w:t> </w:t>
      </w:r>
      <w:r>
        <w:rPr/>
        <w:t>they could</w:t>
      </w:r>
      <w:r>
        <w:rPr>
          <w:spacing w:val="23"/>
        </w:rPr>
        <w:t> </w:t>
      </w:r>
      <w:r>
        <w:rPr/>
        <w:t>justify their</w:t>
      </w:r>
      <w:r>
        <w:rPr>
          <w:spacing w:val="19"/>
        </w:rPr>
        <w:t> </w:t>
      </w:r>
      <w:r>
        <w:rPr/>
        <w:t>decisions</w:t>
      </w:r>
      <w:r>
        <w:rPr>
          <w:spacing w:val="16"/>
        </w:rPr>
        <w:t> </w:t>
      </w:r>
      <w:r>
        <w:rPr/>
        <w:t>as</w:t>
      </w:r>
      <w:r>
        <w:rPr>
          <w:spacing w:val="21"/>
        </w:rPr>
        <w:t> </w:t>
      </w:r>
      <w:r>
        <w:rPr/>
        <w:t>being</w:t>
      </w:r>
      <w:r>
        <w:rPr>
          <w:spacing w:val="23"/>
        </w:rPr>
        <w:t> </w:t>
      </w:r>
      <w:r>
        <w:rPr/>
        <w:t>in</w:t>
      </w:r>
    </w:p>
    <w:p>
      <w:pPr>
        <w:pStyle w:val="BodyText"/>
        <w:ind w:left="0"/>
        <w:rPr>
          <w:sz w:val="20"/>
        </w:rPr>
      </w:pPr>
    </w:p>
    <w:p>
      <w:pPr>
        <w:pStyle w:val="BodyText"/>
        <w:ind w:left="0"/>
        <w:rPr>
          <w:sz w:val="20"/>
        </w:rPr>
      </w:pPr>
    </w:p>
    <w:p>
      <w:pPr>
        <w:pStyle w:val="BodyText"/>
        <w:ind w:left="0"/>
        <w:rPr>
          <w:sz w:val="20"/>
        </w:rPr>
      </w:pPr>
    </w:p>
    <w:p>
      <w:pPr>
        <w:pStyle w:val="BodyText"/>
        <w:spacing w:before="144"/>
        <w:ind w:left="0"/>
        <w:rPr>
          <w:sz w:val="20"/>
        </w:rPr>
      </w:pPr>
      <w:r>
        <w:rPr/>
        <mc:AlternateContent>
          <mc:Choice Requires="wps">
            <w:drawing>
              <wp:anchor distT="0" distB="0" distL="0" distR="0" allowOverlap="1" layoutInCell="1" locked="0" behindDoc="1" simplePos="0" relativeHeight="487680000">
                <wp:simplePos x="0" y="0"/>
                <wp:positionH relativeFrom="page">
                  <wp:posOffset>1262481</wp:posOffset>
                </wp:positionH>
                <wp:positionV relativeFrom="paragraph">
                  <wp:posOffset>253273</wp:posOffset>
                </wp:positionV>
                <wp:extent cx="1829435" cy="9525"/>
                <wp:effectExtent l="0" t="0" r="0" b="0"/>
                <wp:wrapTopAndBottom/>
                <wp:docPr id="203" name="Graphic 203"/>
                <wp:cNvGraphicFramePr>
                  <a:graphicFrameLocks/>
                </wp:cNvGraphicFramePr>
                <a:graphic>
                  <a:graphicData uri="http://schemas.microsoft.com/office/word/2010/wordprocessingShape">
                    <wps:wsp>
                      <wps:cNvPr id="203" name="Graphic 20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942804pt;width:144.050pt;height:.71997pt;mso-position-horizontal-relative:page;mso-position-vertical-relative:paragraph;z-index:-15636480;mso-wrap-distance-left:0;mso-wrap-distance-right:0" id="docshape158" filled="true" fillcolor="#000000" stroked="false">
                <v:fill type="solid"/>
                <w10:wrap type="topAndBottom"/>
              </v:rect>
            </w:pict>
          </mc:Fallback>
        </mc:AlternateContent>
      </w:r>
    </w:p>
    <w:p>
      <w:pPr>
        <w:spacing w:before="102"/>
        <w:ind w:left="308" w:right="238" w:firstLine="0"/>
        <w:jc w:val="left"/>
        <w:rPr>
          <w:rFonts w:ascii="Calibri"/>
          <w:sz w:val="20"/>
        </w:rPr>
      </w:pPr>
      <w:r>
        <w:rPr>
          <w:rFonts w:ascii="Calibri"/>
          <w:sz w:val="20"/>
          <w:vertAlign w:val="superscript"/>
        </w:rPr>
        <w:t>69</w:t>
      </w:r>
      <w:r>
        <w:rPr>
          <w:rFonts w:ascii="Calibri"/>
          <w:i/>
          <w:sz w:val="20"/>
          <w:vertAlign w:val="baseline"/>
        </w:rPr>
        <w:t>Shepherd vs. Williamsonsupra. </w:t>
      </w:r>
      <w:r>
        <w:rPr>
          <w:rFonts w:ascii="Calibri"/>
          <w:sz w:val="20"/>
          <w:vertAlign w:val="baseline"/>
        </w:rPr>
        <w:t>See also explanatory notes to the Companies Act 2006 at para 327.</w:t>
      </w:r>
      <w:r>
        <w:rPr>
          <w:rFonts w:ascii="Calibri"/>
          <w:spacing w:val="40"/>
          <w:sz w:val="20"/>
          <w:vertAlign w:val="baseline"/>
        </w:rPr>
        <w:t> </w:t>
      </w:r>
      <w:r>
        <w:rPr>
          <w:rFonts w:ascii="Calibri"/>
          <w:sz w:val="20"/>
          <w:vertAlign w:val="superscript"/>
        </w:rPr>
        <w:t>70</w:t>
      </w:r>
      <w:r>
        <w:rPr>
          <w:rFonts w:ascii="Calibri"/>
          <w:sz w:val="20"/>
          <w:vertAlign w:val="baseline"/>
        </w:rPr>
        <w:t>Per</w:t>
      </w:r>
      <w:r>
        <w:rPr>
          <w:rFonts w:ascii="Calibri"/>
          <w:spacing w:val="36"/>
          <w:sz w:val="20"/>
          <w:vertAlign w:val="baseline"/>
        </w:rPr>
        <w:t> </w:t>
      </w:r>
      <w:r>
        <w:rPr>
          <w:rFonts w:ascii="Calibri"/>
          <w:sz w:val="20"/>
          <w:vertAlign w:val="baseline"/>
        </w:rPr>
        <w:t>Lord</w:t>
      </w:r>
      <w:r>
        <w:rPr>
          <w:rFonts w:ascii="Calibri"/>
          <w:spacing w:val="34"/>
          <w:sz w:val="20"/>
          <w:vertAlign w:val="baseline"/>
        </w:rPr>
        <w:t> </w:t>
      </w:r>
      <w:r>
        <w:rPr>
          <w:rFonts w:ascii="Calibri"/>
          <w:sz w:val="20"/>
          <w:vertAlign w:val="baseline"/>
        </w:rPr>
        <w:t>Goldsmith</w:t>
      </w:r>
      <w:r>
        <w:rPr>
          <w:rFonts w:ascii="Calibri"/>
          <w:spacing w:val="39"/>
          <w:sz w:val="20"/>
          <w:vertAlign w:val="baseline"/>
        </w:rPr>
        <w:t> </w:t>
      </w:r>
      <w:r>
        <w:rPr>
          <w:rFonts w:ascii="Calibri"/>
          <w:sz w:val="20"/>
          <w:vertAlign w:val="baseline"/>
        </w:rPr>
        <w:t>of</w:t>
      </w:r>
      <w:r>
        <w:rPr>
          <w:rFonts w:ascii="Calibri"/>
          <w:spacing w:val="40"/>
          <w:sz w:val="20"/>
          <w:vertAlign w:val="baseline"/>
        </w:rPr>
        <w:t> </w:t>
      </w:r>
      <w:r>
        <w:rPr>
          <w:rFonts w:ascii="Calibri"/>
          <w:sz w:val="20"/>
          <w:vertAlign w:val="baseline"/>
        </w:rPr>
        <w:t>the</w:t>
      </w:r>
      <w:r>
        <w:rPr>
          <w:rFonts w:ascii="Calibri"/>
          <w:spacing w:val="40"/>
          <w:sz w:val="20"/>
          <w:vertAlign w:val="baseline"/>
        </w:rPr>
        <w:t> </w:t>
      </w:r>
      <w:r>
        <w:rPr>
          <w:rFonts w:ascii="Calibri"/>
          <w:sz w:val="20"/>
          <w:vertAlign w:val="baseline"/>
        </w:rPr>
        <w:t>Lords</w:t>
      </w:r>
      <w:r>
        <w:rPr>
          <w:rFonts w:ascii="Calibri"/>
          <w:spacing w:val="37"/>
          <w:sz w:val="20"/>
          <w:vertAlign w:val="baseline"/>
        </w:rPr>
        <w:t> </w:t>
      </w:r>
      <w:r>
        <w:rPr>
          <w:rFonts w:ascii="Calibri"/>
          <w:sz w:val="20"/>
          <w:vertAlign w:val="baseline"/>
        </w:rPr>
        <w:t>Grand</w:t>
      </w:r>
      <w:r>
        <w:rPr>
          <w:rFonts w:ascii="Calibri"/>
          <w:spacing w:val="39"/>
          <w:sz w:val="20"/>
          <w:vertAlign w:val="baseline"/>
        </w:rPr>
        <w:t> </w:t>
      </w:r>
      <w:r>
        <w:rPr>
          <w:rFonts w:ascii="Calibri"/>
          <w:sz w:val="20"/>
          <w:vertAlign w:val="baseline"/>
        </w:rPr>
        <w:t>Committee.</w:t>
      </w:r>
      <w:r>
        <w:rPr>
          <w:rFonts w:ascii="Calibri"/>
          <w:spacing w:val="40"/>
          <w:sz w:val="20"/>
          <w:vertAlign w:val="baseline"/>
        </w:rPr>
        <w:t> </w:t>
      </w:r>
      <w:r>
        <w:rPr>
          <w:rFonts w:ascii="Calibri"/>
          <w:sz w:val="20"/>
          <w:vertAlign w:val="baseline"/>
        </w:rPr>
        <w:t>See</w:t>
      </w:r>
      <w:r>
        <w:rPr>
          <w:rFonts w:ascii="Calibri"/>
          <w:spacing w:val="36"/>
          <w:sz w:val="20"/>
          <w:vertAlign w:val="baseline"/>
        </w:rPr>
        <w:t> </w:t>
      </w:r>
      <w:r>
        <w:rPr>
          <w:rFonts w:ascii="Calibri"/>
          <w:i/>
          <w:sz w:val="20"/>
          <w:vertAlign w:val="baseline"/>
        </w:rPr>
        <w:t>Companies</w:t>
      </w:r>
      <w:r>
        <w:rPr>
          <w:rFonts w:ascii="Calibri"/>
          <w:i/>
          <w:spacing w:val="37"/>
          <w:sz w:val="20"/>
          <w:vertAlign w:val="baseline"/>
        </w:rPr>
        <w:t> </w:t>
      </w:r>
      <w:r>
        <w:rPr>
          <w:rFonts w:ascii="Calibri"/>
          <w:i/>
          <w:sz w:val="20"/>
          <w:vertAlign w:val="baseline"/>
        </w:rPr>
        <w:t>Act</w:t>
      </w:r>
      <w:r>
        <w:rPr>
          <w:rFonts w:ascii="Calibri"/>
          <w:i/>
          <w:spacing w:val="39"/>
          <w:sz w:val="20"/>
          <w:vertAlign w:val="baseline"/>
        </w:rPr>
        <w:t> </w:t>
      </w:r>
      <w:r>
        <w:rPr>
          <w:rFonts w:ascii="Calibri"/>
          <w:i/>
          <w:sz w:val="20"/>
          <w:vertAlign w:val="baseline"/>
        </w:rPr>
        <w:t>2006:</w:t>
      </w:r>
      <w:r>
        <w:rPr>
          <w:rFonts w:ascii="Calibri"/>
          <w:i/>
          <w:spacing w:val="38"/>
          <w:sz w:val="20"/>
          <w:vertAlign w:val="baseline"/>
        </w:rPr>
        <w:t> </w:t>
      </w:r>
      <w:r>
        <w:rPr>
          <w:rFonts w:ascii="Calibri"/>
          <w:i/>
          <w:sz w:val="20"/>
          <w:vertAlign w:val="baseline"/>
        </w:rPr>
        <w:t>Duties</w:t>
      </w:r>
      <w:r>
        <w:rPr>
          <w:rFonts w:ascii="Calibri"/>
          <w:i/>
          <w:spacing w:val="37"/>
          <w:sz w:val="20"/>
          <w:vertAlign w:val="baseline"/>
        </w:rPr>
        <w:t> </w:t>
      </w:r>
      <w:r>
        <w:rPr>
          <w:rFonts w:ascii="Calibri"/>
          <w:i/>
          <w:sz w:val="20"/>
          <w:vertAlign w:val="baseline"/>
        </w:rPr>
        <w:t>of</w:t>
      </w:r>
      <w:r>
        <w:rPr>
          <w:rFonts w:ascii="Calibri"/>
          <w:i/>
          <w:spacing w:val="40"/>
          <w:sz w:val="20"/>
          <w:vertAlign w:val="baseline"/>
        </w:rPr>
        <w:t> </w:t>
      </w:r>
      <w:r>
        <w:rPr>
          <w:rFonts w:ascii="Calibri"/>
          <w:i/>
          <w:sz w:val="20"/>
          <w:vertAlign w:val="baseline"/>
        </w:rPr>
        <w:t>Company Directors</w:t>
      </w:r>
      <w:r>
        <w:rPr>
          <w:rFonts w:ascii="Calibri"/>
          <w:sz w:val="20"/>
          <w:vertAlign w:val="baseline"/>
        </w:rPr>
        <w:t>, Ministerial</w:t>
      </w:r>
      <w:r>
        <w:rPr>
          <w:rFonts w:ascii="Calibri"/>
          <w:spacing w:val="3"/>
          <w:sz w:val="20"/>
          <w:vertAlign w:val="baseline"/>
        </w:rPr>
        <w:t> </w:t>
      </w:r>
      <w:r>
        <w:rPr>
          <w:rFonts w:ascii="Calibri"/>
          <w:sz w:val="20"/>
          <w:vertAlign w:val="baseline"/>
        </w:rPr>
        <w:t>Statements published</w:t>
      </w:r>
      <w:r>
        <w:rPr>
          <w:rFonts w:ascii="Calibri"/>
          <w:spacing w:val="3"/>
          <w:sz w:val="20"/>
          <w:vertAlign w:val="baseline"/>
        </w:rPr>
        <w:t> </w:t>
      </w:r>
      <w:r>
        <w:rPr>
          <w:rFonts w:ascii="Calibri"/>
          <w:sz w:val="20"/>
          <w:vertAlign w:val="baseline"/>
        </w:rPr>
        <w:t>by</w:t>
      </w:r>
      <w:r>
        <w:rPr>
          <w:rFonts w:ascii="Calibri"/>
          <w:spacing w:val="2"/>
          <w:sz w:val="20"/>
          <w:vertAlign w:val="baseline"/>
        </w:rPr>
        <w:t> </w:t>
      </w:r>
      <w:r>
        <w:rPr>
          <w:rFonts w:ascii="Calibri"/>
          <w:sz w:val="20"/>
          <w:vertAlign w:val="baseline"/>
        </w:rPr>
        <w:t>the</w:t>
      </w:r>
      <w:r>
        <w:rPr>
          <w:rFonts w:ascii="Calibri"/>
          <w:spacing w:val="2"/>
          <w:sz w:val="20"/>
          <w:vertAlign w:val="baseline"/>
        </w:rPr>
        <w:t> </w:t>
      </w:r>
      <w:r>
        <w:rPr>
          <w:rFonts w:ascii="Calibri"/>
          <w:sz w:val="20"/>
          <w:vertAlign w:val="baseline"/>
        </w:rPr>
        <w:t>Department</w:t>
      </w:r>
      <w:r>
        <w:rPr>
          <w:rFonts w:ascii="Calibri"/>
          <w:spacing w:val="2"/>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Trade</w:t>
      </w:r>
      <w:r>
        <w:rPr>
          <w:rFonts w:ascii="Calibri"/>
          <w:spacing w:val="3"/>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Industry</w:t>
      </w:r>
      <w:r>
        <w:rPr>
          <w:rFonts w:ascii="Calibri"/>
          <w:spacing w:val="2"/>
          <w:sz w:val="20"/>
          <w:vertAlign w:val="baseline"/>
        </w:rPr>
        <w:t> </w:t>
      </w:r>
      <w:r>
        <w:rPr>
          <w:rFonts w:ascii="Calibri"/>
          <w:sz w:val="20"/>
          <w:vertAlign w:val="baseline"/>
        </w:rPr>
        <w:t>(DTI), (June</w:t>
      </w:r>
      <w:r>
        <w:rPr>
          <w:rFonts w:ascii="Calibri"/>
          <w:spacing w:val="3"/>
          <w:sz w:val="20"/>
          <w:vertAlign w:val="baseline"/>
        </w:rPr>
        <w:t> </w:t>
      </w:r>
      <w:r>
        <w:rPr>
          <w:rFonts w:ascii="Calibri"/>
          <w:spacing w:val="-2"/>
          <w:sz w:val="20"/>
          <w:vertAlign w:val="baseline"/>
        </w:rPr>
        <w:t>2007)</w:t>
      </w:r>
    </w:p>
    <w:p>
      <w:pPr>
        <w:tabs>
          <w:tab w:pos="720" w:val="left" w:leader="none"/>
          <w:tab w:pos="1224" w:val="left" w:leader="none"/>
          <w:tab w:pos="2111" w:val="left" w:leader="none"/>
          <w:tab w:pos="2639" w:val="left" w:leader="none"/>
          <w:tab w:pos="3570" w:val="left" w:leader="none"/>
          <w:tab w:pos="3992" w:val="left" w:leader="none"/>
          <w:tab w:pos="4981" w:val="left" w:leader="none"/>
          <w:tab w:pos="5384" w:val="left" w:leader="none"/>
          <w:tab w:pos="6094" w:val="left" w:leader="none"/>
          <w:tab w:pos="6962" w:val="left" w:leader="none"/>
          <w:tab w:pos="7566" w:val="left" w:leader="none"/>
          <w:tab w:pos="8646" w:val="left" w:leader="none"/>
        </w:tabs>
        <w:spacing w:before="2"/>
        <w:ind w:left="308" w:right="231" w:firstLine="0"/>
        <w:jc w:val="left"/>
        <w:rPr>
          <w:rFonts w:ascii="Calibri"/>
          <w:sz w:val="20"/>
        </w:rPr>
      </w:pPr>
      <w:r>
        <w:rPr>
          <w:rFonts w:ascii="Calibri"/>
          <w:spacing w:val="-6"/>
          <w:sz w:val="20"/>
        </w:rPr>
        <w:t>p.</w:t>
      </w:r>
      <w:r>
        <w:rPr>
          <w:rFonts w:ascii="Calibri"/>
          <w:sz w:val="20"/>
        </w:rPr>
        <w:tab/>
      </w:r>
      <w:r>
        <w:rPr>
          <w:rFonts w:ascii="Calibri"/>
          <w:spacing w:val="-4"/>
          <w:sz w:val="20"/>
        </w:rPr>
        <w:t>10,</w:t>
      </w:r>
      <w:r>
        <w:rPr>
          <w:rFonts w:ascii="Calibri"/>
          <w:sz w:val="20"/>
        </w:rPr>
        <w:tab/>
      </w:r>
      <w:r>
        <w:rPr>
          <w:rFonts w:ascii="Calibri"/>
          <w:spacing w:val="-2"/>
          <w:sz w:val="20"/>
        </w:rPr>
        <w:t>quoting</w:t>
      </w:r>
      <w:r>
        <w:rPr>
          <w:rFonts w:ascii="Calibri"/>
          <w:sz w:val="20"/>
        </w:rPr>
        <w:tab/>
      </w:r>
      <w:r>
        <w:rPr>
          <w:rFonts w:ascii="Calibri"/>
          <w:spacing w:val="-4"/>
          <w:sz w:val="20"/>
        </w:rPr>
        <w:t>the</w:t>
      </w:r>
      <w:r>
        <w:rPr>
          <w:rFonts w:ascii="Calibri"/>
          <w:sz w:val="20"/>
        </w:rPr>
        <w:tab/>
      </w:r>
      <w:r>
        <w:rPr>
          <w:rFonts w:ascii="Calibri"/>
          <w:spacing w:val="-2"/>
          <w:sz w:val="20"/>
        </w:rPr>
        <w:t>Hansard</w:t>
      </w:r>
      <w:r>
        <w:rPr>
          <w:rFonts w:ascii="Calibri"/>
          <w:sz w:val="20"/>
        </w:rPr>
        <w:tab/>
      </w:r>
      <w:r>
        <w:rPr>
          <w:rFonts w:ascii="Calibri"/>
          <w:spacing w:val="-6"/>
          <w:sz w:val="20"/>
        </w:rPr>
        <w:t>of</w:t>
      </w:r>
      <w:r>
        <w:rPr>
          <w:rFonts w:ascii="Calibri"/>
          <w:sz w:val="20"/>
        </w:rPr>
        <w:tab/>
      </w:r>
      <w:r>
        <w:rPr>
          <w:rFonts w:ascii="Calibri"/>
          <w:spacing w:val="-2"/>
          <w:sz w:val="20"/>
        </w:rPr>
        <w:t>February</w:t>
      </w:r>
      <w:r>
        <w:rPr>
          <w:rFonts w:ascii="Calibri"/>
          <w:sz w:val="20"/>
        </w:rPr>
        <w:tab/>
      </w:r>
      <w:r>
        <w:rPr>
          <w:rFonts w:ascii="Calibri"/>
          <w:spacing w:val="-6"/>
          <w:sz w:val="20"/>
        </w:rPr>
        <w:t>6,</w:t>
      </w:r>
      <w:r>
        <w:rPr>
          <w:rFonts w:ascii="Calibri"/>
          <w:sz w:val="20"/>
        </w:rPr>
        <w:tab/>
      </w:r>
      <w:r>
        <w:rPr>
          <w:rFonts w:ascii="Calibri"/>
          <w:spacing w:val="-2"/>
          <w:sz w:val="20"/>
        </w:rPr>
        <w:t>2006,</w:t>
      </w:r>
      <w:r>
        <w:rPr>
          <w:rFonts w:ascii="Calibri"/>
          <w:sz w:val="20"/>
        </w:rPr>
        <w:tab/>
      </w:r>
      <w:r>
        <w:rPr>
          <w:rFonts w:ascii="Calibri"/>
          <w:spacing w:val="-2"/>
          <w:sz w:val="20"/>
        </w:rPr>
        <w:t>column</w:t>
      </w:r>
      <w:r>
        <w:rPr>
          <w:rFonts w:ascii="Calibri"/>
          <w:sz w:val="20"/>
        </w:rPr>
        <w:tab/>
      </w:r>
      <w:r>
        <w:rPr>
          <w:rFonts w:ascii="Calibri"/>
          <w:spacing w:val="-4"/>
          <w:sz w:val="20"/>
        </w:rPr>
        <w:t>256,</w:t>
      </w:r>
      <w:r>
        <w:rPr>
          <w:rFonts w:ascii="Calibri"/>
          <w:sz w:val="20"/>
        </w:rPr>
        <w:tab/>
      </w:r>
      <w:r>
        <w:rPr>
          <w:rFonts w:ascii="Calibri"/>
          <w:spacing w:val="-2"/>
          <w:sz w:val="20"/>
        </w:rPr>
        <w:t>accessible</w:t>
      </w:r>
      <w:r>
        <w:rPr>
          <w:rFonts w:ascii="Calibri"/>
          <w:sz w:val="20"/>
        </w:rPr>
        <w:tab/>
      </w:r>
      <w:r>
        <w:rPr>
          <w:rFonts w:ascii="Calibri"/>
          <w:spacing w:val="-6"/>
          <w:sz w:val="20"/>
        </w:rPr>
        <w:t>a</w:t>
      </w:r>
      <w:r>
        <w:rPr>
          <w:rFonts w:ascii="Calibri"/>
          <w:spacing w:val="-6"/>
          <w:sz w:val="20"/>
        </w:rPr>
        <w:t>t</w:t>
      </w:r>
      <w:r>
        <w:rPr>
          <w:rFonts w:ascii="Calibri"/>
          <w:sz w:val="20"/>
        </w:rPr>
        <w:t> </w:t>
      </w:r>
      <w:hyperlink r:id="rId12">
        <w:r>
          <w:rPr>
            <w:rFonts w:ascii="Calibri"/>
            <w:color w:val="0000FF"/>
            <w:spacing w:val="-2"/>
            <w:sz w:val="20"/>
            <w:u w:val="single" w:color="0000FF"/>
          </w:rPr>
          <w:t>http://www.berr.gov.uk/files/file40139.pdf</w:t>
        </w:r>
        <w:r>
          <w:rPr>
            <w:rFonts w:ascii="Calibri"/>
            <w:spacing w:val="-2"/>
            <w:sz w:val="20"/>
          </w:rPr>
          <w:t>.</w:t>
        </w:r>
      </w:hyperlink>
    </w:p>
    <w:p>
      <w:pPr>
        <w:spacing w:before="2"/>
        <w:ind w:left="308" w:right="0" w:firstLine="0"/>
        <w:jc w:val="both"/>
        <w:rPr>
          <w:rFonts w:ascii="Calibri"/>
          <w:sz w:val="20"/>
        </w:rPr>
      </w:pPr>
      <w:r>
        <w:rPr>
          <w:rFonts w:ascii="Calibri"/>
          <w:sz w:val="20"/>
          <w:vertAlign w:val="superscript"/>
        </w:rPr>
        <w:t>71</w:t>
      </w:r>
      <w:r>
        <w:rPr>
          <w:rFonts w:ascii="Calibri"/>
          <w:sz w:val="20"/>
          <w:vertAlign w:val="baseline"/>
        </w:rPr>
        <w:t>Keay,</w:t>
      </w:r>
      <w:r>
        <w:rPr>
          <w:rFonts w:ascii="Calibri"/>
          <w:spacing w:val="-5"/>
          <w:sz w:val="20"/>
          <w:vertAlign w:val="baseline"/>
        </w:rPr>
        <w:t> </w:t>
      </w:r>
      <w:r>
        <w:rPr>
          <w:rFonts w:ascii="Calibri"/>
          <w:sz w:val="20"/>
          <w:vertAlign w:val="baseline"/>
        </w:rPr>
        <w:t>A.</w:t>
      </w:r>
      <w:r>
        <w:rPr>
          <w:rFonts w:ascii="Calibri"/>
          <w:spacing w:val="-5"/>
          <w:sz w:val="20"/>
          <w:vertAlign w:val="baseline"/>
        </w:rPr>
        <w:t> </w:t>
      </w:r>
      <w:r>
        <w:rPr>
          <w:rFonts w:ascii="Calibri"/>
          <w:sz w:val="20"/>
          <w:vertAlign w:val="baseline"/>
        </w:rPr>
        <w:t>(2010)</w:t>
      </w:r>
      <w:r>
        <w:rPr>
          <w:rFonts w:ascii="Calibri"/>
          <w:spacing w:val="-6"/>
          <w:sz w:val="20"/>
          <w:vertAlign w:val="baseline"/>
        </w:rPr>
        <w:t> </w:t>
      </w:r>
      <w:r>
        <w:rPr>
          <w:rFonts w:ascii="Calibri"/>
          <w:sz w:val="20"/>
          <w:vertAlign w:val="baseline"/>
        </w:rPr>
        <w:t>op.cit.atp.</w:t>
      </w:r>
      <w:r>
        <w:rPr>
          <w:rFonts w:ascii="Calibri"/>
          <w:spacing w:val="-6"/>
          <w:sz w:val="20"/>
          <w:vertAlign w:val="baseline"/>
        </w:rPr>
        <w:t> </w:t>
      </w:r>
      <w:r>
        <w:rPr>
          <w:rFonts w:ascii="Calibri"/>
          <w:spacing w:val="-5"/>
          <w:sz w:val="20"/>
          <w:vertAlign w:val="baseline"/>
        </w:rPr>
        <w:t>15.</w:t>
      </w:r>
    </w:p>
    <w:p>
      <w:pPr>
        <w:spacing w:line="240" w:lineRule="auto" w:before="0"/>
        <w:ind w:left="308" w:right="228" w:firstLine="0"/>
        <w:jc w:val="both"/>
        <w:rPr>
          <w:rFonts w:ascii="Calibri" w:hAnsi="Calibri"/>
          <w:sz w:val="20"/>
        </w:rPr>
      </w:pPr>
      <w:r>
        <w:rPr>
          <w:rFonts w:ascii="Calibri" w:hAnsi="Calibri"/>
          <w:sz w:val="20"/>
          <w:vertAlign w:val="superscript"/>
        </w:rPr>
        <w:t>72</w:t>
      </w:r>
      <w:r>
        <w:rPr>
          <w:rFonts w:ascii="Calibri" w:hAnsi="Calibri"/>
          <w:sz w:val="20"/>
          <w:vertAlign w:val="baseline"/>
        </w:rPr>
        <w:t> Again, Lord Goldsmith clarified here that Parliament intends the duty to be in the interest of “members as a collective body,” not only to benefit the majority shareholders or any particular shareholder or section of shareholders, nor less still the interests of directors who happen to be shareholders.See </w:t>
      </w:r>
      <w:r>
        <w:rPr>
          <w:rFonts w:ascii="Calibri" w:hAnsi="Calibri"/>
          <w:i/>
          <w:sz w:val="20"/>
          <w:vertAlign w:val="baseline"/>
        </w:rPr>
        <w:t>Companies Act 2006: Duties of Company Directors</w:t>
      </w:r>
      <w:r>
        <w:rPr>
          <w:rFonts w:ascii="Calibri" w:hAnsi="Calibri"/>
          <w:sz w:val="20"/>
          <w:vertAlign w:val="baseline"/>
        </w:rPr>
        <w:t>, Ministerial Statements published</w:t>
      </w:r>
      <w:r>
        <w:rPr>
          <w:rFonts w:ascii="Calibri" w:hAnsi="Calibri"/>
          <w:spacing w:val="40"/>
          <w:sz w:val="20"/>
          <w:vertAlign w:val="baseline"/>
        </w:rPr>
        <w:t> </w:t>
      </w:r>
      <w:r>
        <w:rPr>
          <w:rFonts w:ascii="Calibri" w:hAnsi="Calibri"/>
          <w:sz w:val="20"/>
          <w:vertAlign w:val="baseline"/>
        </w:rPr>
        <w:t>by the Department of Trade and Industry (DTI), (June 2007) p. 10, quoting the Hansard of February 6, 2006, column 256, accessible at </w:t>
      </w:r>
      <w:hyperlink r:id="rId12">
        <w:r>
          <w:rPr>
            <w:rFonts w:ascii="Calibri" w:hAnsi="Calibri"/>
            <w:color w:val="0000FF"/>
            <w:sz w:val="20"/>
            <w:u w:val="single" w:color="0000FF"/>
            <w:vertAlign w:val="baseline"/>
          </w:rPr>
          <w:t>http://www.berr.gov.uk/files/file40139.pdf</w:t>
        </w:r>
        <w:r>
          <w:rPr>
            <w:rFonts w:ascii="Calibri" w:hAnsi="Calibri"/>
            <w:sz w:val="20"/>
            <w:vertAlign w:val="baseline"/>
          </w:rPr>
          <w:t>.</w:t>
        </w:r>
      </w:hyperlink>
    </w:p>
    <w:p>
      <w:pPr>
        <w:spacing w:before="0"/>
        <w:ind w:left="308" w:right="228" w:firstLine="0"/>
        <w:jc w:val="both"/>
        <w:rPr>
          <w:rFonts w:ascii="Calibri"/>
          <w:sz w:val="20"/>
        </w:rPr>
      </w:pPr>
      <w:r>
        <w:rPr>
          <w:rFonts w:ascii="Calibri"/>
          <w:sz w:val="20"/>
          <w:vertAlign w:val="superscript"/>
        </w:rPr>
        <w:t>73</w:t>
      </w:r>
      <w:r>
        <w:rPr>
          <w:rFonts w:ascii="Calibri"/>
          <w:i/>
          <w:sz w:val="20"/>
          <w:vertAlign w:val="baseline"/>
        </w:rPr>
        <w:t>Modern Company Law for a Competitive Economy: Developing the Framework</w:t>
      </w:r>
      <w:r>
        <w:rPr>
          <w:rFonts w:ascii="Calibri"/>
          <w:sz w:val="20"/>
          <w:vertAlign w:val="baseline"/>
        </w:rPr>
        <w:t>, a publication of the</w:t>
      </w:r>
      <w:r>
        <w:rPr>
          <w:rFonts w:ascii="Calibri"/>
          <w:spacing w:val="80"/>
          <w:sz w:val="20"/>
          <w:vertAlign w:val="baseline"/>
        </w:rPr>
        <w:t> </w:t>
      </w:r>
      <w:r>
        <w:rPr>
          <w:rFonts w:ascii="Calibri"/>
          <w:sz w:val="20"/>
          <w:vertAlign w:val="baseline"/>
        </w:rPr>
        <w:t>DTI, London (2000), para 3.54, accessible at </w:t>
      </w:r>
      <w:hyperlink r:id="rId48">
        <w:r>
          <w:rPr>
            <w:rFonts w:ascii="Calibri"/>
            <w:color w:val="0000FF"/>
            <w:sz w:val="20"/>
            <w:u w:val="single" w:color="0000FF"/>
            <w:vertAlign w:val="baseline"/>
          </w:rPr>
          <w:t>http://www.berr.gov.uk/files/file23279.pdf</w:t>
        </w:r>
        <w:r>
          <w:rPr>
            <w:rFonts w:ascii="Calibri"/>
            <w:sz w:val="20"/>
            <w:vertAlign w:val="baseline"/>
          </w:rPr>
          <w:t>.</w:t>
        </w:r>
      </w:hyperlink>
    </w:p>
    <w:p>
      <w:pPr>
        <w:spacing w:after="0"/>
        <w:jc w:val="both"/>
        <w:rPr>
          <w:rFonts w:ascii="Calibri"/>
          <w:sz w:val="20"/>
        </w:rPr>
        <w:sectPr>
          <w:pgSz w:w="11910" w:h="16840"/>
          <w:pgMar w:header="0" w:footer="1003" w:top="1280" w:bottom="1200" w:left="1680" w:right="1180"/>
        </w:sectPr>
      </w:pPr>
    </w:p>
    <w:p>
      <w:pPr>
        <w:pStyle w:val="BodyText"/>
        <w:spacing w:before="110"/>
        <w:jc w:val="both"/>
      </w:pPr>
      <w:r>
        <w:rPr/>
        <w:t>the</w:t>
      </w:r>
      <w:r>
        <w:rPr>
          <w:spacing w:val="8"/>
        </w:rPr>
        <w:t> </w:t>
      </w:r>
      <w:r>
        <w:rPr/>
        <w:t>best</w:t>
      </w:r>
      <w:r>
        <w:rPr>
          <w:spacing w:val="19"/>
        </w:rPr>
        <w:t> </w:t>
      </w:r>
      <w:r>
        <w:rPr/>
        <w:t>interests</w:t>
      </w:r>
      <w:r>
        <w:rPr>
          <w:spacing w:val="3"/>
        </w:rPr>
        <w:t> </w:t>
      </w:r>
      <w:r>
        <w:rPr/>
        <w:t>of</w:t>
      </w:r>
      <w:r>
        <w:rPr>
          <w:spacing w:val="2"/>
        </w:rPr>
        <w:t> </w:t>
      </w:r>
      <w:r>
        <w:rPr/>
        <w:t>the</w:t>
      </w:r>
      <w:r>
        <w:rPr>
          <w:spacing w:val="9"/>
        </w:rPr>
        <w:t> </w:t>
      </w:r>
      <w:r>
        <w:rPr/>
        <w:t>company.</w:t>
      </w:r>
      <w:r>
        <w:rPr>
          <w:vertAlign w:val="superscript"/>
        </w:rPr>
        <w:t>74</w:t>
      </w:r>
      <w:r>
        <w:rPr>
          <w:spacing w:val="12"/>
          <w:vertAlign w:val="baseline"/>
        </w:rPr>
        <w:t> </w:t>
      </w:r>
      <w:r>
        <w:rPr>
          <w:vertAlign w:val="baseline"/>
        </w:rPr>
        <w:t>This</w:t>
      </w:r>
      <w:r>
        <w:rPr>
          <w:spacing w:val="13"/>
          <w:vertAlign w:val="baseline"/>
        </w:rPr>
        <w:t> </w:t>
      </w:r>
      <w:r>
        <w:rPr>
          <w:vertAlign w:val="baseline"/>
        </w:rPr>
        <w:t>is</w:t>
      </w:r>
      <w:r>
        <w:rPr>
          <w:spacing w:val="7"/>
          <w:vertAlign w:val="baseline"/>
        </w:rPr>
        <w:t> </w:t>
      </w:r>
      <w:r>
        <w:rPr>
          <w:vertAlign w:val="baseline"/>
        </w:rPr>
        <w:t>summed</w:t>
      </w:r>
      <w:r>
        <w:rPr>
          <w:spacing w:val="15"/>
          <w:vertAlign w:val="baseline"/>
        </w:rPr>
        <w:t> </w:t>
      </w:r>
      <w:r>
        <w:rPr>
          <w:vertAlign w:val="baseline"/>
        </w:rPr>
        <w:t>up</w:t>
      </w:r>
      <w:r>
        <w:rPr>
          <w:spacing w:val="9"/>
          <w:vertAlign w:val="baseline"/>
        </w:rPr>
        <w:t> </w:t>
      </w:r>
      <w:r>
        <w:rPr>
          <w:vertAlign w:val="baseline"/>
        </w:rPr>
        <w:t>in</w:t>
      </w:r>
      <w:r>
        <w:rPr>
          <w:spacing w:val="5"/>
          <w:vertAlign w:val="baseline"/>
        </w:rPr>
        <w:t> </w:t>
      </w:r>
      <w:r>
        <w:rPr>
          <w:vertAlign w:val="baseline"/>
        </w:rPr>
        <w:t>the</w:t>
      </w:r>
      <w:r>
        <w:rPr>
          <w:spacing w:val="13"/>
          <w:vertAlign w:val="baseline"/>
        </w:rPr>
        <w:t> </w:t>
      </w:r>
      <w:r>
        <w:rPr>
          <w:vertAlign w:val="baseline"/>
        </w:rPr>
        <w:t>famous</w:t>
      </w:r>
      <w:r>
        <w:rPr>
          <w:spacing w:val="8"/>
          <w:vertAlign w:val="baseline"/>
        </w:rPr>
        <w:t> </w:t>
      </w:r>
      <w:r>
        <w:rPr>
          <w:vertAlign w:val="baseline"/>
        </w:rPr>
        <w:t>dictum</w:t>
      </w:r>
      <w:r>
        <w:rPr>
          <w:spacing w:val="1"/>
          <w:vertAlign w:val="baseline"/>
        </w:rPr>
        <w:t> </w:t>
      </w:r>
      <w:r>
        <w:rPr>
          <w:vertAlign w:val="baseline"/>
        </w:rPr>
        <w:t>of</w:t>
      </w:r>
      <w:r>
        <w:rPr>
          <w:spacing w:val="8"/>
          <w:vertAlign w:val="baseline"/>
        </w:rPr>
        <w:t> </w:t>
      </w:r>
      <w:r>
        <w:rPr>
          <w:spacing w:val="-2"/>
          <w:vertAlign w:val="baseline"/>
        </w:rPr>
        <w:t>Bowen</w:t>
      </w:r>
    </w:p>
    <w:p>
      <w:pPr>
        <w:pStyle w:val="BodyText"/>
        <w:spacing w:line="480" w:lineRule="auto" w:before="276"/>
        <w:ind w:right="226"/>
        <w:jc w:val="both"/>
      </w:pPr>
      <w:r>
        <w:rPr/>
        <w:t>L.J.</w:t>
      </w:r>
      <w:r>
        <w:rPr>
          <w:spacing w:val="-6"/>
        </w:rPr>
        <w:t> </w:t>
      </w:r>
      <w:r>
        <w:rPr/>
        <w:t>that―the</w:t>
      </w:r>
      <w:r>
        <w:rPr>
          <w:spacing w:val="-4"/>
        </w:rPr>
        <w:t> </w:t>
      </w:r>
      <w:r>
        <w:rPr/>
        <w:t>law</w:t>
      </w:r>
      <w:r>
        <w:rPr>
          <w:spacing w:val="-8"/>
        </w:rPr>
        <w:t> </w:t>
      </w:r>
      <w:r>
        <w:rPr/>
        <w:t>does</w:t>
      </w:r>
      <w:r>
        <w:rPr>
          <w:spacing w:val="-10"/>
        </w:rPr>
        <w:t> </w:t>
      </w:r>
      <w:r>
        <w:rPr/>
        <w:t>not</w:t>
      </w:r>
      <w:r>
        <w:rPr>
          <w:spacing w:val="-3"/>
        </w:rPr>
        <w:t> </w:t>
      </w:r>
      <w:r>
        <w:rPr/>
        <w:t>say</w:t>
      </w:r>
      <w:r>
        <w:rPr>
          <w:spacing w:val="-15"/>
        </w:rPr>
        <w:t> </w:t>
      </w:r>
      <w:r>
        <w:rPr/>
        <w:t>that</w:t>
      </w:r>
      <w:r>
        <w:rPr>
          <w:spacing w:val="-7"/>
        </w:rPr>
        <w:t> </w:t>
      </w:r>
      <w:r>
        <w:rPr/>
        <w:t>there</w:t>
      </w:r>
      <w:r>
        <w:rPr>
          <w:spacing w:val="-8"/>
        </w:rPr>
        <w:t> </w:t>
      </w:r>
      <w:r>
        <w:rPr/>
        <w:t>are</w:t>
      </w:r>
      <w:r>
        <w:rPr>
          <w:spacing w:val="-8"/>
        </w:rPr>
        <w:t> </w:t>
      </w:r>
      <w:r>
        <w:rPr/>
        <w:t>to</w:t>
      </w:r>
      <w:r>
        <w:rPr>
          <w:spacing w:val="-3"/>
        </w:rPr>
        <w:t> </w:t>
      </w:r>
      <w:r>
        <w:rPr/>
        <w:t>be</w:t>
      </w:r>
      <w:r>
        <w:rPr>
          <w:spacing w:val="-8"/>
        </w:rPr>
        <w:t> </w:t>
      </w:r>
      <w:r>
        <w:rPr/>
        <w:t>no</w:t>
      </w:r>
      <w:r>
        <w:rPr>
          <w:spacing w:val="-4"/>
        </w:rPr>
        <w:t> </w:t>
      </w:r>
      <w:r>
        <w:rPr/>
        <w:t>cakes</w:t>
      </w:r>
      <w:r>
        <w:rPr>
          <w:spacing w:val="-10"/>
        </w:rPr>
        <w:t> </w:t>
      </w:r>
      <w:r>
        <w:rPr/>
        <w:t>and</w:t>
      </w:r>
      <w:r>
        <w:rPr>
          <w:spacing w:val="-7"/>
        </w:rPr>
        <w:t> </w:t>
      </w:r>
      <w:r>
        <w:rPr/>
        <w:t>ale,</w:t>
      </w:r>
      <w:r>
        <w:rPr>
          <w:spacing w:val="-5"/>
        </w:rPr>
        <w:t> </w:t>
      </w:r>
      <w:r>
        <w:rPr/>
        <w:t>but</w:t>
      </w:r>
      <w:r>
        <w:rPr>
          <w:spacing w:val="-3"/>
        </w:rPr>
        <w:t> </w:t>
      </w:r>
      <w:r>
        <w:rPr/>
        <w:t>there</w:t>
      </w:r>
      <w:r>
        <w:rPr>
          <w:spacing w:val="-8"/>
        </w:rPr>
        <w:t> </w:t>
      </w:r>
      <w:r>
        <w:rPr/>
        <w:t>are</w:t>
      </w:r>
      <w:r>
        <w:rPr>
          <w:spacing w:val="-8"/>
        </w:rPr>
        <w:t> </w:t>
      </w:r>
      <w:r>
        <w:rPr/>
        <w:t>to</w:t>
      </w:r>
      <w:r>
        <w:rPr>
          <w:spacing w:val="-7"/>
        </w:rPr>
        <w:t> </w:t>
      </w:r>
      <w:r>
        <w:rPr/>
        <w:t>be</w:t>
      </w:r>
      <w:r>
        <w:rPr>
          <w:spacing w:val="-8"/>
        </w:rPr>
        <w:t> </w:t>
      </w:r>
      <w:r>
        <w:rPr/>
        <w:t>no cakes and ale except such as are required for the benefit of the company.‖</w:t>
      </w:r>
      <w:r>
        <w:rPr>
          <w:vertAlign w:val="superscript"/>
        </w:rPr>
        <w:t>75</w:t>
      </w:r>
      <w:r>
        <w:rPr>
          <w:vertAlign w:val="baseline"/>
        </w:rPr>
        <w:t> The same idea informs the decision in </w:t>
      </w:r>
      <w:r>
        <w:rPr>
          <w:b/>
          <w:vertAlign w:val="baseline"/>
        </w:rPr>
        <w:t>Re W &amp; M Roith Ltd.</w:t>
      </w:r>
      <w:r>
        <w:rPr>
          <w:vertAlign w:val="baseline"/>
        </w:rPr>
        <w:t>,</w:t>
      </w:r>
      <w:r>
        <w:rPr>
          <w:vertAlign w:val="superscript"/>
        </w:rPr>
        <w:t>76</w:t>
      </w:r>
      <w:r>
        <w:rPr>
          <w:vertAlign w:val="baseline"/>
        </w:rPr>
        <w:t>where the court refused to allow an agreement between the company and its director—in which the company agreed to provide his widow with a pension for life—since there was nothing to be gained by the company in return. In these decisions and many others,</w:t>
      </w:r>
      <w:r>
        <w:rPr>
          <w:vertAlign w:val="superscript"/>
        </w:rPr>
        <w:t>77</w:t>
      </w:r>
      <w:r>
        <w:rPr>
          <w:vertAlign w:val="baseline"/>
        </w:rPr>
        <w:t> the court implied that, were</w:t>
      </w:r>
      <w:r>
        <w:rPr>
          <w:spacing w:val="80"/>
          <w:vertAlign w:val="baseline"/>
        </w:rPr>
        <w:t> </w:t>
      </w:r>
      <w:r>
        <w:rPr>
          <w:vertAlign w:val="baseline"/>
        </w:rPr>
        <w:t>the directors</w:t>
      </w:r>
      <w:r>
        <w:rPr>
          <w:spacing w:val="-6"/>
          <w:vertAlign w:val="baseline"/>
        </w:rPr>
        <w:t> </w:t>
      </w:r>
      <w:r>
        <w:rPr>
          <w:vertAlign w:val="baseline"/>
        </w:rPr>
        <w:t>to have shown</w:t>
      </w:r>
      <w:r>
        <w:rPr>
          <w:spacing w:val="-5"/>
          <w:vertAlign w:val="baseline"/>
        </w:rPr>
        <w:t> </w:t>
      </w:r>
      <w:r>
        <w:rPr>
          <w:vertAlign w:val="baseline"/>
        </w:rPr>
        <w:t>the real</w:t>
      </w:r>
      <w:r>
        <w:rPr>
          <w:spacing w:val="-4"/>
          <w:vertAlign w:val="baseline"/>
        </w:rPr>
        <w:t> </w:t>
      </w:r>
      <w:r>
        <w:rPr>
          <w:vertAlign w:val="baseline"/>
        </w:rPr>
        <w:t>corporate benefits</w:t>
      </w:r>
      <w:r>
        <w:rPr>
          <w:spacing w:val="-1"/>
          <w:vertAlign w:val="baseline"/>
        </w:rPr>
        <w:t> </w:t>
      </w:r>
      <w:r>
        <w:rPr>
          <w:vertAlign w:val="baseline"/>
        </w:rPr>
        <w:t>to be gained from</w:t>
      </w:r>
      <w:r>
        <w:rPr>
          <w:spacing w:val="-8"/>
          <w:vertAlign w:val="baseline"/>
        </w:rPr>
        <w:t> </w:t>
      </w:r>
      <w:r>
        <w:rPr>
          <w:vertAlign w:val="baseline"/>
        </w:rPr>
        <w:t>their decisions, they could have succeeded.</w:t>
      </w:r>
    </w:p>
    <w:p>
      <w:pPr>
        <w:pStyle w:val="BodyText"/>
        <w:spacing w:line="480" w:lineRule="auto" w:before="2"/>
        <w:ind w:right="231" w:firstLine="720"/>
        <w:jc w:val="both"/>
      </w:pPr>
      <w:r>
        <w:rPr/>
        <w:t>S.172(1) went extra, not only in listing a number of items considered</w:t>
      </w:r>
      <w:r>
        <w:rPr>
          <w:spacing w:val="80"/>
        </w:rPr>
        <w:t> </w:t>
      </w:r>
      <w:r>
        <w:rPr/>
        <w:t>particularly important to any company, but also in making it an obligation upon the directors to ―have regard‖ to them.</w:t>
      </w:r>
      <w:r>
        <w:rPr>
          <w:vertAlign w:val="superscript"/>
        </w:rPr>
        <w:t>78</w:t>
      </w:r>
      <w:r>
        <w:rPr>
          <w:vertAlign w:val="baseline"/>
        </w:rPr>
        <w:t> This is the novelty behind the section; what differentiates it from the common law rule or even any similar rule in any Commonwealth jurisdiction. Thus, previously, directors could consider </w:t>
      </w:r>
      <w:r>
        <w:rPr>
          <w:i/>
          <w:vertAlign w:val="baseline"/>
        </w:rPr>
        <w:t>any </w:t>
      </w:r>
      <w:r>
        <w:rPr>
          <w:vertAlign w:val="baseline"/>
        </w:rPr>
        <w:t>factor but now, they </w:t>
      </w:r>
      <w:r>
        <w:rPr>
          <w:i/>
          <w:vertAlign w:val="baseline"/>
        </w:rPr>
        <w:t>must </w:t>
      </w:r>
      <w:r>
        <w:rPr>
          <w:vertAlign w:val="baseline"/>
        </w:rPr>
        <w:t>consider at least the listed factors, along with any others they might</w:t>
      </w:r>
      <w:r>
        <w:rPr>
          <w:spacing w:val="40"/>
          <w:vertAlign w:val="baseline"/>
        </w:rPr>
        <w:t> </w:t>
      </w:r>
      <w:r>
        <w:rPr>
          <w:vertAlign w:val="baseline"/>
        </w:rPr>
        <w:t>wish</w:t>
      </w:r>
      <w:r>
        <w:rPr>
          <w:spacing w:val="-2"/>
          <w:vertAlign w:val="baseline"/>
        </w:rPr>
        <w:t> </w:t>
      </w:r>
      <w:r>
        <w:rPr>
          <w:vertAlign w:val="baseline"/>
        </w:rPr>
        <w:t>to. This is because Parliament is of</w:t>
      </w:r>
      <w:r>
        <w:rPr>
          <w:spacing w:val="-5"/>
          <w:vertAlign w:val="baseline"/>
        </w:rPr>
        <w:t> </w:t>
      </w:r>
      <w:r>
        <w:rPr>
          <w:vertAlign w:val="baseline"/>
        </w:rPr>
        <w:t>the view that business judgment is </w:t>
      </w:r>
      <w:r>
        <w:rPr>
          <w:i/>
          <w:vertAlign w:val="baseline"/>
        </w:rPr>
        <w:t>enlightened </w:t>
      </w:r>
      <w:r>
        <w:rPr>
          <w:vertAlign w:val="baseline"/>
        </w:rPr>
        <w:t>when</w:t>
      </w:r>
      <w:r>
        <w:rPr>
          <w:spacing w:val="-1"/>
          <w:vertAlign w:val="baseline"/>
        </w:rPr>
        <w:t> </w:t>
      </w:r>
      <w:r>
        <w:rPr>
          <w:vertAlign w:val="baseline"/>
        </w:rPr>
        <w:t>it proceeds</w:t>
      </w:r>
      <w:r>
        <w:rPr>
          <w:spacing w:val="-3"/>
          <w:vertAlign w:val="baseline"/>
        </w:rPr>
        <w:t> </w:t>
      </w:r>
      <w:r>
        <w:rPr>
          <w:vertAlign w:val="baseline"/>
        </w:rPr>
        <w:t>on</w:t>
      </w:r>
      <w:r>
        <w:rPr>
          <w:spacing w:val="-5"/>
          <w:vertAlign w:val="baseline"/>
        </w:rPr>
        <w:t> </w:t>
      </w:r>
      <w:r>
        <w:rPr>
          <w:vertAlign w:val="baseline"/>
        </w:rPr>
        <w:t>the basis</w:t>
      </w:r>
      <w:r>
        <w:rPr>
          <w:spacing w:val="-3"/>
          <w:vertAlign w:val="baseline"/>
        </w:rPr>
        <w:t> </w:t>
      </w:r>
      <w:r>
        <w:rPr>
          <w:vertAlign w:val="baseline"/>
        </w:rPr>
        <w:t>that a</w:t>
      </w:r>
      <w:r>
        <w:rPr>
          <w:spacing w:val="-2"/>
          <w:vertAlign w:val="baseline"/>
        </w:rPr>
        <w:t> </w:t>
      </w:r>
      <w:r>
        <w:rPr>
          <w:vertAlign w:val="baseline"/>
        </w:rPr>
        <w:t>company‘s</w:t>
      </w:r>
      <w:r>
        <w:rPr>
          <w:spacing w:val="-3"/>
          <w:vertAlign w:val="baseline"/>
        </w:rPr>
        <w:t> </w:t>
      </w:r>
      <w:r>
        <w:rPr>
          <w:vertAlign w:val="baseline"/>
        </w:rPr>
        <w:t>potential</w:t>
      </w:r>
      <w:r>
        <w:rPr>
          <w:spacing w:val="-1"/>
          <w:vertAlign w:val="baseline"/>
        </w:rPr>
        <w:t> </w:t>
      </w:r>
      <w:r>
        <w:rPr>
          <w:vertAlign w:val="baseline"/>
        </w:rPr>
        <w:t>for success</w:t>
      </w:r>
      <w:r>
        <w:rPr>
          <w:spacing w:val="-3"/>
          <w:vertAlign w:val="baseline"/>
        </w:rPr>
        <w:t> </w:t>
      </w:r>
      <w:r>
        <w:rPr>
          <w:vertAlign w:val="baseline"/>
        </w:rPr>
        <w:t>can</w:t>
      </w:r>
      <w:r>
        <w:rPr>
          <w:spacing w:val="-1"/>
          <w:vertAlign w:val="baseline"/>
        </w:rPr>
        <w:t> </w:t>
      </w:r>
      <w:r>
        <w:rPr>
          <w:vertAlign w:val="baseline"/>
        </w:rPr>
        <w:t>best be</w:t>
      </w:r>
      <w:r>
        <w:rPr>
          <w:spacing w:val="-2"/>
          <w:vertAlign w:val="baseline"/>
        </w:rPr>
        <w:t> </w:t>
      </w:r>
      <w:r>
        <w:rPr>
          <w:vertAlign w:val="baseline"/>
        </w:rPr>
        <w:t>realised through maximising the relationships which the company enjoys with stakeholder groups.</w:t>
      </w:r>
      <w:r>
        <w:rPr>
          <w:vertAlign w:val="superscript"/>
        </w:rPr>
        <w:t>79</w:t>
      </w:r>
      <w:r>
        <w:rPr>
          <w:vertAlign w:val="baseline"/>
        </w:rPr>
        <w:t> Those listed under the section are not exhaustive, but merely</w:t>
      </w:r>
      <w:r>
        <w:rPr>
          <w:spacing w:val="-1"/>
          <w:vertAlign w:val="baseline"/>
        </w:rPr>
        <w:t> </w:t>
      </w:r>
      <w:r>
        <w:rPr>
          <w:vertAlign w:val="baseline"/>
        </w:rPr>
        <w:t>to be considered</w:t>
      </w:r>
    </w:p>
    <w:p>
      <w:pPr>
        <w:pStyle w:val="BodyText"/>
        <w:spacing w:before="2"/>
        <w:jc w:val="both"/>
      </w:pPr>
      <w:r>
        <w:rPr/>
        <w:t>―among</w:t>
      </w:r>
      <w:r>
        <w:rPr>
          <w:spacing w:val="-13"/>
        </w:rPr>
        <w:t> </w:t>
      </w:r>
      <w:r>
        <w:rPr/>
        <w:t>other</w:t>
      </w:r>
      <w:r>
        <w:rPr>
          <w:spacing w:val="-11"/>
        </w:rPr>
        <w:t> </w:t>
      </w:r>
      <w:r>
        <w:rPr/>
        <w:t>matters‖</w:t>
      </w:r>
      <w:r>
        <w:rPr>
          <w:spacing w:val="-15"/>
        </w:rPr>
        <w:t> </w:t>
      </w:r>
      <w:r>
        <w:rPr/>
        <w:t>that</w:t>
      </w:r>
      <w:r>
        <w:rPr>
          <w:spacing w:val="-12"/>
        </w:rPr>
        <w:t> </w:t>
      </w:r>
      <w:r>
        <w:rPr/>
        <w:t>may</w:t>
      </w:r>
      <w:r>
        <w:rPr>
          <w:spacing w:val="-11"/>
        </w:rPr>
        <w:t> </w:t>
      </w:r>
      <w:r>
        <w:rPr/>
        <w:t>be</w:t>
      </w:r>
      <w:r>
        <w:rPr>
          <w:spacing w:val="-12"/>
        </w:rPr>
        <w:t> </w:t>
      </w:r>
      <w:r>
        <w:rPr/>
        <w:t>relevant</w:t>
      </w:r>
      <w:r>
        <w:rPr>
          <w:spacing w:val="-12"/>
        </w:rPr>
        <w:t> </w:t>
      </w:r>
      <w:r>
        <w:rPr/>
        <w:t>to</w:t>
      </w:r>
      <w:r>
        <w:rPr>
          <w:spacing w:val="-11"/>
        </w:rPr>
        <w:t> </w:t>
      </w:r>
      <w:r>
        <w:rPr/>
        <w:t>any</w:t>
      </w:r>
      <w:r>
        <w:rPr>
          <w:spacing w:val="-15"/>
        </w:rPr>
        <w:t> </w:t>
      </w:r>
      <w:r>
        <w:rPr/>
        <w:t>particular</w:t>
      </w:r>
      <w:r>
        <w:rPr>
          <w:spacing w:val="-11"/>
        </w:rPr>
        <w:t> </w:t>
      </w:r>
      <w:r>
        <w:rPr>
          <w:spacing w:val="-2"/>
        </w:rPr>
        <w:t>company.</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3"/>
        <w:ind w:left="0"/>
        <w:rPr>
          <w:sz w:val="20"/>
        </w:rPr>
      </w:pPr>
      <w:r>
        <w:rPr/>
        <mc:AlternateContent>
          <mc:Choice Requires="wps">
            <w:drawing>
              <wp:anchor distT="0" distB="0" distL="0" distR="0" allowOverlap="1" layoutInCell="1" locked="0" behindDoc="1" simplePos="0" relativeHeight="487680512">
                <wp:simplePos x="0" y="0"/>
                <wp:positionH relativeFrom="page">
                  <wp:posOffset>1262481</wp:posOffset>
                </wp:positionH>
                <wp:positionV relativeFrom="paragraph">
                  <wp:posOffset>163302</wp:posOffset>
                </wp:positionV>
                <wp:extent cx="1829435" cy="9525"/>
                <wp:effectExtent l="0" t="0" r="0" b="0"/>
                <wp:wrapTopAndBottom/>
                <wp:docPr id="204" name="Graphic 204"/>
                <wp:cNvGraphicFramePr>
                  <a:graphicFrameLocks/>
                </wp:cNvGraphicFramePr>
                <a:graphic>
                  <a:graphicData uri="http://schemas.microsoft.com/office/word/2010/wordprocessingShape">
                    <wps:wsp>
                      <wps:cNvPr id="204" name="Graphic 20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858467pt;width:144.050pt;height:.71997pt;mso-position-horizontal-relative:page;mso-position-vertical-relative:paragraph;z-index:-15635968;mso-wrap-distance-left:0;mso-wrap-distance-right:0" id="docshape159" filled="true" fillcolor="#000000" stroked="false">
                <v:fill type="solid"/>
                <w10:wrap type="topAndBottom"/>
              </v:rect>
            </w:pict>
          </mc:Fallback>
        </mc:AlternateContent>
      </w:r>
    </w:p>
    <w:p>
      <w:pPr>
        <w:spacing w:line="235" w:lineRule="auto" w:before="106"/>
        <w:ind w:left="308" w:right="233" w:firstLine="0"/>
        <w:jc w:val="left"/>
        <w:rPr>
          <w:rFonts w:ascii="Calibri" w:hAnsi="Calibri"/>
          <w:sz w:val="20"/>
        </w:rPr>
      </w:pPr>
      <w:r>
        <w:rPr>
          <w:rFonts w:ascii="Calibri" w:hAnsi="Calibri"/>
          <w:sz w:val="20"/>
          <w:vertAlign w:val="superscript"/>
        </w:rPr>
        <w:t>74</w:t>
      </w:r>
      <w:r>
        <w:rPr>
          <w:rFonts w:ascii="Calibri" w:hAnsi="Calibri"/>
          <w:sz w:val="20"/>
          <w:vertAlign w:val="baseline"/>
        </w:rPr>
        <w:t>Birds,</w:t>
      </w:r>
      <w:r>
        <w:rPr>
          <w:rFonts w:ascii="Calibri" w:hAnsi="Calibri"/>
          <w:spacing w:val="34"/>
          <w:sz w:val="20"/>
          <w:vertAlign w:val="baseline"/>
        </w:rPr>
        <w:t> </w:t>
      </w:r>
      <w:r>
        <w:rPr>
          <w:rFonts w:ascii="Calibri" w:hAnsi="Calibri"/>
          <w:sz w:val="20"/>
          <w:vertAlign w:val="baseline"/>
        </w:rPr>
        <w:t>J.</w:t>
      </w:r>
      <w:r>
        <w:rPr>
          <w:rFonts w:ascii="Calibri" w:hAnsi="Calibri"/>
          <w:spacing w:val="37"/>
          <w:sz w:val="20"/>
          <w:vertAlign w:val="baseline"/>
        </w:rPr>
        <w:t> </w:t>
      </w:r>
      <w:r>
        <w:rPr>
          <w:rFonts w:ascii="Calibri" w:hAnsi="Calibri"/>
          <w:sz w:val="20"/>
          <w:vertAlign w:val="baseline"/>
        </w:rPr>
        <w:t>et</w:t>
      </w:r>
      <w:r>
        <w:rPr>
          <w:rFonts w:ascii="Calibri" w:hAnsi="Calibri"/>
          <w:spacing w:val="36"/>
          <w:sz w:val="20"/>
          <w:vertAlign w:val="baseline"/>
        </w:rPr>
        <w:t> </w:t>
      </w:r>
      <w:r>
        <w:rPr>
          <w:rFonts w:ascii="Calibri" w:hAnsi="Calibri"/>
          <w:sz w:val="20"/>
          <w:vertAlign w:val="baseline"/>
        </w:rPr>
        <w:t>al.</w:t>
      </w:r>
      <w:r>
        <w:rPr>
          <w:rFonts w:ascii="Calibri" w:hAnsi="Calibri"/>
          <w:spacing w:val="37"/>
          <w:sz w:val="20"/>
          <w:vertAlign w:val="baseline"/>
        </w:rPr>
        <w:t> </w:t>
      </w:r>
      <w:r>
        <w:rPr>
          <w:rFonts w:ascii="Calibri" w:hAnsi="Calibri"/>
          <w:sz w:val="20"/>
          <w:vertAlign w:val="baseline"/>
        </w:rPr>
        <w:t>op.cit.at</w:t>
      </w:r>
      <w:r>
        <w:rPr>
          <w:rFonts w:ascii="Calibri" w:hAnsi="Calibri"/>
          <w:spacing w:val="35"/>
          <w:sz w:val="20"/>
          <w:vertAlign w:val="baseline"/>
        </w:rPr>
        <w:t> </w:t>
      </w:r>
      <w:r>
        <w:rPr>
          <w:rFonts w:ascii="Calibri" w:hAnsi="Calibri"/>
          <w:sz w:val="20"/>
          <w:vertAlign w:val="baseline"/>
        </w:rPr>
        <w:t>637.</w:t>
      </w:r>
      <w:r>
        <w:rPr>
          <w:rFonts w:ascii="Calibri" w:hAnsi="Calibri"/>
          <w:spacing w:val="37"/>
          <w:sz w:val="20"/>
          <w:vertAlign w:val="baseline"/>
        </w:rPr>
        <w:t> </w:t>
      </w:r>
      <w:r>
        <w:rPr>
          <w:rFonts w:ascii="Calibri" w:hAnsi="Calibri"/>
          <w:sz w:val="20"/>
          <w:vertAlign w:val="baseline"/>
        </w:rPr>
        <w:t>It</w:t>
      </w:r>
      <w:r>
        <w:rPr>
          <w:rFonts w:ascii="Calibri" w:hAnsi="Calibri"/>
          <w:spacing w:val="35"/>
          <w:sz w:val="20"/>
          <w:vertAlign w:val="baseline"/>
        </w:rPr>
        <w:t> </w:t>
      </w:r>
      <w:r>
        <w:rPr>
          <w:rFonts w:ascii="Calibri" w:hAnsi="Calibri"/>
          <w:sz w:val="20"/>
          <w:vertAlign w:val="baseline"/>
        </w:rPr>
        <w:t>has</w:t>
      </w:r>
      <w:r>
        <w:rPr>
          <w:rFonts w:ascii="Calibri" w:hAnsi="Calibri"/>
          <w:spacing w:val="36"/>
          <w:sz w:val="20"/>
          <w:vertAlign w:val="baseline"/>
        </w:rPr>
        <w:t> </w:t>
      </w:r>
      <w:r>
        <w:rPr>
          <w:rFonts w:ascii="Calibri" w:hAnsi="Calibri"/>
          <w:sz w:val="20"/>
          <w:vertAlign w:val="baseline"/>
        </w:rPr>
        <w:t>also</w:t>
      </w:r>
      <w:r>
        <w:rPr>
          <w:rFonts w:ascii="Calibri" w:hAnsi="Calibri"/>
          <w:spacing w:val="35"/>
          <w:sz w:val="20"/>
          <w:vertAlign w:val="baseline"/>
        </w:rPr>
        <w:t> </w:t>
      </w:r>
      <w:r>
        <w:rPr>
          <w:rFonts w:ascii="Calibri" w:hAnsi="Calibri"/>
          <w:sz w:val="20"/>
          <w:vertAlign w:val="baseline"/>
        </w:rPr>
        <w:t>been</w:t>
      </w:r>
      <w:r>
        <w:rPr>
          <w:rFonts w:ascii="Calibri" w:hAnsi="Calibri"/>
          <w:spacing w:val="37"/>
          <w:sz w:val="20"/>
          <w:vertAlign w:val="baseline"/>
        </w:rPr>
        <w:t> </w:t>
      </w:r>
      <w:r>
        <w:rPr>
          <w:rFonts w:ascii="Calibri" w:hAnsi="Calibri"/>
          <w:sz w:val="20"/>
          <w:vertAlign w:val="baseline"/>
        </w:rPr>
        <w:t>argued</w:t>
      </w:r>
      <w:r>
        <w:rPr>
          <w:rFonts w:ascii="Calibri" w:hAnsi="Calibri"/>
          <w:spacing w:val="35"/>
          <w:sz w:val="20"/>
          <w:vertAlign w:val="baseline"/>
        </w:rPr>
        <w:t> </w:t>
      </w:r>
      <w:r>
        <w:rPr>
          <w:rFonts w:ascii="Calibri" w:hAnsi="Calibri"/>
          <w:sz w:val="20"/>
          <w:vertAlign w:val="baseline"/>
        </w:rPr>
        <w:t>that</w:t>
      </w:r>
      <w:r>
        <w:rPr>
          <w:rFonts w:ascii="Calibri" w:hAnsi="Calibri"/>
          <w:spacing w:val="30"/>
          <w:sz w:val="20"/>
          <w:vertAlign w:val="baseline"/>
        </w:rPr>
        <w:t> </w:t>
      </w:r>
      <w:r>
        <w:rPr>
          <w:rFonts w:ascii="Calibri" w:hAnsi="Calibri"/>
          <w:sz w:val="20"/>
          <w:vertAlign w:val="baseline"/>
        </w:rPr>
        <w:t>the</w:t>
      </w:r>
      <w:r>
        <w:rPr>
          <w:rFonts w:ascii="Calibri" w:hAnsi="Calibri"/>
          <w:spacing w:val="35"/>
          <w:sz w:val="20"/>
          <w:vertAlign w:val="baseline"/>
        </w:rPr>
        <w:t> </w:t>
      </w:r>
      <w:r>
        <w:rPr>
          <w:rFonts w:ascii="Calibri" w:hAnsi="Calibri"/>
          <w:sz w:val="20"/>
          <w:vertAlign w:val="baseline"/>
        </w:rPr>
        <w:t>listing</w:t>
      </w:r>
      <w:r>
        <w:rPr>
          <w:rFonts w:ascii="Calibri" w:hAnsi="Calibri"/>
          <w:spacing w:val="36"/>
          <w:sz w:val="20"/>
          <w:vertAlign w:val="baseline"/>
        </w:rPr>
        <w:t> </w:t>
      </w:r>
      <w:r>
        <w:rPr>
          <w:rFonts w:ascii="Calibri" w:hAnsi="Calibri"/>
          <w:sz w:val="20"/>
          <w:vertAlign w:val="baseline"/>
        </w:rPr>
        <w:t>of</w:t>
      </w:r>
      <w:r>
        <w:rPr>
          <w:rFonts w:ascii="Calibri" w:hAnsi="Calibri"/>
          <w:spacing w:val="36"/>
          <w:sz w:val="20"/>
          <w:vertAlign w:val="baseline"/>
        </w:rPr>
        <w:t> </w:t>
      </w:r>
      <w:r>
        <w:rPr>
          <w:rFonts w:ascii="Calibri" w:hAnsi="Calibri"/>
          <w:sz w:val="20"/>
          <w:vertAlign w:val="baseline"/>
        </w:rPr>
        <w:t>these</w:t>
      </w:r>
      <w:r>
        <w:rPr>
          <w:rFonts w:ascii="Calibri" w:hAnsi="Calibri"/>
          <w:spacing w:val="31"/>
          <w:sz w:val="20"/>
          <w:vertAlign w:val="baseline"/>
        </w:rPr>
        <w:t> </w:t>
      </w:r>
      <w:r>
        <w:rPr>
          <w:rFonts w:ascii="Calibri" w:hAnsi="Calibri"/>
          <w:sz w:val="20"/>
          <w:vertAlign w:val="baseline"/>
        </w:rPr>
        <w:t>factors</w:t>
      </w:r>
      <w:r>
        <w:rPr>
          <w:rFonts w:ascii="Calibri" w:hAnsi="Calibri"/>
          <w:spacing w:val="33"/>
          <w:sz w:val="20"/>
          <w:vertAlign w:val="baseline"/>
        </w:rPr>
        <w:t> </w:t>
      </w:r>
      <w:r>
        <w:rPr>
          <w:rFonts w:ascii="Calibri" w:hAnsi="Calibri"/>
          <w:sz w:val="20"/>
          <w:vertAlign w:val="baseline"/>
        </w:rPr>
        <w:t>is</w:t>
      </w:r>
      <w:r>
        <w:rPr>
          <w:rFonts w:ascii="Calibri" w:hAnsi="Calibri"/>
          <w:spacing w:val="33"/>
          <w:sz w:val="20"/>
          <w:vertAlign w:val="baseline"/>
        </w:rPr>
        <w:t> </w:t>
      </w:r>
      <w:r>
        <w:rPr>
          <w:rFonts w:ascii="Calibri" w:hAnsi="Calibri"/>
          <w:sz w:val="20"/>
          <w:vertAlign w:val="baseline"/>
        </w:rPr>
        <w:t>merely</w:t>
      </w:r>
      <w:r>
        <w:rPr>
          <w:rFonts w:ascii="Calibri" w:hAnsi="Calibri"/>
          <w:spacing w:val="35"/>
          <w:sz w:val="20"/>
          <w:vertAlign w:val="baseline"/>
        </w:rPr>
        <w:t> </w:t>
      </w:r>
      <w:r>
        <w:rPr>
          <w:rFonts w:ascii="Calibri" w:hAnsi="Calibri"/>
          <w:sz w:val="20"/>
          <w:vertAlign w:val="baseline"/>
        </w:rPr>
        <w:t>an attempt to “introduce a stakeholder theory by the backdoor”. See Woodley, J. op.cit. p. 62.</w:t>
      </w:r>
    </w:p>
    <w:p>
      <w:pPr>
        <w:spacing w:before="2"/>
        <w:ind w:left="308" w:right="0" w:firstLine="0"/>
        <w:jc w:val="left"/>
        <w:rPr>
          <w:rFonts w:ascii="Calibri"/>
          <w:sz w:val="20"/>
        </w:rPr>
      </w:pPr>
      <w:r>
        <w:rPr>
          <w:rFonts w:ascii="Calibri"/>
          <w:sz w:val="20"/>
          <w:vertAlign w:val="superscript"/>
        </w:rPr>
        <w:t>75</w:t>
      </w:r>
      <w:r>
        <w:rPr>
          <w:rFonts w:ascii="Calibri"/>
          <w:i/>
          <w:sz w:val="20"/>
          <w:vertAlign w:val="baseline"/>
        </w:rPr>
        <w:t>Hutton</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West</w:t>
      </w:r>
      <w:r>
        <w:rPr>
          <w:rFonts w:ascii="Calibri"/>
          <w:i/>
          <w:spacing w:val="-2"/>
          <w:sz w:val="20"/>
          <w:vertAlign w:val="baseline"/>
        </w:rPr>
        <w:t> </w:t>
      </w:r>
      <w:r>
        <w:rPr>
          <w:rFonts w:ascii="Calibri"/>
          <w:i/>
          <w:sz w:val="20"/>
          <w:vertAlign w:val="baseline"/>
        </w:rPr>
        <w:t>Cork</w:t>
      </w:r>
      <w:r>
        <w:rPr>
          <w:rFonts w:ascii="Calibri"/>
          <w:i/>
          <w:spacing w:val="-7"/>
          <w:sz w:val="20"/>
          <w:vertAlign w:val="baseline"/>
        </w:rPr>
        <w:t> </w:t>
      </w:r>
      <w:r>
        <w:rPr>
          <w:rFonts w:ascii="Calibri"/>
          <w:i/>
          <w:sz w:val="20"/>
          <w:vertAlign w:val="baseline"/>
        </w:rPr>
        <w:t>Railway</w:t>
      </w:r>
      <w:r>
        <w:rPr>
          <w:rFonts w:ascii="Calibri"/>
          <w:i/>
          <w:spacing w:val="-3"/>
          <w:sz w:val="20"/>
          <w:vertAlign w:val="baseline"/>
        </w:rPr>
        <w:t> </w:t>
      </w:r>
      <w:r>
        <w:rPr>
          <w:rFonts w:ascii="Calibri"/>
          <w:sz w:val="20"/>
          <w:vertAlign w:val="baseline"/>
        </w:rPr>
        <w:t>(1883)</w:t>
      </w:r>
      <w:r>
        <w:rPr>
          <w:rFonts w:ascii="Calibri"/>
          <w:spacing w:val="-5"/>
          <w:sz w:val="20"/>
          <w:vertAlign w:val="baseline"/>
        </w:rPr>
        <w:t> </w:t>
      </w:r>
      <w:r>
        <w:rPr>
          <w:rFonts w:ascii="Calibri"/>
          <w:sz w:val="20"/>
          <w:vertAlign w:val="baseline"/>
        </w:rPr>
        <w:t>23</w:t>
      </w:r>
      <w:r>
        <w:rPr>
          <w:rFonts w:ascii="Calibri"/>
          <w:spacing w:val="-3"/>
          <w:sz w:val="20"/>
          <w:vertAlign w:val="baseline"/>
        </w:rPr>
        <w:t> </w:t>
      </w:r>
      <w:r>
        <w:rPr>
          <w:rFonts w:ascii="Calibri"/>
          <w:sz w:val="20"/>
          <w:vertAlign w:val="baseline"/>
        </w:rPr>
        <w:t>Ch.</w:t>
      </w:r>
      <w:r>
        <w:rPr>
          <w:rFonts w:ascii="Calibri"/>
          <w:spacing w:val="-4"/>
          <w:sz w:val="20"/>
          <w:vertAlign w:val="baseline"/>
        </w:rPr>
        <w:t> </w:t>
      </w:r>
      <w:r>
        <w:rPr>
          <w:rFonts w:ascii="Calibri"/>
          <w:sz w:val="20"/>
          <w:vertAlign w:val="baseline"/>
        </w:rPr>
        <w:t>D.</w:t>
      </w:r>
      <w:r>
        <w:rPr>
          <w:rFonts w:ascii="Calibri"/>
          <w:spacing w:val="-5"/>
          <w:sz w:val="20"/>
          <w:vertAlign w:val="baseline"/>
        </w:rPr>
        <w:t> </w:t>
      </w:r>
      <w:r>
        <w:rPr>
          <w:rFonts w:ascii="Calibri"/>
          <w:sz w:val="20"/>
          <w:vertAlign w:val="baseline"/>
        </w:rPr>
        <w:t>654</w:t>
      </w:r>
      <w:r>
        <w:rPr>
          <w:rFonts w:ascii="Calibri"/>
          <w:spacing w:val="-3"/>
          <w:sz w:val="20"/>
          <w:vertAlign w:val="baseline"/>
        </w:rPr>
        <w:t> </w:t>
      </w:r>
      <w:r>
        <w:rPr>
          <w:rFonts w:ascii="Calibri"/>
          <w:sz w:val="20"/>
          <w:vertAlign w:val="baseline"/>
        </w:rPr>
        <w:t>at</w:t>
      </w:r>
      <w:r>
        <w:rPr>
          <w:rFonts w:ascii="Calibri"/>
          <w:spacing w:val="-8"/>
          <w:sz w:val="20"/>
          <w:vertAlign w:val="baseline"/>
        </w:rPr>
        <w:t> </w:t>
      </w:r>
      <w:r>
        <w:rPr>
          <w:rFonts w:ascii="Calibri"/>
          <w:spacing w:val="-4"/>
          <w:sz w:val="20"/>
          <w:vertAlign w:val="baseline"/>
        </w:rPr>
        <w:t>673.</w:t>
      </w:r>
    </w:p>
    <w:p>
      <w:pPr>
        <w:spacing w:before="2"/>
        <w:ind w:left="308" w:right="0" w:firstLine="0"/>
        <w:jc w:val="left"/>
        <w:rPr>
          <w:rFonts w:ascii="Calibri"/>
          <w:sz w:val="20"/>
        </w:rPr>
      </w:pPr>
      <w:r>
        <w:rPr>
          <w:rFonts w:ascii="Calibri"/>
          <w:sz w:val="20"/>
          <w:vertAlign w:val="superscript"/>
        </w:rPr>
        <w:t>76</w:t>
      </w:r>
      <w:r>
        <w:rPr>
          <w:rFonts w:ascii="Calibri"/>
          <w:sz w:val="20"/>
          <w:vertAlign w:val="baseline"/>
        </w:rPr>
        <w:t> (1967)</w:t>
      </w:r>
      <w:r>
        <w:rPr>
          <w:rFonts w:ascii="Calibri"/>
          <w:spacing w:val="-1"/>
          <w:sz w:val="20"/>
          <w:vertAlign w:val="baseline"/>
        </w:rPr>
        <w:t> </w:t>
      </w:r>
      <w:r>
        <w:rPr>
          <w:rFonts w:ascii="Calibri"/>
          <w:sz w:val="20"/>
          <w:vertAlign w:val="baseline"/>
        </w:rPr>
        <w:t>1</w:t>
      </w:r>
      <w:r>
        <w:rPr>
          <w:rFonts w:ascii="Calibri"/>
          <w:spacing w:val="-7"/>
          <w:sz w:val="20"/>
          <w:vertAlign w:val="baseline"/>
        </w:rPr>
        <w:t> </w:t>
      </w:r>
      <w:r>
        <w:rPr>
          <w:rFonts w:ascii="Calibri"/>
          <w:sz w:val="20"/>
          <w:vertAlign w:val="baseline"/>
        </w:rPr>
        <w:t>W.L.R.</w:t>
      </w:r>
      <w:r>
        <w:rPr>
          <w:rFonts w:ascii="Calibri"/>
          <w:spacing w:val="-5"/>
          <w:sz w:val="20"/>
          <w:vertAlign w:val="baseline"/>
        </w:rPr>
        <w:t> 432</w:t>
      </w:r>
    </w:p>
    <w:p>
      <w:pPr>
        <w:spacing w:before="0"/>
        <w:ind w:left="308" w:right="0" w:firstLine="0"/>
        <w:jc w:val="left"/>
        <w:rPr>
          <w:rFonts w:ascii="Calibri"/>
          <w:sz w:val="20"/>
        </w:rPr>
      </w:pPr>
      <w:r>
        <w:rPr>
          <w:rFonts w:ascii="Calibri"/>
          <w:sz w:val="20"/>
          <w:vertAlign w:val="superscript"/>
        </w:rPr>
        <w:t>77</w:t>
      </w:r>
      <w:r>
        <w:rPr>
          <w:rFonts w:ascii="Calibri"/>
          <w:sz w:val="20"/>
          <w:vertAlign w:val="baseline"/>
        </w:rPr>
        <w:t>Such</w:t>
      </w:r>
      <w:r>
        <w:rPr>
          <w:rFonts w:ascii="Calibri"/>
          <w:spacing w:val="-2"/>
          <w:sz w:val="20"/>
          <w:vertAlign w:val="baseline"/>
        </w:rPr>
        <w:t> </w:t>
      </w:r>
      <w:r>
        <w:rPr>
          <w:rFonts w:ascii="Calibri"/>
          <w:sz w:val="20"/>
          <w:vertAlign w:val="baseline"/>
        </w:rPr>
        <w:t>as</w:t>
      </w:r>
      <w:r>
        <w:rPr>
          <w:rFonts w:ascii="Calibri"/>
          <w:spacing w:val="-8"/>
          <w:sz w:val="20"/>
          <w:vertAlign w:val="baseline"/>
        </w:rPr>
        <w:t> </w:t>
      </w:r>
      <w:r>
        <w:rPr>
          <w:rFonts w:ascii="Calibri"/>
          <w:i/>
          <w:sz w:val="20"/>
          <w:vertAlign w:val="baseline"/>
        </w:rPr>
        <w:t>Parke</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Daily</w:t>
      </w:r>
      <w:r>
        <w:rPr>
          <w:rFonts w:ascii="Calibri"/>
          <w:i/>
          <w:spacing w:val="-5"/>
          <w:sz w:val="20"/>
          <w:vertAlign w:val="baseline"/>
        </w:rPr>
        <w:t> </w:t>
      </w:r>
      <w:r>
        <w:rPr>
          <w:rFonts w:ascii="Calibri"/>
          <w:i/>
          <w:sz w:val="20"/>
          <w:vertAlign w:val="baseline"/>
        </w:rPr>
        <w:t>News</w:t>
      </w:r>
      <w:r>
        <w:rPr>
          <w:rFonts w:ascii="Calibri"/>
          <w:i/>
          <w:spacing w:val="-6"/>
          <w:sz w:val="20"/>
          <w:vertAlign w:val="baseline"/>
        </w:rPr>
        <w:t> </w:t>
      </w:r>
      <w:r>
        <w:rPr>
          <w:rFonts w:ascii="Calibri"/>
          <w:sz w:val="20"/>
          <w:vertAlign w:val="baseline"/>
        </w:rPr>
        <w:t>(1962)</w:t>
      </w:r>
      <w:r>
        <w:rPr>
          <w:rFonts w:ascii="Calibri"/>
          <w:spacing w:val="-4"/>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927</w:t>
      </w:r>
      <w:r>
        <w:rPr>
          <w:rFonts w:ascii="Calibri"/>
          <w:spacing w:val="-2"/>
          <w:sz w:val="20"/>
          <w:vertAlign w:val="baseline"/>
        </w:rPr>
        <w:t> </w:t>
      </w:r>
      <w:r>
        <w:rPr>
          <w:rFonts w:ascii="Calibri"/>
          <w:sz w:val="20"/>
          <w:vertAlign w:val="baseline"/>
        </w:rPr>
        <w:t>and</w:t>
      </w:r>
      <w:r>
        <w:rPr>
          <w:rFonts w:ascii="Calibri"/>
          <w:spacing w:val="-5"/>
          <w:sz w:val="20"/>
          <w:vertAlign w:val="baseline"/>
        </w:rPr>
        <w:t> </w:t>
      </w:r>
      <w:r>
        <w:rPr>
          <w:rFonts w:ascii="Calibri"/>
          <w:i/>
          <w:sz w:val="20"/>
          <w:vertAlign w:val="baseline"/>
        </w:rPr>
        <w:t>Dodge</w:t>
      </w:r>
      <w:r>
        <w:rPr>
          <w:rFonts w:ascii="Calibri"/>
          <w:i/>
          <w:spacing w:val="-7"/>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Ford</w:t>
      </w:r>
      <w:r>
        <w:rPr>
          <w:rFonts w:ascii="Calibri"/>
          <w:i/>
          <w:spacing w:val="-4"/>
          <w:sz w:val="20"/>
          <w:vertAlign w:val="baseline"/>
        </w:rPr>
        <w:t> </w:t>
      </w:r>
      <w:r>
        <w:rPr>
          <w:rFonts w:ascii="Calibri"/>
          <w:i/>
          <w:sz w:val="20"/>
          <w:vertAlign w:val="baseline"/>
        </w:rPr>
        <w:t>Motor</w:t>
      </w:r>
      <w:r>
        <w:rPr>
          <w:rFonts w:ascii="Calibri"/>
          <w:i/>
          <w:spacing w:val="-8"/>
          <w:sz w:val="20"/>
          <w:vertAlign w:val="baseline"/>
        </w:rPr>
        <w:t> </w:t>
      </w:r>
      <w:r>
        <w:rPr>
          <w:rFonts w:ascii="Calibri"/>
          <w:i/>
          <w:sz w:val="20"/>
          <w:vertAlign w:val="baseline"/>
        </w:rPr>
        <w:t>Co</w:t>
      </w:r>
      <w:r>
        <w:rPr>
          <w:rFonts w:ascii="Calibri"/>
          <w:sz w:val="20"/>
          <w:vertAlign w:val="baseline"/>
        </w:rPr>
        <w:t>.</w:t>
      </w:r>
      <w:r>
        <w:rPr>
          <w:rFonts w:ascii="Calibri"/>
          <w:spacing w:val="-5"/>
          <w:sz w:val="20"/>
          <w:vertAlign w:val="baseline"/>
        </w:rPr>
        <w:t> </w:t>
      </w:r>
      <w:r>
        <w:rPr>
          <w:rFonts w:ascii="Calibri"/>
          <w:sz w:val="20"/>
          <w:vertAlign w:val="baseline"/>
        </w:rPr>
        <w:t>(1919) 170</w:t>
      </w:r>
      <w:r>
        <w:rPr>
          <w:rFonts w:ascii="Calibri"/>
          <w:spacing w:val="-7"/>
          <w:sz w:val="20"/>
          <w:vertAlign w:val="baseline"/>
        </w:rPr>
        <w:t> </w:t>
      </w:r>
      <w:r>
        <w:rPr>
          <w:rFonts w:ascii="Calibri"/>
          <w:sz w:val="20"/>
          <w:vertAlign w:val="baseline"/>
        </w:rPr>
        <w:t>N.W.</w:t>
      </w:r>
      <w:r>
        <w:rPr>
          <w:rFonts w:ascii="Calibri"/>
          <w:spacing w:val="-5"/>
          <w:sz w:val="20"/>
          <w:vertAlign w:val="baseline"/>
        </w:rPr>
        <w:t> </w:t>
      </w:r>
      <w:r>
        <w:rPr>
          <w:rFonts w:ascii="Calibri"/>
          <w:spacing w:val="-4"/>
          <w:sz w:val="20"/>
          <w:vertAlign w:val="baseline"/>
        </w:rPr>
        <w:t>668.</w:t>
      </w:r>
    </w:p>
    <w:p>
      <w:pPr>
        <w:spacing w:before="1"/>
        <w:ind w:left="308" w:right="0" w:firstLine="0"/>
        <w:jc w:val="left"/>
        <w:rPr>
          <w:rFonts w:ascii="Calibri"/>
          <w:sz w:val="20"/>
        </w:rPr>
      </w:pPr>
      <w:r>
        <w:rPr>
          <w:rFonts w:ascii="Calibri"/>
          <w:sz w:val="20"/>
          <w:vertAlign w:val="superscript"/>
        </w:rPr>
        <w:t>78</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6"/>
          <w:sz w:val="20"/>
          <w:vertAlign w:val="baseline"/>
        </w:rPr>
        <w:t> </w:t>
      </w:r>
      <w:r>
        <w:rPr>
          <w:rFonts w:ascii="Calibri"/>
          <w:spacing w:val="-4"/>
          <w:sz w:val="20"/>
          <w:vertAlign w:val="baseline"/>
        </w:rPr>
        <w:t>545.</w:t>
      </w:r>
    </w:p>
    <w:p>
      <w:pPr>
        <w:spacing w:before="1"/>
        <w:ind w:left="308" w:right="0" w:firstLine="0"/>
        <w:jc w:val="left"/>
        <w:rPr>
          <w:rFonts w:ascii="Calibri" w:hAnsi="Calibri"/>
          <w:sz w:val="20"/>
        </w:rPr>
      </w:pPr>
      <w:r>
        <w:rPr>
          <w:rFonts w:ascii="Calibri" w:hAnsi="Calibri"/>
          <w:sz w:val="20"/>
          <w:vertAlign w:val="superscript"/>
        </w:rPr>
        <w:t>79</w:t>
      </w:r>
      <w:r>
        <w:rPr>
          <w:rFonts w:ascii="Calibri" w:hAnsi="Calibri"/>
          <w:sz w:val="20"/>
          <w:vertAlign w:val="baseline"/>
        </w:rPr>
        <w:t>Arden, D.B.E. (2007). Companies’ Act 2006 (UK): A New Approach to Directors’ Duties. </w:t>
      </w:r>
      <w:r>
        <w:rPr>
          <w:rFonts w:ascii="Calibri" w:hAnsi="Calibri"/>
          <w:i/>
          <w:sz w:val="20"/>
          <w:vertAlign w:val="baseline"/>
        </w:rPr>
        <w:t>Australia Law Journal,</w:t>
      </w:r>
      <w:r>
        <w:rPr>
          <w:rFonts w:ascii="Calibri" w:hAnsi="Calibri"/>
          <w:sz w:val="20"/>
          <w:vertAlign w:val="baseline"/>
        </w:rPr>
        <w:t>81: 162-179, at 165.</w:t>
      </w:r>
    </w:p>
    <w:p>
      <w:pPr>
        <w:spacing w:after="0"/>
        <w:jc w:val="left"/>
        <w:rPr>
          <w:rFonts w:ascii="Calibri" w:hAnsi="Calibri"/>
          <w:sz w:val="20"/>
        </w:rPr>
        <w:sectPr>
          <w:pgSz w:w="11910" w:h="16840"/>
          <w:pgMar w:header="0" w:footer="1003" w:top="1280" w:bottom="1200" w:left="1680" w:right="1180"/>
        </w:sectPr>
      </w:pPr>
    </w:p>
    <w:p>
      <w:pPr>
        <w:pStyle w:val="BodyText"/>
        <w:spacing w:line="480" w:lineRule="auto" w:before="70"/>
        <w:ind w:right="232" w:firstLine="720"/>
        <w:jc w:val="both"/>
      </w:pPr>
      <w:r>
        <w:rPr/>
        <w:t>An interesting question is, what does Parliament really intend by ―have regard to‖ with respect to all the items it took pains to mention? Hodge MP had occasion to clarify that</w:t>
      </w:r>
    </w:p>
    <w:p>
      <w:pPr>
        <w:spacing w:line="242" w:lineRule="auto" w:before="0"/>
        <w:ind w:left="2007" w:right="1889" w:firstLine="0"/>
        <w:jc w:val="both"/>
        <w:rPr>
          <w:i/>
          <w:sz w:val="24"/>
        </w:rPr>
      </w:pPr>
      <w:r>
        <w:rPr>
          <w:i/>
          <w:sz w:val="24"/>
        </w:rPr>
        <w:t>The words ―have regard to‖ mean ―think about‖; they</w:t>
      </w:r>
      <w:r>
        <w:rPr>
          <w:i/>
          <w:spacing w:val="41"/>
          <w:sz w:val="24"/>
        </w:rPr>
        <w:t> </w:t>
      </w:r>
      <w:r>
        <w:rPr>
          <w:i/>
          <w:sz w:val="24"/>
        </w:rPr>
        <w:t>are</w:t>
      </w:r>
      <w:r>
        <w:rPr>
          <w:i/>
          <w:spacing w:val="42"/>
          <w:sz w:val="24"/>
        </w:rPr>
        <w:t> </w:t>
      </w:r>
      <w:r>
        <w:rPr>
          <w:i/>
          <w:sz w:val="24"/>
        </w:rPr>
        <w:t>absolutely</w:t>
      </w:r>
      <w:r>
        <w:rPr>
          <w:i/>
          <w:spacing w:val="42"/>
          <w:sz w:val="24"/>
        </w:rPr>
        <w:t> </w:t>
      </w:r>
      <w:r>
        <w:rPr>
          <w:i/>
          <w:sz w:val="24"/>
        </w:rPr>
        <w:t>not</w:t>
      </w:r>
      <w:r>
        <w:rPr>
          <w:i/>
          <w:spacing w:val="46"/>
          <w:sz w:val="24"/>
        </w:rPr>
        <w:t> </w:t>
      </w:r>
      <w:r>
        <w:rPr>
          <w:i/>
          <w:sz w:val="24"/>
        </w:rPr>
        <w:t>about</w:t>
      </w:r>
      <w:r>
        <w:rPr>
          <w:i/>
          <w:spacing w:val="43"/>
          <w:sz w:val="24"/>
        </w:rPr>
        <w:t> </w:t>
      </w:r>
      <w:r>
        <w:rPr>
          <w:i/>
          <w:sz w:val="24"/>
        </w:rPr>
        <w:t>just</w:t>
      </w:r>
      <w:r>
        <w:rPr>
          <w:i/>
          <w:spacing w:val="43"/>
          <w:sz w:val="24"/>
        </w:rPr>
        <w:t> </w:t>
      </w:r>
      <w:r>
        <w:rPr>
          <w:i/>
          <w:sz w:val="24"/>
        </w:rPr>
        <w:t>ticking</w:t>
      </w:r>
      <w:r>
        <w:rPr>
          <w:i/>
          <w:spacing w:val="43"/>
          <w:sz w:val="24"/>
        </w:rPr>
        <w:t> </w:t>
      </w:r>
      <w:r>
        <w:rPr>
          <w:i/>
          <w:sz w:val="24"/>
        </w:rPr>
        <w:t>boxes.</w:t>
      </w:r>
      <w:r>
        <w:rPr>
          <w:i/>
          <w:spacing w:val="45"/>
          <w:sz w:val="24"/>
        </w:rPr>
        <w:t> </w:t>
      </w:r>
      <w:r>
        <w:rPr>
          <w:i/>
          <w:spacing w:val="-5"/>
          <w:sz w:val="24"/>
        </w:rPr>
        <w:t>If</w:t>
      </w:r>
    </w:p>
    <w:p>
      <w:pPr>
        <w:spacing w:line="240" w:lineRule="auto" w:before="0"/>
        <w:ind w:left="2007" w:right="1885" w:firstLine="0"/>
        <w:jc w:val="both"/>
        <w:rPr>
          <w:i/>
          <w:sz w:val="24"/>
        </w:rPr>
      </w:pPr>
      <w:r>
        <w:rPr>
          <w:i/>
          <w:sz w:val="24"/>
        </w:rPr>
        <w:t>―thinking about‖ leads to the conclusion, as we believe it will in many cases, that the proper course</w:t>
      </w:r>
      <w:r>
        <w:rPr>
          <w:i/>
          <w:spacing w:val="40"/>
          <w:sz w:val="24"/>
        </w:rPr>
        <w:t> </w:t>
      </w:r>
      <w:r>
        <w:rPr>
          <w:i/>
          <w:sz w:val="24"/>
        </w:rPr>
        <w:t>is to act positively to achieve the objectives in the clause, that will be what the director‘s duty is. In other words ―have regard to‖ means ―give proper consideration to…‖</w:t>
      </w:r>
      <w:r>
        <w:rPr>
          <w:i/>
          <w:sz w:val="24"/>
          <w:vertAlign w:val="superscript"/>
        </w:rPr>
        <w:t>80</w:t>
      </w:r>
    </w:p>
    <w:p>
      <w:pPr>
        <w:pStyle w:val="BodyText"/>
        <w:spacing w:line="480" w:lineRule="auto" w:before="274"/>
        <w:ind w:right="197"/>
        <w:jc w:val="both"/>
      </w:pPr>
      <w:r>
        <w:rPr/>
        <w:t>Essentially, therefore, the law relies on the director‘s good faith to discharge his obligations here.</w:t>
      </w:r>
    </w:p>
    <w:p>
      <w:pPr>
        <w:pStyle w:val="BodyText"/>
        <w:spacing w:line="480" w:lineRule="auto" w:before="1"/>
        <w:ind w:right="226" w:firstLine="720"/>
        <w:jc w:val="both"/>
      </w:pPr>
      <w:r>
        <w:rPr/>
        <w:t>Creditors do not specifically make the list in s. 172(1), although they may well be accommodated under ―others‖ in item (c). It has been suggested that this omission should not be alarming considering the fact that, so long as a company‘s business is flourishing, its creditors position is not thereby compromised and besides, their contractual rights against the company plus the company‘s desire to preserve its reputation and access to future credit, will all act to protect the creditors.</w:t>
      </w:r>
      <w:r>
        <w:rPr>
          <w:vertAlign w:val="superscript"/>
        </w:rPr>
        <w:t>81</w:t>
      </w:r>
      <w:r>
        <w:rPr>
          <w:vertAlign w:val="baseline"/>
        </w:rPr>
        <w:t> However, s. 172(3) qualifies the duty to promote the success of the company for its members, by preserving any rule of law or statute that requires directors to consider the interest of creditors</w:t>
      </w:r>
      <w:r>
        <w:rPr>
          <w:spacing w:val="-5"/>
          <w:vertAlign w:val="baseline"/>
        </w:rPr>
        <w:t> </w:t>
      </w:r>
      <w:r>
        <w:rPr>
          <w:vertAlign w:val="baseline"/>
        </w:rPr>
        <w:t>―in</w:t>
      </w:r>
      <w:r>
        <w:rPr>
          <w:spacing w:val="-4"/>
          <w:vertAlign w:val="baseline"/>
        </w:rPr>
        <w:t> </w:t>
      </w:r>
      <w:r>
        <w:rPr>
          <w:vertAlign w:val="baseline"/>
        </w:rPr>
        <w:t>certain</w:t>
      </w:r>
      <w:r>
        <w:rPr>
          <w:spacing w:val="-7"/>
          <w:vertAlign w:val="baseline"/>
        </w:rPr>
        <w:t> </w:t>
      </w:r>
      <w:r>
        <w:rPr>
          <w:vertAlign w:val="baseline"/>
        </w:rPr>
        <w:t>circumstances.‖</w:t>
      </w:r>
      <w:r>
        <w:rPr>
          <w:spacing w:val="-4"/>
          <w:vertAlign w:val="baseline"/>
        </w:rPr>
        <w:t> </w:t>
      </w:r>
      <w:r>
        <w:rPr>
          <w:vertAlign w:val="baseline"/>
        </w:rPr>
        <w:t>This implies</w:t>
      </w:r>
      <w:r>
        <w:rPr>
          <w:spacing w:val="-1"/>
          <w:vertAlign w:val="baseline"/>
        </w:rPr>
        <w:t> </w:t>
      </w:r>
      <w:r>
        <w:rPr>
          <w:vertAlign w:val="baseline"/>
        </w:rPr>
        <w:t>that a</w:t>
      </w:r>
      <w:r>
        <w:rPr>
          <w:spacing w:val="-4"/>
          <w:vertAlign w:val="baseline"/>
        </w:rPr>
        <w:t> </w:t>
      </w:r>
      <w:r>
        <w:rPr>
          <w:vertAlign w:val="baseline"/>
        </w:rPr>
        <w:t>consideration</w:t>
      </w:r>
      <w:r>
        <w:rPr>
          <w:spacing w:val="-7"/>
          <w:vertAlign w:val="baseline"/>
        </w:rPr>
        <w:t> </w:t>
      </w:r>
      <w:r>
        <w:rPr>
          <w:vertAlign w:val="baseline"/>
        </w:rPr>
        <w:t>of</w:t>
      </w:r>
      <w:r>
        <w:rPr>
          <w:spacing w:val="-10"/>
          <w:vertAlign w:val="baseline"/>
        </w:rPr>
        <w:t> </w:t>
      </w:r>
      <w:r>
        <w:rPr>
          <w:vertAlign w:val="baseline"/>
        </w:rPr>
        <w:t>the interests</w:t>
      </w:r>
      <w:r>
        <w:rPr>
          <w:spacing w:val="-5"/>
          <w:vertAlign w:val="baseline"/>
        </w:rPr>
        <w:t> </w:t>
      </w:r>
      <w:r>
        <w:rPr>
          <w:vertAlign w:val="baseline"/>
        </w:rPr>
        <w:t>of creditors may not be necessary under </w:t>
      </w:r>
      <w:r>
        <w:rPr>
          <w:i/>
          <w:vertAlign w:val="baseline"/>
        </w:rPr>
        <w:t>all </w:t>
      </w:r>
      <w:r>
        <w:rPr>
          <w:vertAlign w:val="baseline"/>
        </w:rPr>
        <w:t>circumstances. Situations likely to warrant</w:t>
      </w:r>
      <w:r>
        <w:rPr>
          <w:spacing w:val="40"/>
          <w:vertAlign w:val="baseline"/>
        </w:rPr>
        <w:t> </w:t>
      </w:r>
      <w:r>
        <w:rPr>
          <w:vertAlign w:val="baseline"/>
        </w:rPr>
        <w:t>such consideration would undoubtedly include instances where the company is facing financial</w:t>
      </w:r>
      <w:r>
        <w:rPr>
          <w:spacing w:val="38"/>
          <w:vertAlign w:val="baseline"/>
        </w:rPr>
        <w:t> </w:t>
      </w:r>
      <w:r>
        <w:rPr>
          <w:vertAlign w:val="baseline"/>
        </w:rPr>
        <w:t>difficulties,</w:t>
      </w:r>
      <w:r>
        <w:rPr>
          <w:spacing w:val="40"/>
          <w:vertAlign w:val="baseline"/>
        </w:rPr>
        <w:t> </w:t>
      </w:r>
      <w:r>
        <w:rPr>
          <w:vertAlign w:val="baseline"/>
        </w:rPr>
        <w:t>or</w:t>
      </w:r>
      <w:r>
        <w:rPr>
          <w:spacing w:val="40"/>
          <w:vertAlign w:val="baseline"/>
        </w:rPr>
        <w:t> </w:t>
      </w:r>
      <w:r>
        <w:rPr>
          <w:vertAlign w:val="baseline"/>
        </w:rPr>
        <w:t>‗doubtfully</w:t>
      </w:r>
      <w:r>
        <w:rPr>
          <w:spacing w:val="38"/>
          <w:vertAlign w:val="baseline"/>
        </w:rPr>
        <w:t> </w:t>
      </w:r>
      <w:r>
        <w:rPr>
          <w:vertAlign w:val="baseline"/>
        </w:rPr>
        <w:t>solvent,‘</w:t>
      </w:r>
      <w:r>
        <w:rPr>
          <w:vertAlign w:val="superscript"/>
        </w:rPr>
        <w:t>82</w:t>
      </w:r>
      <w:r>
        <w:rPr>
          <w:spacing w:val="40"/>
          <w:vertAlign w:val="baseline"/>
        </w:rPr>
        <w:t> </w:t>
      </w:r>
      <w:r>
        <w:rPr>
          <w:vertAlign w:val="baseline"/>
        </w:rPr>
        <w:t>at</w:t>
      </w:r>
      <w:r>
        <w:rPr>
          <w:spacing w:val="40"/>
          <w:vertAlign w:val="baseline"/>
        </w:rPr>
        <w:t> </w:t>
      </w:r>
      <w:r>
        <w:rPr>
          <w:vertAlign w:val="baseline"/>
        </w:rPr>
        <w:t>which</w:t>
      </w:r>
      <w:r>
        <w:rPr>
          <w:spacing w:val="38"/>
          <w:vertAlign w:val="baseline"/>
        </w:rPr>
        <w:t> </w:t>
      </w:r>
      <w:r>
        <w:rPr>
          <w:vertAlign w:val="baseline"/>
        </w:rPr>
        <w:t>time</w:t>
      </w:r>
      <w:r>
        <w:rPr>
          <w:spacing w:val="40"/>
          <w:vertAlign w:val="baseline"/>
        </w:rPr>
        <w:t> </w:t>
      </w:r>
      <w:r>
        <w:rPr>
          <w:vertAlign w:val="baseline"/>
        </w:rPr>
        <w:t>the</w:t>
      </w:r>
      <w:r>
        <w:rPr>
          <w:spacing w:val="40"/>
          <w:vertAlign w:val="baseline"/>
        </w:rPr>
        <w:t> </w:t>
      </w:r>
      <w:r>
        <w:rPr>
          <w:vertAlign w:val="baseline"/>
        </w:rPr>
        <w:t>creditors‘</w:t>
      </w:r>
      <w:r>
        <w:rPr>
          <w:spacing w:val="40"/>
          <w:vertAlign w:val="baseline"/>
        </w:rPr>
        <w:t> </w:t>
      </w:r>
      <w:r>
        <w:rPr>
          <w:vertAlign w:val="baseline"/>
        </w:rPr>
        <w:t>interests</w:t>
      </w:r>
    </w:p>
    <w:p>
      <w:pPr>
        <w:pStyle w:val="BodyText"/>
        <w:ind w:left="0"/>
        <w:rPr>
          <w:sz w:val="20"/>
        </w:rPr>
      </w:pPr>
    </w:p>
    <w:p>
      <w:pPr>
        <w:pStyle w:val="BodyText"/>
        <w:spacing w:before="73"/>
        <w:ind w:left="0"/>
        <w:rPr>
          <w:sz w:val="20"/>
        </w:rPr>
      </w:pPr>
      <w:r>
        <w:rPr/>
        <mc:AlternateContent>
          <mc:Choice Requires="wps">
            <w:drawing>
              <wp:anchor distT="0" distB="0" distL="0" distR="0" allowOverlap="1" layoutInCell="1" locked="0" behindDoc="1" simplePos="0" relativeHeight="487681024">
                <wp:simplePos x="0" y="0"/>
                <wp:positionH relativeFrom="page">
                  <wp:posOffset>1262481</wp:posOffset>
                </wp:positionH>
                <wp:positionV relativeFrom="paragraph">
                  <wp:posOffset>207952</wp:posOffset>
                </wp:positionV>
                <wp:extent cx="1829435" cy="9525"/>
                <wp:effectExtent l="0" t="0" r="0" b="0"/>
                <wp:wrapTopAndBottom/>
                <wp:docPr id="205" name="Graphic 205"/>
                <wp:cNvGraphicFramePr>
                  <a:graphicFrameLocks/>
                </wp:cNvGraphicFramePr>
                <a:graphic>
                  <a:graphicData uri="http://schemas.microsoft.com/office/word/2010/wordprocessingShape">
                    <wps:wsp>
                      <wps:cNvPr id="205" name="Graphic 20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374249pt;width:144.050pt;height:.71997pt;mso-position-horizontal-relative:page;mso-position-vertical-relative:paragraph;z-index:-15635456;mso-wrap-distance-left:0;mso-wrap-distance-right:0" id="docshape160" filled="true" fillcolor="#000000" stroked="false">
                <v:fill type="solid"/>
                <w10:wrap type="topAndBottom"/>
              </v:rect>
            </w:pict>
          </mc:Fallback>
        </mc:AlternateContent>
      </w:r>
    </w:p>
    <w:p>
      <w:pPr>
        <w:spacing w:before="102"/>
        <w:ind w:left="308" w:right="229" w:firstLine="0"/>
        <w:jc w:val="both"/>
        <w:rPr>
          <w:rFonts w:ascii="Calibri"/>
          <w:sz w:val="20"/>
        </w:rPr>
      </w:pPr>
      <w:r>
        <w:rPr>
          <w:rFonts w:ascii="Calibri"/>
          <w:sz w:val="20"/>
          <w:vertAlign w:val="superscript"/>
        </w:rPr>
        <w:t>80</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11, quoting Hodge MP in the Commons Report</w:t>
      </w:r>
      <w:r>
        <w:rPr>
          <w:rFonts w:ascii="Calibri"/>
          <w:spacing w:val="40"/>
          <w:sz w:val="20"/>
          <w:vertAlign w:val="baseline"/>
        </w:rPr>
        <w:t> </w:t>
      </w:r>
      <w:r>
        <w:rPr>
          <w:rFonts w:ascii="Calibri"/>
          <w:sz w:val="20"/>
          <w:vertAlign w:val="baseline"/>
        </w:rPr>
        <w:t>of October 17 2006, Column 789 of the Hansard, accessible at</w:t>
      </w:r>
      <w:r>
        <w:rPr>
          <w:rFonts w:ascii="Calibri"/>
          <w:spacing w:val="40"/>
          <w:sz w:val="20"/>
          <w:vertAlign w:val="baseline"/>
        </w:rPr>
        <w: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before="3"/>
        <w:ind w:left="308" w:right="0" w:firstLine="0"/>
        <w:jc w:val="both"/>
        <w:rPr>
          <w:rFonts w:ascii="Calibri"/>
          <w:sz w:val="20"/>
        </w:rPr>
      </w:pPr>
      <w:r>
        <w:rPr>
          <w:rFonts w:ascii="Calibri"/>
          <w:sz w:val="20"/>
          <w:vertAlign w:val="superscript"/>
        </w:rPr>
        <w:t>81</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6"/>
          <w:sz w:val="20"/>
          <w:vertAlign w:val="baseline"/>
        </w:rPr>
        <w:t> </w:t>
      </w:r>
      <w:r>
        <w:rPr>
          <w:rFonts w:ascii="Calibri"/>
          <w:spacing w:val="-4"/>
          <w:sz w:val="20"/>
          <w:vertAlign w:val="baseline"/>
        </w:rPr>
        <w:t>553.</w:t>
      </w:r>
    </w:p>
    <w:p>
      <w:pPr>
        <w:spacing w:before="1"/>
        <w:ind w:left="308" w:right="0" w:firstLine="0"/>
        <w:jc w:val="both"/>
        <w:rPr>
          <w:rFonts w:ascii="Calibri"/>
          <w:sz w:val="20"/>
        </w:rPr>
      </w:pPr>
      <w:r>
        <w:rPr>
          <w:rFonts w:ascii="Calibri"/>
          <w:sz w:val="20"/>
          <w:vertAlign w:val="superscript"/>
        </w:rPr>
        <w:t>82</w:t>
      </w:r>
      <w:r>
        <w:rPr>
          <w:rFonts w:ascii="Calibri"/>
          <w:i/>
          <w:sz w:val="20"/>
          <w:vertAlign w:val="baseline"/>
        </w:rPr>
        <w:t>Brady</w:t>
      </w:r>
      <w:r>
        <w:rPr>
          <w:rFonts w:ascii="Calibri"/>
          <w:i/>
          <w:spacing w:val="-6"/>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Brady</w:t>
      </w:r>
      <w:r>
        <w:rPr>
          <w:rFonts w:ascii="Calibri"/>
          <w:i/>
          <w:spacing w:val="-3"/>
          <w:sz w:val="20"/>
          <w:vertAlign w:val="baseline"/>
        </w:rPr>
        <w:t> </w:t>
      </w:r>
      <w:r>
        <w:rPr>
          <w:rFonts w:ascii="Calibri"/>
          <w:sz w:val="20"/>
          <w:vertAlign w:val="baseline"/>
        </w:rPr>
        <w:t>(1988)</w:t>
      </w:r>
      <w:r>
        <w:rPr>
          <w:rFonts w:ascii="Calibri"/>
          <w:spacing w:val="-4"/>
          <w:sz w:val="20"/>
          <w:vertAlign w:val="baseline"/>
        </w:rPr>
        <w:t> </w:t>
      </w:r>
      <w:r>
        <w:rPr>
          <w:rFonts w:ascii="Calibri"/>
          <w:sz w:val="20"/>
          <w:vertAlign w:val="baseline"/>
        </w:rPr>
        <w:t>BCLC</w:t>
      </w:r>
      <w:r>
        <w:rPr>
          <w:rFonts w:ascii="Calibri"/>
          <w:spacing w:val="-4"/>
          <w:sz w:val="20"/>
          <w:vertAlign w:val="baseline"/>
        </w:rPr>
        <w:t> </w:t>
      </w:r>
      <w:r>
        <w:rPr>
          <w:rFonts w:ascii="Calibri"/>
          <w:spacing w:val="-5"/>
          <w:sz w:val="20"/>
          <w:vertAlign w:val="baseline"/>
        </w:rPr>
        <w:t>20.</w:t>
      </w:r>
    </w:p>
    <w:p>
      <w:pPr>
        <w:spacing w:after="0"/>
        <w:jc w:val="both"/>
        <w:rPr>
          <w:rFonts w:ascii="Calibri"/>
          <w:sz w:val="20"/>
        </w:rPr>
        <w:sectPr>
          <w:pgSz w:w="11910" w:h="16840"/>
          <w:pgMar w:header="0" w:footer="1003" w:top="1320" w:bottom="1200" w:left="1680" w:right="1180"/>
        </w:sectPr>
      </w:pPr>
    </w:p>
    <w:p>
      <w:pPr>
        <w:pStyle w:val="BodyText"/>
        <w:spacing w:before="110"/>
        <w:jc w:val="both"/>
      </w:pPr>
      <w:r>
        <w:rPr/>
        <w:t>become</w:t>
      </w:r>
      <w:r>
        <w:rPr>
          <w:spacing w:val="73"/>
        </w:rPr>
        <w:t> </w:t>
      </w:r>
      <w:r>
        <w:rPr/>
        <w:t>paramount.</w:t>
      </w:r>
      <w:r>
        <w:rPr>
          <w:vertAlign w:val="superscript"/>
        </w:rPr>
        <w:t>83</w:t>
      </w:r>
      <w:r>
        <w:rPr>
          <w:spacing w:val="78"/>
          <w:vertAlign w:val="baseline"/>
        </w:rPr>
        <w:t> </w:t>
      </w:r>
      <w:r>
        <w:rPr>
          <w:vertAlign w:val="baseline"/>
        </w:rPr>
        <w:t>Wrongful</w:t>
      </w:r>
      <w:r>
        <w:rPr>
          <w:spacing w:val="65"/>
          <w:vertAlign w:val="baseline"/>
        </w:rPr>
        <w:t> </w:t>
      </w:r>
      <w:r>
        <w:rPr>
          <w:vertAlign w:val="baseline"/>
        </w:rPr>
        <w:t>trading</w:t>
      </w:r>
      <w:r>
        <w:rPr>
          <w:spacing w:val="75"/>
          <w:vertAlign w:val="baseline"/>
        </w:rPr>
        <w:t> </w:t>
      </w:r>
      <w:r>
        <w:rPr>
          <w:vertAlign w:val="baseline"/>
        </w:rPr>
        <w:t>is</w:t>
      </w:r>
      <w:r>
        <w:rPr>
          <w:spacing w:val="72"/>
          <w:vertAlign w:val="baseline"/>
        </w:rPr>
        <w:t> </w:t>
      </w:r>
      <w:r>
        <w:rPr>
          <w:vertAlign w:val="baseline"/>
        </w:rPr>
        <w:t>thus,</w:t>
      </w:r>
      <w:r>
        <w:rPr>
          <w:spacing w:val="78"/>
          <w:vertAlign w:val="baseline"/>
        </w:rPr>
        <w:t> </w:t>
      </w:r>
      <w:r>
        <w:rPr>
          <w:vertAlign w:val="baseline"/>
        </w:rPr>
        <w:t>prohibited.</w:t>
      </w:r>
      <w:r>
        <w:rPr>
          <w:spacing w:val="79"/>
          <w:vertAlign w:val="baseline"/>
        </w:rPr>
        <w:t> </w:t>
      </w:r>
      <w:r>
        <w:rPr>
          <w:vertAlign w:val="baseline"/>
        </w:rPr>
        <w:t>Directors</w:t>
      </w:r>
      <w:r>
        <w:rPr>
          <w:spacing w:val="-1"/>
          <w:vertAlign w:val="baseline"/>
        </w:rPr>
        <w:t> </w:t>
      </w:r>
      <w:r>
        <w:rPr>
          <w:vertAlign w:val="baseline"/>
        </w:rPr>
        <w:t>are</w:t>
      </w:r>
      <w:r>
        <w:rPr>
          <w:spacing w:val="70"/>
          <w:vertAlign w:val="baseline"/>
        </w:rPr>
        <w:t> </w:t>
      </w:r>
      <w:r>
        <w:rPr>
          <w:vertAlign w:val="baseline"/>
        </w:rPr>
        <w:t>guilty</w:t>
      </w:r>
      <w:r>
        <w:rPr>
          <w:spacing w:val="65"/>
          <w:vertAlign w:val="baseline"/>
        </w:rPr>
        <w:t> </w:t>
      </w:r>
      <w:r>
        <w:rPr>
          <w:spacing w:val="-5"/>
          <w:vertAlign w:val="baseline"/>
        </w:rPr>
        <w:t>of</w:t>
      </w:r>
    </w:p>
    <w:p>
      <w:pPr>
        <w:pStyle w:val="BodyText"/>
        <w:spacing w:line="480" w:lineRule="auto" w:before="276"/>
        <w:ind w:right="225"/>
        <w:jc w:val="both"/>
      </w:pPr>
      <w:r>
        <w:rPr/>
        <w:t>―wrongful</w:t>
      </w:r>
      <w:r>
        <w:rPr>
          <w:spacing w:val="-12"/>
        </w:rPr>
        <w:t> </w:t>
      </w:r>
      <w:r>
        <w:rPr/>
        <w:t>trading‖ if</w:t>
      </w:r>
      <w:r>
        <w:rPr>
          <w:spacing w:val="-6"/>
        </w:rPr>
        <w:t> </w:t>
      </w:r>
      <w:r>
        <w:rPr/>
        <w:t>they</w:t>
      </w:r>
      <w:r>
        <w:rPr>
          <w:spacing w:val="-7"/>
        </w:rPr>
        <w:t> </w:t>
      </w:r>
      <w:r>
        <w:rPr/>
        <w:t>allow</w:t>
      </w:r>
      <w:r>
        <w:rPr>
          <w:spacing w:val="-4"/>
        </w:rPr>
        <w:t> </w:t>
      </w:r>
      <w:r>
        <w:rPr/>
        <w:t>the</w:t>
      </w:r>
      <w:r>
        <w:rPr>
          <w:spacing w:val="-4"/>
        </w:rPr>
        <w:t> </w:t>
      </w:r>
      <w:r>
        <w:rPr/>
        <w:t>company</w:t>
      </w:r>
      <w:r>
        <w:rPr>
          <w:spacing w:val="-12"/>
        </w:rPr>
        <w:t> </w:t>
      </w:r>
      <w:r>
        <w:rPr/>
        <w:t>to continue</w:t>
      </w:r>
      <w:r>
        <w:rPr>
          <w:spacing w:val="-4"/>
        </w:rPr>
        <w:t> </w:t>
      </w:r>
      <w:r>
        <w:rPr/>
        <w:t>to</w:t>
      </w:r>
      <w:r>
        <w:rPr>
          <w:spacing w:val="-4"/>
        </w:rPr>
        <w:t> </w:t>
      </w:r>
      <w:r>
        <w:rPr/>
        <w:t>conduct</w:t>
      </w:r>
      <w:r>
        <w:rPr>
          <w:spacing w:val="-3"/>
        </w:rPr>
        <w:t> </w:t>
      </w:r>
      <w:r>
        <w:rPr/>
        <w:t>business and incur debts when there is no reasonable prospect of the company repaying the debt. There is no need for proof</w:t>
      </w:r>
      <w:r>
        <w:rPr>
          <w:spacing w:val="-5"/>
        </w:rPr>
        <w:t> </w:t>
      </w:r>
      <w:r>
        <w:rPr/>
        <w:t>of</w:t>
      </w:r>
      <w:r>
        <w:rPr>
          <w:spacing w:val="-1"/>
        </w:rPr>
        <w:t> </w:t>
      </w:r>
      <w:r>
        <w:rPr/>
        <w:t>intent for wrongful</w:t>
      </w:r>
      <w:r>
        <w:rPr>
          <w:spacing w:val="-6"/>
        </w:rPr>
        <w:t> </w:t>
      </w:r>
      <w:r>
        <w:rPr/>
        <w:t>trading: the test is whether the director knew</w:t>
      </w:r>
      <w:r>
        <w:rPr>
          <w:spacing w:val="-3"/>
        </w:rPr>
        <w:t> </w:t>
      </w:r>
      <w:r>
        <w:rPr/>
        <w:t>or ought to have known that there was no reasonable prospect of the company getting out of its financial difficulties.S. 214 of the Insolvency Act 1986 reinforces the rule that once it is clear that a company</w:t>
      </w:r>
      <w:r>
        <w:rPr>
          <w:spacing w:val="-2"/>
        </w:rPr>
        <w:t> </w:t>
      </w:r>
      <w:r>
        <w:rPr/>
        <w:t>is no longer a going concern, a duty</w:t>
      </w:r>
      <w:r>
        <w:rPr>
          <w:spacing w:val="-6"/>
        </w:rPr>
        <w:t> </w:t>
      </w:r>
      <w:r>
        <w:rPr/>
        <w:t>to creditors replaces any duty</w:t>
      </w:r>
      <w:r>
        <w:rPr>
          <w:spacing w:val="-10"/>
        </w:rPr>
        <w:t> </w:t>
      </w:r>
      <w:r>
        <w:rPr/>
        <w:t>to shareholders.</w:t>
      </w:r>
      <w:r>
        <w:rPr>
          <w:vertAlign w:val="superscript"/>
        </w:rPr>
        <w:t>84</w:t>
      </w:r>
      <w:r>
        <w:rPr>
          <w:vertAlign w:val="baseline"/>
        </w:rPr>
        <w:t> It is pertinent to also note</w:t>
      </w:r>
      <w:r>
        <w:rPr>
          <w:spacing w:val="-1"/>
          <w:vertAlign w:val="baseline"/>
        </w:rPr>
        <w:t> </w:t>
      </w:r>
      <w:r>
        <w:rPr>
          <w:vertAlign w:val="baseline"/>
        </w:rPr>
        <w:t>that creditors</w:t>
      </w:r>
      <w:r>
        <w:rPr>
          <w:spacing w:val="-2"/>
          <w:vertAlign w:val="baseline"/>
        </w:rPr>
        <w:t> </w:t>
      </w:r>
      <w:r>
        <w:rPr>
          <w:vertAlign w:val="baseline"/>
        </w:rPr>
        <w:t>have</w:t>
      </w:r>
      <w:r>
        <w:rPr>
          <w:spacing w:val="-1"/>
          <w:vertAlign w:val="baseline"/>
        </w:rPr>
        <w:t> </w:t>
      </w:r>
      <w:r>
        <w:rPr>
          <w:vertAlign w:val="baseline"/>
        </w:rPr>
        <w:t>power, through insolvency procedures, to control the company‘s assets which are, after all, theirs and not the shareholders‘.</w:t>
      </w:r>
      <w:r>
        <w:rPr>
          <w:vertAlign w:val="superscript"/>
        </w:rPr>
        <w:t>85</w:t>
      </w:r>
    </w:p>
    <w:p>
      <w:pPr>
        <w:pStyle w:val="BodyText"/>
        <w:spacing w:line="480" w:lineRule="auto" w:before="2"/>
        <w:ind w:right="228" w:firstLine="720"/>
        <w:jc w:val="both"/>
      </w:pPr>
      <w:r>
        <w:rPr/>
        <w:t>Most of the factors listed in s. 172(1) are alien to UK company law, except (b), which mentions the interests of employees. Hitherto, s.309 of the Companies Act of 1985 had provided that the matters to which directors were to have regard in the performance of their functions included the ―interests of the company‘s employees in general, as well as the interests of its members.‖ Although this statement</w:t>
      </w:r>
      <w:r>
        <w:rPr>
          <w:spacing w:val="40"/>
        </w:rPr>
        <w:t> </w:t>
      </w:r>
      <w:r>
        <w:rPr/>
        <w:t>seemed to</w:t>
      </w:r>
      <w:r>
        <w:rPr>
          <w:spacing w:val="40"/>
        </w:rPr>
        <w:t> </w:t>
      </w:r>
      <w:r>
        <w:rPr/>
        <w:t>have created a parallel duty</w:t>
      </w:r>
      <w:r>
        <w:rPr>
          <w:spacing w:val="-1"/>
        </w:rPr>
        <w:t> </w:t>
      </w:r>
      <w:r>
        <w:rPr/>
        <w:t>to consider interests of members and employees, still it has been argued that the provision had no significant impact on the decisions of directors because the interests of employees were still subordinate to those of members.</w:t>
      </w:r>
      <w:r>
        <w:rPr>
          <w:vertAlign w:val="superscript"/>
        </w:rPr>
        <w:t>86</w:t>
      </w:r>
      <w:r>
        <w:rPr>
          <w:vertAlign w:val="baseline"/>
        </w:rPr>
        <w:t> It was also regarded as simply creating a defence for directors who might have allowed employees‘ interests to override those of members.</w:t>
      </w:r>
      <w:r>
        <w:rPr>
          <w:vertAlign w:val="superscript"/>
        </w:rPr>
        <w:t>87</w:t>
      </w:r>
      <w:r>
        <w:rPr>
          <w:vertAlign w:val="baseline"/>
        </w:rPr>
        <w:t> Hoffmann J did hold some directors</w:t>
      </w:r>
      <w:r>
        <w:rPr>
          <w:spacing w:val="59"/>
          <w:vertAlign w:val="baseline"/>
        </w:rPr>
        <w:t> </w:t>
      </w:r>
      <w:r>
        <w:rPr>
          <w:vertAlign w:val="baseline"/>
        </w:rPr>
        <w:t>not</w:t>
      </w:r>
      <w:r>
        <w:rPr>
          <w:spacing w:val="71"/>
          <w:vertAlign w:val="baseline"/>
        </w:rPr>
        <w:t> </w:t>
      </w:r>
      <w:r>
        <w:rPr>
          <w:vertAlign w:val="baseline"/>
        </w:rPr>
        <w:t>liable</w:t>
      </w:r>
      <w:r>
        <w:rPr>
          <w:spacing w:val="65"/>
          <w:vertAlign w:val="baseline"/>
        </w:rPr>
        <w:t> </w:t>
      </w:r>
      <w:r>
        <w:rPr>
          <w:vertAlign w:val="baseline"/>
        </w:rPr>
        <w:t>for</w:t>
      </w:r>
      <w:r>
        <w:rPr>
          <w:spacing w:val="67"/>
          <w:vertAlign w:val="baseline"/>
        </w:rPr>
        <w:t> </w:t>
      </w:r>
      <w:r>
        <w:rPr>
          <w:vertAlign w:val="baseline"/>
        </w:rPr>
        <w:t>favouring</w:t>
      </w:r>
      <w:r>
        <w:rPr>
          <w:spacing w:val="66"/>
          <w:vertAlign w:val="baseline"/>
        </w:rPr>
        <w:t> </w:t>
      </w:r>
      <w:r>
        <w:rPr>
          <w:vertAlign w:val="baseline"/>
        </w:rPr>
        <w:t>the</w:t>
      </w:r>
      <w:r>
        <w:rPr>
          <w:spacing w:val="65"/>
          <w:vertAlign w:val="baseline"/>
        </w:rPr>
        <w:t> </w:t>
      </w:r>
      <w:r>
        <w:rPr>
          <w:vertAlign w:val="baseline"/>
        </w:rPr>
        <w:t>sale</w:t>
      </w:r>
      <w:r>
        <w:rPr>
          <w:spacing w:val="65"/>
          <w:vertAlign w:val="baseline"/>
        </w:rPr>
        <w:t> </w:t>
      </w:r>
      <w:r>
        <w:rPr>
          <w:vertAlign w:val="baseline"/>
        </w:rPr>
        <w:t>of</w:t>
      </w:r>
      <w:r>
        <w:rPr>
          <w:spacing w:val="58"/>
          <w:vertAlign w:val="baseline"/>
        </w:rPr>
        <w:t> </w:t>
      </w:r>
      <w:r>
        <w:rPr>
          <w:vertAlign w:val="baseline"/>
        </w:rPr>
        <w:t>their</w:t>
      </w:r>
      <w:r>
        <w:rPr>
          <w:spacing w:val="63"/>
          <w:vertAlign w:val="baseline"/>
        </w:rPr>
        <w:t> </w:t>
      </w:r>
      <w:r>
        <w:rPr>
          <w:vertAlign w:val="baseline"/>
        </w:rPr>
        <w:t>company‘s</w:t>
      </w:r>
      <w:r>
        <w:rPr>
          <w:spacing w:val="68"/>
          <w:vertAlign w:val="baseline"/>
        </w:rPr>
        <w:t> </w:t>
      </w:r>
      <w:r>
        <w:rPr>
          <w:vertAlign w:val="baseline"/>
        </w:rPr>
        <w:t>business</w:t>
      </w:r>
      <w:r>
        <w:rPr>
          <w:spacing w:val="63"/>
          <w:vertAlign w:val="baseline"/>
        </w:rPr>
        <w:t> </w:t>
      </w:r>
      <w:r>
        <w:rPr>
          <w:vertAlign w:val="baseline"/>
        </w:rPr>
        <w:t>to</w:t>
      </w:r>
      <w:r>
        <w:rPr>
          <w:spacing w:val="66"/>
          <w:vertAlign w:val="baseline"/>
        </w:rPr>
        <w:t> </w:t>
      </w:r>
      <w:r>
        <w:rPr>
          <w:vertAlign w:val="baseline"/>
        </w:rPr>
        <w:t>a</w:t>
      </w:r>
      <w:r>
        <w:rPr>
          <w:spacing w:val="60"/>
          <w:vertAlign w:val="baseline"/>
        </w:rPr>
        <w:t> </w:t>
      </w:r>
      <w:r>
        <w:rPr>
          <w:vertAlign w:val="baseline"/>
        </w:rPr>
        <w:t>party</w:t>
      </w:r>
    </w:p>
    <w:p>
      <w:pPr>
        <w:pStyle w:val="BodyText"/>
        <w:spacing w:before="1"/>
        <w:ind w:left="0"/>
        <w:rPr>
          <w:sz w:val="7"/>
        </w:rPr>
      </w:pPr>
      <w:r>
        <w:rPr/>
        <mc:AlternateContent>
          <mc:Choice Requires="wps">
            <w:drawing>
              <wp:anchor distT="0" distB="0" distL="0" distR="0" allowOverlap="1" layoutInCell="1" locked="0" behindDoc="1" simplePos="0" relativeHeight="487681536">
                <wp:simplePos x="0" y="0"/>
                <wp:positionH relativeFrom="page">
                  <wp:posOffset>1262481</wp:posOffset>
                </wp:positionH>
                <wp:positionV relativeFrom="paragraph">
                  <wp:posOffset>67539</wp:posOffset>
                </wp:positionV>
                <wp:extent cx="1829435" cy="9525"/>
                <wp:effectExtent l="0" t="0" r="0" b="0"/>
                <wp:wrapTopAndBottom/>
                <wp:docPr id="206" name="Graphic 206"/>
                <wp:cNvGraphicFramePr>
                  <a:graphicFrameLocks/>
                </wp:cNvGraphicFramePr>
                <a:graphic>
                  <a:graphicData uri="http://schemas.microsoft.com/office/word/2010/wordprocessingShape">
                    <wps:wsp>
                      <wps:cNvPr id="206" name="Graphic 20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5.318077pt;width:144.050pt;height:.71997pt;mso-position-horizontal-relative:page;mso-position-vertical-relative:paragraph;z-index:-15634944;mso-wrap-distance-left:0;mso-wrap-distance-right:0" id="docshape161" filled="true" fillcolor="#000000" stroked="false">
                <v:fill type="solid"/>
                <w10:wrap type="topAndBottom"/>
              </v:rect>
            </w:pict>
          </mc:Fallback>
        </mc:AlternateContent>
      </w:r>
    </w:p>
    <w:p>
      <w:pPr>
        <w:spacing w:line="237" w:lineRule="auto" w:before="104"/>
        <w:ind w:left="308" w:right="225" w:firstLine="0"/>
        <w:jc w:val="both"/>
        <w:rPr>
          <w:rFonts w:ascii="Calibri"/>
          <w:sz w:val="20"/>
        </w:rPr>
      </w:pPr>
      <w:r>
        <w:rPr>
          <w:rFonts w:ascii="Calibri"/>
          <w:sz w:val="20"/>
          <w:vertAlign w:val="superscript"/>
        </w:rPr>
        <w:t>83</w:t>
      </w:r>
      <w:r>
        <w:rPr>
          <w:rFonts w:ascii="Calibri"/>
          <w:sz w:val="20"/>
          <w:vertAlign w:val="baseline"/>
        </w:rPr>
        <w:t> See </w:t>
      </w:r>
      <w:r>
        <w:rPr>
          <w:rFonts w:ascii="Calibri"/>
          <w:i/>
          <w:sz w:val="20"/>
          <w:vertAlign w:val="baseline"/>
        </w:rPr>
        <w:t>Lonrho Ltd. vs. Shell Petroleum Ltd. </w:t>
      </w:r>
      <w:r>
        <w:rPr>
          <w:rFonts w:ascii="Calibri"/>
          <w:sz w:val="20"/>
          <w:vertAlign w:val="baseline"/>
        </w:rPr>
        <w:t>(1980) 1 WLR 627, at 634 (HL), per Lord Diplock; </w:t>
      </w:r>
      <w:r>
        <w:rPr>
          <w:rFonts w:ascii="Calibri"/>
          <w:i/>
          <w:sz w:val="20"/>
          <w:vertAlign w:val="baseline"/>
        </w:rPr>
        <w:t>West Mercia Safetyware Ltd. vs. Dodd </w:t>
      </w:r>
      <w:r>
        <w:rPr>
          <w:rFonts w:ascii="Calibri"/>
          <w:sz w:val="20"/>
          <w:vertAlign w:val="baseline"/>
        </w:rPr>
        <w:t>(1988) BCLC 250, at 252-253 (CA), per Dillon LJ; </w:t>
      </w:r>
      <w:r>
        <w:rPr>
          <w:rFonts w:ascii="Calibri"/>
          <w:i/>
          <w:sz w:val="20"/>
          <w:vertAlign w:val="baseline"/>
        </w:rPr>
        <w:t>Brady vs. Brady </w:t>
      </w:r>
      <w:r>
        <w:rPr>
          <w:rFonts w:ascii="Calibri"/>
          <w:sz w:val="20"/>
          <w:vertAlign w:val="baseline"/>
        </w:rPr>
        <w:t>(1989) AC 755 (HL); </w:t>
      </w:r>
      <w:r>
        <w:rPr>
          <w:rFonts w:ascii="Calibri"/>
          <w:i/>
          <w:sz w:val="20"/>
          <w:vertAlign w:val="baseline"/>
        </w:rPr>
        <w:t>Singla vs. Hedman </w:t>
      </w:r>
      <w:r>
        <w:rPr>
          <w:rFonts w:ascii="Calibri"/>
          <w:sz w:val="20"/>
          <w:vertAlign w:val="baseline"/>
        </w:rPr>
        <w:t>(2010) 2 BCLC 61 at para 33 and </w:t>
      </w:r>
      <w:r>
        <w:rPr>
          <w:rFonts w:ascii="Calibri"/>
          <w:i/>
          <w:sz w:val="20"/>
          <w:vertAlign w:val="baseline"/>
        </w:rPr>
        <w:t>Roberts vs. Frohlich </w:t>
      </w:r>
      <w:r>
        <w:rPr>
          <w:rFonts w:ascii="Calibri"/>
          <w:sz w:val="20"/>
          <w:vertAlign w:val="baseline"/>
        </w:rPr>
        <w:t>(2011) EWHC 257 (Ch).</w:t>
      </w:r>
    </w:p>
    <w:p>
      <w:pPr>
        <w:spacing w:before="3"/>
        <w:ind w:left="308" w:right="0" w:firstLine="0"/>
        <w:jc w:val="left"/>
        <w:rPr>
          <w:rFonts w:ascii="Calibri" w:hAnsi="Calibri"/>
          <w:sz w:val="20"/>
        </w:rPr>
      </w:pPr>
      <w:r>
        <w:rPr>
          <w:rFonts w:ascii="Calibri" w:hAnsi="Calibri"/>
          <w:sz w:val="20"/>
          <w:vertAlign w:val="superscript"/>
        </w:rPr>
        <w:t>84</w:t>
      </w:r>
      <w:r>
        <w:rPr>
          <w:rFonts w:ascii="Calibri" w:hAnsi="Calibri"/>
          <w:sz w:val="20"/>
          <w:vertAlign w:val="baseline"/>
        </w:rPr>
        <w:t>Alcock,</w:t>
      </w:r>
      <w:r>
        <w:rPr>
          <w:rFonts w:ascii="Calibri" w:hAnsi="Calibri"/>
          <w:spacing w:val="80"/>
          <w:w w:val="150"/>
          <w:sz w:val="20"/>
          <w:vertAlign w:val="baseline"/>
        </w:rPr>
        <w:t> </w:t>
      </w:r>
      <w:r>
        <w:rPr>
          <w:rFonts w:ascii="Calibri" w:hAnsi="Calibri"/>
          <w:sz w:val="20"/>
          <w:vertAlign w:val="baseline"/>
        </w:rPr>
        <w:t>A.</w:t>
      </w:r>
      <w:r>
        <w:rPr>
          <w:rFonts w:ascii="Calibri" w:hAnsi="Calibri"/>
          <w:spacing w:val="80"/>
          <w:w w:val="150"/>
          <w:sz w:val="20"/>
          <w:vertAlign w:val="baseline"/>
        </w:rPr>
        <w:t> </w:t>
      </w:r>
      <w:r>
        <w:rPr>
          <w:rFonts w:ascii="Calibri" w:hAnsi="Calibri"/>
          <w:sz w:val="20"/>
          <w:vertAlign w:val="baseline"/>
        </w:rPr>
        <w:t>(2009)An</w:t>
      </w:r>
      <w:r>
        <w:rPr>
          <w:rFonts w:ascii="Calibri" w:hAnsi="Calibri"/>
          <w:spacing w:val="80"/>
          <w:w w:val="150"/>
          <w:sz w:val="20"/>
          <w:vertAlign w:val="baseline"/>
        </w:rPr>
        <w:t> </w:t>
      </w:r>
      <w:r>
        <w:rPr>
          <w:rFonts w:ascii="Calibri" w:hAnsi="Calibri"/>
          <w:sz w:val="20"/>
          <w:vertAlign w:val="baseline"/>
        </w:rPr>
        <w:t>Accidental</w:t>
      </w:r>
      <w:r>
        <w:rPr>
          <w:rFonts w:ascii="Calibri" w:hAnsi="Calibri"/>
          <w:spacing w:val="80"/>
          <w:w w:val="150"/>
          <w:sz w:val="20"/>
          <w:vertAlign w:val="baseline"/>
        </w:rPr>
        <w:t> </w:t>
      </w:r>
      <w:r>
        <w:rPr>
          <w:rFonts w:ascii="Calibri" w:hAnsi="Calibri"/>
          <w:sz w:val="20"/>
          <w:vertAlign w:val="baseline"/>
        </w:rPr>
        <w:t>Change</w:t>
      </w:r>
      <w:r>
        <w:rPr>
          <w:rFonts w:ascii="Calibri" w:hAnsi="Calibri"/>
          <w:spacing w:val="80"/>
          <w:w w:val="150"/>
          <w:sz w:val="20"/>
          <w:vertAlign w:val="baseline"/>
        </w:rPr>
        <w:t> </w:t>
      </w:r>
      <w:r>
        <w:rPr>
          <w:rFonts w:ascii="Calibri" w:hAnsi="Calibri"/>
          <w:sz w:val="20"/>
          <w:vertAlign w:val="baseline"/>
        </w:rPr>
        <w:t>to</w:t>
      </w:r>
      <w:r>
        <w:rPr>
          <w:rFonts w:ascii="Calibri" w:hAnsi="Calibri"/>
          <w:spacing w:val="80"/>
          <w:w w:val="150"/>
          <w:sz w:val="20"/>
          <w:vertAlign w:val="baseline"/>
        </w:rPr>
        <w:t> </w:t>
      </w:r>
      <w:r>
        <w:rPr>
          <w:rFonts w:ascii="Calibri" w:hAnsi="Calibri"/>
          <w:sz w:val="20"/>
          <w:vertAlign w:val="baseline"/>
        </w:rPr>
        <w:t>Directors’</w:t>
      </w:r>
      <w:r>
        <w:rPr>
          <w:rFonts w:ascii="Calibri" w:hAnsi="Calibri"/>
          <w:spacing w:val="80"/>
          <w:w w:val="150"/>
          <w:sz w:val="20"/>
          <w:vertAlign w:val="baseline"/>
        </w:rPr>
        <w:t> </w:t>
      </w:r>
      <w:r>
        <w:rPr>
          <w:rFonts w:ascii="Calibri" w:hAnsi="Calibri"/>
          <w:sz w:val="20"/>
          <w:vertAlign w:val="baseline"/>
        </w:rPr>
        <w:t>Duties?</w:t>
      </w:r>
      <w:r>
        <w:rPr>
          <w:rFonts w:ascii="Calibri" w:hAnsi="Calibri"/>
          <w:i/>
          <w:sz w:val="20"/>
          <w:vertAlign w:val="baseline"/>
        </w:rPr>
        <w:t>Company</w:t>
      </w:r>
      <w:r>
        <w:rPr>
          <w:rFonts w:ascii="Calibri" w:hAnsi="Calibri"/>
          <w:i/>
          <w:spacing w:val="80"/>
          <w:w w:val="150"/>
          <w:sz w:val="20"/>
          <w:vertAlign w:val="baseline"/>
        </w:rPr>
        <w:t> </w:t>
      </w:r>
      <w:r>
        <w:rPr>
          <w:rFonts w:ascii="Calibri" w:hAnsi="Calibri"/>
          <w:i/>
          <w:sz w:val="20"/>
          <w:vertAlign w:val="baseline"/>
        </w:rPr>
        <w:t>Lawyer</w:t>
      </w:r>
      <w:r>
        <w:rPr>
          <w:rFonts w:ascii="Calibri" w:hAnsi="Calibri"/>
          <w:sz w:val="20"/>
          <w:vertAlign w:val="baseline"/>
        </w:rPr>
        <w:t>,</w:t>
      </w:r>
      <w:r>
        <w:rPr>
          <w:rFonts w:ascii="Calibri" w:hAnsi="Calibri"/>
          <w:spacing w:val="80"/>
          <w:w w:val="150"/>
          <w:sz w:val="20"/>
          <w:vertAlign w:val="baseline"/>
        </w:rPr>
        <w:t> </w:t>
      </w:r>
      <w:r>
        <w:rPr>
          <w:rFonts w:ascii="Calibri" w:hAnsi="Calibri"/>
          <w:sz w:val="20"/>
          <w:vertAlign w:val="baseline"/>
        </w:rPr>
        <w:t>362,</w:t>
      </w:r>
      <w:r>
        <w:rPr>
          <w:rFonts w:ascii="Calibri" w:hAnsi="Calibri"/>
          <w:spacing w:val="80"/>
          <w:w w:val="150"/>
          <w:sz w:val="20"/>
          <w:vertAlign w:val="baseline"/>
        </w:rPr>
        <w:t> </w:t>
      </w:r>
      <w:r>
        <w:rPr>
          <w:rFonts w:ascii="Calibri" w:hAnsi="Calibri"/>
          <w:sz w:val="20"/>
          <w:vertAlign w:val="baseline"/>
        </w:rPr>
        <w:t>p.</w:t>
      </w:r>
      <w:r>
        <w:rPr>
          <w:rFonts w:ascii="Calibri" w:hAnsi="Calibri"/>
          <w:spacing w:val="80"/>
          <w:w w:val="150"/>
          <w:sz w:val="20"/>
          <w:vertAlign w:val="baseline"/>
        </w:rPr>
        <w:t> </w:t>
      </w:r>
      <w:r>
        <w:rPr>
          <w:rFonts w:ascii="Calibri" w:hAnsi="Calibri"/>
          <w:sz w:val="20"/>
          <w:vertAlign w:val="baseline"/>
        </w:rPr>
        <w:t>7. RetrievedNovember 11, 2013 from </w:t>
      </w:r>
      <w:hyperlink r:id="rId50">
        <w:r>
          <w:rPr>
            <w:rFonts w:ascii="Calibri" w:hAnsi="Calibri"/>
            <w:color w:val="0000FF"/>
            <w:sz w:val="20"/>
            <w:u w:val="single" w:color="0000FF"/>
            <w:vertAlign w:val="baseline"/>
          </w:rPr>
          <w:t>http://usir.salford.ac.uk/3112/1/CA_2006.pdf</w:t>
        </w:r>
        <w:r>
          <w:rPr>
            <w:rFonts w:ascii="Calibri" w:hAnsi="Calibri"/>
            <w:sz w:val="20"/>
            <w:vertAlign w:val="baseline"/>
          </w:rPr>
          <w:t>.</w:t>
        </w:r>
      </w:hyperlink>
    </w:p>
    <w:p>
      <w:pPr>
        <w:spacing w:before="1"/>
        <w:ind w:left="308" w:right="0" w:firstLine="0"/>
        <w:jc w:val="left"/>
        <w:rPr>
          <w:rFonts w:ascii="Calibri" w:hAnsi="Calibri"/>
          <w:sz w:val="20"/>
        </w:rPr>
      </w:pPr>
      <w:r>
        <w:rPr>
          <w:rFonts w:ascii="Calibri" w:hAnsi="Calibri"/>
          <w:sz w:val="20"/>
          <w:vertAlign w:val="superscript"/>
        </w:rPr>
        <w:t>85</w:t>
      </w:r>
      <w:r>
        <w:rPr>
          <w:rFonts w:ascii="Calibri" w:hAnsi="Calibri"/>
          <w:sz w:val="20"/>
          <w:vertAlign w:val="baseline"/>
        </w:rPr>
        <w:t>Wild,</w:t>
      </w:r>
      <w:r>
        <w:rPr>
          <w:rFonts w:ascii="Calibri" w:hAnsi="Calibri"/>
          <w:spacing w:val="34"/>
          <w:sz w:val="20"/>
          <w:vertAlign w:val="baseline"/>
        </w:rPr>
        <w:t> </w:t>
      </w:r>
      <w:r>
        <w:rPr>
          <w:rFonts w:ascii="Calibri" w:hAnsi="Calibri"/>
          <w:sz w:val="20"/>
          <w:vertAlign w:val="baseline"/>
        </w:rPr>
        <w:t>C.</w:t>
      </w:r>
      <w:r>
        <w:rPr>
          <w:rFonts w:ascii="Calibri" w:hAnsi="Calibri"/>
          <w:spacing w:val="38"/>
          <w:sz w:val="20"/>
          <w:vertAlign w:val="baseline"/>
        </w:rPr>
        <w:t> </w:t>
      </w:r>
      <w:r>
        <w:rPr>
          <w:rFonts w:ascii="Calibri" w:hAnsi="Calibri"/>
          <w:sz w:val="20"/>
          <w:vertAlign w:val="baseline"/>
        </w:rPr>
        <w:t>and</w:t>
      </w:r>
      <w:r>
        <w:rPr>
          <w:rFonts w:ascii="Calibri" w:hAnsi="Calibri"/>
          <w:spacing w:val="36"/>
          <w:sz w:val="20"/>
          <w:vertAlign w:val="baseline"/>
        </w:rPr>
        <w:t> </w:t>
      </w:r>
      <w:r>
        <w:rPr>
          <w:rFonts w:ascii="Calibri" w:hAnsi="Calibri"/>
          <w:sz w:val="20"/>
          <w:vertAlign w:val="baseline"/>
        </w:rPr>
        <w:t>Weinstein,</w:t>
      </w:r>
      <w:r>
        <w:rPr>
          <w:rFonts w:ascii="Calibri" w:hAnsi="Calibri"/>
          <w:spacing w:val="34"/>
          <w:sz w:val="20"/>
          <w:vertAlign w:val="baseline"/>
        </w:rPr>
        <w:t> </w:t>
      </w:r>
      <w:r>
        <w:rPr>
          <w:rFonts w:ascii="Calibri" w:hAnsi="Calibri"/>
          <w:sz w:val="20"/>
          <w:vertAlign w:val="baseline"/>
        </w:rPr>
        <w:t>S.</w:t>
      </w:r>
      <w:r>
        <w:rPr>
          <w:rFonts w:ascii="Calibri" w:hAnsi="Calibri"/>
          <w:spacing w:val="40"/>
          <w:sz w:val="20"/>
          <w:vertAlign w:val="baseline"/>
        </w:rPr>
        <w:t> </w:t>
      </w:r>
      <w:r>
        <w:rPr>
          <w:rFonts w:ascii="Calibri" w:hAnsi="Calibri"/>
          <w:sz w:val="20"/>
          <w:vertAlign w:val="baseline"/>
        </w:rPr>
        <w:t>(2009).</w:t>
      </w:r>
      <w:r>
        <w:rPr>
          <w:rFonts w:ascii="Calibri" w:hAnsi="Calibri"/>
          <w:i/>
          <w:sz w:val="20"/>
          <w:vertAlign w:val="baseline"/>
        </w:rPr>
        <w:t>Smith</w:t>
      </w:r>
      <w:r>
        <w:rPr>
          <w:rFonts w:ascii="Calibri" w:hAnsi="Calibri"/>
          <w:i/>
          <w:spacing w:val="38"/>
          <w:sz w:val="20"/>
          <w:vertAlign w:val="baseline"/>
        </w:rPr>
        <w:t> </w:t>
      </w:r>
      <w:r>
        <w:rPr>
          <w:rFonts w:ascii="Calibri" w:hAnsi="Calibri"/>
          <w:i/>
          <w:sz w:val="20"/>
          <w:vertAlign w:val="baseline"/>
        </w:rPr>
        <w:t>&amp;</w:t>
      </w:r>
      <w:r>
        <w:rPr>
          <w:rFonts w:ascii="Calibri" w:hAnsi="Calibri"/>
          <w:i/>
          <w:spacing w:val="38"/>
          <w:sz w:val="20"/>
          <w:vertAlign w:val="baseline"/>
        </w:rPr>
        <w:t> </w:t>
      </w:r>
      <w:r>
        <w:rPr>
          <w:rFonts w:ascii="Calibri" w:hAnsi="Calibri"/>
          <w:i/>
          <w:sz w:val="20"/>
          <w:vertAlign w:val="baseline"/>
        </w:rPr>
        <w:t>Keenan’s</w:t>
      </w:r>
      <w:r>
        <w:rPr>
          <w:rFonts w:ascii="Calibri" w:hAnsi="Calibri"/>
          <w:i/>
          <w:spacing w:val="35"/>
          <w:sz w:val="20"/>
          <w:vertAlign w:val="baseline"/>
        </w:rPr>
        <w:t> </w:t>
      </w:r>
      <w:r>
        <w:rPr>
          <w:rFonts w:ascii="Calibri" w:hAnsi="Calibri"/>
          <w:i/>
          <w:sz w:val="20"/>
          <w:vertAlign w:val="baseline"/>
        </w:rPr>
        <w:t>Company</w:t>
      </w:r>
      <w:r>
        <w:rPr>
          <w:rFonts w:ascii="Calibri" w:hAnsi="Calibri"/>
          <w:i/>
          <w:spacing w:val="37"/>
          <w:sz w:val="20"/>
          <w:vertAlign w:val="baseline"/>
        </w:rPr>
        <w:t> </w:t>
      </w:r>
      <w:r>
        <w:rPr>
          <w:rFonts w:ascii="Calibri" w:hAnsi="Calibri"/>
          <w:i/>
          <w:sz w:val="20"/>
          <w:vertAlign w:val="baseline"/>
        </w:rPr>
        <w:t>Law.</w:t>
      </w:r>
      <w:r>
        <w:rPr>
          <w:rFonts w:ascii="Calibri" w:hAnsi="Calibri"/>
          <w:sz w:val="20"/>
          <w:vertAlign w:val="baseline"/>
        </w:rPr>
        <w:t>14</w:t>
      </w:r>
      <w:r>
        <w:rPr>
          <w:rFonts w:ascii="Calibri" w:hAnsi="Calibri"/>
          <w:sz w:val="20"/>
          <w:vertAlign w:val="superscript"/>
        </w:rPr>
        <w:t>th</w:t>
      </w:r>
      <w:r>
        <w:rPr>
          <w:rFonts w:ascii="Calibri" w:hAnsi="Calibri"/>
          <w:spacing w:val="36"/>
          <w:sz w:val="20"/>
          <w:vertAlign w:val="baseline"/>
        </w:rPr>
        <w:t> </w:t>
      </w:r>
      <w:r>
        <w:rPr>
          <w:rFonts w:ascii="Calibri" w:hAnsi="Calibri"/>
          <w:sz w:val="20"/>
          <w:vertAlign w:val="baseline"/>
        </w:rPr>
        <w:t>edition,</w:t>
      </w:r>
      <w:r>
        <w:rPr>
          <w:rFonts w:ascii="Calibri" w:hAnsi="Calibri"/>
          <w:spacing w:val="34"/>
          <w:sz w:val="20"/>
          <w:vertAlign w:val="baseline"/>
        </w:rPr>
        <w:t> </w:t>
      </w:r>
      <w:r>
        <w:rPr>
          <w:rFonts w:ascii="Calibri" w:hAnsi="Calibri"/>
          <w:sz w:val="20"/>
          <w:vertAlign w:val="baseline"/>
        </w:rPr>
        <w:t>Pearson</w:t>
      </w:r>
      <w:r>
        <w:rPr>
          <w:rFonts w:ascii="Calibri" w:hAnsi="Calibri"/>
          <w:spacing w:val="36"/>
          <w:sz w:val="20"/>
          <w:vertAlign w:val="baseline"/>
        </w:rPr>
        <w:t> </w:t>
      </w:r>
      <w:r>
        <w:rPr>
          <w:rFonts w:ascii="Calibri" w:hAnsi="Calibri"/>
          <w:sz w:val="20"/>
          <w:vertAlign w:val="baseline"/>
        </w:rPr>
        <w:t>Education Limited, England, p.345.</w:t>
      </w:r>
    </w:p>
    <w:p>
      <w:pPr>
        <w:spacing w:before="2"/>
        <w:ind w:left="308" w:right="0" w:firstLine="0"/>
        <w:jc w:val="left"/>
        <w:rPr>
          <w:rFonts w:ascii="Calibri"/>
          <w:sz w:val="20"/>
        </w:rPr>
      </w:pPr>
      <w:r>
        <w:rPr>
          <w:rFonts w:ascii="Calibri"/>
          <w:sz w:val="20"/>
          <w:vertAlign w:val="superscript"/>
        </w:rPr>
        <w:t>86</w:t>
      </w:r>
      <w:r>
        <w:rPr>
          <w:rFonts w:ascii="Calibri"/>
          <w:sz w:val="20"/>
          <w:vertAlign w:val="baseline"/>
        </w:rPr>
        <w:t> See</w:t>
      </w:r>
      <w:r>
        <w:rPr>
          <w:rFonts w:ascii="Calibri"/>
          <w:spacing w:val="-5"/>
          <w:sz w:val="20"/>
          <w:vertAlign w:val="baseline"/>
        </w:rPr>
        <w:t> </w:t>
      </w:r>
      <w:r>
        <w:rPr>
          <w:rFonts w:ascii="Calibri"/>
          <w:sz w:val="20"/>
          <w:vertAlign w:val="baseline"/>
        </w:rPr>
        <w:t>Birds,</w:t>
      </w:r>
      <w:r>
        <w:rPr>
          <w:rFonts w:ascii="Calibri"/>
          <w:spacing w:val="-3"/>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w:t>
      </w:r>
      <w:r>
        <w:rPr>
          <w:rFonts w:ascii="Calibri"/>
          <w:spacing w:val="-4"/>
          <w:sz w:val="20"/>
          <w:vertAlign w:val="baseline"/>
        </w:rPr>
        <w:t> </w:t>
      </w:r>
      <w:r>
        <w:rPr>
          <w:rFonts w:ascii="Calibri"/>
          <w:sz w:val="20"/>
          <w:vertAlign w:val="baseline"/>
        </w:rPr>
        <w:t>op.cit.</w:t>
      </w:r>
      <w:r>
        <w:rPr>
          <w:rFonts w:ascii="Calibri"/>
          <w:spacing w:val="-4"/>
          <w:sz w:val="20"/>
          <w:vertAlign w:val="baseline"/>
        </w:rPr>
        <w:t> </w:t>
      </w:r>
      <w:r>
        <w:rPr>
          <w:rFonts w:ascii="Calibri"/>
          <w:spacing w:val="-2"/>
          <w:sz w:val="20"/>
          <w:vertAlign w:val="baseline"/>
        </w:rPr>
        <w:t>atp.637.</w:t>
      </w:r>
    </w:p>
    <w:p>
      <w:pPr>
        <w:spacing w:before="0"/>
        <w:ind w:left="308" w:right="0" w:firstLine="0"/>
        <w:jc w:val="left"/>
        <w:rPr>
          <w:rFonts w:ascii="Calibri"/>
          <w:sz w:val="20"/>
        </w:rPr>
      </w:pPr>
      <w:r>
        <w:rPr>
          <w:rFonts w:ascii="Calibri"/>
          <w:sz w:val="20"/>
          <w:vertAlign w:val="superscript"/>
        </w:rPr>
        <w:t>87</w:t>
      </w:r>
      <w:r>
        <w:rPr>
          <w:rFonts w:ascii="Calibri"/>
          <w:sz w:val="20"/>
          <w:vertAlign w:val="baseline"/>
        </w:rPr>
        <w:t>Alcock,</w:t>
      </w:r>
      <w:r>
        <w:rPr>
          <w:rFonts w:ascii="Calibri"/>
          <w:spacing w:val="-6"/>
          <w:sz w:val="20"/>
          <w:vertAlign w:val="baseline"/>
        </w:rPr>
        <w:t> </w:t>
      </w:r>
      <w:r>
        <w:rPr>
          <w:rFonts w:ascii="Calibri"/>
          <w:sz w:val="20"/>
          <w:vertAlign w:val="baseline"/>
        </w:rPr>
        <w:t>A.</w:t>
      </w:r>
      <w:r>
        <w:rPr>
          <w:rFonts w:ascii="Calibri"/>
          <w:spacing w:val="-5"/>
          <w:sz w:val="20"/>
          <w:vertAlign w:val="baseline"/>
        </w:rPr>
        <w:t> </w:t>
      </w:r>
      <w:r>
        <w:rPr>
          <w:rFonts w:ascii="Calibri"/>
          <w:i/>
          <w:sz w:val="20"/>
          <w:vertAlign w:val="baseline"/>
        </w:rPr>
        <w:t>op.cit.</w:t>
      </w:r>
      <w:r>
        <w:rPr>
          <w:rFonts w:ascii="Calibri"/>
          <w:sz w:val="20"/>
          <w:vertAlign w:val="baseline"/>
        </w:rPr>
        <w:t>p.</w:t>
      </w:r>
      <w:r>
        <w:rPr>
          <w:rFonts w:ascii="Calibri"/>
          <w:spacing w:val="-6"/>
          <w:sz w:val="20"/>
          <w:vertAlign w:val="baseline"/>
        </w:rPr>
        <w:t> </w:t>
      </w:r>
      <w:r>
        <w:rPr>
          <w:rFonts w:ascii="Calibri"/>
          <w:spacing w:val="-5"/>
          <w:sz w:val="20"/>
          <w:vertAlign w:val="baseline"/>
        </w:rPr>
        <w:t>6.</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32"/>
        <w:jc w:val="both"/>
      </w:pPr>
      <w:r>
        <w:rPr/>
        <w:t>prepared to take on</w:t>
      </w:r>
      <w:r>
        <w:rPr>
          <w:spacing w:val="-4"/>
        </w:rPr>
        <w:t> </w:t>
      </w:r>
      <w:r>
        <w:rPr/>
        <w:t>the employees rather than to a party</w:t>
      </w:r>
      <w:r>
        <w:rPr>
          <w:spacing w:val="-4"/>
        </w:rPr>
        <w:t> </w:t>
      </w:r>
      <w:r>
        <w:rPr/>
        <w:t>prepared to offer a higher price but without the employees.</w:t>
      </w:r>
      <w:r>
        <w:rPr>
          <w:vertAlign w:val="superscript"/>
        </w:rPr>
        <w:t>88</w:t>
      </w:r>
      <w:r>
        <w:rPr>
          <w:vertAlign w:val="baseline"/>
        </w:rPr>
        <w:t> Therefore, the provision indeed worked to exonerate the </w:t>
      </w:r>
      <w:r>
        <w:rPr>
          <w:spacing w:val="-2"/>
          <w:vertAlign w:val="baseline"/>
        </w:rPr>
        <w:t>directors.</w:t>
      </w:r>
    </w:p>
    <w:p>
      <w:pPr>
        <w:pStyle w:val="BodyText"/>
        <w:spacing w:line="480" w:lineRule="auto"/>
        <w:ind w:right="229" w:firstLine="720"/>
        <w:jc w:val="both"/>
      </w:pPr>
      <w:r>
        <w:rPr/>
        <w:t>A similar provision is conspicuously absent in the present Act. It has been</w:t>
      </w:r>
      <w:r>
        <w:rPr>
          <w:spacing w:val="40"/>
        </w:rPr>
        <w:t> </w:t>
      </w:r>
      <w:r>
        <w:rPr/>
        <w:t>argued</w:t>
      </w:r>
      <w:r>
        <w:rPr>
          <w:spacing w:val="-1"/>
        </w:rPr>
        <w:t> </w:t>
      </w:r>
      <w:r>
        <w:rPr/>
        <w:t>that</w:t>
      </w:r>
      <w:r>
        <w:rPr>
          <w:spacing w:val="-5"/>
        </w:rPr>
        <w:t> </w:t>
      </w:r>
      <w:r>
        <w:rPr/>
        <w:t>the</w:t>
      </w:r>
      <w:r>
        <w:rPr>
          <w:spacing w:val="-2"/>
        </w:rPr>
        <w:t> </w:t>
      </w:r>
      <w:r>
        <w:rPr/>
        <w:t>position</w:t>
      </w:r>
      <w:r>
        <w:rPr>
          <w:spacing w:val="-6"/>
        </w:rPr>
        <w:t> </w:t>
      </w:r>
      <w:r>
        <w:rPr/>
        <w:t>of</w:t>
      </w:r>
      <w:r>
        <w:rPr>
          <w:spacing w:val="-9"/>
        </w:rPr>
        <w:t> </w:t>
      </w:r>
      <w:r>
        <w:rPr/>
        <w:t>employees, rather</w:t>
      </w:r>
      <w:r>
        <w:rPr>
          <w:spacing w:val="-4"/>
        </w:rPr>
        <w:t> </w:t>
      </w:r>
      <w:r>
        <w:rPr/>
        <w:t>than</w:t>
      </w:r>
      <w:r>
        <w:rPr>
          <w:spacing w:val="-1"/>
        </w:rPr>
        <w:t> </w:t>
      </w:r>
      <w:r>
        <w:rPr/>
        <w:t>being improved</w:t>
      </w:r>
      <w:r>
        <w:rPr>
          <w:spacing w:val="-1"/>
        </w:rPr>
        <w:t> </w:t>
      </w:r>
      <w:r>
        <w:rPr/>
        <w:t>upon, has in</w:t>
      </w:r>
      <w:r>
        <w:rPr>
          <w:spacing w:val="-1"/>
        </w:rPr>
        <w:t> </w:t>
      </w:r>
      <w:r>
        <w:rPr/>
        <w:t>fact been weakened further by simply merging them with the other factors in s.172,</w:t>
      </w:r>
      <w:r>
        <w:rPr>
          <w:vertAlign w:val="superscript"/>
        </w:rPr>
        <w:t>89</w:t>
      </w:r>
      <w:r>
        <w:rPr>
          <w:vertAlign w:val="baseline"/>
        </w:rPr>
        <w:t> so that employee interests are now to be considered only to the extent that they promote company</w:t>
      </w:r>
      <w:r>
        <w:rPr>
          <w:spacing w:val="-1"/>
          <w:vertAlign w:val="baseline"/>
        </w:rPr>
        <w:t> </w:t>
      </w:r>
      <w:r>
        <w:rPr>
          <w:vertAlign w:val="baseline"/>
        </w:rPr>
        <w:t>success for members benefit.</w:t>
      </w:r>
      <w:r>
        <w:rPr>
          <w:vertAlign w:val="superscript"/>
        </w:rPr>
        <w:t>90</w:t>
      </w:r>
      <w:r>
        <w:rPr>
          <w:vertAlign w:val="baseline"/>
        </w:rPr>
        <w:t> Still, a</w:t>
      </w:r>
      <w:r>
        <w:rPr>
          <w:spacing w:val="-2"/>
          <w:vertAlign w:val="baseline"/>
        </w:rPr>
        <w:t> </w:t>
      </w:r>
      <w:r>
        <w:rPr>
          <w:vertAlign w:val="baseline"/>
        </w:rPr>
        <w:t>company</w:t>
      </w:r>
      <w:r>
        <w:rPr>
          <w:spacing w:val="-1"/>
          <w:vertAlign w:val="baseline"/>
        </w:rPr>
        <w:t> </w:t>
      </w:r>
      <w:r>
        <w:rPr>
          <w:vertAlign w:val="baseline"/>
        </w:rPr>
        <w:t>which</w:t>
      </w:r>
      <w:r>
        <w:rPr>
          <w:spacing w:val="-6"/>
          <w:vertAlign w:val="baseline"/>
        </w:rPr>
        <w:t> </w:t>
      </w:r>
      <w:r>
        <w:rPr>
          <w:vertAlign w:val="baseline"/>
        </w:rPr>
        <w:t>desires</w:t>
      </w:r>
      <w:r>
        <w:rPr>
          <w:spacing w:val="-3"/>
          <w:vertAlign w:val="baseline"/>
        </w:rPr>
        <w:t> </w:t>
      </w:r>
      <w:r>
        <w:rPr>
          <w:vertAlign w:val="baseline"/>
        </w:rPr>
        <w:t>to, may</w:t>
      </w:r>
      <w:r>
        <w:rPr>
          <w:spacing w:val="-1"/>
          <w:vertAlign w:val="baseline"/>
        </w:rPr>
        <w:t> </w:t>
      </w:r>
      <w:r>
        <w:rPr>
          <w:vertAlign w:val="baseline"/>
        </w:rPr>
        <w:t>provide for employees upon</w:t>
      </w:r>
      <w:r>
        <w:rPr>
          <w:spacing w:val="-4"/>
          <w:vertAlign w:val="baseline"/>
        </w:rPr>
        <w:t> </w:t>
      </w:r>
      <w:r>
        <w:rPr>
          <w:vertAlign w:val="baseline"/>
        </w:rPr>
        <w:t>cessation or transfer of</w:t>
      </w:r>
      <w:r>
        <w:rPr>
          <w:spacing w:val="-2"/>
          <w:vertAlign w:val="baseline"/>
        </w:rPr>
        <w:t> </w:t>
      </w:r>
      <w:r>
        <w:rPr>
          <w:vertAlign w:val="baseline"/>
        </w:rPr>
        <w:t>business</w:t>
      </w:r>
      <w:r>
        <w:rPr>
          <w:vertAlign w:val="superscript"/>
        </w:rPr>
        <w:t>91</w:t>
      </w:r>
      <w:r>
        <w:rPr>
          <w:vertAlign w:val="baseline"/>
        </w:rPr>
        <w:t> and even arrange employee share </w:t>
      </w:r>
      <w:r>
        <w:rPr>
          <w:spacing w:val="-2"/>
          <w:vertAlign w:val="baseline"/>
        </w:rPr>
        <w:t>schemes.</w:t>
      </w:r>
      <w:r>
        <w:rPr>
          <w:spacing w:val="-2"/>
          <w:vertAlign w:val="superscript"/>
        </w:rPr>
        <w:t>92</w:t>
      </w:r>
    </w:p>
    <w:p>
      <w:pPr>
        <w:pStyle w:val="BodyText"/>
        <w:spacing w:line="480" w:lineRule="auto" w:before="2"/>
        <w:ind w:right="231" w:firstLine="720"/>
        <w:jc w:val="both"/>
      </w:pPr>
      <w:r>
        <w:rPr/>
        <w:t>In spite of the numerous stakeholders listed in the section, however, the duty is still</w:t>
      </w:r>
      <w:r>
        <w:rPr>
          <w:spacing w:val="-5"/>
        </w:rPr>
        <w:t> </w:t>
      </w:r>
      <w:r>
        <w:rPr/>
        <w:t>one</w:t>
      </w:r>
      <w:r>
        <w:rPr>
          <w:spacing w:val="-2"/>
        </w:rPr>
        <w:t> </w:t>
      </w:r>
      <w:r>
        <w:rPr/>
        <w:t>owed</w:t>
      </w:r>
      <w:r>
        <w:rPr>
          <w:spacing w:val="-1"/>
        </w:rPr>
        <w:t> </w:t>
      </w:r>
      <w:r>
        <w:rPr/>
        <w:t>the</w:t>
      </w:r>
      <w:r>
        <w:rPr>
          <w:spacing w:val="-2"/>
        </w:rPr>
        <w:t> </w:t>
      </w:r>
      <w:r>
        <w:rPr/>
        <w:t>company</w:t>
      </w:r>
      <w:r>
        <w:rPr>
          <w:vertAlign w:val="superscript"/>
        </w:rPr>
        <w:t>93</w:t>
      </w:r>
      <w:r>
        <w:rPr>
          <w:vertAlign w:val="baseline"/>
        </w:rPr>
        <w:t> and none</w:t>
      </w:r>
      <w:r>
        <w:rPr>
          <w:spacing w:val="-2"/>
          <w:vertAlign w:val="baseline"/>
        </w:rPr>
        <w:t> </w:t>
      </w:r>
      <w:r>
        <w:rPr>
          <w:vertAlign w:val="baseline"/>
        </w:rPr>
        <w:t>other, just as under common</w:t>
      </w:r>
      <w:r>
        <w:rPr>
          <w:spacing w:val="-1"/>
          <w:vertAlign w:val="baseline"/>
        </w:rPr>
        <w:t> </w:t>
      </w:r>
      <w:r>
        <w:rPr>
          <w:vertAlign w:val="baseline"/>
        </w:rPr>
        <w:t>law. Hodge</w:t>
      </w:r>
      <w:r>
        <w:rPr>
          <w:spacing w:val="-2"/>
          <w:vertAlign w:val="baseline"/>
        </w:rPr>
        <w:t> </w:t>
      </w:r>
      <w:r>
        <w:rPr>
          <w:vertAlign w:val="baseline"/>
        </w:rPr>
        <w:t>MP</w:t>
      </w:r>
      <w:r>
        <w:rPr>
          <w:spacing w:val="-1"/>
          <w:vertAlign w:val="baseline"/>
        </w:rPr>
        <w:t> </w:t>
      </w:r>
      <w:r>
        <w:rPr>
          <w:vertAlign w:val="baseline"/>
        </w:rPr>
        <w:t>has clarified the intention of Parliament that, ―while a director must have regard to the various factors stated, that requirement is subordinate to the overriding duty to promote the success of</w:t>
      </w:r>
      <w:r>
        <w:rPr>
          <w:spacing w:val="-2"/>
          <w:vertAlign w:val="baseline"/>
        </w:rPr>
        <w:t> </w:t>
      </w:r>
      <w:r>
        <w:rPr>
          <w:vertAlign w:val="baseline"/>
        </w:rPr>
        <w:t>the company.‖</w:t>
      </w:r>
      <w:r>
        <w:rPr>
          <w:vertAlign w:val="superscript"/>
        </w:rPr>
        <w:t>94</w:t>
      </w:r>
      <w:r>
        <w:rPr>
          <w:vertAlign w:val="baseline"/>
        </w:rPr>
        <w:t> Thus, stakeholder interests</w:t>
      </w:r>
      <w:r>
        <w:rPr>
          <w:spacing w:val="-1"/>
          <w:vertAlign w:val="baseline"/>
        </w:rPr>
        <w:t> </w:t>
      </w:r>
      <w:r>
        <w:rPr>
          <w:vertAlign w:val="baseline"/>
        </w:rPr>
        <w:t>have no independent value in the consideration of a particular course of action.</w:t>
      </w:r>
      <w:r>
        <w:rPr>
          <w:vertAlign w:val="superscript"/>
        </w:rPr>
        <w:t>95</w:t>
      </w:r>
      <w:r>
        <w:rPr>
          <w:vertAlign w:val="baseline"/>
        </w:rPr>
        <w:t> Consequently, only the company, or its members</w:t>
      </w:r>
      <w:r>
        <w:rPr>
          <w:spacing w:val="-3"/>
          <w:vertAlign w:val="baseline"/>
        </w:rPr>
        <w:t> </w:t>
      </w:r>
      <w:r>
        <w:rPr>
          <w:vertAlign w:val="baseline"/>
        </w:rPr>
        <w:t>acting in its name, can</w:t>
      </w:r>
      <w:r>
        <w:rPr>
          <w:spacing w:val="-6"/>
          <w:vertAlign w:val="baseline"/>
        </w:rPr>
        <w:t> </w:t>
      </w:r>
      <w:r>
        <w:rPr>
          <w:vertAlign w:val="baseline"/>
        </w:rPr>
        <w:t>enforce</w:t>
      </w:r>
      <w:r>
        <w:rPr>
          <w:spacing w:val="-2"/>
          <w:vertAlign w:val="baseline"/>
        </w:rPr>
        <w:t> </w:t>
      </w:r>
      <w:r>
        <w:rPr>
          <w:vertAlign w:val="baseline"/>
        </w:rPr>
        <w:t>the</w:t>
      </w:r>
      <w:r>
        <w:rPr>
          <w:spacing w:val="-2"/>
          <w:vertAlign w:val="baseline"/>
        </w:rPr>
        <w:t> </w:t>
      </w:r>
      <w:r>
        <w:rPr>
          <w:vertAlign w:val="baseline"/>
        </w:rPr>
        <w:t>duty. The</w:t>
      </w:r>
      <w:r>
        <w:rPr>
          <w:spacing w:val="-2"/>
          <w:vertAlign w:val="baseline"/>
        </w:rPr>
        <w:t> </w:t>
      </w:r>
      <w:r>
        <w:rPr>
          <w:vertAlign w:val="baseline"/>
        </w:rPr>
        <w:t>stakeholders</w:t>
      </w:r>
      <w:r>
        <w:rPr>
          <w:spacing w:val="-3"/>
          <w:vertAlign w:val="baseline"/>
        </w:rPr>
        <w:t> </w:t>
      </w:r>
      <w:r>
        <w:rPr>
          <w:vertAlign w:val="baseline"/>
        </w:rPr>
        <w:t>therein</w:t>
      </w:r>
      <w:r>
        <w:rPr>
          <w:spacing w:val="-1"/>
          <w:vertAlign w:val="baseline"/>
        </w:rPr>
        <w:t> </w:t>
      </w:r>
      <w:r>
        <w:rPr>
          <w:vertAlign w:val="baseline"/>
        </w:rPr>
        <w:t>cannot</w:t>
      </w:r>
      <w:r>
        <w:rPr>
          <w:spacing w:val="-1"/>
          <w:vertAlign w:val="baseline"/>
        </w:rPr>
        <w:t> </w:t>
      </w:r>
      <w:r>
        <w:rPr>
          <w:vertAlign w:val="baseline"/>
        </w:rPr>
        <w:t>do so beyond any independent contract they may have with the company.</w:t>
      </w:r>
      <w:r>
        <w:rPr>
          <w:vertAlign w:val="superscript"/>
        </w:rPr>
        <w:t>96</w:t>
      </w:r>
      <w:r>
        <w:rPr>
          <w:vertAlign w:val="baseline"/>
        </w:rPr>
        <w:t> This fact supports the argument</w:t>
      </w:r>
      <w:r>
        <w:rPr>
          <w:spacing w:val="18"/>
          <w:vertAlign w:val="baseline"/>
        </w:rPr>
        <w:t> </w:t>
      </w:r>
      <w:r>
        <w:rPr>
          <w:vertAlign w:val="baseline"/>
        </w:rPr>
        <w:t>that</w:t>
      </w:r>
      <w:r>
        <w:rPr>
          <w:spacing w:val="18"/>
          <w:vertAlign w:val="baseline"/>
        </w:rPr>
        <w:t> </w:t>
      </w:r>
      <w:r>
        <w:rPr>
          <w:vertAlign w:val="baseline"/>
        </w:rPr>
        <w:t>s. 172</w:t>
      </w:r>
      <w:r>
        <w:rPr>
          <w:spacing w:val="18"/>
          <w:vertAlign w:val="baseline"/>
        </w:rPr>
        <w:t> </w:t>
      </w:r>
      <w:r>
        <w:rPr>
          <w:vertAlign w:val="baseline"/>
        </w:rPr>
        <w:t>merely reiterates, rather than changes, the</w:t>
      </w:r>
      <w:r>
        <w:rPr>
          <w:spacing w:val="17"/>
          <w:vertAlign w:val="baseline"/>
        </w:rPr>
        <w:t> </w:t>
      </w:r>
      <w:r>
        <w:rPr>
          <w:vertAlign w:val="baseline"/>
        </w:rPr>
        <w:t>prevailing</w:t>
      </w:r>
    </w:p>
    <w:p>
      <w:pPr>
        <w:pStyle w:val="BodyText"/>
        <w:spacing w:line="20" w:lineRule="exact"/>
        <w:rPr>
          <w:sz w:val="2"/>
        </w:rPr>
      </w:pPr>
      <w:r>
        <w:rPr>
          <w:sz w:val="2"/>
        </w:rPr>
        <mc:AlternateContent>
          <mc:Choice Requires="wps">
            <w:drawing>
              <wp:inline distT="0" distB="0" distL="0" distR="0">
                <wp:extent cx="1829435" cy="9525"/>
                <wp:effectExtent l="0" t="0" r="0" b="0"/>
                <wp:docPr id="207" name="Group 207"/>
                <wp:cNvGraphicFramePr>
                  <a:graphicFrameLocks/>
                </wp:cNvGraphicFramePr>
                <a:graphic>
                  <a:graphicData uri="http://schemas.microsoft.com/office/word/2010/wordprocessingGroup">
                    <wpg:wgp>
                      <wpg:cNvPr id="207" name="Group 207"/>
                      <wpg:cNvGrpSpPr/>
                      <wpg:grpSpPr>
                        <a:xfrm>
                          <a:off x="0" y="0"/>
                          <a:ext cx="1829435" cy="9525"/>
                          <a:chExt cx="1829435" cy="9525"/>
                        </a:xfrm>
                      </wpg:grpSpPr>
                      <wps:wsp>
                        <wps:cNvPr id="208" name="Graphic 20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162" coordorigin="0,0" coordsize="2881,15">
                <v:rect style="position:absolute;left:0;top:0;width:2881;height:15" id="docshape163" filled="true" fillcolor="#000000" stroked="false">
                  <v:fill type="solid"/>
                </v:rect>
              </v:group>
            </w:pict>
          </mc:Fallback>
        </mc:AlternateContent>
      </w:r>
      <w:r>
        <w:rPr>
          <w:sz w:val="2"/>
        </w:rPr>
      </w:r>
    </w:p>
    <w:p>
      <w:pPr>
        <w:spacing w:before="82"/>
        <w:ind w:left="308" w:right="0" w:firstLine="0"/>
        <w:jc w:val="both"/>
        <w:rPr>
          <w:rFonts w:ascii="Calibri"/>
          <w:sz w:val="20"/>
        </w:rPr>
      </w:pPr>
      <w:r>
        <w:rPr>
          <w:rFonts w:ascii="Calibri"/>
          <w:sz w:val="20"/>
          <w:vertAlign w:val="superscript"/>
        </w:rPr>
        <w:t>88</w:t>
      </w:r>
      <w:r>
        <w:rPr>
          <w:rFonts w:ascii="Calibri"/>
          <w:i/>
          <w:sz w:val="20"/>
          <w:vertAlign w:val="baseline"/>
        </w:rPr>
        <w:t>Re</w:t>
      </w:r>
      <w:r>
        <w:rPr>
          <w:rFonts w:ascii="Calibri"/>
          <w:i/>
          <w:spacing w:val="-4"/>
          <w:sz w:val="20"/>
          <w:vertAlign w:val="baseline"/>
        </w:rPr>
        <w:t> </w:t>
      </w:r>
      <w:r>
        <w:rPr>
          <w:rFonts w:ascii="Calibri"/>
          <w:i/>
          <w:sz w:val="20"/>
          <w:vertAlign w:val="baseline"/>
        </w:rPr>
        <w:t>Welfab</w:t>
      </w:r>
      <w:r>
        <w:rPr>
          <w:rFonts w:ascii="Calibri"/>
          <w:i/>
          <w:spacing w:val="-5"/>
          <w:sz w:val="20"/>
          <w:vertAlign w:val="baseline"/>
        </w:rPr>
        <w:t> </w:t>
      </w:r>
      <w:r>
        <w:rPr>
          <w:rFonts w:ascii="Calibri"/>
          <w:i/>
          <w:sz w:val="20"/>
          <w:vertAlign w:val="baseline"/>
        </w:rPr>
        <w:t>Engineers</w:t>
      </w:r>
      <w:r>
        <w:rPr>
          <w:rFonts w:ascii="Calibri"/>
          <w:i/>
          <w:spacing w:val="-5"/>
          <w:sz w:val="20"/>
          <w:vertAlign w:val="baseline"/>
        </w:rPr>
        <w:t> </w:t>
      </w:r>
      <w:r>
        <w:rPr>
          <w:rFonts w:ascii="Calibri"/>
          <w:i/>
          <w:sz w:val="20"/>
          <w:vertAlign w:val="baseline"/>
        </w:rPr>
        <w:t>Ltd</w:t>
      </w:r>
      <w:r>
        <w:rPr>
          <w:rFonts w:ascii="Calibri"/>
          <w:sz w:val="20"/>
          <w:vertAlign w:val="baseline"/>
        </w:rPr>
        <w:t>.</w:t>
      </w:r>
      <w:r>
        <w:rPr>
          <w:rFonts w:ascii="Calibri"/>
          <w:spacing w:val="-6"/>
          <w:sz w:val="20"/>
          <w:vertAlign w:val="baseline"/>
        </w:rPr>
        <w:t> </w:t>
      </w:r>
      <w:r>
        <w:rPr>
          <w:rFonts w:ascii="Calibri"/>
          <w:sz w:val="20"/>
          <w:vertAlign w:val="baseline"/>
        </w:rPr>
        <w:t>(1990)</w:t>
      </w:r>
      <w:r>
        <w:rPr>
          <w:rFonts w:ascii="Calibri"/>
          <w:spacing w:val="-6"/>
          <w:sz w:val="20"/>
          <w:vertAlign w:val="baseline"/>
        </w:rPr>
        <w:t> </w:t>
      </w:r>
      <w:r>
        <w:rPr>
          <w:rFonts w:ascii="Calibri"/>
          <w:sz w:val="20"/>
          <w:vertAlign w:val="baseline"/>
        </w:rPr>
        <w:t>BCLC</w:t>
      </w:r>
      <w:r>
        <w:rPr>
          <w:rFonts w:ascii="Calibri"/>
          <w:spacing w:val="-9"/>
          <w:sz w:val="20"/>
          <w:vertAlign w:val="baseline"/>
        </w:rPr>
        <w:t> </w:t>
      </w:r>
      <w:r>
        <w:rPr>
          <w:rFonts w:ascii="Calibri"/>
          <w:spacing w:val="-4"/>
          <w:sz w:val="20"/>
          <w:vertAlign w:val="baseline"/>
        </w:rPr>
        <w:t>833.</w:t>
      </w:r>
    </w:p>
    <w:p>
      <w:pPr>
        <w:spacing w:before="1"/>
        <w:ind w:left="308" w:right="224" w:firstLine="0"/>
        <w:jc w:val="both"/>
        <w:rPr>
          <w:rFonts w:ascii="Calibri"/>
          <w:sz w:val="20"/>
        </w:rPr>
      </w:pPr>
      <w:r>
        <w:rPr>
          <w:rFonts w:ascii="Calibri"/>
          <w:sz w:val="20"/>
          <w:vertAlign w:val="superscript"/>
        </w:rPr>
        <w:t>89</w:t>
      </w:r>
      <w:r>
        <w:rPr>
          <w:rFonts w:ascii="Calibri"/>
          <w:sz w:val="20"/>
          <w:vertAlign w:val="baseline"/>
        </w:rPr>
        <w:t>Chohan, A.</w:t>
      </w:r>
      <w:r>
        <w:rPr>
          <w:rFonts w:ascii="Calibri"/>
          <w:i/>
          <w:sz w:val="20"/>
          <w:vertAlign w:val="baseline"/>
        </w:rPr>
        <w:t>Is S.172 of the Companies Act 2006 Capable of Delivering for All Stakeholders?</w:t>
      </w:r>
      <w:r>
        <w:rPr>
          <w:rFonts w:ascii="Calibri"/>
          <w:sz w:val="20"/>
          <w:vertAlign w:val="baseline"/>
        </w:rPr>
        <w:t>(2012) p.3 Retrieved July 3, 2013 from </w:t>
      </w:r>
      <w:hyperlink r:id="rId51">
        <w:r>
          <w:rPr>
            <w:rFonts w:ascii="Calibri"/>
            <w:color w:val="0000FF"/>
            <w:sz w:val="20"/>
            <w:u w:val="single" w:color="0000FF"/>
            <w:vertAlign w:val="baseline"/>
          </w:rPr>
          <w:t>http://papers.ssrn.com/sol3/papers.cfm?abstract_id=2139528</w:t>
        </w:r>
        <w:r>
          <w:rPr>
            <w:rFonts w:ascii="Calibri"/>
            <w:sz w:val="20"/>
            <w:vertAlign w:val="baseline"/>
          </w:rPr>
          <w:t>.</w:t>
        </w:r>
      </w:hyperlink>
    </w:p>
    <w:p>
      <w:pPr>
        <w:spacing w:before="2"/>
        <w:ind w:left="308" w:right="225" w:firstLine="0"/>
        <w:jc w:val="both"/>
        <w:rPr>
          <w:rFonts w:ascii="Calibri" w:hAnsi="Calibri"/>
          <w:sz w:val="20"/>
        </w:rPr>
      </w:pPr>
      <w:r>
        <w:rPr>
          <w:rFonts w:ascii="Calibri" w:hAnsi="Calibri"/>
          <w:sz w:val="20"/>
          <w:vertAlign w:val="superscript"/>
        </w:rPr>
        <w:t>90</w:t>
      </w:r>
      <w:r>
        <w:rPr>
          <w:rFonts w:ascii="Calibri" w:hAnsi="Calibri"/>
          <w:sz w:val="20"/>
          <w:vertAlign w:val="baseline"/>
        </w:rPr>
        <w:t>Davies, L.P. and Worthington, S. (2012).op.cit. at p.552; Worthington, S. (2001). </w:t>
      </w:r>
      <w:r>
        <w:rPr>
          <w:rFonts w:ascii="Calibri" w:hAnsi="Calibri"/>
          <w:i/>
          <w:sz w:val="20"/>
          <w:vertAlign w:val="baseline"/>
        </w:rPr>
        <w:t>Reforming Directors’ Duties</w:t>
      </w:r>
      <w:r>
        <w:rPr>
          <w:rFonts w:ascii="Calibri" w:hAnsi="Calibri"/>
          <w:sz w:val="20"/>
          <w:vertAlign w:val="baseline"/>
        </w:rPr>
        <w:t>, London School of Economics (LSE) Research Online p. 8, accessed October 25, 2013 at </w:t>
      </w:r>
      <w:hyperlink r:id="rId52">
        <w:r>
          <w:rPr>
            <w:rFonts w:ascii="Calibri" w:hAnsi="Calibri"/>
            <w:color w:val="0000FF"/>
            <w:spacing w:val="-2"/>
            <w:sz w:val="20"/>
            <w:u w:val="single" w:color="0000FF"/>
            <w:vertAlign w:val="baseline"/>
          </w:rPr>
          <w:t>http://eprints.lse.ac.uk/200/1/FinalMLRDDuties.pdf</w:t>
        </w:r>
        <w:r>
          <w:rPr>
            <w:rFonts w:ascii="Calibri" w:hAnsi="Calibri"/>
            <w:spacing w:val="-2"/>
            <w:sz w:val="20"/>
            <w:vertAlign w:val="baseline"/>
          </w:rPr>
          <w:t>.</w:t>
        </w:r>
      </w:hyperlink>
    </w:p>
    <w:p>
      <w:pPr>
        <w:spacing w:line="242" w:lineRule="exact" w:before="2"/>
        <w:ind w:left="308" w:right="0" w:firstLine="0"/>
        <w:jc w:val="both"/>
        <w:rPr>
          <w:rFonts w:ascii="Calibri"/>
          <w:sz w:val="20"/>
        </w:rPr>
      </w:pPr>
      <w:r>
        <w:rPr>
          <w:rFonts w:ascii="Calibri"/>
          <w:sz w:val="20"/>
          <w:vertAlign w:val="superscript"/>
        </w:rPr>
        <w:t>91</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247.</w:t>
      </w:r>
    </w:p>
    <w:p>
      <w:pPr>
        <w:spacing w:line="242" w:lineRule="exact" w:before="0"/>
        <w:ind w:left="308" w:right="0" w:firstLine="0"/>
        <w:jc w:val="both"/>
        <w:rPr>
          <w:rFonts w:ascii="Calibri"/>
          <w:sz w:val="20"/>
        </w:rPr>
      </w:pPr>
      <w:r>
        <w:rPr>
          <w:rFonts w:ascii="Calibri"/>
          <w:sz w:val="20"/>
          <w:vertAlign w:val="superscript"/>
        </w:rPr>
        <w:t>92</w:t>
      </w:r>
      <w:r>
        <w:rPr>
          <w:rFonts w:ascii="Calibri"/>
          <w:spacing w:val="-1"/>
          <w:sz w:val="20"/>
          <w:vertAlign w:val="baseline"/>
        </w:rPr>
        <w:t> </w:t>
      </w:r>
      <w:r>
        <w:rPr>
          <w:rFonts w:ascii="Calibri"/>
          <w:sz w:val="20"/>
          <w:vertAlign w:val="baseline"/>
        </w:rPr>
        <w:t>Refer</w:t>
      </w:r>
      <w:r>
        <w:rPr>
          <w:rFonts w:ascii="Calibri"/>
          <w:spacing w:val="-6"/>
          <w:sz w:val="20"/>
          <w:vertAlign w:val="baseline"/>
        </w:rPr>
        <w:t> </w:t>
      </w:r>
      <w:r>
        <w:rPr>
          <w:rFonts w:ascii="Calibri"/>
          <w:sz w:val="20"/>
          <w:vertAlign w:val="baseline"/>
        </w:rPr>
        <w:t>generally</w:t>
      </w:r>
      <w:r>
        <w:rPr>
          <w:rFonts w:ascii="Calibri"/>
          <w:spacing w:val="-7"/>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549(2)(a)</w:t>
      </w:r>
      <w:r>
        <w:rPr>
          <w:rFonts w:ascii="Calibri"/>
          <w:spacing w:val="-7"/>
          <w:sz w:val="20"/>
          <w:vertAlign w:val="baseline"/>
        </w:rPr>
        <w:t> </w:t>
      </w:r>
      <w:r>
        <w:rPr>
          <w:rFonts w:ascii="Calibri"/>
          <w:sz w:val="20"/>
          <w:vertAlign w:val="baseline"/>
        </w:rPr>
        <w:t>and</w:t>
      </w:r>
      <w:r>
        <w:rPr>
          <w:rFonts w:ascii="Calibri"/>
          <w:spacing w:val="-7"/>
          <w:sz w:val="20"/>
          <w:vertAlign w:val="baseline"/>
        </w:rPr>
        <w:t> </w:t>
      </w:r>
      <w:r>
        <w:rPr>
          <w:rFonts w:ascii="Calibri"/>
          <w:spacing w:val="-2"/>
          <w:sz w:val="20"/>
          <w:vertAlign w:val="baseline"/>
        </w:rPr>
        <w:t>1166.</w:t>
      </w:r>
    </w:p>
    <w:p>
      <w:pPr>
        <w:spacing w:before="0"/>
        <w:ind w:left="308" w:right="0" w:firstLine="0"/>
        <w:jc w:val="left"/>
        <w:rPr>
          <w:rFonts w:ascii="Calibri"/>
          <w:sz w:val="20"/>
        </w:rPr>
      </w:pPr>
      <w:r>
        <w:rPr>
          <w:rFonts w:ascii="Calibri"/>
          <w:sz w:val="20"/>
          <w:vertAlign w:val="superscript"/>
        </w:rPr>
        <w:t>93</w:t>
      </w:r>
      <w:r>
        <w:rPr>
          <w:rFonts w:ascii="Calibri"/>
          <w:spacing w:val="2"/>
          <w:sz w:val="20"/>
          <w:vertAlign w:val="baseline"/>
        </w:rPr>
        <w:t> </w:t>
      </w:r>
      <w:r>
        <w:rPr>
          <w:rFonts w:ascii="Calibri"/>
          <w:sz w:val="20"/>
          <w:vertAlign w:val="baseline"/>
        </w:rPr>
        <w:t>See</w:t>
      </w:r>
      <w:r>
        <w:rPr>
          <w:rFonts w:ascii="Calibri"/>
          <w:spacing w:val="-3"/>
          <w:sz w:val="20"/>
          <w:vertAlign w:val="baseline"/>
        </w:rPr>
        <w:t> </w:t>
      </w:r>
      <w:r>
        <w:rPr>
          <w:rFonts w:ascii="Calibri"/>
          <w:spacing w:val="-2"/>
          <w:sz w:val="20"/>
          <w:vertAlign w:val="baseline"/>
        </w:rPr>
        <w:t>s.170(1).</w:t>
      </w:r>
    </w:p>
    <w:p>
      <w:pPr>
        <w:spacing w:before="2"/>
        <w:ind w:left="308" w:right="0" w:firstLine="0"/>
        <w:jc w:val="left"/>
        <w:rPr>
          <w:rFonts w:ascii="Calibri"/>
          <w:sz w:val="20"/>
        </w:rPr>
      </w:pPr>
      <w:r>
        <w:rPr>
          <w:rFonts w:ascii="Calibri"/>
          <w:sz w:val="20"/>
          <w:vertAlign w:val="superscript"/>
        </w:rPr>
        <w:t>94</w:t>
      </w:r>
      <w:r>
        <w:rPr>
          <w:rFonts w:ascii="Calibri"/>
          <w:sz w:val="20"/>
          <w:vertAlign w:val="baseline"/>
        </w:rPr>
        <w:t> Statement made by the Minister for Industry and the Regions in the course of Parliamentary debates. </w:t>
      </w:r>
      <w:r>
        <w:rPr>
          <w:rFonts w:ascii="Calibri"/>
          <w:sz w:val="20"/>
          <w:vertAlign w:val="superscript"/>
        </w:rPr>
        <w:t>95</w:t>
      </w:r>
      <w:r>
        <w:rPr>
          <w:rFonts w:ascii="Calibri"/>
          <w:sz w:val="20"/>
          <w:vertAlign w:val="baseline"/>
        </w:rPr>
        <w:t>Davies,</w:t>
      </w:r>
      <w:r>
        <w:rPr>
          <w:rFonts w:ascii="Calibri"/>
          <w:spacing w:val="40"/>
          <w:sz w:val="20"/>
          <w:vertAlign w:val="baseline"/>
        </w:rPr>
        <w:t> </w:t>
      </w:r>
      <w:r>
        <w:rPr>
          <w:rFonts w:ascii="Calibri"/>
          <w:sz w:val="20"/>
          <w:vertAlign w:val="baseline"/>
        </w:rPr>
        <w:t>L.P.</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Worthington,</w:t>
      </w:r>
      <w:r>
        <w:rPr>
          <w:rFonts w:ascii="Calibri"/>
          <w:spacing w:val="40"/>
          <w:sz w:val="20"/>
          <w:vertAlign w:val="baseline"/>
        </w:rPr>
        <w:t> </w:t>
      </w:r>
      <w:r>
        <w:rPr>
          <w:rFonts w:ascii="Calibri"/>
          <w:sz w:val="20"/>
          <w:vertAlign w:val="baseline"/>
        </w:rPr>
        <w:t>S.</w:t>
      </w:r>
      <w:r>
        <w:rPr>
          <w:rFonts w:ascii="Calibri"/>
          <w:spacing w:val="63"/>
          <w:sz w:val="20"/>
          <w:vertAlign w:val="baseline"/>
        </w:rPr>
        <w:t> </w:t>
      </w:r>
      <w:r>
        <w:rPr>
          <w:rFonts w:ascii="Calibri"/>
          <w:sz w:val="20"/>
          <w:vertAlign w:val="baseline"/>
        </w:rPr>
        <w:t>(2012).</w:t>
      </w:r>
      <w:r>
        <w:rPr>
          <w:rFonts w:ascii="Calibri"/>
          <w:spacing w:val="40"/>
          <w:sz w:val="20"/>
          <w:vertAlign w:val="baseline"/>
        </w:rPr>
        <w:t> </w:t>
      </w:r>
      <w:r>
        <w:rPr>
          <w:rFonts w:ascii="Calibri"/>
          <w:sz w:val="20"/>
          <w:vertAlign w:val="baseline"/>
        </w:rPr>
        <w:t>Op.cit.</w:t>
      </w:r>
      <w:r>
        <w:rPr>
          <w:rFonts w:ascii="Calibri"/>
          <w:spacing w:val="40"/>
          <w:sz w:val="20"/>
          <w:vertAlign w:val="baseline"/>
        </w:rPr>
        <w:t> </w:t>
      </w:r>
      <w:r>
        <w:rPr>
          <w:rFonts w:ascii="Calibri"/>
          <w:sz w:val="20"/>
          <w:vertAlign w:val="baseline"/>
        </w:rPr>
        <w:t>at</w:t>
      </w:r>
      <w:r>
        <w:rPr>
          <w:rFonts w:ascii="Calibri"/>
          <w:spacing w:val="40"/>
          <w:sz w:val="20"/>
          <w:vertAlign w:val="baseline"/>
        </w:rPr>
        <w:t> </w:t>
      </w:r>
      <w:r>
        <w:rPr>
          <w:rFonts w:ascii="Calibri"/>
          <w:sz w:val="20"/>
          <w:vertAlign w:val="baseline"/>
        </w:rPr>
        <w:t>p.</w:t>
      </w:r>
      <w:r>
        <w:rPr>
          <w:rFonts w:ascii="Calibri"/>
          <w:spacing w:val="40"/>
          <w:sz w:val="20"/>
          <w:vertAlign w:val="baseline"/>
        </w:rPr>
        <w:t> </w:t>
      </w:r>
      <w:r>
        <w:rPr>
          <w:rFonts w:ascii="Calibri"/>
          <w:sz w:val="20"/>
          <w:vertAlign w:val="baseline"/>
        </w:rPr>
        <w:t>542;</w:t>
      </w:r>
      <w:r>
        <w:rPr>
          <w:rFonts w:ascii="Calibri"/>
          <w:spacing w:val="40"/>
          <w:sz w:val="20"/>
          <w:vertAlign w:val="baseline"/>
        </w:rPr>
        <w:t> </w:t>
      </w:r>
      <w:r>
        <w:rPr>
          <w:rFonts w:ascii="Calibri"/>
          <w:sz w:val="20"/>
          <w:vertAlign w:val="baseline"/>
        </w:rPr>
        <w:t>Davies,P.</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Rickford,</w:t>
      </w:r>
      <w:r>
        <w:rPr>
          <w:rFonts w:ascii="Calibri"/>
          <w:spacing w:val="40"/>
          <w:sz w:val="20"/>
          <w:vertAlign w:val="baseline"/>
        </w:rPr>
        <w:t> </w:t>
      </w:r>
      <w:r>
        <w:rPr>
          <w:rFonts w:ascii="Calibri"/>
          <w:sz w:val="20"/>
          <w:vertAlign w:val="baseline"/>
        </w:rPr>
        <w:t>J.</w:t>
      </w:r>
      <w:r>
        <w:rPr>
          <w:rFonts w:ascii="Calibri"/>
          <w:spacing w:val="40"/>
          <w:sz w:val="20"/>
          <w:vertAlign w:val="baseline"/>
        </w:rPr>
        <w:t> </w:t>
      </w:r>
      <w:r>
        <w:rPr>
          <w:rFonts w:ascii="Calibri"/>
          <w:sz w:val="20"/>
          <w:vertAlign w:val="baseline"/>
        </w:rPr>
        <w:t>(2008).An</w:t>
      </w:r>
      <w:r>
        <w:rPr>
          <w:rFonts w:ascii="Calibri"/>
          <w:spacing w:val="40"/>
          <w:sz w:val="20"/>
          <w:vertAlign w:val="baseline"/>
        </w:rPr>
        <w:t> </w:t>
      </w:r>
      <w:r>
        <w:rPr>
          <w:rFonts w:ascii="Calibri"/>
          <w:sz w:val="20"/>
          <w:vertAlign w:val="baseline"/>
        </w:rPr>
        <w:t>Introduction to the New UK Companies Act.</w:t>
      </w:r>
      <w:r>
        <w:rPr>
          <w:rFonts w:ascii="Calibri"/>
          <w:i/>
          <w:sz w:val="20"/>
          <w:vertAlign w:val="baseline"/>
        </w:rPr>
        <w:t>European Company and Financial Law Review</w:t>
      </w:r>
      <w:r>
        <w:rPr>
          <w:rFonts w:ascii="Calibri"/>
          <w:sz w:val="20"/>
          <w:vertAlign w:val="baseline"/>
        </w:rPr>
        <w:t>,5: 48 at 66.</w:t>
      </w:r>
    </w:p>
    <w:p>
      <w:pPr>
        <w:spacing w:before="2"/>
        <w:ind w:left="308" w:right="227" w:firstLine="0"/>
        <w:jc w:val="left"/>
        <w:rPr>
          <w:rFonts w:ascii="Calibri"/>
          <w:sz w:val="20"/>
        </w:rPr>
      </w:pPr>
      <w:r>
        <w:rPr>
          <w:rFonts w:ascii="Calibri"/>
          <w:sz w:val="20"/>
          <w:vertAlign w:val="superscript"/>
        </w:rPr>
        <w:t>96</w:t>
      </w:r>
      <w:r>
        <w:rPr>
          <w:rFonts w:ascii="Calibri"/>
          <w:sz w:val="20"/>
          <w:vertAlign w:val="baseline"/>
        </w:rPr>
        <w:t>Unless they also happen to be members or directors in the company. See Keay, A. (2010) op.cit. atpp. </w:t>
      </w:r>
      <w:r>
        <w:rPr>
          <w:rFonts w:ascii="Calibri"/>
          <w:spacing w:val="-2"/>
          <w:sz w:val="20"/>
          <w:vertAlign w:val="baseline"/>
        </w:rPr>
        <w:t>27-28.</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28"/>
        <w:jc w:val="both"/>
      </w:pPr>
      <w:r>
        <w:rPr/>
        <w:t>shareholder-oriented approach</w:t>
      </w:r>
      <w:r>
        <w:rPr>
          <w:spacing w:val="-1"/>
        </w:rPr>
        <w:t> </w:t>
      </w:r>
      <w:r>
        <w:rPr/>
        <w:t>to company law and governance.</w:t>
      </w:r>
      <w:r>
        <w:rPr>
          <w:vertAlign w:val="superscript"/>
        </w:rPr>
        <w:t>97</w:t>
      </w:r>
      <w:r>
        <w:rPr>
          <w:vertAlign w:val="baseline"/>
        </w:rPr>
        <w:t> This is more so when the important question is considered: can</w:t>
      </w:r>
      <w:r>
        <w:rPr>
          <w:spacing w:val="-2"/>
          <w:vertAlign w:val="baseline"/>
        </w:rPr>
        <w:t> </w:t>
      </w:r>
      <w:r>
        <w:rPr>
          <w:vertAlign w:val="baseline"/>
        </w:rPr>
        <w:t>the court entertain</w:t>
      </w:r>
      <w:r>
        <w:rPr>
          <w:spacing w:val="-1"/>
          <w:vertAlign w:val="baseline"/>
        </w:rPr>
        <w:t> </w:t>
      </w:r>
      <w:r>
        <w:rPr>
          <w:vertAlign w:val="baseline"/>
        </w:rPr>
        <w:t>the question</w:t>
      </w:r>
      <w:r>
        <w:rPr>
          <w:spacing w:val="-2"/>
          <w:vertAlign w:val="baseline"/>
        </w:rPr>
        <w:t> </w:t>
      </w:r>
      <w:r>
        <w:rPr>
          <w:vertAlign w:val="baseline"/>
        </w:rPr>
        <w:t>whether or not directors have indeed taken account of the factors listed in s. 172 in order to decide if they have been in breach? The answer to this must take into consideration two facts already noted: a) the director is still entitled to his subjective business judgment and b) the duty is owed to none other than the company.</w:t>
      </w:r>
    </w:p>
    <w:p>
      <w:pPr>
        <w:pStyle w:val="BodyText"/>
        <w:spacing w:line="480" w:lineRule="auto" w:before="1"/>
        <w:ind w:right="228" w:firstLine="720"/>
        <w:jc w:val="both"/>
      </w:pPr>
      <w:r>
        <w:rPr/>
        <w:t>Under common law, cases regarding the proper purpose doctrine show that a director may breach the duty</w:t>
      </w:r>
      <w:r>
        <w:rPr>
          <w:spacing w:val="-4"/>
        </w:rPr>
        <w:t> </w:t>
      </w:r>
      <w:r>
        <w:rPr/>
        <w:t>of</w:t>
      </w:r>
      <w:r>
        <w:rPr>
          <w:spacing w:val="-2"/>
        </w:rPr>
        <w:t> </w:t>
      </w:r>
      <w:r>
        <w:rPr/>
        <w:t>acting in the interest of</w:t>
      </w:r>
      <w:r>
        <w:rPr>
          <w:spacing w:val="-2"/>
        </w:rPr>
        <w:t> </w:t>
      </w:r>
      <w:r>
        <w:rPr/>
        <w:t>the company if it appears to the court that he failed to direct his mind </w:t>
      </w:r>
      <w:r>
        <w:rPr>
          <w:i/>
        </w:rPr>
        <w:t>at all </w:t>
      </w:r>
      <w:r>
        <w:rPr/>
        <w:t>to the question whether a transaction</w:t>
      </w:r>
      <w:r>
        <w:rPr>
          <w:spacing w:val="-1"/>
        </w:rPr>
        <w:t> </w:t>
      </w:r>
      <w:r>
        <w:rPr/>
        <w:t>was in fact in the interests of the company, even though a board which had considered the question might have acted in the same way. This would especially be the case where there is no apparent corporate benefit to</w:t>
      </w:r>
      <w:r>
        <w:rPr>
          <w:spacing w:val="19"/>
        </w:rPr>
        <w:t> </w:t>
      </w:r>
      <w:r>
        <w:rPr/>
        <w:t>be realised from</w:t>
      </w:r>
      <w:r>
        <w:rPr>
          <w:spacing w:val="-1"/>
        </w:rPr>
        <w:t> </w:t>
      </w:r>
      <w:r>
        <w:rPr/>
        <w:t>the director‘s actions.</w:t>
      </w:r>
      <w:r>
        <w:rPr>
          <w:vertAlign w:val="superscript"/>
        </w:rPr>
        <w:t>98</w:t>
      </w:r>
      <w:r>
        <w:rPr>
          <w:vertAlign w:val="baseline"/>
        </w:rPr>
        <w:t> Thus,</w:t>
      </w:r>
      <w:r>
        <w:rPr>
          <w:spacing w:val="40"/>
          <w:vertAlign w:val="baseline"/>
        </w:rPr>
        <w:t> </w:t>
      </w:r>
      <w:r>
        <w:rPr>
          <w:vertAlign w:val="baseline"/>
        </w:rPr>
        <w:t>it can safely be assumed—in the absence of judicial authority so far on the issue—that directors would not be found to be in breach of the duty simply because they did not give explicit thought to the factors listed under the section, unless it can be shown that some corporate loss had also been recorded due to such </w:t>
      </w:r>
      <w:r>
        <w:rPr>
          <w:i/>
          <w:vertAlign w:val="baseline"/>
        </w:rPr>
        <w:t>disregard</w:t>
      </w:r>
      <w:r>
        <w:rPr>
          <w:vertAlign w:val="baseline"/>
        </w:rPr>
        <w:t>.</w:t>
      </w:r>
      <w:r>
        <w:rPr>
          <w:vertAlign w:val="superscript"/>
        </w:rPr>
        <w:t>99</w:t>
      </w:r>
      <w:r>
        <w:rPr>
          <w:vertAlign w:val="baseline"/>
        </w:rPr>
        <w:t> Quite possibly, therefore, directors‘ decisions are likely to be open to some form of challenge under s. 172 only if and when the company goes into liquidation.</w:t>
      </w:r>
      <w:r>
        <w:rPr>
          <w:vertAlign w:val="superscript"/>
        </w:rPr>
        <w:t>100</w:t>
      </w:r>
    </w:p>
    <w:p>
      <w:pPr>
        <w:pStyle w:val="BodyText"/>
        <w:spacing w:line="480" w:lineRule="auto" w:before="2"/>
        <w:ind w:right="223" w:firstLine="720"/>
        <w:jc w:val="both"/>
      </w:pPr>
      <w:r>
        <w:rPr/>
        <w:t>The Act is not explicit about how boards of directors should reflect their compliance (or otherwise) with s.172, apart from the business review in the directors‘ report</w:t>
      </w:r>
      <w:r>
        <w:rPr>
          <w:spacing w:val="14"/>
        </w:rPr>
        <w:t> </w:t>
      </w:r>
      <w:r>
        <w:rPr/>
        <w:t>required</w:t>
      </w:r>
      <w:r>
        <w:rPr>
          <w:spacing w:val="9"/>
        </w:rPr>
        <w:t> </w:t>
      </w:r>
      <w:r>
        <w:rPr/>
        <w:t>of</w:t>
      </w:r>
      <w:r>
        <w:rPr>
          <w:spacing w:val="1"/>
        </w:rPr>
        <w:t> </w:t>
      </w:r>
      <w:r>
        <w:rPr/>
        <w:t>certain</w:t>
      </w:r>
      <w:r>
        <w:rPr>
          <w:spacing w:val="5"/>
        </w:rPr>
        <w:t> </w:t>
      </w:r>
      <w:r>
        <w:rPr/>
        <w:t>categories</w:t>
      </w:r>
      <w:r>
        <w:rPr>
          <w:spacing w:val="7"/>
        </w:rPr>
        <w:t> </w:t>
      </w:r>
      <w:r>
        <w:rPr/>
        <w:t>of</w:t>
      </w:r>
      <w:r>
        <w:rPr>
          <w:spacing w:val="2"/>
        </w:rPr>
        <w:t> </w:t>
      </w:r>
      <w:r>
        <w:rPr/>
        <w:t>companies</w:t>
      </w:r>
      <w:r>
        <w:rPr>
          <w:spacing w:val="12"/>
        </w:rPr>
        <w:t> </w:t>
      </w:r>
      <w:r>
        <w:rPr/>
        <w:t>under</w:t>
      </w:r>
      <w:r>
        <w:rPr>
          <w:spacing w:val="24"/>
        </w:rPr>
        <w:t> </w:t>
      </w:r>
      <w:r>
        <w:rPr/>
        <w:t>s.417.</w:t>
      </w:r>
      <w:r>
        <w:rPr>
          <w:vertAlign w:val="superscript"/>
        </w:rPr>
        <w:t>101</w:t>
      </w:r>
      <w:r>
        <w:rPr>
          <w:spacing w:val="13"/>
          <w:vertAlign w:val="baseline"/>
        </w:rPr>
        <w:t> </w:t>
      </w:r>
      <w:r>
        <w:rPr>
          <w:vertAlign w:val="baseline"/>
        </w:rPr>
        <w:t>However,</w:t>
      </w:r>
      <w:r>
        <w:rPr>
          <w:spacing w:val="11"/>
          <w:vertAlign w:val="baseline"/>
        </w:rPr>
        <w:t> </w:t>
      </w:r>
      <w:r>
        <w:rPr>
          <w:vertAlign w:val="baseline"/>
        </w:rPr>
        <w:t>it</w:t>
      </w:r>
      <w:r>
        <w:rPr>
          <w:spacing w:val="19"/>
          <w:vertAlign w:val="baseline"/>
        </w:rPr>
        <w:t> </w:t>
      </w:r>
      <w:r>
        <w:rPr>
          <w:vertAlign w:val="baseline"/>
        </w:rPr>
        <w:t>has</w:t>
      </w:r>
      <w:r>
        <w:rPr>
          <w:spacing w:val="13"/>
          <w:vertAlign w:val="baseline"/>
        </w:rPr>
        <w:t> </w:t>
      </w:r>
      <w:r>
        <w:rPr>
          <w:spacing w:val="-4"/>
          <w:vertAlign w:val="baseline"/>
        </w:rPr>
        <w:t>been</w:t>
      </w:r>
    </w:p>
    <w:p>
      <w:pPr>
        <w:pStyle w:val="BodyText"/>
        <w:spacing w:before="96"/>
        <w:ind w:left="0"/>
        <w:rPr>
          <w:sz w:val="20"/>
        </w:rPr>
      </w:pPr>
      <w:r>
        <w:rPr/>
        <mc:AlternateContent>
          <mc:Choice Requires="wps">
            <w:drawing>
              <wp:anchor distT="0" distB="0" distL="0" distR="0" allowOverlap="1" layoutInCell="1" locked="0" behindDoc="1" simplePos="0" relativeHeight="487682560">
                <wp:simplePos x="0" y="0"/>
                <wp:positionH relativeFrom="page">
                  <wp:posOffset>1262481</wp:posOffset>
                </wp:positionH>
                <wp:positionV relativeFrom="paragraph">
                  <wp:posOffset>222367</wp:posOffset>
                </wp:positionV>
                <wp:extent cx="1829435" cy="9525"/>
                <wp:effectExtent l="0" t="0" r="0" b="0"/>
                <wp:wrapTopAndBottom/>
                <wp:docPr id="209" name="Graphic 209"/>
                <wp:cNvGraphicFramePr>
                  <a:graphicFrameLocks/>
                </wp:cNvGraphicFramePr>
                <a:graphic>
                  <a:graphicData uri="http://schemas.microsoft.com/office/word/2010/wordprocessingShape">
                    <wps:wsp>
                      <wps:cNvPr id="209" name="Graphic 20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09249pt;width:144.050pt;height:.71997pt;mso-position-horizontal-relative:page;mso-position-vertical-relative:paragraph;z-index:-15633920;mso-wrap-distance-left:0;mso-wrap-distance-right:0" id="docshape164"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97</w:t>
      </w:r>
      <w:r>
        <w:rPr>
          <w:rFonts w:ascii="Calibri"/>
          <w:sz w:val="20"/>
          <w:vertAlign w:val="baseline"/>
        </w:rPr>
        <w:t>Tate,</w:t>
      </w:r>
      <w:r>
        <w:rPr>
          <w:rFonts w:ascii="Calibri"/>
          <w:spacing w:val="-5"/>
          <w:sz w:val="20"/>
          <w:vertAlign w:val="baseline"/>
        </w:rPr>
        <w:t> </w:t>
      </w:r>
      <w:r>
        <w:rPr>
          <w:rFonts w:ascii="Calibri"/>
          <w:sz w:val="20"/>
          <w:vertAlign w:val="baseline"/>
        </w:rPr>
        <w:t>R.</w:t>
      </w:r>
      <w:r>
        <w:rPr>
          <w:rFonts w:ascii="Calibri"/>
          <w:spacing w:val="-4"/>
          <w:sz w:val="20"/>
          <w:vertAlign w:val="baseline"/>
        </w:rPr>
        <w:t> </w:t>
      </w:r>
      <w:r>
        <w:rPr>
          <w:rFonts w:ascii="Calibri"/>
          <w:sz w:val="20"/>
          <w:vertAlign w:val="baseline"/>
        </w:rPr>
        <w:t>op.cit.at</w:t>
      </w:r>
      <w:r>
        <w:rPr>
          <w:rFonts w:ascii="Calibri"/>
          <w:spacing w:val="-2"/>
          <w:sz w:val="20"/>
          <w:vertAlign w:val="baseline"/>
        </w:rPr>
        <w:t> </w:t>
      </w:r>
      <w:r>
        <w:rPr>
          <w:rFonts w:ascii="Calibri"/>
          <w:spacing w:val="-4"/>
          <w:sz w:val="20"/>
          <w:vertAlign w:val="baseline"/>
        </w:rPr>
        <w:t>p.3.</w:t>
      </w:r>
    </w:p>
    <w:p>
      <w:pPr>
        <w:spacing w:line="240" w:lineRule="auto" w:before="0"/>
        <w:ind w:left="308" w:right="0" w:firstLine="0"/>
        <w:jc w:val="left"/>
        <w:rPr>
          <w:rFonts w:ascii="Calibri"/>
          <w:sz w:val="20"/>
        </w:rPr>
      </w:pPr>
      <w:r>
        <w:rPr>
          <w:rFonts w:ascii="Calibri"/>
          <w:sz w:val="20"/>
          <w:vertAlign w:val="superscript"/>
        </w:rPr>
        <w:t>98</w:t>
      </w:r>
      <w:r>
        <w:rPr>
          <w:rFonts w:ascii="Calibri"/>
          <w:sz w:val="20"/>
          <w:vertAlign w:val="baseline"/>
        </w:rPr>
        <w:t> See for instance the</w:t>
      </w:r>
      <w:r>
        <w:rPr>
          <w:rFonts w:ascii="Calibri"/>
          <w:spacing w:val="-3"/>
          <w:sz w:val="20"/>
          <w:vertAlign w:val="baseline"/>
        </w:rPr>
        <w:t> </w:t>
      </w:r>
      <w:r>
        <w:rPr>
          <w:rFonts w:ascii="Calibri"/>
          <w:sz w:val="20"/>
          <w:vertAlign w:val="baseline"/>
        </w:rPr>
        <w:t>cases of </w:t>
      </w:r>
      <w:r>
        <w:rPr>
          <w:rFonts w:ascii="Calibri"/>
          <w:i/>
          <w:sz w:val="20"/>
          <w:vertAlign w:val="baseline"/>
        </w:rPr>
        <w:t>Re W</w:t>
      </w:r>
      <w:r>
        <w:rPr>
          <w:rFonts w:ascii="Calibri"/>
          <w:i/>
          <w:spacing w:val="-4"/>
          <w:sz w:val="20"/>
          <w:vertAlign w:val="baseline"/>
        </w:rPr>
        <w:t> </w:t>
      </w:r>
      <w:r>
        <w:rPr>
          <w:rFonts w:ascii="Calibri"/>
          <w:i/>
          <w:sz w:val="20"/>
          <w:vertAlign w:val="baseline"/>
        </w:rPr>
        <w:t>&amp; M</w:t>
      </w:r>
      <w:r>
        <w:rPr>
          <w:rFonts w:ascii="Calibri"/>
          <w:i/>
          <w:spacing w:val="-2"/>
          <w:sz w:val="20"/>
          <w:vertAlign w:val="baseline"/>
        </w:rPr>
        <w:t> </w:t>
      </w:r>
      <w:r>
        <w:rPr>
          <w:rFonts w:ascii="Calibri"/>
          <w:i/>
          <w:sz w:val="20"/>
          <w:vertAlign w:val="baseline"/>
        </w:rPr>
        <w:t>Roith</w:t>
      </w:r>
      <w:r>
        <w:rPr>
          <w:rFonts w:ascii="Calibri"/>
          <w:i/>
          <w:spacing w:val="-1"/>
          <w:sz w:val="20"/>
          <w:vertAlign w:val="baseline"/>
        </w:rPr>
        <w:t> </w:t>
      </w:r>
      <w:r>
        <w:rPr>
          <w:rFonts w:ascii="Calibri"/>
          <w:i/>
          <w:sz w:val="20"/>
          <w:vertAlign w:val="baseline"/>
        </w:rPr>
        <w:t>Ltd</w:t>
      </w:r>
      <w:r>
        <w:rPr>
          <w:rFonts w:ascii="Calibri"/>
          <w:sz w:val="20"/>
          <w:vertAlign w:val="baseline"/>
        </w:rPr>
        <w:t>.</w:t>
      </w:r>
      <w:r>
        <w:rPr>
          <w:rFonts w:ascii="Calibri"/>
          <w:spacing w:val="-1"/>
          <w:sz w:val="20"/>
          <w:vertAlign w:val="baseline"/>
        </w:rPr>
        <w:t> </w:t>
      </w:r>
      <w:r>
        <w:rPr>
          <w:rFonts w:ascii="Calibri"/>
          <w:sz w:val="20"/>
          <w:vertAlign w:val="baseline"/>
        </w:rPr>
        <w:t>(1967) 1</w:t>
      </w:r>
      <w:r>
        <w:rPr>
          <w:rFonts w:ascii="Calibri"/>
          <w:spacing w:val="-4"/>
          <w:sz w:val="20"/>
          <w:vertAlign w:val="baseline"/>
        </w:rPr>
        <w:t> </w:t>
      </w:r>
      <w:r>
        <w:rPr>
          <w:rFonts w:ascii="Calibri"/>
          <w:sz w:val="20"/>
          <w:vertAlign w:val="baseline"/>
        </w:rPr>
        <w:t>W.L.R. 432;</w:t>
      </w:r>
      <w:r>
        <w:rPr>
          <w:rFonts w:ascii="Calibri"/>
          <w:spacing w:val="-2"/>
          <w:sz w:val="20"/>
          <w:vertAlign w:val="baseline"/>
        </w:rPr>
        <w:t> </w:t>
      </w:r>
      <w:r>
        <w:rPr>
          <w:rFonts w:ascii="Calibri"/>
          <w:i/>
          <w:sz w:val="20"/>
          <w:vertAlign w:val="baseline"/>
        </w:rPr>
        <w:t>Parke</w:t>
      </w:r>
      <w:r>
        <w:rPr>
          <w:rFonts w:ascii="Calibri"/>
          <w:i/>
          <w:spacing w:val="-3"/>
          <w:sz w:val="20"/>
          <w:vertAlign w:val="baseline"/>
        </w:rPr>
        <w:t> </w:t>
      </w:r>
      <w:r>
        <w:rPr>
          <w:rFonts w:ascii="Calibri"/>
          <w:i/>
          <w:sz w:val="20"/>
          <w:vertAlign w:val="baseline"/>
        </w:rPr>
        <w:t>vs. Daily</w:t>
      </w:r>
      <w:r>
        <w:rPr>
          <w:rFonts w:ascii="Calibri"/>
          <w:i/>
          <w:spacing w:val="-2"/>
          <w:sz w:val="20"/>
          <w:vertAlign w:val="baseline"/>
        </w:rPr>
        <w:t> </w:t>
      </w:r>
      <w:r>
        <w:rPr>
          <w:rFonts w:ascii="Calibri"/>
          <w:i/>
          <w:sz w:val="20"/>
          <w:vertAlign w:val="baseline"/>
        </w:rPr>
        <w:t>News </w:t>
      </w:r>
      <w:r>
        <w:rPr>
          <w:rFonts w:ascii="Calibri"/>
          <w:sz w:val="20"/>
          <w:vertAlign w:val="baseline"/>
        </w:rPr>
        <w:t>(1962) Ch. 927; </w:t>
      </w:r>
      <w:r>
        <w:rPr>
          <w:rFonts w:ascii="Calibri"/>
          <w:i/>
          <w:sz w:val="20"/>
          <w:vertAlign w:val="baseline"/>
        </w:rPr>
        <w:t>Dodge vs. Ford Motor Co</w:t>
      </w:r>
      <w:r>
        <w:rPr>
          <w:rFonts w:ascii="Calibri"/>
          <w:sz w:val="20"/>
          <w:vertAlign w:val="baseline"/>
        </w:rPr>
        <w:t>. (1919) 170 N.W. 668.</w:t>
      </w:r>
    </w:p>
    <w:p>
      <w:pPr>
        <w:spacing w:before="0"/>
        <w:ind w:left="308" w:right="0" w:firstLine="0"/>
        <w:jc w:val="left"/>
        <w:rPr>
          <w:rFonts w:ascii="Calibri"/>
          <w:sz w:val="20"/>
        </w:rPr>
      </w:pPr>
      <w:r>
        <w:rPr>
          <w:rFonts w:ascii="Calibri"/>
          <w:sz w:val="20"/>
          <w:vertAlign w:val="superscript"/>
        </w:rPr>
        <w:t>99</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6"/>
          <w:sz w:val="20"/>
          <w:vertAlign w:val="baseline"/>
        </w:rPr>
        <w:t> </w:t>
      </w:r>
      <w:r>
        <w:rPr>
          <w:rFonts w:ascii="Calibri"/>
          <w:spacing w:val="-4"/>
          <w:sz w:val="20"/>
          <w:vertAlign w:val="baseline"/>
        </w:rPr>
        <w:t>547.</w:t>
      </w:r>
    </w:p>
    <w:p>
      <w:pPr>
        <w:spacing w:before="1"/>
        <w:ind w:left="308" w:right="0" w:firstLine="0"/>
        <w:jc w:val="left"/>
        <w:rPr>
          <w:rFonts w:ascii="Calibri"/>
          <w:sz w:val="20"/>
        </w:rPr>
      </w:pPr>
      <w:r>
        <w:rPr>
          <w:rFonts w:ascii="Calibri"/>
          <w:sz w:val="20"/>
          <w:vertAlign w:val="superscript"/>
        </w:rPr>
        <w:t>100</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5"/>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w:t>
      </w:r>
      <w:r>
        <w:rPr>
          <w:rFonts w:ascii="Calibri"/>
          <w:spacing w:val="-5"/>
          <w:sz w:val="20"/>
          <w:vertAlign w:val="baseline"/>
        </w:rPr>
        <w:t> </w:t>
      </w:r>
      <w:r>
        <w:rPr>
          <w:rFonts w:ascii="Calibri"/>
          <w:sz w:val="20"/>
          <w:vertAlign w:val="baseline"/>
        </w:rPr>
        <w:t>op.cit.at</w:t>
      </w:r>
      <w:r>
        <w:rPr>
          <w:rFonts w:ascii="Calibri"/>
          <w:spacing w:val="-1"/>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638.</w:t>
      </w:r>
    </w:p>
    <w:p>
      <w:pPr>
        <w:spacing w:before="0"/>
        <w:ind w:left="308" w:right="232" w:firstLine="0"/>
        <w:jc w:val="both"/>
        <w:rPr>
          <w:rFonts w:ascii="Calibri" w:hAnsi="Calibri"/>
          <w:sz w:val="20"/>
        </w:rPr>
      </w:pPr>
      <w:r>
        <w:rPr>
          <w:rFonts w:ascii="Calibri" w:hAnsi="Calibri"/>
          <w:sz w:val="20"/>
          <w:vertAlign w:val="superscript"/>
        </w:rPr>
        <w:t>101</w:t>
      </w:r>
      <w:r>
        <w:rPr>
          <w:rFonts w:ascii="Calibri" w:hAnsi="Calibri"/>
          <w:sz w:val="20"/>
          <w:vertAlign w:val="baseline"/>
        </w:rPr>
        <w:t> This review is only required of large or quoted companies. Being part of the directors’ report, it is mostly for the consumption of shareholders and debenture holders. Thus, other stakeholders</w:t>
      </w:r>
      <w:r>
        <w:rPr>
          <w:rFonts w:ascii="Calibri" w:hAnsi="Calibri"/>
          <w:spacing w:val="40"/>
          <w:sz w:val="20"/>
          <w:vertAlign w:val="baseline"/>
        </w:rPr>
        <w:t> </w:t>
      </w:r>
      <w:r>
        <w:rPr>
          <w:rFonts w:ascii="Calibri" w:hAnsi="Calibri"/>
          <w:sz w:val="20"/>
          <w:vertAlign w:val="baseline"/>
        </w:rPr>
        <w:t>mentioned in s. 172 have no access to it as of right, especially in large companies that are not quoted.</w:t>
      </w:r>
    </w:p>
    <w:p>
      <w:pPr>
        <w:spacing w:after="0"/>
        <w:jc w:val="both"/>
        <w:rPr>
          <w:rFonts w:ascii="Calibri" w:hAnsi="Calibri"/>
          <w:sz w:val="20"/>
        </w:rPr>
        <w:sectPr>
          <w:pgSz w:w="11910" w:h="16840"/>
          <w:pgMar w:header="0" w:footer="1003" w:top="1280" w:bottom="1200" w:left="1680" w:right="1180"/>
        </w:sectPr>
      </w:pPr>
    </w:p>
    <w:p>
      <w:pPr>
        <w:pStyle w:val="BodyText"/>
        <w:spacing w:line="480" w:lineRule="auto" w:before="70"/>
        <w:ind w:right="225"/>
        <w:jc w:val="both"/>
      </w:pPr>
      <w:r>
        <w:rPr/>
        <w:t>suggested that it may be in the interest of directors to make certain that the minutes of board meetings record the fact that the listed factors were indeed deliberated upon</w:t>
      </w:r>
      <w:r>
        <w:rPr>
          <w:spacing w:val="40"/>
        </w:rPr>
        <w:t> </w:t>
      </w:r>
      <w:r>
        <w:rPr/>
        <w:t>before any decisions were taken,</w:t>
      </w:r>
      <w:r>
        <w:rPr>
          <w:vertAlign w:val="superscript"/>
        </w:rPr>
        <w:t>102</w:t>
      </w:r>
      <w:r>
        <w:rPr>
          <w:vertAlign w:val="baseline"/>
        </w:rPr>
        <w:t> as directors would find it far easier to defend themselves against allegations of breach if they can present some evidence that they were all the while striving to comply with the statutory procedure.</w:t>
      </w:r>
      <w:r>
        <w:rPr>
          <w:vertAlign w:val="superscript"/>
        </w:rPr>
        <w:t>103</w:t>
      </w:r>
      <w:r>
        <w:rPr>
          <w:vertAlign w:val="baseline"/>
        </w:rPr>
        <w:t> Where matters arise that call on directors to make a conscious decision as to which of a number of competing and apparently mutually-exclusive factors to favour – for example the interests of the company‘s employees against the impact of the company‘s operations</w:t>
      </w:r>
      <w:r>
        <w:rPr>
          <w:spacing w:val="80"/>
          <w:vertAlign w:val="baseline"/>
        </w:rPr>
        <w:t> </w:t>
      </w:r>
      <w:r>
        <w:rPr>
          <w:vertAlign w:val="baseline"/>
        </w:rPr>
        <w:t>on the environment – directors may also find it useful to record the reasons why any particular option was considered to be the more likely to promote the success of the </w:t>
      </w:r>
      <w:r>
        <w:rPr>
          <w:spacing w:val="-2"/>
          <w:vertAlign w:val="baseline"/>
        </w:rPr>
        <w:t>company.</w:t>
      </w:r>
      <w:r>
        <w:rPr>
          <w:spacing w:val="-2"/>
          <w:vertAlign w:val="superscript"/>
        </w:rPr>
        <w:t>104</w:t>
      </w:r>
    </w:p>
    <w:p>
      <w:pPr>
        <w:pStyle w:val="BodyText"/>
        <w:spacing w:line="480" w:lineRule="auto" w:before="2"/>
        <w:ind w:right="227" w:firstLine="720"/>
        <w:jc w:val="both"/>
      </w:pPr>
      <w:r>
        <w:rPr/>
        <w:t>Yet, others argue that only a minority of directors‘ decisions are made at board meetings any way</w:t>
      </w:r>
      <w:r>
        <w:rPr>
          <w:vertAlign w:val="superscript"/>
        </w:rPr>
        <w:t>105</w:t>
      </w:r>
      <w:r>
        <w:rPr>
          <w:vertAlign w:val="baseline"/>
        </w:rPr>
        <w:t> and board minutes usually only record decisions and are not so detailed as to how such decisions were arrived at.</w:t>
      </w:r>
      <w:r>
        <w:rPr>
          <w:vertAlign w:val="superscript"/>
        </w:rPr>
        <w:t>106</w:t>
      </w:r>
      <w:r>
        <w:rPr>
          <w:vertAlign w:val="baseline"/>
        </w:rPr>
        <w:t> A fortiori, s. 309 of</w:t>
      </w:r>
      <w:r>
        <w:rPr>
          <w:spacing w:val="-3"/>
          <w:vertAlign w:val="baseline"/>
        </w:rPr>
        <w:t> </w:t>
      </w:r>
      <w:r>
        <w:rPr>
          <w:vertAlign w:val="baseline"/>
        </w:rPr>
        <w:t>the Companies Act 1985 had for many years required directors to consider the interests of employees while</w:t>
      </w:r>
      <w:r>
        <w:rPr>
          <w:spacing w:val="-3"/>
          <w:vertAlign w:val="baseline"/>
        </w:rPr>
        <w:t> </w:t>
      </w:r>
      <w:r>
        <w:rPr>
          <w:vertAlign w:val="baseline"/>
        </w:rPr>
        <w:t>discharging their</w:t>
      </w:r>
      <w:r>
        <w:rPr>
          <w:spacing w:val="-1"/>
          <w:vertAlign w:val="baseline"/>
        </w:rPr>
        <w:t> </w:t>
      </w:r>
      <w:r>
        <w:rPr>
          <w:vertAlign w:val="baseline"/>
        </w:rPr>
        <w:t>duties</w:t>
      </w:r>
      <w:r>
        <w:rPr>
          <w:spacing w:val="-4"/>
          <w:vertAlign w:val="baseline"/>
        </w:rPr>
        <w:t> </w:t>
      </w:r>
      <w:r>
        <w:rPr>
          <w:vertAlign w:val="baseline"/>
        </w:rPr>
        <w:t>to</w:t>
      </w:r>
      <w:r>
        <w:rPr>
          <w:spacing w:val="-2"/>
          <w:vertAlign w:val="baseline"/>
        </w:rPr>
        <w:t> </w:t>
      </w:r>
      <w:r>
        <w:rPr>
          <w:vertAlign w:val="baseline"/>
        </w:rPr>
        <w:t>the</w:t>
      </w:r>
      <w:r>
        <w:rPr>
          <w:spacing w:val="-3"/>
          <w:vertAlign w:val="baseline"/>
        </w:rPr>
        <w:t> </w:t>
      </w:r>
      <w:r>
        <w:rPr>
          <w:vertAlign w:val="baseline"/>
        </w:rPr>
        <w:t>company, yet this</w:t>
      </w:r>
      <w:r>
        <w:rPr>
          <w:spacing w:val="-4"/>
          <w:vertAlign w:val="baseline"/>
        </w:rPr>
        <w:t> </w:t>
      </w:r>
      <w:r>
        <w:rPr>
          <w:vertAlign w:val="baseline"/>
        </w:rPr>
        <w:t>requirement has not led</w:t>
      </w:r>
      <w:r>
        <w:rPr>
          <w:spacing w:val="-2"/>
          <w:vertAlign w:val="baseline"/>
        </w:rPr>
        <w:t> </w:t>
      </w:r>
      <w:r>
        <w:rPr>
          <w:vertAlign w:val="baseline"/>
        </w:rPr>
        <w:t>company boards to feel obliged to expressly cross-refer to this provision in board minutes,</w:t>
      </w:r>
      <w:r>
        <w:rPr>
          <w:vertAlign w:val="superscript"/>
        </w:rPr>
        <w:t>107</w:t>
      </w:r>
      <w:r>
        <w:rPr>
          <w:vertAlign w:val="baseline"/>
        </w:rPr>
        <w:t> nor have the courts found them in breach simply for that reason.</w:t>
      </w:r>
    </w:p>
    <w:p>
      <w:pPr>
        <w:pStyle w:val="BodyText"/>
        <w:spacing w:line="480" w:lineRule="auto" w:before="1"/>
        <w:ind w:right="236" w:firstLine="720"/>
        <w:jc w:val="both"/>
      </w:pPr>
      <w:r>
        <w:rPr/>
        <w:t>In any case, Hodge MP has also clarified even before the present law came in force</w:t>
      </w:r>
      <w:r>
        <w:rPr>
          <w:spacing w:val="17"/>
        </w:rPr>
        <w:t> </w:t>
      </w:r>
      <w:r>
        <w:rPr/>
        <w:t>that</w:t>
      </w:r>
      <w:r>
        <w:rPr>
          <w:spacing w:val="24"/>
        </w:rPr>
        <w:t> </w:t>
      </w:r>
      <w:r>
        <w:rPr/>
        <w:t>―the</w:t>
      </w:r>
      <w:r>
        <w:rPr>
          <w:spacing w:val="17"/>
        </w:rPr>
        <w:t> </w:t>
      </w:r>
      <w:r>
        <w:rPr/>
        <w:t>clause</w:t>
      </w:r>
      <w:r>
        <w:rPr>
          <w:spacing w:val="18"/>
        </w:rPr>
        <w:t> </w:t>
      </w:r>
      <w:r>
        <w:rPr/>
        <w:t>does</w:t>
      </w:r>
      <w:r>
        <w:rPr>
          <w:spacing w:val="16"/>
        </w:rPr>
        <w:t> </w:t>
      </w:r>
      <w:r>
        <w:rPr/>
        <w:t>not</w:t>
      </w:r>
      <w:r>
        <w:rPr>
          <w:spacing w:val="23"/>
        </w:rPr>
        <w:t> </w:t>
      </w:r>
      <w:r>
        <w:rPr/>
        <w:t>impose</w:t>
      </w:r>
      <w:r>
        <w:rPr>
          <w:spacing w:val="17"/>
        </w:rPr>
        <w:t> </w:t>
      </w:r>
      <w:r>
        <w:rPr/>
        <w:t>a</w:t>
      </w:r>
      <w:r>
        <w:rPr>
          <w:spacing w:val="18"/>
        </w:rPr>
        <w:t> </w:t>
      </w:r>
      <w:r>
        <w:rPr/>
        <w:t>requirement</w:t>
      </w:r>
      <w:r>
        <w:rPr>
          <w:spacing w:val="23"/>
        </w:rPr>
        <w:t> </w:t>
      </w:r>
      <w:r>
        <w:rPr/>
        <w:t>on</w:t>
      </w:r>
      <w:r>
        <w:rPr>
          <w:spacing w:val="14"/>
        </w:rPr>
        <w:t> </w:t>
      </w:r>
      <w:r>
        <w:rPr/>
        <w:t>directors</w:t>
      </w:r>
      <w:r>
        <w:rPr>
          <w:spacing w:val="12"/>
        </w:rPr>
        <w:t> </w:t>
      </w:r>
      <w:r>
        <w:rPr/>
        <w:t>to</w:t>
      </w:r>
      <w:r>
        <w:rPr>
          <w:spacing w:val="23"/>
        </w:rPr>
        <w:t> </w:t>
      </w:r>
      <w:r>
        <w:rPr/>
        <w:t>keep</w:t>
      </w:r>
      <w:r>
        <w:rPr>
          <w:spacing w:val="14"/>
        </w:rPr>
        <w:t> </w:t>
      </w:r>
      <w:r>
        <w:rPr/>
        <w:t>records,</w:t>
      </w:r>
      <w:r>
        <w:rPr>
          <w:spacing w:val="21"/>
        </w:rPr>
        <w:t> </w:t>
      </w:r>
      <w:r>
        <w:rPr>
          <w:spacing w:val="-5"/>
        </w:rPr>
        <w:t>as</w:t>
      </w:r>
    </w:p>
    <w:p>
      <w:pPr>
        <w:pStyle w:val="BodyText"/>
        <w:spacing w:before="5"/>
        <w:ind w:left="0"/>
        <w:rPr>
          <w:sz w:val="12"/>
        </w:rPr>
      </w:pPr>
      <w:r>
        <w:rPr/>
        <mc:AlternateContent>
          <mc:Choice Requires="wps">
            <w:drawing>
              <wp:anchor distT="0" distB="0" distL="0" distR="0" allowOverlap="1" layoutInCell="1" locked="0" behindDoc="1" simplePos="0" relativeHeight="487683072">
                <wp:simplePos x="0" y="0"/>
                <wp:positionH relativeFrom="page">
                  <wp:posOffset>1262481</wp:posOffset>
                </wp:positionH>
                <wp:positionV relativeFrom="paragraph">
                  <wp:posOffset>106512</wp:posOffset>
                </wp:positionV>
                <wp:extent cx="1829435" cy="9525"/>
                <wp:effectExtent l="0" t="0" r="0" b="0"/>
                <wp:wrapTopAndBottom/>
                <wp:docPr id="210" name="Graphic 210"/>
                <wp:cNvGraphicFramePr>
                  <a:graphicFrameLocks/>
                </wp:cNvGraphicFramePr>
                <a:graphic>
                  <a:graphicData uri="http://schemas.microsoft.com/office/word/2010/wordprocessingShape">
                    <wps:wsp>
                      <wps:cNvPr id="210" name="Graphic 21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386845pt;width:144.050pt;height:.72003pt;mso-position-horizontal-relative:page;mso-position-vertical-relative:paragraph;z-index:-15633408;mso-wrap-distance-left:0;mso-wrap-distance-right:0" id="docshape165"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102</w:t>
      </w:r>
      <w:r>
        <w:rPr>
          <w:rFonts w:ascii="Calibri"/>
          <w:sz w:val="20"/>
          <w:vertAlign w:val="baseline"/>
        </w:rPr>
        <w:t>Arden,</w:t>
      </w:r>
      <w:r>
        <w:rPr>
          <w:rFonts w:ascii="Calibri"/>
          <w:spacing w:val="-7"/>
          <w:sz w:val="20"/>
          <w:vertAlign w:val="baseline"/>
        </w:rPr>
        <w:t> </w:t>
      </w:r>
      <w:r>
        <w:rPr>
          <w:rFonts w:ascii="Calibri"/>
          <w:sz w:val="20"/>
          <w:vertAlign w:val="baseline"/>
        </w:rPr>
        <w:t>D.B.E.</w:t>
      </w:r>
      <w:r>
        <w:rPr>
          <w:rFonts w:ascii="Calibri"/>
          <w:spacing w:val="-3"/>
          <w:sz w:val="20"/>
          <w:vertAlign w:val="baseline"/>
        </w:rPr>
        <w:t> </w:t>
      </w:r>
      <w:r>
        <w:rPr>
          <w:rFonts w:ascii="Calibri"/>
          <w:sz w:val="20"/>
          <w:vertAlign w:val="baseline"/>
        </w:rPr>
        <w:t>op.cit.at</w:t>
      </w:r>
      <w:r>
        <w:rPr>
          <w:rFonts w:ascii="Calibri"/>
          <w:spacing w:val="-4"/>
          <w:sz w:val="20"/>
          <w:vertAlign w:val="baseline"/>
        </w:rPr>
        <w:t> </w:t>
      </w:r>
      <w:r>
        <w:rPr>
          <w:rFonts w:ascii="Calibri"/>
          <w:sz w:val="20"/>
          <w:vertAlign w:val="baseline"/>
        </w:rPr>
        <w:t>168;Keay,</w:t>
      </w:r>
      <w:r>
        <w:rPr>
          <w:rFonts w:ascii="Calibri"/>
          <w:spacing w:val="-11"/>
          <w:sz w:val="20"/>
          <w:vertAlign w:val="baseline"/>
        </w:rPr>
        <w:t> </w:t>
      </w:r>
      <w:r>
        <w:rPr>
          <w:rFonts w:ascii="Calibri"/>
          <w:sz w:val="20"/>
          <w:vertAlign w:val="baseline"/>
        </w:rPr>
        <w:t>A.</w:t>
      </w:r>
      <w:r>
        <w:rPr>
          <w:rFonts w:ascii="Calibri"/>
          <w:spacing w:val="-7"/>
          <w:sz w:val="20"/>
          <w:vertAlign w:val="baseline"/>
        </w:rPr>
        <w:t> </w:t>
      </w:r>
      <w:r>
        <w:rPr>
          <w:rFonts w:ascii="Calibri"/>
          <w:sz w:val="20"/>
          <w:vertAlign w:val="baseline"/>
        </w:rPr>
        <w:t>(2010)</w:t>
      </w:r>
      <w:r>
        <w:rPr>
          <w:rFonts w:ascii="Calibri"/>
          <w:spacing w:val="-4"/>
          <w:sz w:val="20"/>
          <w:vertAlign w:val="baseline"/>
        </w:rPr>
        <w:t> </w:t>
      </w:r>
      <w:r>
        <w:rPr>
          <w:rFonts w:ascii="Calibri"/>
          <w:sz w:val="20"/>
          <w:vertAlign w:val="baseline"/>
        </w:rPr>
        <w:t>op.cit.,</w:t>
      </w:r>
      <w:r>
        <w:rPr>
          <w:rFonts w:ascii="Calibri"/>
          <w:spacing w:val="-11"/>
          <w:sz w:val="20"/>
          <w:vertAlign w:val="baseline"/>
        </w:rPr>
        <w:t> </w:t>
      </w:r>
      <w:r>
        <w:rPr>
          <w:rFonts w:ascii="Calibri"/>
          <w:sz w:val="20"/>
          <w:vertAlign w:val="baseline"/>
        </w:rPr>
        <w:t>p.</w:t>
      </w:r>
      <w:r>
        <w:rPr>
          <w:rFonts w:ascii="Calibri"/>
          <w:spacing w:val="-7"/>
          <w:sz w:val="20"/>
          <w:vertAlign w:val="baseline"/>
        </w:rPr>
        <w:t> </w:t>
      </w:r>
      <w:r>
        <w:rPr>
          <w:rFonts w:ascii="Calibri"/>
          <w:sz w:val="20"/>
          <w:vertAlign w:val="baseline"/>
        </w:rPr>
        <w:t>31;</w:t>
      </w:r>
      <w:r>
        <w:rPr>
          <w:rFonts w:ascii="Calibri"/>
          <w:spacing w:val="-5"/>
          <w:sz w:val="20"/>
          <w:vertAlign w:val="baseline"/>
        </w:rPr>
        <w:t> </w:t>
      </w:r>
      <w:r>
        <w:rPr>
          <w:rFonts w:ascii="Calibri"/>
          <w:sz w:val="20"/>
          <w:vertAlign w:val="baseline"/>
        </w:rPr>
        <w:t>Davies,</w:t>
      </w:r>
      <w:r>
        <w:rPr>
          <w:rFonts w:ascii="Calibri"/>
          <w:spacing w:val="-6"/>
          <w:sz w:val="20"/>
          <w:vertAlign w:val="baseline"/>
        </w:rPr>
        <w:t> </w:t>
      </w:r>
      <w:r>
        <w:rPr>
          <w:rFonts w:ascii="Calibri"/>
          <w:sz w:val="20"/>
          <w:vertAlign w:val="baseline"/>
        </w:rPr>
        <w:t>J.</w:t>
      </w:r>
      <w:r>
        <w:rPr>
          <w:rFonts w:ascii="Calibri"/>
          <w:spacing w:val="-3"/>
          <w:sz w:val="20"/>
          <w:vertAlign w:val="baseline"/>
        </w:rPr>
        <w:t> </w:t>
      </w:r>
      <w:r>
        <w:rPr>
          <w:rFonts w:ascii="Calibri"/>
          <w:sz w:val="20"/>
          <w:vertAlign w:val="baseline"/>
        </w:rPr>
        <w:t>op.cit.</w:t>
      </w:r>
      <w:r>
        <w:rPr>
          <w:rFonts w:ascii="Calibri"/>
          <w:spacing w:val="-8"/>
          <w:sz w:val="20"/>
          <w:vertAlign w:val="baseline"/>
        </w:rPr>
        <w:t> </w:t>
      </w:r>
      <w:r>
        <w:rPr>
          <w:rFonts w:ascii="Calibri"/>
          <w:sz w:val="20"/>
          <w:vertAlign w:val="baseline"/>
        </w:rPr>
        <w:t>p.</w:t>
      </w:r>
      <w:r>
        <w:rPr>
          <w:rFonts w:ascii="Calibri"/>
          <w:spacing w:val="-2"/>
          <w:sz w:val="20"/>
          <w:vertAlign w:val="baseline"/>
        </w:rPr>
        <w:t> </w:t>
      </w:r>
      <w:r>
        <w:rPr>
          <w:rFonts w:ascii="Calibri"/>
          <w:spacing w:val="-5"/>
          <w:sz w:val="20"/>
          <w:vertAlign w:val="baseline"/>
        </w:rPr>
        <w:t>37</w:t>
      </w:r>
    </w:p>
    <w:p>
      <w:pPr>
        <w:spacing w:before="1"/>
        <w:ind w:left="308" w:right="0" w:firstLine="0"/>
        <w:jc w:val="left"/>
        <w:rPr>
          <w:rFonts w:ascii="Calibri"/>
          <w:sz w:val="20"/>
        </w:rPr>
      </w:pPr>
      <w:r>
        <w:rPr>
          <w:rFonts w:ascii="Calibri"/>
          <w:sz w:val="20"/>
          <w:vertAlign w:val="superscript"/>
        </w:rPr>
        <w:t>103</w:t>
      </w:r>
      <w:r>
        <w:rPr>
          <w:rFonts w:ascii="Calibri"/>
          <w:sz w:val="20"/>
          <w:vertAlign w:val="baseline"/>
        </w:rPr>
        <w:t>Davies,</w:t>
      </w:r>
      <w:r>
        <w:rPr>
          <w:rFonts w:ascii="Calibri"/>
          <w:spacing w:val="-5"/>
          <w:sz w:val="20"/>
          <w:vertAlign w:val="baseline"/>
        </w:rPr>
        <w:t> </w:t>
      </w:r>
      <w:r>
        <w:rPr>
          <w:rFonts w:ascii="Calibri"/>
          <w:sz w:val="20"/>
          <w:vertAlign w:val="baseline"/>
        </w:rPr>
        <w:t>J.</w:t>
      </w:r>
      <w:r>
        <w:rPr>
          <w:rFonts w:ascii="Calibri"/>
          <w:spacing w:val="-5"/>
          <w:sz w:val="20"/>
          <w:vertAlign w:val="baseline"/>
        </w:rPr>
        <w:t> </w:t>
      </w:r>
      <w:r>
        <w:rPr>
          <w:rFonts w:ascii="Calibri"/>
          <w:sz w:val="20"/>
          <w:vertAlign w:val="baseline"/>
        </w:rPr>
        <w:t>op.cit.at</w:t>
      </w:r>
      <w:r>
        <w:rPr>
          <w:rFonts w:ascii="Calibri"/>
          <w:spacing w:val="-7"/>
          <w:sz w:val="20"/>
          <w:vertAlign w:val="baseline"/>
        </w:rPr>
        <w:t> </w:t>
      </w:r>
      <w:r>
        <w:rPr>
          <w:rFonts w:ascii="Calibri"/>
          <w:spacing w:val="-5"/>
          <w:sz w:val="20"/>
          <w:vertAlign w:val="baseline"/>
        </w:rPr>
        <w:t>37.</w:t>
      </w:r>
    </w:p>
    <w:p>
      <w:pPr>
        <w:spacing w:before="0"/>
        <w:ind w:left="308" w:right="0" w:firstLine="0"/>
        <w:jc w:val="left"/>
        <w:rPr>
          <w:rFonts w:ascii="Calibri"/>
          <w:sz w:val="20"/>
        </w:rPr>
      </w:pPr>
      <w:r>
        <w:rPr>
          <w:rFonts w:ascii="Calibri"/>
          <w:sz w:val="20"/>
          <w:vertAlign w:val="superscript"/>
        </w:rPr>
        <w:t>104</w:t>
      </w:r>
      <w:r>
        <w:rPr>
          <w:rFonts w:ascii="Calibri"/>
          <w:spacing w:val="4"/>
          <w:sz w:val="20"/>
          <w:vertAlign w:val="baseline"/>
        </w:rPr>
        <w:t> </w:t>
      </w:r>
      <w:r>
        <w:rPr>
          <w:rFonts w:ascii="Calibri"/>
          <w:spacing w:val="-4"/>
          <w:sz w:val="20"/>
          <w:vertAlign w:val="baseline"/>
        </w:rPr>
        <w:t>Ibid.</w:t>
      </w:r>
    </w:p>
    <w:p>
      <w:pPr>
        <w:spacing w:line="242" w:lineRule="exact" w:before="1"/>
        <w:ind w:left="308" w:right="0" w:firstLine="0"/>
        <w:jc w:val="left"/>
        <w:rPr>
          <w:rFonts w:ascii="Calibri"/>
          <w:sz w:val="20"/>
        </w:rPr>
      </w:pPr>
      <w:r>
        <w:rPr>
          <w:rFonts w:ascii="Calibri"/>
          <w:sz w:val="20"/>
          <w:vertAlign w:val="superscript"/>
        </w:rPr>
        <w:t>105</w:t>
      </w:r>
      <w:r>
        <w:rPr>
          <w:rFonts w:ascii="Calibri"/>
          <w:sz w:val="20"/>
          <w:vertAlign w:val="baseline"/>
        </w:rPr>
        <w:t>Finch,</w:t>
      </w:r>
      <w:r>
        <w:rPr>
          <w:rFonts w:ascii="Calibri"/>
          <w:spacing w:val="-10"/>
          <w:sz w:val="20"/>
          <w:vertAlign w:val="baseline"/>
        </w:rPr>
        <w:t> </w:t>
      </w:r>
      <w:r>
        <w:rPr>
          <w:rFonts w:ascii="Calibri"/>
          <w:sz w:val="20"/>
          <w:vertAlign w:val="baseline"/>
        </w:rPr>
        <w:t>V.</w:t>
      </w:r>
      <w:r>
        <w:rPr>
          <w:rFonts w:ascii="Calibri"/>
          <w:spacing w:val="-5"/>
          <w:sz w:val="20"/>
          <w:vertAlign w:val="baseline"/>
        </w:rPr>
        <w:t> </w:t>
      </w:r>
      <w:r>
        <w:rPr>
          <w:rFonts w:ascii="Calibri"/>
          <w:sz w:val="20"/>
          <w:vertAlign w:val="baseline"/>
        </w:rPr>
        <w:t>(1992).Company</w:t>
      </w:r>
      <w:r>
        <w:rPr>
          <w:rFonts w:ascii="Calibri"/>
          <w:spacing w:val="-7"/>
          <w:sz w:val="20"/>
          <w:vertAlign w:val="baseline"/>
        </w:rPr>
        <w:t> </w:t>
      </w:r>
      <w:r>
        <w:rPr>
          <w:rFonts w:ascii="Calibri"/>
          <w:sz w:val="20"/>
          <w:vertAlign w:val="baseline"/>
        </w:rPr>
        <w:t>Directors:</w:t>
      </w:r>
      <w:r>
        <w:rPr>
          <w:rFonts w:ascii="Calibri"/>
          <w:spacing w:val="-8"/>
          <w:sz w:val="20"/>
          <w:vertAlign w:val="baseline"/>
        </w:rPr>
        <w:t> </w:t>
      </w:r>
      <w:r>
        <w:rPr>
          <w:rFonts w:ascii="Calibri"/>
          <w:sz w:val="20"/>
          <w:vertAlign w:val="baseline"/>
        </w:rPr>
        <w:t>Who</w:t>
      </w:r>
      <w:r>
        <w:rPr>
          <w:rFonts w:ascii="Calibri"/>
          <w:spacing w:val="-7"/>
          <w:sz w:val="20"/>
          <w:vertAlign w:val="baseline"/>
        </w:rPr>
        <w:t> </w:t>
      </w:r>
      <w:r>
        <w:rPr>
          <w:rFonts w:ascii="Calibri"/>
          <w:sz w:val="20"/>
          <w:vertAlign w:val="baseline"/>
        </w:rPr>
        <w:t>Cares</w:t>
      </w:r>
      <w:r>
        <w:rPr>
          <w:rFonts w:ascii="Calibri"/>
          <w:spacing w:val="-9"/>
          <w:sz w:val="20"/>
          <w:vertAlign w:val="baseline"/>
        </w:rPr>
        <w:t> </w:t>
      </w:r>
      <w:r>
        <w:rPr>
          <w:rFonts w:ascii="Calibri"/>
          <w:sz w:val="20"/>
          <w:vertAlign w:val="baseline"/>
        </w:rPr>
        <w:t>About</w:t>
      </w:r>
      <w:r>
        <w:rPr>
          <w:rFonts w:ascii="Calibri"/>
          <w:spacing w:val="-7"/>
          <w:sz w:val="20"/>
          <w:vertAlign w:val="baseline"/>
        </w:rPr>
        <w:t> </w:t>
      </w:r>
      <w:r>
        <w:rPr>
          <w:rFonts w:ascii="Calibri"/>
          <w:sz w:val="20"/>
          <w:vertAlign w:val="baseline"/>
        </w:rPr>
        <w:t>Skill</w:t>
      </w:r>
      <w:r>
        <w:rPr>
          <w:rFonts w:ascii="Calibri"/>
          <w:spacing w:val="-5"/>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Care?</w:t>
      </w:r>
      <w:r>
        <w:rPr>
          <w:rFonts w:ascii="Calibri"/>
          <w:i/>
          <w:sz w:val="20"/>
          <w:vertAlign w:val="baseline"/>
        </w:rPr>
        <w:t>Modern</w:t>
      </w:r>
      <w:r>
        <w:rPr>
          <w:rFonts w:ascii="Calibri"/>
          <w:i/>
          <w:spacing w:val="-6"/>
          <w:sz w:val="20"/>
          <w:vertAlign w:val="baseline"/>
        </w:rPr>
        <w:t> </w:t>
      </w:r>
      <w:r>
        <w:rPr>
          <w:rFonts w:ascii="Calibri"/>
          <w:i/>
          <w:sz w:val="20"/>
          <w:vertAlign w:val="baseline"/>
        </w:rPr>
        <w:t>Law</w:t>
      </w:r>
      <w:r>
        <w:rPr>
          <w:rFonts w:ascii="Calibri"/>
          <w:i/>
          <w:spacing w:val="-7"/>
          <w:sz w:val="20"/>
          <w:vertAlign w:val="baseline"/>
        </w:rPr>
        <w:t> </w:t>
      </w:r>
      <w:r>
        <w:rPr>
          <w:rFonts w:ascii="Calibri"/>
          <w:i/>
          <w:sz w:val="20"/>
          <w:vertAlign w:val="baseline"/>
        </w:rPr>
        <w:t>Review</w:t>
      </w:r>
      <w:r>
        <w:rPr>
          <w:rFonts w:ascii="Calibri"/>
          <w:sz w:val="20"/>
          <w:vertAlign w:val="baseline"/>
        </w:rPr>
        <w:t>55(2):</w:t>
      </w:r>
      <w:r>
        <w:rPr>
          <w:rFonts w:ascii="Calibri"/>
          <w:spacing w:val="-7"/>
          <w:sz w:val="20"/>
          <w:vertAlign w:val="baseline"/>
        </w:rPr>
        <w:t> </w:t>
      </w:r>
      <w:r>
        <w:rPr>
          <w:rFonts w:ascii="Calibri"/>
          <w:sz w:val="20"/>
          <w:vertAlign w:val="baseline"/>
        </w:rPr>
        <w:t>179</w:t>
      </w:r>
      <w:r>
        <w:rPr>
          <w:rFonts w:ascii="Calibri"/>
          <w:spacing w:val="-8"/>
          <w:sz w:val="20"/>
          <w:vertAlign w:val="baseline"/>
        </w:rPr>
        <w:t> </w:t>
      </w:r>
      <w:r>
        <w:rPr>
          <w:rFonts w:ascii="Calibri"/>
          <w:spacing w:val="-5"/>
          <w:sz w:val="20"/>
          <w:vertAlign w:val="baseline"/>
        </w:rPr>
        <w:t>at</w:t>
      </w:r>
    </w:p>
    <w:p>
      <w:pPr>
        <w:spacing w:line="240" w:lineRule="auto" w:before="0"/>
        <w:ind w:left="308" w:right="222" w:firstLine="0"/>
        <w:jc w:val="both"/>
        <w:rPr>
          <w:rFonts w:ascii="Calibri"/>
          <w:sz w:val="20"/>
        </w:rPr>
      </w:pPr>
      <w:r>
        <w:rPr>
          <w:rFonts w:ascii="Calibri"/>
          <w:sz w:val="20"/>
        </w:rPr>
        <w:t>197. It was observed that most decisions taken in effecting company business are made by the</w:t>
      </w:r>
      <w:r>
        <w:rPr>
          <w:rFonts w:ascii="Calibri"/>
          <w:spacing w:val="40"/>
          <w:sz w:val="20"/>
        </w:rPr>
        <w:t> </w:t>
      </w:r>
      <w:r>
        <w:rPr>
          <w:rFonts w:ascii="Calibri"/>
          <w:sz w:val="20"/>
        </w:rPr>
        <w:t>Managing Directors or individual directors and it is usual for the articles to sanction this. See alsoLumb,</w:t>
      </w:r>
    </w:p>
    <w:p>
      <w:pPr>
        <w:spacing w:before="0"/>
        <w:ind w:left="308" w:right="225" w:firstLine="0"/>
        <w:jc w:val="both"/>
        <w:rPr>
          <w:rFonts w:ascii="Calibri" w:hAnsi="Calibri"/>
          <w:sz w:val="20"/>
        </w:rPr>
      </w:pPr>
      <w:r>
        <w:rPr>
          <w:rFonts w:ascii="Calibri" w:hAnsi="Calibri"/>
          <w:sz w:val="20"/>
        </w:rPr>
        <w:t>L. Blankfield, A. (2010)</w:t>
      </w:r>
      <w:r>
        <w:rPr>
          <w:rFonts w:ascii="Calibri" w:hAnsi="Calibri"/>
          <w:i/>
          <w:sz w:val="20"/>
        </w:rPr>
        <w:t>Directors’ Duties, Companies Act 2006: Restatement or Substantive Change? </w:t>
      </w:r>
      <w:r>
        <w:rPr>
          <w:rFonts w:ascii="Calibri" w:hAnsi="Calibri"/>
          <w:sz w:val="20"/>
        </w:rPr>
        <w:t>Field Fisher Waterhouse LLP, England, p. 7. Retrieved March 26, 2013from</w:t>
      </w:r>
      <w:r>
        <w:rPr>
          <w:rFonts w:ascii="Calibri" w:hAnsi="Calibri"/>
          <w:spacing w:val="80"/>
          <w:sz w:val="20"/>
        </w:rPr>
        <w:t> </w:t>
      </w:r>
      <w:hyperlink r:id="rId53">
        <w:r>
          <w:rPr>
            <w:rFonts w:ascii="Calibri" w:hAnsi="Calibri"/>
            <w:color w:val="0000FF"/>
            <w:spacing w:val="-2"/>
            <w:sz w:val="20"/>
            <w:u w:val="single" w:color="0000FF"/>
          </w:rPr>
          <w:t>http://www.ffw.com/pdf/Directors-duties.pdf</w:t>
        </w:r>
      </w:hyperlink>
      <w:r>
        <w:rPr>
          <w:rFonts w:ascii="Calibri" w:hAnsi="Calibri"/>
          <w:spacing w:val="-2"/>
          <w:sz w:val="20"/>
        </w:rPr>
        <w:t>.</w:t>
      </w:r>
    </w:p>
    <w:p>
      <w:pPr>
        <w:spacing w:before="2"/>
        <w:ind w:left="308" w:right="0" w:firstLine="0"/>
        <w:jc w:val="left"/>
        <w:rPr>
          <w:rFonts w:ascii="Calibri"/>
          <w:sz w:val="20"/>
        </w:rPr>
      </w:pPr>
      <w:r>
        <w:rPr>
          <w:rFonts w:ascii="Calibri"/>
          <w:sz w:val="20"/>
          <w:vertAlign w:val="superscript"/>
        </w:rPr>
        <w:t>106</w:t>
      </w:r>
      <w:r>
        <w:rPr>
          <w:rFonts w:ascii="Calibri"/>
          <w:sz w:val="20"/>
          <w:vertAlign w:val="baseline"/>
        </w:rPr>
        <w:t>Davies,</w:t>
      </w:r>
      <w:r>
        <w:rPr>
          <w:rFonts w:ascii="Calibri"/>
          <w:spacing w:val="-4"/>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1"/>
          <w:sz w:val="20"/>
          <w:vertAlign w:val="baseline"/>
        </w:rPr>
        <w:t> </w:t>
      </w:r>
      <w:r>
        <w:rPr>
          <w:rFonts w:ascii="Calibri"/>
          <w:sz w:val="20"/>
          <w:vertAlign w:val="baseline"/>
        </w:rPr>
        <w:t>p. </w:t>
      </w:r>
      <w:r>
        <w:rPr>
          <w:rFonts w:ascii="Calibri"/>
          <w:spacing w:val="-5"/>
          <w:sz w:val="20"/>
          <w:vertAlign w:val="baseline"/>
        </w:rPr>
        <w:t>37</w:t>
      </w:r>
    </w:p>
    <w:p>
      <w:pPr>
        <w:spacing w:before="0"/>
        <w:ind w:left="308" w:right="0" w:firstLine="0"/>
        <w:jc w:val="left"/>
        <w:rPr>
          <w:rFonts w:ascii="Calibri"/>
          <w:sz w:val="20"/>
        </w:rPr>
      </w:pPr>
      <w:r>
        <w:rPr>
          <w:rFonts w:ascii="Calibri"/>
          <w:sz w:val="20"/>
          <w:vertAlign w:val="superscript"/>
        </w:rPr>
        <w:t>107</w:t>
      </w:r>
      <w:r>
        <w:rPr>
          <w:rFonts w:ascii="Calibri"/>
          <w:sz w:val="20"/>
          <w:vertAlign w:val="baseline"/>
        </w:rPr>
        <w:t>Ibid.Also,Lumb,</w:t>
      </w:r>
      <w:r>
        <w:rPr>
          <w:rFonts w:ascii="Calibri"/>
          <w:spacing w:val="-6"/>
          <w:sz w:val="20"/>
          <w:vertAlign w:val="baseline"/>
        </w:rPr>
        <w:t> </w:t>
      </w:r>
      <w:r>
        <w:rPr>
          <w:rFonts w:ascii="Calibri"/>
          <w:sz w:val="20"/>
          <w:vertAlign w:val="baseline"/>
        </w:rPr>
        <w:t>L.</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Blankfield,</w:t>
      </w:r>
      <w:r>
        <w:rPr>
          <w:rFonts w:ascii="Calibri"/>
          <w:spacing w:val="-5"/>
          <w:sz w:val="20"/>
          <w:vertAlign w:val="baseline"/>
        </w:rPr>
        <w:t> </w:t>
      </w:r>
      <w:r>
        <w:rPr>
          <w:rFonts w:ascii="Calibri"/>
          <w:sz w:val="20"/>
          <w:vertAlign w:val="baseline"/>
        </w:rPr>
        <w:t>A.</w:t>
      </w:r>
      <w:r>
        <w:rPr>
          <w:rFonts w:ascii="Calibri"/>
          <w:spacing w:val="-9"/>
          <w:sz w:val="20"/>
          <w:vertAlign w:val="baseline"/>
        </w:rPr>
        <w:t> </w:t>
      </w:r>
      <w:r>
        <w:rPr>
          <w:rFonts w:ascii="Calibri"/>
          <w:i/>
          <w:sz w:val="20"/>
          <w:vertAlign w:val="baseline"/>
        </w:rPr>
        <w:t>op.cit.</w:t>
      </w:r>
      <w:r>
        <w:rPr>
          <w:rFonts w:ascii="Calibri"/>
          <w:sz w:val="20"/>
          <w:vertAlign w:val="baseline"/>
        </w:rPr>
        <w:t>at</w:t>
      </w:r>
      <w:r>
        <w:rPr>
          <w:rFonts w:ascii="Calibri"/>
          <w:spacing w:val="-9"/>
          <w:sz w:val="20"/>
          <w:vertAlign w:val="baseline"/>
        </w:rPr>
        <w:t> </w:t>
      </w:r>
      <w:r>
        <w:rPr>
          <w:rFonts w:ascii="Calibri"/>
          <w:sz w:val="20"/>
          <w:vertAlign w:val="baseline"/>
        </w:rPr>
        <w:t>p.</w:t>
      </w:r>
      <w:r>
        <w:rPr>
          <w:rFonts w:ascii="Calibri"/>
          <w:spacing w:val="-2"/>
          <w:sz w:val="20"/>
          <w:vertAlign w:val="baseline"/>
        </w:rPr>
        <w:t> </w:t>
      </w:r>
      <w:r>
        <w:rPr>
          <w:rFonts w:ascii="Calibri"/>
          <w:spacing w:val="-5"/>
          <w:sz w:val="20"/>
          <w:vertAlign w:val="baseline"/>
        </w:rPr>
        <w:t>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2"/>
        <w:jc w:val="both"/>
      </w:pPr>
      <w:r>
        <w:rPr/>
        <w:t>some people have suggested, in any circumstances in which they would not have to do so now.‖</w:t>
      </w:r>
      <w:r>
        <w:rPr>
          <w:vertAlign w:val="superscript"/>
        </w:rPr>
        <w:t>108</w:t>
      </w:r>
      <w:r>
        <w:rPr>
          <w:vertAlign w:val="baseline"/>
        </w:rPr>
        <w:t> Responding to fears that the section may cause increase in litigation, Parliament allayed fears by also stating that it didn‘t think that would be the case, considering the fact that having to consider the interests of employees had been in the law for a long time yet, has hardly ever led to litigation.</w:t>
      </w:r>
      <w:r>
        <w:rPr>
          <w:vertAlign w:val="superscript"/>
        </w:rPr>
        <w:t>109</w:t>
      </w:r>
      <w:r>
        <w:rPr>
          <w:vertAlign w:val="baseline"/>
        </w:rPr>
        <w:t> In essence, Parliament was conceding that the section would be difficult to litigate!</w:t>
      </w:r>
    </w:p>
    <w:p>
      <w:pPr>
        <w:pStyle w:val="BodyText"/>
        <w:spacing w:line="480" w:lineRule="auto" w:before="1"/>
        <w:ind w:right="218" w:firstLine="720"/>
        <w:jc w:val="both"/>
      </w:pPr>
      <w:r>
        <w:rPr/>
        <w:t>In spite of the attempt by Parliament to tread a middle path, proponents of both shareholder and stakeholder business theories have criticised the general tenor of the section. Shareholder primacy advocates on their part point to the fact that the law thereby proposes to teach businessmen how they should make business decisions</w:t>
      </w:r>
      <w:r>
        <w:rPr>
          <w:vertAlign w:val="superscript"/>
        </w:rPr>
        <w:t>110</w:t>
      </w:r>
      <w:r>
        <w:rPr>
          <w:vertAlign w:val="baseline"/>
        </w:rPr>
        <w:t>by venturing to state what they must think,</w:t>
      </w:r>
      <w:r>
        <w:rPr>
          <w:vertAlign w:val="superscript"/>
        </w:rPr>
        <w:t>111</w:t>
      </w:r>
      <w:r>
        <w:rPr>
          <w:vertAlign w:val="baseline"/>
        </w:rPr>
        <w:t> when this should have been the proper purview of business schools and voluntary corporate codes of ethics.</w:t>
      </w:r>
      <w:r>
        <w:rPr>
          <w:vertAlign w:val="superscript"/>
        </w:rPr>
        <w:t>112</w:t>
      </w:r>
      <w:r>
        <w:rPr>
          <w:vertAlign w:val="baseline"/>
        </w:rPr>
        <w:t> Besides, critics doubt that the section would in any way improve quality of decision making or cause directors to change the way they manage enterprises.</w:t>
      </w:r>
      <w:r>
        <w:rPr>
          <w:vertAlign w:val="superscript"/>
        </w:rPr>
        <w:t>113</w:t>
      </w:r>
      <w:r>
        <w:rPr>
          <w:vertAlign w:val="baseline"/>
        </w:rPr>
        <w:t> Further, there is the question of the mode of deciding between two or more conflicting stakeholder interests.</w:t>
      </w:r>
      <w:r>
        <w:rPr>
          <w:vertAlign w:val="superscript"/>
        </w:rPr>
        <w:t>114</w:t>
      </w:r>
      <w:r>
        <w:rPr>
          <w:vertAlign w:val="baseline"/>
        </w:rPr>
        <w:t> Most of all, some argue that the section</w:t>
      </w:r>
      <w:r>
        <w:rPr>
          <w:spacing w:val="-4"/>
          <w:vertAlign w:val="baseline"/>
        </w:rPr>
        <w:t> </w:t>
      </w:r>
      <w:r>
        <w:rPr>
          <w:vertAlign w:val="baseline"/>
        </w:rPr>
        <w:t>as</w:t>
      </w:r>
      <w:r>
        <w:rPr>
          <w:spacing w:val="-1"/>
          <w:vertAlign w:val="baseline"/>
        </w:rPr>
        <w:t> </w:t>
      </w:r>
      <w:r>
        <w:rPr>
          <w:vertAlign w:val="baseline"/>
        </w:rPr>
        <w:t>drafted would only serve as</w:t>
      </w:r>
      <w:r>
        <w:rPr>
          <w:spacing w:val="-1"/>
          <w:vertAlign w:val="baseline"/>
        </w:rPr>
        <w:t> </w:t>
      </w:r>
      <w:r>
        <w:rPr>
          <w:vertAlign w:val="baseline"/>
        </w:rPr>
        <w:t>escape route for directors</w:t>
      </w:r>
    </w:p>
    <w:p>
      <w:pPr>
        <w:pStyle w:val="BodyText"/>
        <w:spacing w:before="168"/>
        <w:ind w:left="0"/>
        <w:rPr>
          <w:sz w:val="20"/>
        </w:rPr>
      </w:pPr>
      <w:r>
        <w:rPr/>
        <mc:AlternateContent>
          <mc:Choice Requires="wps">
            <w:drawing>
              <wp:anchor distT="0" distB="0" distL="0" distR="0" allowOverlap="1" layoutInCell="1" locked="0" behindDoc="1" simplePos="0" relativeHeight="487683584">
                <wp:simplePos x="0" y="0"/>
                <wp:positionH relativeFrom="page">
                  <wp:posOffset>1262481</wp:posOffset>
                </wp:positionH>
                <wp:positionV relativeFrom="paragraph">
                  <wp:posOffset>268573</wp:posOffset>
                </wp:positionV>
                <wp:extent cx="1829435" cy="9525"/>
                <wp:effectExtent l="0" t="0" r="0" b="0"/>
                <wp:wrapTopAndBottom/>
                <wp:docPr id="211" name="Graphic 211"/>
                <wp:cNvGraphicFramePr>
                  <a:graphicFrameLocks/>
                </wp:cNvGraphicFramePr>
                <a:graphic>
                  <a:graphicData uri="http://schemas.microsoft.com/office/word/2010/wordprocessingShape">
                    <wps:wsp>
                      <wps:cNvPr id="211" name="Graphic 21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14753pt;width:144.050pt;height:.71997pt;mso-position-horizontal-relative:page;mso-position-vertical-relative:paragraph;z-index:-15632896;mso-wrap-distance-left:0;mso-wrap-distance-right:0" id="docshape166" filled="true" fillcolor="#000000" stroked="false">
                <v:fill type="solid"/>
                <w10:wrap type="topAndBottom"/>
              </v:rect>
            </w:pict>
          </mc:Fallback>
        </mc:AlternateContent>
      </w:r>
    </w:p>
    <w:p>
      <w:pPr>
        <w:spacing w:before="103"/>
        <w:ind w:left="308" w:right="228" w:firstLine="0"/>
        <w:jc w:val="both"/>
        <w:rPr>
          <w:rFonts w:ascii="Calibri"/>
          <w:sz w:val="20"/>
        </w:rPr>
      </w:pPr>
      <w:r>
        <w:rPr>
          <w:rFonts w:ascii="Calibri"/>
          <w:sz w:val="20"/>
          <w:vertAlign w:val="superscript"/>
        </w:rPr>
        <w:t>108</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10, quoting the Hansard of the Commons Committee of July 11 2006, column 292, accessible at </w:t>
      </w:r>
      <w:hyperlink r:id="rId12">
        <w:r>
          <w:rPr>
            <w:rFonts w:ascii="Calibri"/>
            <w:color w:val="0000FF"/>
            <w:sz w:val="20"/>
            <w:u w:val="single" w:color="0000FF"/>
            <w:vertAlign w:val="baseline"/>
          </w:rPr>
          <w:t>http://www.berr.gov.uk/files/file40139.pdf</w:t>
        </w:r>
      </w:hyperlink>
      <w:r>
        <w:rPr>
          <w:rFonts w:ascii="Calibri"/>
          <w:sz w:val="20"/>
          <w:vertAlign w:val="baseline"/>
        </w:rPr>
        <w:t>.</w:t>
      </w:r>
    </w:p>
    <w:p>
      <w:pPr>
        <w:spacing w:line="240" w:lineRule="auto" w:before="2"/>
        <w:ind w:left="308" w:right="228" w:firstLine="0"/>
        <w:jc w:val="both"/>
        <w:rPr>
          <w:rFonts w:ascii="Calibri"/>
          <w:sz w:val="20"/>
        </w:rPr>
      </w:pPr>
      <w:r>
        <w:rPr>
          <w:rFonts w:ascii="Calibri"/>
          <w:sz w:val="20"/>
          <w:vertAlign w:val="superscript"/>
        </w:rPr>
        <w:t>109</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10, quoting Lord Goldsmith MP of the Lords Grand Committee, from the Hansard of February 6 2006, column 243,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tabs>
          <w:tab w:pos="1426" w:val="left" w:leader="none"/>
          <w:tab w:pos="2294" w:val="left" w:leader="none"/>
          <w:tab w:pos="3000" w:val="left" w:leader="none"/>
          <w:tab w:pos="3911" w:val="left" w:leader="none"/>
          <w:tab w:pos="5458" w:val="left" w:leader="none"/>
          <w:tab w:pos="6595" w:val="left" w:leader="none"/>
          <w:tab w:pos="7402" w:val="left" w:leader="none"/>
          <w:tab w:pos="8409" w:val="left" w:leader="none"/>
        </w:tabs>
        <w:spacing w:before="0"/>
        <w:ind w:left="308" w:right="231" w:firstLine="0"/>
        <w:jc w:val="left"/>
        <w:rPr>
          <w:rFonts w:ascii="Calibri" w:hAnsi="Calibri"/>
          <w:sz w:val="20"/>
        </w:rPr>
      </w:pPr>
      <w:r>
        <w:rPr>
          <w:rFonts w:ascii="Calibri" w:hAnsi="Calibri"/>
          <w:sz w:val="20"/>
          <w:vertAlign w:val="superscript"/>
        </w:rPr>
        <w:t>110</w:t>
      </w:r>
      <w:r>
        <w:rPr>
          <w:rFonts w:ascii="Calibri" w:hAnsi="Calibri"/>
          <w:sz w:val="20"/>
          <w:vertAlign w:val="baseline"/>
        </w:rPr>
        <w:t>Hollington R. (2008).</w:t>
      </w:r>
      <w:r>
        <w:rPr>
          <w:rFonts w:ascii="Calibri" w:hAnsi="Calibri"/>
          <w:i/>
          <w:sz w:val="20"/>
          <w:vertAlign w:val="baseline"/>
        </w:rPr>
        <w:t>Directors’ Duties under the Companies Act 2006: Have the Lunatics Taken Over</w:t>
      </w:r>
      <w:r>
        <w:rPr>
          <w:rFonts w:ascii="Calibri" w:hAnsi="Calibri"/>
          <w:i/>
          <w:spacing w:val="40"/>
          <w:sz w:val="20"/>
          <w:vertAlign w:val="baseline"/>
        </w:rPr>
        <w:t> </w:t>
      </w:r>
      <w:r>
        <w:rPr>
          <w:rFonts w:ascii="Calibri" w:hAnsi="Calibri"/>
          <w:i/>
          <w:sz w:val="20"/>
          <w:vertAlign w:val="baseline"/>
        </w:rPr>
        <w:t>the Asylum? </w:t>
      </w:r>
      <w:r>
        <w:rPr>
          <w:rFonts w:ascii="Calibri" w:hAnsi="Calibri"/>
          <w:sz w:val="20"/>
          <w:vertAlign w:val="baseline"/>
        </w:rPr>
        <w:t>A lecture delivered at Ian Fairbairn Lecture Theatre, University of Buckingham, (April 22,</w:t>
      </w:r>
      <w:r>
        <w:rPr>
          <w:rFonts w:ascii="Calibri" w:hAnsi="Calibri"/>
          <w:spacing w:val="80"/>
          <w:sz w:val="20"/>
          <w:vertAlign w:val="baseline"/>
        </w:rPr>
        <w:t> </w:t>
      </w:r>
      <w:r>
        <w:rPr>
          <w:rFonts w:ascii="Calibri" w:hAnsi="Calibri"/>
          <w:spacing w:val="-2"/>
          <w:sz w:val="20"/>
          <w:vertAlign w:val="baseline"/>
        </w:rPr>
        <w:t>2008),</w:t>
      </w:r>
      <w:r>
        <w:rPr>
          <w:rFonts w:ascii="Calibri" w:hAnsi="Calibri"/>
          <w:sz w:val="20"/>
          <w:vertAlign w:val="baseline"/>
        </w:rPr>
        <w:tab/>
      </w:r>
      <w:r>
        <w:rPr>
          <w:rFonts w:ascii="Calibri" w:hAnsi="Calibri"/>
          <w:spacing w:val="-4"/>
          <w:sz w:val="20"/>
          <w:vertAlign w:val="baseline"/>
        </w:rPr>
        <w:t>pp.</w:t>
      </w:r>
      <w:r>
        <w:rPr>
          <w:rFonts w:ascii="Calibri" w:hAnsi="Calibri"/>
          <w:sz w:val="20"/>
          <w:vertAlign w:val="baseline"/>
        </w:rPr>
        <w:tab/>
      </w:r>
      <w:r>
        <w:rPr>
          <w:rFonts w:ascii="Calibri" w:hAnsi="Calibri"/>
          <w:spacing w:val="-10"/>
          <w:sz w:val="20"/>
          <w:vertAlign w:val="baseline"/>
        </w:rPr>
        <w:t>4</w:t>
      </w:r>
      <w:r>
        <w:rPr>
          <w:rFonts w:ascii="Calibri" w:hAnsi="Calibri"/>
          <w:sz w:val="20"/>
          <w:vertAlign w:val="baseline"/>
        </w:rPr>
        <w:tab/>
      </w:r>
      <w:r>
        <w:rPr>
          <w:rFonts w:ascii="Calibri" w:hAnsi="Calibri"/>
          <w:spacing w:val="-4"/>
          <w:sz w:val="20"/>
          <w:vertAlign w:val="baseline"/>
        </w:rPr>
        <w:t>and</w:t>
      </w:r>
      <w:r>
        <w:rPr>
          <w:rFonts w:ascii="Calibri" w:hAnsi="Calibri"/>
          <w:sz w:val="20"/>
          <w:vertAlign w:val="baseline"/>
        </w:rPr>
        <w:tab/>
      </w:r>
      <w:r>
        <w:rPr>
          <w:rFonts w:ascii="Calibri" w:hAnsi="Calibri"/>
          <w:spacing w:val="-2"/>
          <w:sz w:val="20"/>
          <w:vertAlign w:val="baseline"/>
        </w:rPr>
        <w:t>7.Retrieved</w:t>
      </w:r>
      <w:r>
        <w:rPr>
          <w:rFonts w:ascii="Calibri" w:hAnsi="Calibri"/>
          <w:sz w:val="20"/>
          <w:vertAlign w:val="baseline"/>
        </w:rPr>
        <w:tab/>
      </w:r>
      <w:r>
        <w:rPr>
          <w:rFonts w:ascii="Calibri" w:hAnsi="Calibri"/>
          <w:spacing w:val="-2"/>
          <w:sz w:val="20"/>
          <w:vertAlign w:val="baseline"/>
        </w:rPr>
        <w:t>March</w:t>
      </w:r>
      <w:r>
        <w:rPr>
          <w:rFonts w:ascii="Calibri" w:hAnsi="Calibri"/>
          <w:sz w:val="20"/>
          <w:vertAlign w:val="baseline"/>
        </w:rPr>
        <w:tab/>
      </w:r>
      <w:r>
        <w:rPr>
          <w:rFonts w:ascii="Calibri" w:hAnsi="Calibri"/>
          <w:spacing w:val="-6"/>
          <w:sz w:val="20"/>
          <w:vertAlign w:val="baseline"/>
        </w:rPr>
        <w:t>23</w:t>
      </w:r>
      <w:r>
        <w:rPr>
          <w:rFonts w:ascii="Calibri" w:hAnsi="Calibri"/>
          <w:sz w:val="20"/>
          <w:vertAlign w:val="baseline"/>
        </w:rPr>
        <w:tab/>
      </w:r>
      <w:r>
        <w:rPr>
          <w:rFonts w:ascii="Calibri" w:hAnsi="Calibri"/>
          <w:spacing w:val="-4"/>
          <w:sz w:val="20"/>
          <w:vertAlign w:val="baseline"/>
        </w:rPr>
        <w:t>2013</w:t>
      </w:r>
      <w:r>
        <w:rPr>
          <w:rFonts w:ascii="Calibri" w:hAnsi="Calibri"/>
          <w:sz w:val="20"/>
          <w:vertAlign w:val="baseline"/>
        </w:rPr>
        <w:tab/>
      </w:r>
      <w:r>
        <w:rPr>
          <w:rFonts w:ascii="Calibri" w:hAnsi="Calibri"/>
          <w:spacing w:val="-4"/>
          <w:sz w:val="20"/>
          <w:vertAlign w:val="baseline"/>
        </w:rPr>
        <w:t>from </w:t>
      </w:r>
      <w:hyperlink r:id="rId17">
        <w:r>
          <w:rPr>
            <w:rFonts w:ascii="Calibri" w:hAnsi="Calibri"/>
            <w:color w:val="0000FF"/>
            <w:spacing w:val="-2"/>
            <w:sz w:val="20"/>
            <w:u w:val="single" w:color="0000FF"/>
            <w:vertAlign w:val="baseline"/>
          </w:rPr>
          <w:t>http://www.newsquarechambers.co.uk/files/Publications/Directors%20duties%20under%20the%20Co</w:t>
        </w:r>
      </w:hyperlink>
      <w:r>
        <w:rPr>
          <w:rFonts w:ascii="Calibri" w:hAnsi="Calibri"/>
          <w:color w:val="0000FF"/>
          <w:spacing w:val="-2"/>
          <w:sz w:val="20"/>
          <w:vertAlign w:val="baseline"/>
        </w:rPr>
        <w:t> </w:t>
      </w:r>
      <w:hyperlink r:id="rId17">
        <w:r>
          <w:rPr>
            <w:rFonts w:ascii="Calibri" w:hAnsi="Calibri"/>
            <w:color w:val="0000FF"/>
            <w:spacing w:val="-2"/>
            <w:sz w:val="20"/>
            <w:u w:val="single" w:color="0000FF"/>
            <w:vertAlign w:val="baseline"/>
          </w:rPr>
          <w:t>mpanies%20Act%202006%20(Robin%20Hollington%20QC).pdf</w:t>
        </w:r>
      </w:hyperlink>
      <w:r>
        <w:rPr>
          <w:rFonts w:ascii="Calibri" w:hAnsi="Calibri"/>
          <w:spacing w:val="-2"/>
          <w:sz w:val="20"/>
          <w:vertAlign w:val="baseline"/>
        </w:rPr>
        <w:t>.</w:t>
      </w:r>
    </w:p>
    <w:p>
      <w:pPr>
        <w:spacing w:line="243" w:lineRule="exact" w:before="0"/>
        <w:ind w:left="308" w:right="0" w:firstLine="0"/>
        <w:jc w:val="left"/>
        <w:rPr>
          <w:rFonts w:ascii="Calibri"/>
          <w:sz w:val="20"/>
        </w:rPr>
      </w:pPr>
      <w:r>
        <w:rPr>
          <w:rFonts w:ascii="Calibri"/>
          <w:sz w:val="20"/>
          <w:vertAlign w:val="superscript"/>
        </w:rPr>
        <w:t>111</w:t>
      </w:r>
      <w:r>
        <w:rPr>
          <w:rFonts w:ascii="Calibri"/>
          <w:spacing w:val="2"/>
          <w:sz w:val="20"/>
          <w:vertAlign w:val="baseline"/>
        </w:rPr>
        <w:t> </w:t>
      </w:r>
      <w:r>
        <w:rPr>
          <w:rFonts w:ascii="Calibri"/>
          <w:sz w:val="20"/>
          <w:vertAlign w:val="baseline"/>
        </w:rPr>
        <w:t>Ibid.</w:t>
      </w:r>
      <w:r>
        <w:rPr>
          <w:rFonts w:ascii="Calibri"/>
          <w:spacing w:val="-3"/>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2"/>
          <w:sz w:val="20"/>
          <w:vertAlign w:val="baseline"/>
        </w:rPr>
        <w:t> </w:t>
      </w:r>
      <w:r>
        <w:rPr>
          <w:rFonts w:ascii="Calibri"/>
          <w:spacing w:val="-10"/>
          <w:sz w:val="20"/>
          <w:vertAlign w:val="baseline"/>
        </w:rPr>
        <w:t>1</w:t>
      </w:r>
    </w:p>
    <w:p>
      <w:pPr>
        <w:spacing w:before="0"/>
        <w:ind w:left="308" w:right="0" w:firstLine="0"/>
        <w:jc w:val="both"/>
        <w:rPr>
          <w:rFonts w:ascii="Calibri"/>
          <w:sz w:val="20"/>
        </w:rPr>
      </w:pPr>
      <w:r>
        <w:rPr>
          <w:rFonts w:ascii="Calibri"/>
          <w:sz w:val="20"/>
          <w:vertAlign w:val="superscript"/>
        </w:rPr>
        <w:t>112</w:t>
      </w:r>
      <w:r>
        <w:rPr>
          <w:rFonts w:ascii="Calibri"/>
          <w:spacing w:val="2"/>
          <w:sz w:val="20"/>
          <w:vertAlign w:val="baseline"/>
        </w:rPr>
        <w:t> </w:t>
      </w:r>
      <w:r>
        <w:rPr>
          <w:rFonts w:ascii="Calibri"/>
          <w:sz w:val="20"/>
          <w:vertAlign w:val="baseline"/>
        </w:rPr>
        <w:t>Ibid.</w:t>
      </w:r>
      <w:r>
        <w:rPr>
          <w:rFonts w:ascii="Calibri"/>
          <w:spacing w:val="-3"/>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2"/>
          <w:sz w:val="20"/>
          <w:vertAlign w:val="baseline"/>
        </w:rPr>
        <w:t> </w:t>
      </w:r>
      <w:r>
        <w:rPr>
          <w:rFonts w:ascii="Calibri"/>
          <w:spacing w:val="-10"/>
          <w:sz w:val="20"/>
          <w:vertAlign w:val="baseline"/>
        </w:rPr>
        <w:t>7</w:t>
      </w:r>
    </w:p>
    <w:p>
      <w:pPr>
        <w:spacing w:before="0"/>
        <w:ind w:left="308" w:right="226" w:firstLine="0"/>
        <w:jc w:val="both"/>
        <w:rPr>
          <w:rFonts w:ascii="Calibri" w:hAnsi="Calibri"/>
          <w:sz w:val="20"/>
        </w:rPr>
      </w:pPr>
      <w:r>
        <w:rPr>
          <w:rFonts w:ascii="Calibri" w:hAnsi="Calibri"/>
          <w:sz w:val="20"/>
          <w:vertAlign w:val="superscript"/>
        </w:rPr>
        <w:t>113</w:t>
      </w:r>
      <w:r>
        <w:rPr>
          <w:rFonts w:ascii="Calibri" w:hAnsi="Calibri"/>
          <w:i/>
          <w:sz w:val="20"/>
          <w:vertAlign w:val="baseline"/>
        </w:rPr>
        <w:t>The Social Responsibility of Corporations 2006</w:t>
      </w:r>
      <w:r>
        <w:rPr>
          <w:rFonts w:ascii="Calibri" w:hAnsi="Calibri"/>
          <w:sz w:val="20"/>
          <w:vertAlign w:val="baseline"/>
        </w:rPr>
        <w:t>, a report of the Australian Corporations and Markets Advisory Committee (CAMAC), at para 3.12. Cited in:Horrigan, B. (2012) Directors’ Duties and Liabilities: Where Are We Now and Where Are We Going in the UK, Broader Commonwealth and Internationally? </w:t>
      </w:r>
      <w:r>
        <w:rPr>
          <w:rFonts w:ascii="Calibri" w:hAnsi="Calibri"/>
          <w:i/>
          <w:sz w:val="20"/>
          <w:vertAlign w:val="baseline"/>
        </w:rPr>
        <w:t>International Journal of Business and Social Science, </w:t>
      </w:r>
      <w:r>
        <w:rPr>
          <w:rFonts w:ascii="Calibri" w:hAnsi="Calibri"/>
          <w:sz w:val="20"/>
          <w:vertAlign w:val="baseline"/>
        </w:rPr>
        <w:t>3(2): 21-45, at p.20</w:t>
      </w:r>
    </w:p>
    <w:p>
      <w:pPr>
        <w:spacing w:before="2"/>
        <w:ind w:left="308" w:right="0" w:firstLine="0"/>
        <w:jc w:val="both"/>
        <w:rPr>
          <w:rFonts w:ascii="Calibri"/>
          <w:sz w:val="20"/>
        </w:rPr>
      </w:pPr>
      <w:r>
        <w:rPr>
          <w:rFonts w:ascii="Calibri"/>
          <w:sz w:val="20"/>
          <w:vertAlign w:val="superscript"/>
        </w:rPr>
        <w:t>114</w:t>
      </w:r>
      <w:r>
        <w:rPr>
          <w:rFonts w:ascii="Calibri"/>
          <w:sz w:val="20"/>
          <w:vertAlign w:val="baseline"/>
        </w:rPr>
        <w:t>Keay,</w:t>
      </w:r>
      <w:r>
        <w:rPr>
          <w:rFonts w:ascii="Calibri"/>
          <w:spacing w:val="-4"/>
          <w:sz w:val="20"/>
          <w:vertAlign w:val="baseline"/>
        </w:rPr>
        <w:t> </w:t>
      </w:r>
      <w:r>
        <w:rPr>
          <w:rFonts w:ascii="Calibri"/>
          <w:sz w:val="20"/>
          <w:vertAlign w:val="baseline"/>
        </w:rPr>
        <w:t>A.</w:t>
      </w:r>
      <w:r>
        <w:rPr>
          <w:rFonts w:ascii="Calibri"/>
          <w:spacing w:val="-4"/>
          <w:sz w:val="20"/>
          <w:vertAlign w:val="baseline"/>
        </w:rPr>
        <w:t> </w:t>
      </w:r>
      <w:r>
        <w:rPr>
          <w:rFonts w:ascii="Calibri"/>
          <w:sz w:val="20"/>
          <w:vertAlign w:val="baseline"/>
        </w:rPr>
        <w:t>(2010)</w:t>
      </w:r>
      <w:r>
        <w:rPr>
          <w:rFonts w:ascii="Calibri"/>
          <w:spacing w:val="-5"/>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atp.</w:t>
      </w:r>
      <w:r>
        <w:rPr>
          <w:rFonts w:ascii="Calibri"/>
          <w:spacing w:val="1"/>
          <w:sz w:val="20"/>
          <w:vertAlign w:val="baseline"/>
        </w:rPr>
        <w:t> </w:t>
      </w:r>
      <w:r>
        <w:rPr>
          <w:rFonts w:ascii="Calibri"/>
          <w:spacing w:val="-5"/>
          <w:sz w:val="20"/>
          <w:vertAlign w:val="baseline"/>
        </w:rPr>
        <w:t>18.</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30"/>
        <w:jc w:val="both"/>
      </w:pPr>
      <w:r>
        <w:rPr/>
        <w:t>by allowing them defend a case of breach by asserting that their actions were guided by the need to consider the interests of non-shareholder stakeholders in order to promote</w:t>
      </w:r>
      <w:r>
        <w:rPr>
          <w:spacing w:val="40"/>
        </w:rPr>
        <w:t> </w:t>
      </w:r>
      <w:r>
        <w:rPr/>
        <w:t>the success of the company.</w:t>
      </w:r>
      <w:r>
        <w:rPr>
          <w:vertAlign w:val="superscript"/>
        </w:rPr>
        <w:t>115</w:t>
      </w:r>
    </w:p>
    <w:p>
      <w:pPr>
        <w:pStyle w:val="BodyText"/>
        <w:spacing w:line="480" w:lineRule="auto"/>
        <w:ind w:right="226" w:firstLine="720"/>
        <w:jc w:val="both"/>
      </w:pPr>
      <w:r>
        <w:rPr/>
        <w:t>Stakeholder theorists, on the other hand, lament the fact that stakeholders under the section are still relegated to second place relative to shareholders, and their interests are considered only</w:t>
      </w:r>
      <w:r>
        <w:rPr>
          <w:spacing w:val="-3"/>
        </w:rPr>
        <w:t> </w:t>
      </w:r>
      <w:r>
        <w:rPr/>
        <w:t>to the extent that they</w:t>
      </w:r>
      <w:r>
        <w:rPr>
          <w:spacing w:val="-3"/>
        </w:rPr>
        <w:t> </w:t>
      </w:r>
      <w:r>
        <w:rPr/>
        <w:t>serve the interests of</w:t>
      </w:r>
      <w:r>
        <w:rPr>
          <w:spacing w:val="-1"/>
        </w:rPr>
        <w:t> </w:t>
      </w:r>
      <w:r>
        <w:rPr/>
        <w:t>shareholders.</w:t>
      </w:r>
      <w:r>
        <w:rPr>
          <w:vertAlign w:val="superscript"/>
        </w:rPr>
        <w:t>116</w:t>
      </w:r>
      <w:r>
        <w:rPr>
          <w:vertAlign w:val="baseline"/>
        </w:rPr>
        <w:t> In</w:t>
      </w:r>
      <w:r>
        <w:rPr>
          <w:spacing w:val="-3"/>
          <w:vertAlign w:val="baseline"/>
        </w:rPr>
        <w:t> </w:t>
      </w:r>
      <w:r>
        <w:rPr>
          <w:vertAlign w:val="baseline"/>
        </w:rPr>
        <w:t>other words, the section still begins with a statement of shareholder primacy and so, given</w:t>
      </w:r>
      <w:r>
        <w:rPr>
          <w:spacing w:val="80"/>
          <w:vertAlign w:val="baseline"/>
        </w:rPr>
        <w:t> </w:t>
      </w:r>
      <w:r>
        <w:rPr>
          <w:vertAlign w:val="baseline"/>
        </w:rPr>
        <w:t>this strident affirmation of shareholder supremacy, as Alcocksuccinctly puts it, ―what can the remainder of subsection (1) with its list of other interests really achieve?‖</w:t>
      </w:r>
      <w:r>
        <w:rPr>
          <w:vertAlign w:val="superscript"/>
        </w:rPr>
        <w:t>117</w:t>
      </w:r>
      <w:r>
        <w:rPr>
          <w:vertAlign w:val="baseline"/>
        </w:rPr>
        <w:t>Besides, when the CLRSG was proposing the contents of s. 172 back in 1999, it did suggest that having</w:t>
      </w:r>
      <w:r>
        <w:rPr>
          <w:spacing w:val="-3"/>
          <w:vertAlign w:val="baseline"/>
        </w:rPr>
        <w:t> </w:t>
      </w:r>
      <w:r>
        <w:rPr>
          <w:vertAlign w:val="baseline"/>
        </w:rPr>
        <w:t>regard</w:t>
      </w:r>
      <w:r>
        <w:rPr>
          <w:spacing w:val="-3"/>
          <w:vertAlign w:val="baseline"/>
        </w:rPr>
        <w:t> </w:t>
      </w:r>
      <w:r>
        <w:rPr>
          <w:vertAlign w:val="baseline"/>
        </w:rPr>
        <w:t>to the listed interests</w:t>
      </w:r>
      <w:r>
        <w:rPr>
          <w:spacing w:val="-1"/>
          <w:vertAlign w:val="baseline"/>
        </w:rPr>
        <w:t> </w:t>
      </w:r>
      <w:r>
        <w:rPr>
          <w:vertAlign w:val="baseline"/>
        </w:rPr>
        <w:t>is</w:t>
      </w:r>
      <w:r>
        <w:rPr>
          <w:spacing w:val="-1"/>
          <w:vertAlign w:val="baseline"/>
        </w:rPr>
        <w:t> </w:t>
      </w:r>
      <w:r>
        <w:rPr>
          <w:vertAlign w:val="baseline"/>
        </w:rPr>
        <w:t>not based</w:t>
      </w:r>
      <w:r>
        <w:rPr>
          <w:spacing w:val="-3"/>
          <w:vertAlign w:val="baseline"/>
        </w:rPr>
        <w:t> </w:t>
      </w:r>
      <w:r>
        <w:rPr>
          <w:vertAlign w:val="baseline"/>
        </w:rPr>
        <w:t>on fairness, but on efficiency and ensuring that shareholders get more, overall.</w:t>
      </w:r>
      <w:r>
        <w:rPr>
          <w:vertAlign w:val="superscript"/>
        </w:rPr>
        <w:t>118</w:t>
      </w:r>
      <w:r>
        <w:rPr>
          <w:vertAlign w:val="baseline"/>
        </w:rPr>
        <w:t>Further, some argue that the section as drafted would only encourage box-ticking and paying lip service to the items listed therein,</w:t>
      </w:r>
      <w:r>
        <w:rPr>
          <w:vertAlign w:val="superscript"/>
        </w:rPr>
        <w:t>119</w:t>
      </w:r>
      <w:r>
        <w:rPr>
          <w:vertAlign w:val="baseline"/>
        </w:rPr>
        <w:t> in spite of the fact that the government had clarified that the words</w:t>
      </w:r>
      <w:r>
        <w:rPr>
          <w:spacing w:val="-15"/>
          <w:vertAlign w:val="baseline"/>
        </w:rPr>
        <w:t> </w:t>
      </w:r>
      <w:r>
        <w:rPr>
          <w:vertAlign w:val="baseline"/>
        </w:rPr>
        <w:t>―having</w:t>
      </w:r>
      <w:r>
        <w:rPr>
          <w:spacing w:val="-15"/>
          <w:vertAlign w:val="baseline"/>
        </w:rPr>
        <w:t> </w:t>
      </w:r>
      <w:r>
        <w:rPr>
          <w:vertAlign w:val="baseline"/>
        </w:rPr>
        <w:t>regard</w:t>
      </w:r>
      <w:r>
        <w:rPr>
          <w:spacing w:val="-15"/>
          <w:vertAlign w:val="baseline"/>
        </w:rPr>
        <w:t> </w:t>
      </w:r>
      <w:r>
        <w:rPr>
          <w:vertAlign w:val="baseline"/>
        </w:rPr>
        <w:t>to‖</w:t>
      </w:r>
      <w:r>
        <w:rPr>
          <w:spacing w:val="-15"/>
          <w:vertAlign w:val="baseline"/>
        </w:rPr>
        <w:t> </w:t>
      </w:r>
      <w:r>
        <w:rPr>
          <w:vertAlign w:val="baseline"/>
        </w:rPr>
        <w:t>mean</w:t>
      </w:r>
      <w:r>
        <w:rPr>
          <w:spacing w:val="-15"/>
          <w:vertAlign w:val="baseline"/>
        </w:rPr>
        <w:t> </w:t>
      </w:r>
      <w:r>
        <w:rPr>
          <w:vertAlign w:val="baseline"/>
        </w:rPr>
        <w:t>―think</w:t>
      </w:r>
      <w:r>
        <w:rPr>
          <w:spacing w:val="-15"/>
          <w:vertAlign w:val="baseline"/>
        </w:rPr>
        <w:t> </w:t>
      </w:r>
      <w:r>
        <w:rPr>
          <w:vertAlign w:val="baseline"/>
        </w:rPr>
        <w:t>about‖</w:t>
      </w:r>
      <w:r>
        <w:rPr>
          <w:spacing w:val="-15"/>
          <w:vertAlign w:val="baseline"/>
        </w:rPr>
        <w:t> </w:t>
      </w:r>
      <w:r>
        <w:rPr>
          <w:vertAlign w:val="baseline"/>
        </w:rPr>
        <w:t>and</w:t>
      </w:r>
      <w:r>
        <w:rPr>
          <w:spacing w:val="-15"/>
          <w:vertAlign w:val="baseline"/>
        </w:rPr>
        <w:t> </w:t>
      </w:r>
      <w:r>
        <w:rPr>
          <w:vertAlign w:val="baseline"/>
        </w:rPr>
        <w:t>―are</w:t>
      </w:r>
      <w:r>
        <w:rPr>
          <w:spacing w:val="-15"/>
          <w:vertAlign w:val="baseline"/>
        </w:rPr>
        <w:t> </w:t>
      </w:r>
      <w:r>
        <w:rPr>
          <w:vertAlign w:val="baseline"/>
        </w:rPr>
        <w:t>absolutely</w:t>
      </w:r>
      <w:r>
        <w:rPr>
          <w:spacing w:val="-15"/>
          <w:vertAlign w:val="baseline"/>
        </w:rPr>
        <w:t> </w:t>
      </w:r>
      <w:r>
        <w:rPr>
          <w:vertAlign w:val="baseline"/>
        </w:rPr>
        <w:t>not</w:t>
      </w:r>
      <w:r>
        <w:rPr>
          <w:spacing w:val="-15"/>
          <w:vertAlign w:val="baseline"/>
        </w:rPr>
        <w:t> </w:t>
      </w:r>
      <w:r>
        <w:rPr>
          <w:vertAlign w:val="baseline"/>
        </w:rPr>
        <w:t>about</w:t>
      </w:r>
      <w:r>
        <w:rPr>
          <w:spacing w:val="-15"/>
          <w:vertAlign w:val="baseline"/>
        </w:rPr>
        <w:t> </w:t>
      </w:r>
      <w:r>
        <w:rPr>
          <w:vertAlign w:val="baseline"/>
        </w:rPr>
        <w:t>just</w:t>
      </w:r>
      <w:r>
        <w:rPr>
          <w:spacing w:val="-15"/>
          <w:vertAlign w:val="baseline"/>
        </w:rPr>
        <w:t> </w:t>
      </w:r>
      <w:r>
        <w:rPr>
          <w:vertAlign w:val="baseline"/>
        </w:rPr>
        <w:t>ticking boxes.‖</w:t>
      </w:r>
      <w:r>
        <w:rPr>
          <w:vertAlign w:val="superscript"/>
        </w:rPr>
        <w:t>120</w:t>
      </w:r>
      <w:r>
        <w:rPr>
          <w:vertAlign w:val="baseline"/>
        </w:rPr>
        <w:t> Moreover, there is also the basic issue of enforcement: while shareholders</w:t>
      </w:r>
      <w:r>
        <w:rPr>
          <w:spacing w:val="80"/>
          <w:vertAlign w:val="baseline"/>
        </w:rPr>
        <w:t> </w:t>
      </w:r>
      <w:r>
        <w:rPr>
          <w:vertAlign w:val="baseline"/>
        </w:rPr>
        <w:t>can resort to</w:t>
      </w:r>
      <w:r>
        <w:rPr>
          <w:spacing w:val="19"/>
          <w:vertAlign w:val="baseline"/>
        </w:rPr>
        <w:t> </w:t>
      </w:r>
      <w:r>
        <w:rPr>
          <w:vertAlign w:val="baseline"/>
        </w:rPr>
        <w:t>the</w:t>
      </w:r>
      <w:r>
        <w:rPr>
          <w:spacing w:val="17"/>
          <w:vertAlign w:val="baseline"/>
        </w:rPr>
        <w:t> </w:t>
      </w:r>
      <w:r>
        <w:rPr>
          <w:vertAlign w:val="baseline"/>
        </w:rPr>
        <w:t>general meeting</w:t>
      </w:r>
      <w:r>
        <w:rPr>
          <w:spacing w:val="17"/>
          <w:vertAlign w:val="baseline"/>
        </w:rPr>
        <w:t> </w:t>
      </w:r>
      <w:r>
        <w:rPr>
          <w:vertAlign w:val="baseline"/>
        </w:rPr>
        <w:t>and</w:t>
      </w:r>
      <w:r>
        <w:rPr>
          <w:spacing w:val="18"/>
          <w:vertAlign w:val="baseline"/>
        </w:rPr>
        <w:t> </w:t>
      </w:r>
      <w:r>
        <w:rPr>
          <w:vertAlign w:val="baseline"/>
        </w:rPr>
        <w:t>derivative</w:t>
      </w:r>
      <w:r>
        <w:rPr>
          <w:spacing w:val="17"/>
          <w:vertAlign w:val="baseline"/>
        </w:rPr>
        <w:t> </w:t>
      </w:r>
      <w:r>
        <w:rPr>
          <w:vertAlign w:val="baseline"/>
        </w:rPr>
        <w:t>action,</w:t>
      </w:r>
      <w:r>
        <w:rPr>
          <w:spacing w:val="19"/>
          <w:vertAlign w:val="baseline"/>
        </w:rPr>
        <w:t> </w:t>
      </w:r>
      <w:r>
        <w:rPr>
          <w:vertAlign w:val="baseline"/>
        </w:rPr>
        <w:t>the</w:t>
      </w:r>
      <w:r>
        <w:rPr>
          <w:spacing w:val="19"/>
          <w:vertAlign w:val="baseline"/>
        </w:rPr>
        <w:t> </w:t>
      </w:r>
      <w:r>
        <w:rPr>
          <w:vertAlign w:val="baseline"/>
        </w:rPr>
        <w:t>other</w:t>
      </w:r>
      <w:r>
        <w:rPr>
          <w:spacing w:val="20"/>
          <w:vertAlign w:val="baseline"/>
        </w:rPr>
        <w:t> </w:t>
      </w:r>
      <w:r>
        <w:rPr>
          <w:vertAlign w:val="baseline"/>
        </w:rPr>
        <w:t>stakeholders</w:t>
      </w:r>
      <w:r>
        <w:rPr>
          <w:spacing w:val="16"/>
          <w:vertAlign w:val="baseline"/>
        </w:rPr>
        <w:t> </w:t>
      </w:r>
      <w:r>
        <w:rPr>
          <w:vertAlign w:val="baseline"/>
        </w:rPr>
        <w:t>have</w:t>
      </w:r>
      <w:r>
        <w:rPr>
          <w:spacing w:val="17"/>
          <w:vertAlign w:val="baseline"/>
        </w:rPr>
        <w:t> </w:t>
      </w:r>
      <w:r>
        <w:rPr>
          <w:vertAlign w:val="baseline"/>
        </w:rPr>
        <w:t>no</w:t>
      </w:r>
    </w:p>
    <w:p>
      <w:pPr>
        <w:pStyle w:val="BodyText"/>
        <w:ind w:left="0"/>
        <w:rPr>
          <w:sz w:val="20"/>
        </w:rPr>
      </w:pPr>
    </w:p>
    <w:p>
      <w:pPr>
        <w:pStyle w:val="BodyText"/>
        <w:ind w:left="0"/>
        <w:rPr>
          <w:sz w:val="20"/>
        </w:rPr>
      </w:pPr>
    </w:p>
    <w:p>
      <w:pPr>
        <w:pStyle w:val="BodyText"/>
        <w:ind w:left="0"/>
        <w:rPr>
          <w:sz w:val="20"/>
        </w:rPr>
      </w:pPr>
    </w:p>
    <w:p>
      <w:pPr>
        <w:pStyle w:val="BodyText"/>
        <w:spacing w:before="123"/>
        <w:ind w:left="0"/>
        <w:rPr>
          <w:sz w:val="20"/>
        </w:rPr>
      </w:pPr>
      <w:r>
        <w:rPr/>
        <mc:AlternateContent>
          <mc:Choice Requires="wps">
            <w:drawing>
              <wp:anchor distT="0" distB="0" distL="0" distR="0" allowOverlap="1" layoutInCell="1" locked="0" behindDoc="1" simplePos="0" relativeHeight="487684096">
                <wp:simplePos x="0" y="0"/>
                <wp:positionH relativeFrom="page">
                  <wp:posOffset>1262481</wp:posOffset>
                </wp:positionH>
                <wp:positionV relativeFrom="paragraph">
                  <wp:posOffset>239938</wp:posOffset>
                </wp:positionV>
                <wp:extent cx="1829435" cy="9525"/>
                <wp:effectExtent l="0" t="0" r="0" b="0"/>
                <wp:wrapTopAndBottom/>
                <wp:docPr id="212" name="Graphic 212"/>
                <wp:cNvGraphicFramePr>
                  <a:graphicFrameLocks/>
                </wp:cNvGraphicFramePr>
                <a:graphic>
                  <a:graphicData uri="http://schemas.microsoft.com/office/word/2010/wordprocessingShape">
                    <wps:wsp>
                      <wps:cNvPr id="212" name="Graphic 21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892803pt;width:144.050pt;height:.71997pt;mso-position-horizontal-relative:page;mso-position-vertical-relative:paragraph;z-index:-15632384;mso-wrap-distance-left:0;mso-wrap-distance-right:0" id="docshape167"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115</w:t>
      </w:r>
      <w:r>
        <w:rPr>
          <w:rFonts w:ascii="Calibri"/>
          <w:spacing w:val="-1"/>
          <w:sz w:val="20"/>
          <w:vertAlign w:val="baseline"/>
        </w:rPr>
        <w:t> </w:t>
      </w:r>
      <w:r>
        <w:rPr>
          <w:rFonts w:ascii="Calibri"/>
          <w:sz w:val="20"/>
          <w:vertAlign w:val="baseline"/>
        </w:rPr>
        <w:t>Ibid.</w:t>
      </w:r>
      <w:r>
        <w:rPr>
          <w:rFonts w:ascii="Calibri"/>
          <w:spacing w:val="-5"/>
          <w:sz w:val="20"/>
          <w:vertAlign w:val="baseline"/>
        </w:rPr>
        <w:t> </w:t>
      </w:r>
      <w:r>
        <w:rPr>
          <w:rFonts w:ascii="Calibri"/>
          <w:sz w:val="20"/>
          <w:vertAlign w:val="baseline"/>
        </w:rPr>
        <w:t>at35-</w:t>
      </w:r>
      <w:r>
        <w:rPr>
          <w:rFonts w:ascii="Calibri"/>
          <w:spacing w:val="-5"/>
          <w:sz w:val="20"/>
          <w:vertAlign w:val="baseline"/>
        </w:rPr>
        <w:t>36.</w:t>
      </w:r>
    </w:p>
    <w:p>
      <w:pPr>
        <w:spacing w:before="1"/>
        <w:ind w:left="308" w:right="226" w:firstLine="0"/>
        <w:jc w:val="both"/>
        <w:rPr>
          <w:rFonts w:ascii="Calibri"/>
          <w:sz w:val="20"/>
        </w:rPr>
      </w:pPr>
      <w:r>
        <w:rPr>
          <w:rFonts w:ascii="Calibri"/>
          <w:sz w:val="20"/>
          <w:vertAlign w:val="superscript"/>
        </w:rPr>
        <w:t>116</w:t>
      </w:r>
      <w:r>
        <w:rPr>
          <w:rFonts w:ascii="Calibri"/>
          <w:sz w:val="20"/>
          <w:vertAlign w:val="baseline"/>
        </w:rPr>
        <w:t> In fact, it is believed that, in spite of the provision in s. 172, company directors still predominantly understand their fiduciary duties to be to the shareholders, with pressures from the</w:t>
      </w:r>
      <w:r>
        <w:rPr>
          <w:rFonts w:ascii="Calibri"/>
          <w:spacing w:val="-3"/>
          <w:sz w:val="20"/>
          <w:vertAlign w:val="baseline"/>
        </w:rPr>
        <w:t> </w:t>
      </w:r>
      <w:r>
        <w:rPr>
          <w:rFonts w:ascii="Calibri"/>
          <w:sz w:val="20"/>
          <w:vertAlign w:val="baseline"/>
        </w:rPr>
        <w:t>capital markets and private equity shareholders underscoring that orientation. See Devinney, M.T.,Schwalbach, J. and Williams A.C. (eds.) (2013).Corporate Social Responsibility and Corporate Governance: Comparative Perspectives.</w:t>
      </w:r>
      <w:r>
        <w:rPr>
          <w:rFonts w:ascii="Calibri"/>
          <w:i/>
          <w:sz w:val="20"/>
          <w:vertAlign w:val="baseline"/>
        </w:rPr>
        <w:t>Editorial to Corporate Governance: An International Review</w:t>
      </w:r>
      <w:r>
        <w:rPr>
          <w:rFonts w:ascii="Calibri"/>
          <w:sz w:val="20"/>
          <w:vertAlign w:val="baseline"/>
        </w:rPr>
        <w:t>, 21(5): 413, at p. 414.</w:t>
      </w:r>
    </w:p>
    <w:p>
      <w:pPr>
        <w:spacing w:before="3"/>
        <w:ind w:left="308" w:right="0" w:firstLine="0"/>
        <w:jc w:val="both"/>
        <w:rPr>
          <w:rFonts w:ascii="Calibri"/>
          <w:sz w:val="20"/>
        </w:rPr>
      </w:pPr>
      <w:r>
        <w:rPr>
          <w:rFonts w:ascii="Calibri"/>
          <w:sz w:val="20"/>
          <w:vertAlign w:val="superscript"/>
        </w:rPr>
        <w:t>117</w:t>
      </w:r>
      <w:r>
        <w:rPr>
          <w:rFonts w:ascii="Calibri"/>
          <w:sz w:val="20"/>
          <w:vertAlign w:val="baseline"/>
        </w:rPr>
        <w:t>Alcock,</w:t>
      </w:r>
      <w:r>
        <w:rPr>
          <w:rFonts w:ascii="Calibri"/>
          <w:spacing w:val="-6"/>
          <w:sz w:val="20"/>
          <w:vertAlign w:val="baseline"/>
        </w:rPr>
        <w:t> </w:t>
      </w:r>
      <w:r>
        <w:rPr>
          <w:rFonts w:ascii="Calibri"/>
          <w:sz w:val="20"/>
          <w:vertAlign w:val="baseline"/>
        </w:rPr>
        <w:t>A.op.cit.at</w:t>
      </w:r>
      <w:r>
        <w:rPr>
          <w:rFonts w:ascii="Calibri"/>
          <w:spacing w:val="-8"/>
          <w:sz w:val="20"/>
          <w:vertAlign w:val="baseline"/>
        </w:rPr>
        <w:t> </w:t>
      </w:r>
      <w:r>
        <w:rPr>
          <w:rFonts w:ascii="Calibri"/>
          <w:sz w:val="20"/>
          <w:vertAlign w:val="baseline"/>
        </w:rPr>
        <w:t>p.</w:t>
      </w:r>
      <w:r>
        <w:rPr>
          <w:rFonts w:ascii="Calibri"/>
          <w:spacing w:val="-5"/>
          <w:sz w:val="20"/>
          <w:vertAlign w:val="baseline"/>
        </w:rPr>
        <w:t> 12.</w:t>
      </w:r>
    </w:p>
    <w:p>
      <w:pPr>
        <w:spacing w:line="242" w:lineRule="auto" w:before="15"/>
        <w:ind w:left="308" w:right="226" w:firstLine="0"/>
        <w:jc w:val="both"/>
        <w:rPr>
          <w:rFonts w:ascii="Calibri"/>
          <w:sz w:val="20"/>
        </w:rPr>
      </w:pPr>
      <w:r>
        <w:rPr>
          <w:rFonts w:ascii="Calibri"/>
          <w:sz w:val="20"/>
          <w:vertAlign w:val="superscript"/>
        </w:rPr>
        <w:t>118</w:t>
      </w:r>
      <w:r>
        <w:rPr>
          <w:rFonts w:ascii="Calibri"/>
          <w:sz w:val="20"/>
          <w:vertAlign w:val="baseline"/>
        </w:rPr>
        <w:t>The Company Law Review Steering Group, Department of Trade and Industry, </w:t>
      </w:r>
      <w:r>
        <w:rPr>
          <w:rFonts w:ascii="Calibri"/>
          <w:i/>
          <w:sz w:val="20"/>
          <w:vertAlign w:val="baseline"/>
        </w:rPr>
        <w:t>Modern Company Law for a Competitive Economy</w:t>
      </w:r>
      <w:r>
        <w:rPr>
          <w:rFonts w:ascii="Calibri"/>
          <w:sz w:val="20"/>
          <w:vertAlign w:val="baseline"/>
        </w:rPr>
        <w:t>: </w:t>
      </w:r>
      <w:r>
        <w:rPr>
          <w:rFonts w:ascii="Calibri"/>
          <w:i/>
          <w:sz w:val="20"/>
          <w:vertAlign w:val="baseline"/>
        </w:rPr>
        <w:t>The Strategic Framework </w:t>
      </w:r>
      <w:r>
        <w:rPr>
          <w:rFonts w:ascii="Calibri"/>
          <w:sz w:val="20"/>
          <w:vertAlign w:val="baseline"/>
        </w:rPr>
        <w:t>(1999) at 36-37, accessed November 17 at </w:t>
      </w:r>
      <w:hyperlink r:id="rId48">
        <w:r>
          <w:rPr>
            <w:rFonts w:ascii="Calibri"/>
            <w:color w:val="0000FF"/>
            <w:spacing w:val="-2"/>
            <w:sz w:val="20"/>
            <w:u w:val="single" w:color="0000FF"/>
            <w:vertAlign w:val="baseline"/>
          </w:rPr>
          <w:t>http://www.berr.gov.uk/files/file23279.pdf</w:t>
        </w:r>
        <w:r>
          <w:rPr>
            <w:rFonts w:ascii="Calibri"/>
            <w:spacing w:val="-2"/>
            <w:sz w:val="20"/>
            <w:vertAlign w:val="baseline"/>
          </w:rPr>
          <w:t>.</w:t>
        </w:r>
      </w:hyperlink>
    </w:p>
    <w:p>
      <w:pPr>
        <w:spacing w:before="1"/>
        <w:ind w:left="308" w:right="0" w:firstLine="0"/>
        <w:jc w:val="both"/>
        <w:rPr>
          <w:rFonts w:ascii="Calibri"/>
          <w:sz w:val="20"/>
        </w:rPr>
      </w:pPr>
      <w:r>
        <w:rPr>
          <w:rFonts w:ascii="Calibri"/>
          <w:sz w:val="20"/>
          <w:vertAlign w:val="superscript"/>
        </w:rPr>
        <w:t>119</w:t>
      </w:r>
      <w:r>
        <w:rPr>
          <w:rFonts w:ascii="Calibri"/>
          <w:spacing w:val="-1"/>
          <w:sz w:val="20"/>
          <w:vertAlign w:val="baseline"/>
        </w:rPr>
        <w:t> </w:t>
      </w:r>
      <w:r>
        <w:rPr>
          <w:rFonts w:ascii="Calibri"/>
          <w:sz w:val="20"/>
          <w:vertAlign w:val="baseline"/>
        </w:rPr>
        <w:t>Sykes</w:t>
      </w:r>
      <w:r>
        <w:rPr>
          <w:rFonts w:ascii="Calibri"/>
          <w:spacing w:val="-8"/>
          <w:sz w:val="20"/>
          <w:vertAlign w:val="baseline"/>
        </w:rPr>
        <w:t> </w:t>
      </w:r>
      <w:r>
        <w:rPr>
          <w:rFonts w:ascii="Calibri"/>
          <w:sz w:val="20"/>
          <w:vertAlign w:val="baseline"/>
        </w:rPr>
        <w:t>(2010)</w:t>
      </w:r>
      <w:r>
        <w:rPr>
          <w:rFonts w:ascii="Calibri"/>
          <w:spacing w:val="-1"/>
          <w:sz w:val="20"/>
          <w:vertAlign w:val="baseline"/>
        </w:rPr>
        <w:t> </w:t>
      </w:r>
      <w:r>
        <w:rPr>
          <w:rFonts w:ascii="Calibri"/>
          <w:sz w:val="20"/>
          <w:vertAlign w:val="baseline"/>
        </w:rPr>
        <w:t>p. </w:t>
      </w:r>
      <w:r>
        <w:rPr>
          <w:rFonts w:ascii="Calibri"/>
          <w:spacing w:val="-5"/>
          <w:sz w:val="20"/>
          <w:vertAlign w:val="baseline"/>
        </w:rPr>
        <w:t>228</w:t>
      </w:r>
    </w:p>
    <w:p>
      <w:pPr>
        <w:spacing w:before="0"/>
        <w:ind w:left="308" w:right="228" w:firstLine="0"/>
        <w:jc w:val="both"/>
        <w:rPr>
          <w:rFonts w:ascii="Calibri"/>
          <w:sz w:val="20"/>
        </w:rPr>
      </w:pPr>
      <w:r>
        <w:rPr>
          <w:rFonts w:ascii="Calibri"/>
          <w:sz w:val="20"/>
          <w:vertAlign w:val="superscript"/>
        </w:rPr>
        <w:t>120</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11, Hodge MP in the Commons Report of</w:t>
      </w:r>
      <w:r>
        <w:rPr>
          <w:rFonts w:ascii="Calibri"/>
          <w:spacing w:val="40"/>
          <w:sz w:val="20"/>
          <w:vertAlign w:val="baseline"/>
        </w:rPr>
        <w:t> </w:t>
      </w:r>
      <w:r>
        <w:rPr>
          <w:rFonts w:ascii="Calibri"/>
          <w:sz w:val="20"/>
          <w:vertAlign w:val="baseline"/>
        </w:rPr>
        <w:t>October 17</w:t>
      </w:r>
      <w:r>
        <w:rPr>
          <w:rFonts w:ascii="Calibri"/>
          <w:spacing w:val="-1"/>
          <w:sz w:val="20"/>
          <w:vertAlign w:val="baseline"/>
        </w:rPr>
        <w:t> </w:t>
      </w:r>
      <w:r>
        <w:rPr>
          <w:rFonts w:ascii="Calibri"/>
          <w:sz w:val="20"/>
          <w:vertAlign w:val="baseline"/>
        </w:rPr>
        <w:t>2006, Column 789 of the Hansard, accessible at</w:t>
      </w:r>
      <w:r>
        <w:rPr>
          <w:rFonts w:ascii="Calibri"/>
          <w:spacing w:val="-1"/>
          <w:sz w:val="20"/>
          <w:vertAlign w:val="baseline"/>
        </w:rPr>
        <w:t> </w:t>
      </w:r>
      <w:hyperlink r:id="rId12">
        <w:r>
          <w:rPr>
            <w:rFonts w:ascii="Calibri"/>
            <w:color w:val="0000FF"/>
            <w:sz w:val="20"/>
            <w:u w:val="single" w:color="0000FF"/>
            <w:vertAlign w:val="baseline"/>
          </w:rPr>
          <w:t>http://www.berr.gov.uk/files/file40139.pdf</w:t>
        </w:r>
        <w:r>
          <w:rPr>
            <w:rFonts w:ascii="Calibri"/>
            <w:sz w:val="20"/>
            <w:vertAlign w:val="baseline"/>
          </w:rPr>
          <w:t>.</w:t>
        </w:r>
      </w:hyperlink>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43"/>
        <w:jc w:val="both"/>
      </w:pPr>
      <w:r>
        <w:rPr/>
        <w:t>such means, leaving their fate simply in the hands of directors‘ good faith.</w:t>
      </w:r>
      <w:r>
        <w:rPr>
          <w:spacing w:val="40"/>
        </w:rPr>
        <w:t> </w:t>
      </w:r>
      <w:r>
        <w:rPr/>
        <w:t>Conclusively, therefore, the provision could end up pleasing no one.</w:t>
      </w:r>
      <w:r>
        <w:rPr>
          <w:vertAlign w:val="superscript"/>
        </w:rPr>
        <w:t>121</w:t>
      </w:r>
    </w:p>
    <w:p>
      <w:pPr>
        <w:pStyle w:val="BodyText"/>
        <w:spacing w:line="480" w:lineRule="auto"/>
        <w:ind w:right="226" w:firstLine="720"/>
        <w:jc w:val="both"/>
      </w:pPr>
      <w:r>
        <w:rPr/>
        <w:t>It has been argued that a broadly-formulated pluralist provision such as s.</w:t>
      </w:r>
      <w:r>
        <w:rPr>
          <w:spacing w:val="40"/>
        </w:rPr>
        <w:t> </w:t>
      </w:r>
      <w:r>
        <w:rPr/>
        <w:t>172(1), cannot by itself operate to change the decision-making processes of a board unless this is coupled with further changes in company law, such as board-level representation for the relevant stakeholder groups.</w:t>
      </w:r>
      <w:r>
        <w:rPr>
          <w:vertAlign w:val="superscript"/>
        </w:rPr>
        <w:t>122</w:t>
      </w:r>
      <w:r>
        <w:rPr>
          <w:vertAlign w:val="baseline"/>
        </w:rPr>
        <w:t> Thus, the effect of the section is more likely to be educational, rather than in any sense restrictive and so business decisions taken in good faith will not be any more easily challengeable than they were before the provision existed.</w:t>
      </w:r>
      <w:r>
        <w:rPr>
          <w:vertAlign w:val="superscript"/>
        </w:rPr>
        <w:t>123</w:t>
      </w:r>
      <w:r>
        <w:rPr>
          <w:vertAlign w:val="baseline"/>
        </w:rPr>
        <w:t>It has therefore been suggested, and this writer tends to agree with the view, that the ESV principle introduced under s. 172(1) is at best a modest development of</w:t>
      </w:r>
      <w:r>
        <w:rPr>
          <w:spacing w:val="-8"/>
          <w:vertAlign w:val="baseline"/>
        </w:rPr>
        <w:t> </w:t>
      </w:r>
      <w:r>
        <w:rPr>
          <w:vertAlign w:val="baseline"/>
        </w:rPr>
        <w:t>the common law,</w:t>
      </w:r>
      <w:r>
        <w:rPr>
          <w:vertAlign w:val="superscript"/>
        </w:rPr>
        <w:t>124</w:t>
      </w:r>
      <w:r>
        <w:rPr>
          <w:vertAlign w:val="baseline"/>
        </w:rPr>
        <w:t> highly</w:t>
      </w:r>
      <w:r>
        <w:rPr>
          <w:spacing w:val="-5"/>
          <w:vertAlign w:val="baseline"/>
        </w:rPr>
        <w:t> </w:t>
      </w:r>
      <w:r>
        <w:rPr>
          <w:vertAlign w:val="baseline"/>
        </w:rPr>
        <w:t>unlikely</w:t>
      </w:r>
      <w:r>
        <w:rPr>
          <w:spacing w:val="-5"/>
          <w:vertAlign w:val="baseline"/>
        </w:rPr>
        <w:t> </w:t>
      </w:r>
      <w:r>
        <w:rPr>
          <w:vertAlign w:val="baseline"/>
        </w:rPr>
        <w:t>to have</w:t>
      </w:r>
      <w:r>
        <w:rPr>
          <w:spacing w:val="-1"/>
          <w:vertAlign w:val="baseline"/>
        </w:rPr>
        <w:t> </w:t>
      </w:r>
      <w:r>
        <w:rPr>
          <w:vertAlign w:val="baseline"/>
        </w:rPr>
        <w:t>any great impact on company boards and how they transact business.</w:t>
      </w:r>
      <w:r>
        <w:rPr>
          <w:vertAlign w:val="superscript"/>
        </w:rPr>
        <w:t>125</w:t>
      </w:r>
      <w:r>
        <w:rPr>
          <w:vertAlign w:val="baseline"/>
        </w:rPr>
        <w:t> Perhaps, this informs the reason</w:t>
      </w:r>
      <w:r>
        <w:rPr>
          <w:spacing w:val="40"/>
          <w:vertAlign w:val="baseline"/>
        </w:rPr>
        <w:t> </w:t>
      </w:r>
      <w:r>
        <w:rPr>
          <w:vertAlign w:val="baseline"/>
        </w:rPr>
        <w:t>why other jurisdictions, such as Australia, Singapore, Hong Kong, Malaysia, New Zealand, which usually follow the lead of UK legislations, hesitated when it came to s. 172</w:t>
      </w:r>
      <w:r>
        <w:rPr>
          <w:spacing w:val="-2"/>
          <w:vertAlign w:val="baseline"/>
        </w:rPr>
        <w:t> </w:t>
      </w:r>
      <w:r>
        <w:rPr>
          <w:vertAlign w:val="baseline"/>
        </w:rPr>
        <w:t>while</w:t>
      </w:r>
      <w:r>
        <w:rPr>
          <w:spacing w:val="-3"/>
          <w:vertAlign w:val="baseline"/>
        </w:rPr>
        <w:t> </w:t>
      </w:r>
      <w:r>
        <w:rPr>
          <w:vertAlign w:val="baseline"/>
        </w:rPr>
        <w:t>reviewing</w:t>
      </w:r>
      <w:r>
        <w:rPr>
          <w:spacing w:val="-2"/>
          <w:vertAlign w:val="baseline"/>
        </w:rPr>
        <w:t> </w:t>
      </w:r>
      <w:r>
        <w:rPr>
          <w:vertAlign w:val="baseline"/>
        </w:rPr>
        <w:t>their</w:t>
      </w:r>
      <w:r>
        <w:rPr>
          <w:spacing w:val="-1"/>
          <w:vertAlign w:val="baseline"/>
        </w:rPr>
        <w:t> </w:t>
      </w:r>
      <w:r>
        <w:rPr>
          <w:vertAlign w:val="baseline"/>
        </w:rPr>
        <w:t>corporate</w:t>
      </w:r>
      <w:r>
        <w:rPr>
          <w:spacing w:val="-3"/>
          <w:vertAlign w:val="baseline"/>
        </w:rPr>
        <w:t> </w:t>
      </w:r>
      <w:r>
        <w:rPr>
          <w:vertAlign w:val="baseline"/>
        </w:rPr>
        <w:t>legislations</w:t>
      </w:r>
      <w:r>
        <w:rPr>
          <w:spacing w:val="-4"/>
          <w:vertAlign w:val="baseline"/>
        </w:rPr>
        <w:t> </w:t>
      </w:r>
      <w:r>
        <w:rPr>
          <w:vertAlign w:val="baseline"/>
        </w:rPr>
        <w:t>post 2006, even</w:t>
      </w:r>
      <w:r>
        <w:rPr>
          <w:spacing w:val="-7"/>
          <w:vertAlign w:val="baseline"/>
        </w:rPr>
        <w:t> </w:t>
      </w:r>
      <w:r>
        <w:rPr>
          <w:vertAlign w:val="baseline"/>
        </w:rPr>
        <w:t>after</w:t>
      </w:r>
      <w:r>
        <w:rPr>
          <w:spacing w:val="-1"/>
          <w:vertAlign w:val="baseline"/>
        </w:rPr>
        <w:t> </w:t>
      </w:r>
      <w:r>
        <w:rPr>
          <w:vertAlign w:val="baseline"/>
        </w:rPr>
        <w:t>due</w:t>
      </w:r>
      <w:r>
        <w:rPr>
          <w:spacing w:val="-3"/>
          <w:vertAlign w:val="baseline"/>
        </w:rPr>
        <w:t> </w:t>
      </w:r>
      <w:r>
        <w:rPr>
          <w:vertAlign w:val="baseline"/>
        </w:rPr>
        <w:t>consideration.</w:t>
      </w:r>
    </w:p>
    <w:p>
      <w:pPr>
        <w:pStyle w:val="Heading2"/>
        <w:numPr>
          <w:ilvl w:val="2"/>
          <w:numId w:val="16"/>
        </w:numPr>
        <w:tabs>
          <w:tab w:pos="1027" w:val="left" w:leader="none"/>
        </w:tabs>
        <w:spacing w:line="240" w:lineRule="auto" w:before="209" w:after="0"/>
        <w:ind w:left="1027" w:right="0" w:hanging="719"/>
        <w:jc w:val="both"/>
      </w:pPr>
      <w:bookmarkStart w:name="_TOC_250018" w:id="34"/>
      <w:r>
        <w:rPr/>
        <w:t>Duty</w:t>
      </w:r>
      <w:r>
        <w:rPr>
          <w:spacing w:val="-2"/>
        </w:rPr>
        <w:t> </w:t>
      </w:r>
      <w:r>
        <w:rPr/>
        <w:t>to</w:t>
      </w:r>
      <w:r>
        <w:rPr>
          <w:spacing w:val="-6"/>
        </w:rPr>
        <w:t> </w:t>
      </w:r>
      <w:r>
        <w:rPr/>
        <w:t>Exercise</w:t>
      </w:r>
      <w:r>
        <w:rPr>
          <w:spacing w:val="-2"/>
        </w:rPr>
        <w:t> </w:t>
      </w:r>
      <w:r>
        <w:rPr/>
        <w:t>Independent </w:t>
      </w:r>
      <w:bookmarkEnd w:id="34"/>
      <w:r>
        <w:rPr>
          <w:spacing w:val="-2"/>
        </w:rPr>
        <w:t>Judgment</w:t>
      </w:r>
    </w:p>
    <w:p>
      <w:pPr>
        <w:pStyle w:val="BodyText"/>
        <w:spacing w:line="480" w:lineRule="auto" w:before="132"/>
        <w:ind w:right="223"/>
        <w:jc w:val="both"/>
      </w:pPr>
      <w:r>
        <w:rPr/>
        <mc:AlternateContent>
          <mc:Choice Requires="wps">
            <w:drawing>
              <wp:anchor distT="0" distB="0" distL="0" distR="0" allowOverlap="1" layoutInCell="1" locked="0" behindDoc="1" simplePos="0" relativeHeight="487684608">
                <wp:simplePos x="0" y="0"/>
                <wp:positionH relativeFrom="page">
                  <wp:posOffset>1262481</wp:posOffset>
                </wp:positionH>
                <wp:positionV relativeFrom="paragraph">
                  <wp:posOffset>1863805</wp:posOffset>
                </wp:positionV>
                <wp:extent cx="1829435" cy="9525"/>
                <wp:effectExtent l="0" t="0" r="0" b="0"/>
                <wp:wrapTopAndBottom/>
                <wp:docPr id="213" name="Graphic 213"/>
                <wp:cNvGraphicFramePr>
                  <a:graphicFrameLocks/>
                </wp:cNvGraphicFramePr>
                <a:graphic>
                  <a:graphicData uri="http://schemas.microsoft.com/office/word/2010/wordprocessingShape">
                    <wps:wsp>
                      <wps:cNvPr id="213" name="Graphic 21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6.756363pt;width:144.050pt;height:.71997pt;mso-position-horizontal-relative:page;mso-position-vertical-relative:paragraph;z-index:-15631872;mso-wrap-distance-left:0;mso-wrap-distance-right:0" id="docshape168" filled="true" fillcolor="#000000" stroked="false">
                <v:fill type="solid"/>
                <w10:wrap type="topAndBottom"/>
              </v:rect>
            </w:pict>
          </mc:Fallback>
        </mc:AlternateContent>
      </w:r>
      <w:r>
        <w:rPr/>
        <w:t>Recently, owing in the most part to the spate of colossal corporate failures around the world, the phenomenon of having one or more independent non-executive directors on the boards of companies has gradually materialised in every standard code of corporate ethics. The UK Corporate Governance Code 2012 in particular requires at least half the board of listed companies to constitute independent non-executive directors. Part of the</w:t>
      </w:r>
    </w:p>
    <w:p>
      <w:pPr>
        <w:spacing w:line="240" w:lineRule="auto" w:before="102"/>
        <w:ind w:left="308" w:right="224" w:firstLine="0"/>
        <w:jc w:val="both"/>
        <w:rPr>
          <w:rFonts w:ascii="Calibri"/>
          <w:sz w:val="20"/>
        </w:rPr>
      </w:pPr>
      <w:r>
        <w:rPr>
          <w:rFonts w:ascii="Calibri"/>
          <w:sz w:val="20"/>
          <w:vertAlign w:val="superscript"/>
        </w:rPr>
        <w:t>121</w:t>
      </w:r>
      <w:r>
        <w:rPr>
          <w:rFonts w:ascii="Calibri"/>
          <w:sz w:val="20"/>
          <w:vertAlign w:val="baseline"/>
        </w:rPr>
        <w:t>Keay, A. (2007).Op.cit. at p. 612. In fact, it is said that for directors, the effect is they may be doubly disadvantaged: if they pay too much attention to any one of the factors, they may be challenged for being in breach of the primary duty towards shareholders. On the other hand, if they ignore any of the factors and this proves</w:t>
      </w:r>
      <w:r>
        <w:rPr>
          <w:rFonts w:ascii="Calibri"/>
          <w:spacing w:val="-1"/>
          <w:sz w:val="20"/>
          <w:vertAlign w:val="baseline"/>
        </w:rPr>
        <w:t> </w:t>
      </w:r>
      <w:r>
        <w:rPr>
          <w:rFonts w:ascii="Calibri"/>
          <w:sz w:val="20"/>
          <w:vertAlign w:val="baseline"/>
        </w:rPr>
        <w:t>disastrous for the company, they may be challenged for the breach of their duty to exercise reasonable care, skill and diligence. See Alcock, A. op.cit. at p. 15.</w:t>
      </w:r>
    </w:p>
    <w:p>
      <w:pPr>
        <w:spacing w:line="243" w:lineRule="exact" w:before="0"/>
        <w:ind w:left="308" w:right="0" w:firstLine="0"/>
        <w:jc w:val="both"/>
        <w:rPr>
          <w:rFonts w:ascii="Calibri"/>
          <w:sz w:val="20"/>
        </w:rPr>
      </w:pPr>
      <w:r>
        <w:rPr>
          <w:rFonts w:ascii="Calibri"/>
          <w:sz w:val="20"/>
          <w:vertAlign w:val="superscript"/>
        </w:rPr>
        <w:t>122</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553.</w:t>
      </w:r>
    </w:p>
    <w:p>
      <w:pPr>
        <w:spacing w:before="1"/>
        <w:ind w:left="308" w:right="0" w:firstLine="0"/>
        <w:jc w:val="left"/>
        <w:rPr>
          <w:rFonts w:ascii="Calibri"/>
          <w:sz w:val="20"/>
        </w:rPr>
      </w:pPr>
      <w:r>
        <w:rPr>
          <w:rFonts w:ascii="Calibri"/>
          <w:sz w:val="20"/>
          <w:vertAlign w:val="superscript"/>
        </w:rPr>
        <w:t>123</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5"/>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w:t>
      </w:r>
      <w:r>
        <w:rPr>
          <w:rFonts w:ascii="Calibri"/>
          <w:spacing w:val="-5"/>
          <w:sz w:val="20"/>
          <w:vertAlign w:val="baseline"/>
        </w:rPr>
        <w:t> </w:t>
      </w:r>
      <w:r>
        <w:rPr>
          <w:rFonts w:ascii="Calibri"/>
          <w:sz w:val="20"/>
          <w:vertAlign w:val="baseline"/>
        </w:rPr>
        <w:t>op.cit.at</w:t>
      </w:r>
      <w:r>
        <w:rPr>
          <w:rFonts w:ascii="Calibri"/>
          <w:spacing w:val="-1"/>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638.</w:t>
      </w:r>
    </w:p>
    <w:p>
      <w:pPr>
        <w:spacing w:before="0"/>
        <w:ind w:left="308" w:right="0" w:firstLine="0"/>
        <w:jc w:val="left"/>
        <w:rPr>
          <w:rFonts w:ascii="Calibri"/>
          <w:sz w:val="20"/>
        </w:rPr>
      </w:pPr>
      <w:r>
        <w:rPr>
          <w:rFonts w:ascii="Calibri"/>
          <w:sz w:val="20"/>
          <w:vertAlign w:val="superscript"/>
        </w:rPr>
        <w:t>124</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543.</w:t>
      </w:r>
    </w:p>
    <w:p>
      <w:pPr>
        <w:spacing w:before="1"/>
        <w:ind w:left="308" w:right="0" w:firstLine="0"/>
        <w:jc w:val="left"/>
        <w:rPr>
          <w:rFonts w:ascii="Calibri"/>
          <w:sz w:val="20"/>
        </w:rPr>
      </w:pPr>
      <w:r>
        <w:rPr>
          <w:rFonts w:ascii="Calibri"/>
          <w:sz w:val="20"/>
          <w:vertAlign w:val="superscript"/>
        </w:rPr>
        <w:t>125</w:t>
      </w:r>
      <w:r>
        <w:rPr>
          <w:rFonts w:ascii="Calibri"/>
          <w:sz w:val="20"/>
          <w:vertAlign w:val="baseline"/>
        </w:rPr>
        <w:t>Keay,</w:t>
      </w:r>
      <w:r>
        <w:rPr>
          <w:rFonts w:ascii="Calibri"/>
          <w:spacing w:val="-5"/>
          <w:sz w:val="20"/>
          <w:vertAlign w:val="baseline"/>
        </w:rPr>
        <w:t> </w:t>
      </w:r>
      <w:r>
        <w:rPr>
          <w:rFonts w:ascii="Calibri"/>
          <w:sz w:val="20"/>
          <w:vertAlign w:val="baseline"/>
        </w:rPr>
        <w:t>A.</w:t>
      </w:r>
      <w:r>
        <w:rPr>
          <w:rFonts w:ascii="Calibri"/>
          <w:spacing w:val="-5"/>
          <w:sz w:val="20"/>
          <w:vertAlign w:val="baseline"/>
        </w:rPr>
        <w:t> </w:t>
      </w:r>
      <w:r>
        <w:rPr>
          <w:rFonts w:ascii="Calibri"/>
          <w:sz w:val="20"/>
          <w:vertAlign w:val="baseline"/>
        </w:rPr>
        <w:t>(2010)</w:t>
      </w:r>
      <w:r>
        <w:rPr>
          <w:rFonts w:ascii="Calibri"/>
          <w:spacing w:val="-6"/>
          <w:sz w:val="20"/>
          <w:vertAlign w:val="baseline"/>
        </w:rPr>
        <w:t> </w:t>
      </w:r>
      <w:r>
        <w:rPr>
          <w:rFonts w:ascii="Calibri"/>
          <w:sz w:val="20"/>
          <w:vertAlign w:val="baseline"/>
        </w:rPr>
        <w:t>op.cit.atp.</w:t>
      </w:r>
      <w:r>
        <w:rPr>
          <w:rFonts w:ascii="Calibri"/>
          <w:spacing w:val="-4"/>
          <w:sz w:val="20"/>
          <w:vertAlign w:val="baseline"/>
        </w:rPr>
        <w:t> </w:t>
      </w:r>
      <w:r>
        <w:rPr>
          <w:rFonts w:ascii="Calibri"/>
          <w:spacing w:val="-5"/>
          <w:sz w:val="20"/>
          <w:vertAlign w:val="baseline"/>
        </w:rPr>
        <w:t>36.</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0"/>
        <w:jc w:val="both"/>
      </w:pPr>
      <w:r>
        <w:rPr/>
        <w:t>aim is to ensure that, as much as possible, directors make business decisions with some detachment and for the sole purpose of</w:t>
      </w:r>
      <w:r>
        <w:rPr>
          <w:spacing w:val="-3"/>
        </w:rPr>
        <w:t> </w:t>
      </w:r>
      <w:r>
        <w:rPr/>
        <w:t>the business only: they must not be encumbered by, or beholden to, anyone in any way. After all, ―directors have but one master, the company.‖</w:t>
      </w:r>
      <w:r>
        <w:rPr>
          <w:vertAlign w:val="superscript"/>
        </w:rPr>
        <w:t>126</w:t>
      </w:r>
      <w:r>
        <w:rPr>
          <w:vertAlign w:val="baseline"/>
        </w:rPr>
        <w:t> This informs the duty imposed by s. 173 on all directors to exercise independence in judgement during the course of their duties.</w:t>
      </w:r>
    </w:p>
    <w:p>
      <w:pPr>
        <w:pStyle w:val="BodyText"/>
        <w:spacing w:line="480" w:lineRule="auto" w:before="1"/>
        <w:ind w:right="228" w:firstLine="720"/>
        <w:jc w:val="both"/>
      </w:pPr>
      <w:r>
        <w:rPr/>
        <w:t>At common</w:t>
      </w:r>
      <w:r>
        <w:rPr>
          <w:spacing w:val="-4"/>
        </w:rPr>
        <w:t> </w:t>
      </w:r>
      <w:r>
        <w:rPr/>
        <w:t>law,</w:t>
      </w:r>
      <w:r>
        <w:rPr>
          <w:spacing w:val="-2"/>
        </w:rPr>
        <w:t> </w:t>
      </w:r>
      <w:r>
        <w:rPr/>
        <w:t>a</w:t>
      </w:r>
      <w:r>
        <w:rPr>
          <w:spacing w:val="-4"/>
        </w:rPr>
        <w:t> </w:t>
      </w:r>
      <w:r>
        <w:rPr/>
        <w:t>director</w:t>
      </w:r>
      <w:r>
        <w:rPr>
          <w:spacing w:val="-2"/>
        </w:rPr>
        <w:t> </w:t>
      </w:r>
      <w:r>
        <w:rPr/>
        <w:t>is</w:t>
      </w:r>
      <w:r>
        <w:rPr>
          <w:spacing w:val="-1"/>
        </w:rPr>
        <w:t> </w:t>
      </w:r>
      <w:r>
        <w:rPr/>
        <w:t>not allowed</w:t>
      </w:r>
      <w:r>
        <w:rPr>
          <w:spacing w:val="-4"/>
        </w:rPr>
        <w:t> </w:t>
      </w:r>
      <w:r>
        <w:rPr/>
        <w:t>to ―fetter‖</w:t>
      </w:r>
      <w:r>
        <w:rPr>
          <w:spacing w:val="-4"/>
        </w:rPr>
        <w:t> </w:t>
      </w:r>
      <w:r>
        <w:rPr/>
        <w:t>his</w:t>
      </w:r>
      <w:r>
        <w:rPr>
          <w:spacing w:val="-6"/>
        </w:rPr>
        <w:t> </w:t>
      </w:r>
      <w:r>
        <w:rPr/>
        <w:t>discretion</w:t>
      </w:r>
      <w:r>
        <w:rPr>
          <w:spacing w:val="-7"/>
        </w:rPr>
        <w:t> </w:t>
      </w:r>
      <w:r>
        <w:rPr/>
        <w:t>either</w:t>
      </w:r>
      <w:r>
        <w:rPr>
          <w:spacing w:val="-2"/>
        </w:rPr>
        <w:t> </w:t>
      </w:r>
      <w:r>
        <w:rPr/>
        <w:t>to vote or to act in any manner. The principle obviously follows not only from</w:t>
      </w:r>
      <w:r>
        <w:rPr>
          <w:spacing w:val="-4"/>
        </w:rPr>
        <w:t> </w:t>
      </w:r>
      <w:r>
        <w:rPr/>
        <w:t>the general duty to act in good faith but also the principles prohibiting conflicts of</w:t>
      </w:r>
      <w:r>
        <w:rPr>
          <w:spacing w:val="-2"/>
        </w:rPr>
        <w:t> </w:t>
      </w:r>
      <w:r>
        <w:rPr/>
        <w:t>duty</w:t>
      </w:r>
      <w:r>
        <w:rPr>
          <w:spacing w:val="-4"/>
        </w:rPr>
        <w:t> </w:t>
      </w:r>
      <w:r>
        <w:rPr/>
        <w:t>and interest, and requiring</w:t>
      </w:r>
      <w:r>
        <w:rPr>
          <w:spacing w:val="-1"/>
        </w:rPr>
        <w:t> </w:t>
      </w:r>
      <w:r>
        <w:rPr/>
        <w:t>directors</w:t>
      </w:r>
      <w:r>
        <w:rPr>
          <w:spacing w:val="-3"/>
        </w:rPr>
        <w:t> </w:t>
      </w:r>
      <w:r>
        <w:rPr/>
        <w:t>to exert reasonable</w:t>
      </w:r>
      <w:r>
        <w:rPr>
          <w:spacing w:val="-2"/>
        </w:rPr>
        <w:t> </w:t>
      </w:r>
      <w:r>
        <w:rPr/>
        <w:t>care, skill</w:t>
      </w:r>
      <w:r>
        <w:rPr>
          <w:spacing w:val="-5"/>
        </w:rPr>
        <w:t> </w:t>
      </w:r>
      <w:r>
        <w:rPr/>
        <w:t>and</w:t>
      </w:r>
      <w:r>
        <w:rPr>
          <w:spacing w:val="-1"/>
        </w:rPr>
        <w:t> </w:t>
      </w:r>
      <w:r>
        <w:rPr/>
        <w:t>diligence. Consequently, a</w:t>
      </w:r>
      <w:r>
        <w:rPr>
          <w:spacing w:val="-2"/>
        </w:rPr>
        <w:t> </w:t>
      </w:r>
      <w:r>
        <w:rPr/>
        <w:t>director cannot agree with any outsider to conduct himself in a manner favourable to the former in discharging his duties. As noted by Birds et al,</w:t>
      </w:r>
      <w:r>
        <w:rPr>
          <w:vertAlign w:val="superscript"/>
        </w:rPr>
        <w:t>127</w:t>
      </w:r>
      <w:r>
        <w:rPr>
          <w:vertAlign w:val="baseline"/>
        </w:rPr>
        <w:t> case law has established that it is</w:t>
      </w:r>
      <w:r>
        <w:rPr>
          <w:spacing w:val="40"/>
          <w:vertAlign w:val="baseline"/>
        </w:rPr>
        <w:t> </w:t>
      </w:r>
      <w:r>
        <w:rPr>
          <w:vertAlign w:val="baseline"/>
        </w:rPr>
        <w:t>not necessarily unlawful for a director to do this provided that he i) did not conceal his position ii); had the consent of the company;</w:t>
      </w:r>
      <w:r>
        <w:rPr>
          <w:vertAlign w:val="superscript"/>
        </w:rPr>
        <w:t>128</w:t>
      </w:r>
      <w:r>
        <w:rPr>
          <w:vertAlign w:val="baseline"/>
        </w:rPr>
        <w:t> iii) preserved a substantial degree of independent discretion as to how he would exercise his powers</w:t>
      </w:r>
      <w:r>
        <w:rPr>
          <w:vertAlign w:val="superscript"/>
        </w:rPr>
        <w:t>129</w:t>
      </w:r>
      <w:r>
        <w:rPr>
          <w:vertAlign w:val="baseline"/>
        </w:rPr>
        <w:t> and, iv) if a divergence occurred between the interests of the company and those of the ‗outsider‘, did not subordinate the former to the latter as a means of resolving conflict.</w:t>
      </w:r>
      <w:r>
        <w:rPr>
          <w:vertAlign w:val="superscript"/>
        </w:rPr>
        <w:t>130</w:t>
      </w:r>
    </w:p>
    <w:p>
      <w:pPr>
        <w:pStyle w:val="BodyText"/>
        <w:spacing w:line="480" w:lineRule="auto" w:before="2"/>
        <w:ind w:right="245" w:firstLine="720"/>
        <w:jc w:val="both"/>
      </w:pPr>
      <w:r>
        <w:rPr/>
        <w:t>In an obvious attempt to clarify, modify and modernize this common law principle, s. 173 puts it better in positive terms</w:t>
      </w:r>
      <w:r>
        <w:rPr>
          <w:vertAlign w:val="superscript"/>
        </w:rPr>
        <w:t>131</w:t>
      </w:r>
      <w:r>
        <w:rPr>
          <w:vertAlign w:val="baseline"/>
        </w:rPr>
        <w:t> thus:</w:t>
      </w:r>
    </w:p>
    <w:p>
      <w:pPr>
        <w:pStyle w:val="ListParagraph"/>
        <w:numPr>
          <w:ilvl w:val="3"/>
          <w:numId w:val="16"/>
        </w:numPr>
        <w:tabs>
          <w:tab w:pos="2007" w:val="left" w:leader="none"/>
          <w:tab w:pos="2100" w:val="left" w:leader="none"/>
        </w:tabs>
        <w:spacing w:line="242" w:lineRule="auto" w:before="0" w:after="0"/>
        <w:ind w:left="2007" w:right="1887" w:hanging="260"/>
        <w:jc w:val="both"/>
        <w:rPr>
          <w:i/>
          <w:sz w:val="24"/>
        </w:rPr>
      </w:pPr>
      <w:r>
        <w:rPr>
          <w:i/>
          <w:sz w:val="24"/>
        </w:rPr>
        <w:t>A director of a company must exercise independent </w:t>
      </w:r>
      <w:r>
        <w:rPr>
          <w:i/>
          <w:spacing w:val="-2"/>
          <w:sz w:val="24"/>
        </w:rPr>
        <w:t>judgment.</w:t>
      </w:r>
    </w:p>
    <w:p>
      <w:pPr>
        <w:pStyle w:val="ListParagraph"/>
        <w:numPr>
          <w:ilvl w:val="3"/>
          <w:numId w:val="16"/>
        </w:numPr>
        <w:tabs>
          <w:tab w:pos="2086" w:val="left" w:leader="none"/>
        </w:tabs>
        <w:spacing w:line="271" w:lineRule="exact" w:before="0" w:after="0"/>
        <w:ind w:left="2086" w:right="0" w:hanging="338"/>
        <w:jc w:val="both"/>
        <w:rPr>
          <w:i/>
          <w:sz w:val="24"/>
        </w:rPr>
      </w:pPr>
      <w:r>
        <w:rPr>
          <w:i/>
          <w:sz w:val="24"/>
        </w:rPr>
        <w:t>This</w:t>
      </w:r>
      <w:r>
        <w:rPr>
          <w:i/>
          <w:spacing w:val="-1"/>
          <w:sz w:val="24"/>
        </w:rPr>
        <w:t> </w:t>
      </w:r>
      <w:r>
        <w:rPr>
          <w:i/>
          <w:sz w:val="24"/>
        </w:rPr>
        <w:t>duty</w:t>
      </w:r>
      <w:r>
        <w:rPr>
          <w:i/>
          <w:spacing w:val="1"/>
          <w:sz w:val="24"/>
        </w:rPr>
        <w:t> </w:t>
      </w:r>
      <w:r>
        <w:rPr>
          <w:i/>
          <w:sz w:val="24"/>
        </w:rPr>
        <w:t>is</w:t>
      </w:r>
      <w:r>
        <w:rPr>
          <w:i/>
          <w:spacing w:val="-1"/>
          <w:sz w:val="24"/>
        </w:rPr>
        <w:t> </w:t>
      </w:r>
      <w:r>
        <w:rPr>
          <w:i/>
          <w:sz w:val="24"/>
        </w:rPr>
        <w:t>not</w:t>
      </w:r>
      <w:r>
        <w:rPr>
          <w:i/>
          <w:spacing w:val="-3"/>
          <w:sz w:val="24"/>
        </w:rPr>
        <w:t> </w:t>
      </w:r>
      <w:r>
        <w:rPr>
          <w:i/>
          <w:sz w:val="24"/>
        </w:rPr>
        <w:t>infringed by</w:t>
      </w:r>
      <w:r>
        <w:rPr>
          <w:i/>
          <w:spacing w:val="1"/>
          <w:sz w:val="24"/>
        </w:rPr>
        <w:t> </w:t>
      </w:r>
      <w:r>
        <w:rPr>
          <w:i/>
          <w:sz w:val="24"/>
        </w:rPr>
        <w:t>his </w:t>
      </w:r>
      <w:r>
        <w:rPr>
          <w:i/>
          <w:spacing w:val="-2"/>
          <w:sz w:val="24"/>
        </w:rPr>
        <w:t>acting—</w:t>
      </w:r>
    </w:p>
    <w:p>
      <w:pPr>
        <w:pStyle w:val="ListParagraph"/>
        <w:numPr>
          <w:ilvl w:val="4"/>
          <w:numId w:val="16"/>
        </w:numPr>
        <w:tabs>
          <w:tab w:pos="2007" w:val="left" w:leader="none"/>
          <w:tab w:pos="2104" w:val="left" w:leader="none"/>
        </w:tabs>
        <w:spacing w:line="240" w:lineRule="auto" w:before="3" w:after="0"/>
        <w:ind w:left="2007" w:right="1887" w:hanging="260"/>
        <w:jc w:val="both"/>
        <w:rPr>
          <w:i/>
          <w:sz w:val="24"/>
        </w:rPr>
      </w:pPr>
      <w:r>
        <w:rPr>
          <w:i/>
          <w:sz w:val="24"/>
        </w:rPr>
        <w:t>in accordance with an agreement duly entered into by the companythat restricts the future exercise of discretion by its directors, or</w:t>
      </w:r>
    </w:p>
    <w:p>
      <w:pPr>
        <w:pStyle w:val="ListParagraph"/>
        <w:numPr>
          <w:ilvl w:val="4"/>
          <w:numId w:val="16"/>
        </w:numPr>
        <w:tabs>
          <w:tab w:pos="2086" w:val="left" w:leader="none"/>
        </w:tabs>
        <w:spacing w:line="274" w:lineRule="exact" w:before="0" w:after="0"/>
        <w:ind w:left="2086" w:right="0" w:hanging="338"/>
        <w:jc w:val="both"/>
        <w:rPr>
          <w:i/>
          <w:sz w:val="24"/>
        </w:rPr>
      </w:pPr>
      <w:r>
        <w:rPr>
          <w:i/>
          <w:sz w:val="24"/>
        </w:rPr>
        <w:t>in</w:t>
      </w:r>
      <w:r>
        <w:rPr>
          <w:i/>
          <w:spacing w:val="-2"/>
          <w:sz w:val="24"/>
        </w:rPr>
        <w:t> </w:t>
      </w:r>
      <w:r>
        <w:rPr>
          <w:i/>
          <w:sz w:val="24"/>
        </w:rPr>
        <w:t>a</w:t>
      </w:r>
      <w:r>
        <w:rPr>
          <w:i/>
          <w:spacing w:val="-1"/>
          <w:sz w:val="24"/>
        </w:rPr>
        <w:t> </w:t>
      </w:r>
      <w:r>
        <w:rPr>
          <w:i/>
          <w:sz w:val="24"/>
        </w:rPr>
        <w:t>way</w:t>
      </w:r>
      <w:r>
        <w:rPr>
          <w:i/>
          <w:spacing w:val="-2"/>
          <w:sz w:val="24"/>
        </w:rPr>
        <w:t> </w:t>
      </w:r>
      <w:r>
        <w:rPr>
          <w:i/>
          <w:sz w:val="24"/>
        </w:rPr>
        <w:t>authorised</w:t>
      </w:r>
      <w:r>
        <w:rPr>
          <w:i/>
          <w:spacing w:val="-1"/>
          <w:sz w:val="24"/>
        </w:rPr>
        <w:t> </w:t>
      </w:r>
      <w:r>
        <w:rPr>
          <w:i/>
          <w:sz w:val="24"/>
        </w:rPr>
        <w:t>by</w:t>
      </w:r>
      <w:r>
        <w:rPr>
          <w:i/>
          <w:spacing w:val="-2"/>
          <w:sz w:val="24"/>
        </w:rPr>
        <w:t> </w:t>
      </w:r>
      <w:r>
        <w:rPr>
          <w:i/>
          <w:sz w:val="24"/>
        </w:rPr>
        <w:t>the</w:t>
      </w:r>
      <w:r>
        <w:rPr>
          <w:i/>
          <w:spacing w:val="-2"/>
          <w:sz w:val="24"/>
        </w:rPr>
        <w:t> </w:t>
      </w:r>
      <w:r>
        <w:rPr>
          <w:i/>
          <w:sz w:val="24"/>
        </w:rPr>
        <w:t>company‘s</w:t>
      </w:r>
      <w:r>
        <w:rPr>
          <w:i/>
          <w:spacing w:val="-3"/>
          <w:sz w:val="24"/>
        </w:rPr>
        <w:t> </w:t>
      </w:r>
      <w:r>
        <w:rPr>
          <w:i/>
          <w:spacing w:val="-2"/>
          <w:sz w:val="24"/>
        </w:rPr>
        <w:t>constitution.</w:t>
      </w:r>
    </w:p>
    <w:p>
      <w:pPr>
        <w:pStyle w:val="BodyText"/>
        <w:ind w:left="0"/>
        <w:rPr>
          <w:i/>
          <w:sz w:val="20"/>
        </w:rPr>
      </w:pPr>
    </w:p>
    <w:p>
      <w:pPr>
        <w:pStyle w:val="BodyText"/>
        <w:spacing w:before="73"/>
        <w:ind w:left="0"/>
        <w:rPr>
          <w:i/>
          <w:sz w:val="20"/>
        </w:rPr>
      </w:pPr>
      <w:r>
        <w:rPr/>
        <mc:AlternateContent>
          <mc:Choice Requires="wps">
            <w:drawing>
              <wp:anchor distT="0" distB="0" distL="0" distR="0" allowOverlap="1" layoutInCell="1" locked="0" behindDoc="1" simplePos="0" relativeHeight="487685120">
                <wp:simplePos x="0" y="0"/>
                <wp:positionH relativeFrom="page">
                  <wp:posOffset>1262481</wp:posOffset>
                </wp:positionH>
                <wp:positionV relativeFrom="paragraph">
                  <wp:posOffset>208223</wp:posOffset>
                </wp:positionV>
                <wp:extent cx="1829435" cy="9525"/>
                <wp:effectExtent l="0" t="0" r="0" b="0"/>
                <wp:wrapTopAndBottom/>
                <wp:docPr id="214" name="Graphic 214"/>
                <wp:cNvGraphicFramePr>
                  <a:graphicFrameLocks/>
                </wp:cNvGraphicFramePr>
                <a:graphic>
                  <a:graphicData uri="http://schemas.microsoft.com/office/word/2010/wordprocessingShape">
                    <wps:wsp>
                      <wps:cNvPr id="214" name="Graphic 21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395529pt;width:144.050pt;height:.71997pt;mso-position-horizontal-relative:page;mso-position-vertical-relative:paragraph;z-index:-15631360;mso-wrap-distance-left:0;mso-wrap-distance-right:0" id="docshape16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126</w:t>
      </w:r>
      <w:r>
        <w:rPr>
          <w:rFonts w:ascii="Calibri"/>
          <w:sz w:val="20"/>
          <w:vertAlign w:val="baseline"/>
        </w:rPr>
        <w:t>Per</w:t>
      </w:r>
      <w:r>
        <w:rPr>
          <w:rFonts w:ascii="Calibri"/>
          <w:spacing w:val="-6"/>
          <w:sz w:val="20"/>
          <w:vertAlign w:val="baseline"/>
        </w:rPr>
        <w:t> </w:t>
      </w:r>
      <w:r>
        <w:rPr>
          <w:rFonts w:ascii="Calibri"/>
          <w:sz w:val="20"/>
          <w:vertAlign w:val="baseline"/>
        </w:rPr>
        <w:t>Lord</w:t>
      </w:r>
      <w:r>
        <w:rPr>
          <w:rFonts w:ascii="Calibri"/>
          <w:spacing w:val="-3"/>
          <w:sz w:val="20"/>
          <w:vertAlign w:val="baseline"/>
        </w:rPr>
        <w:t> </w:t>
      </w:r>
      <w:r>
        <w:rPr>
          <w:rFonts w:ascii="Calibri"/>
          <w:sz w:val="20"/>
          <w:vertAlign w:val="baseline"/>
        </w:rPr>
        <w:t>Cullen</w:t>
      </w:r>
      <w:r>
        <w:rPr>
          <w:rFonts w:ascii="Calibri"/>
          <w:spacing w:val="-6"/>
          <w:sz w:val="20"/>
          <w:vertAlign w:val="baseline"/>
        </w:rPr>
        <w:t> </w:t>
      </w:r>
      <w:r>
        <w:rPr>
          <w:rFonts w:ascii="Calibri"/>
          <w:sz w:val="20"/>
          <w:vertAlign w:val="baseline"/>
        </w:rPr>
        <w:t>in</w:t>
      </w:r>
      <w:r>
        <w:rPr>
          <w:rFonts w:ascii="Calibri"/>
          <w:spacing w:val="-6"/>
          <w:sz w:val="20"/>
          <w:vertAlign w:val="baseline"/>
        </w:rPr>
        <w:t> </w:t>
      </w:r>
      <w:r>
        <w:rPr>
          <w:rFonts w:ascii="Calibri"/>
          <w:i/>
          <w:sz w:val="20"/>
          <w:vertAlign w:val="baseline"/>
        </w:rPr>
        <w:t>Dawson</w:t>
      </w:r>
      <w:r>
        <w:rPr>
          <w:rFonts w:ascii="Calibri"/>
          <w:i/>
          <w:spacing w:val="-6"/>
          <w:sz w:val="20"/>
          <w:vertAlign w:val="baseline"/>
        </w:rPr>
        <w:t> </w:t>
      </w:r>
      <w:r>
        <w:rPr>
          <w:rFonts w:ascii="Calibri"/>
          <w:i/>
          <w:sz w:val="20"/>
          <w:vertAlign w:val="baseline"/>
        </w:rPr>
        <w:t>International</w:t>
      </w:r>
      <w:r>
        <w:rPr>
          <w:rFonts w:ascii="Calibri"/>
          <w:i/>
          <w:spacing w:val="-5"/>
          <w:sz w:val="20"/>
          <w:vertAlign w:val="baseline"/>
        </w:rPr>
        <w:t> </w:t>
      </w:r>
      <w:r>
        <w:rPr>
          <w:rFonts w:ascii="Calibri"/>
          <w:i/>
          <w:sz w:val="20"/>
          <w:vertAlign w:val="baseline"/>
        </w:rPr>
        <w:t>Plc.</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Coats</w:t>
      </w:r>
      <w:r>
        <w:rPr>
          <w:rFonts w:ascii="Calibri"/>
          <w:i/>
          <w:spacing w:val="-9"/>
          <w:sz w:val="20"/>
          <w:vertAlign w:val="baseline"/>
        </w:rPr>
        <w:t> </w:t>
      </w:r>
      <w:r>
        <w:rPr>
          <w:rFonts w:ascii="Calibri"/>
          <w:i/>
          <w:sz w:val="20"/>
          <w:vertAlign w:val="baseline"/>
        </w:rPr>
        <w:t>Patons</w:t>
      </w:r>
      <w:r>
        <w:rPr>
          <w:rFonts w:ascii="Calibri"/>
          <w:i/>
          <w:spacing w:val="-5"/>
          <w:sz w:val="20"/>
          <w:vertAlign w:val="baseline"/>
        </w:rPr>
        <w:t> </w:t>
      </w:r>
      <w:r>
        <w:rPr>
          <w:rFonts w:ascii="Calibri"/>
          <w:i/>
          <w:sz w:val="20"/>
          <w:vertAlign w:val="baseline"/>
        </w:rPr>
        <w:t>Plc</w:t>
      </w:r>
      <w:r>
        <w:rPr>
          <w:rFonts w:ascii="Calibri"/>
          <w:sz w:val="20"/>
          <w:vertAlign w:val="baseline"/>
        </w:rPr>
        <w:t>.</w:t>
      </w:r>
      <w:r>
        <w:rPr>
          <w:rFonts w:ascii="Calibri"/>
          <w:spacing w:val="-6"/>
          <w:sz w:val="20"/>
          <w:vertAlign w:val="baseline"/>
        </w:rPr>
        <w:t> </w:t>
      </w:r>
      <w:r>
        <w:rPr>
          <w:rFonts w:ascii="Calibri"/>
          <w:sz w:val="20"/>
          <w:vertAlign w:val="baseline"/>
        </w:rPr>
        <w:t>(1988)</w:t>
      </w:r>
      <w:r>
        <w:rPr>
          <w:rFonts w:ascii="Calibri"/>
          <w:spacing w:val="-5"/>
          <w:sz w:val="20"/>
          <w:vertAlign w:val="baseline"/>
        </w:rPr>
        <w:t> </w:t>
      </w:r>
      <w:r>
        <w:rPr>
          <w:rFonts w:ascii="Calibri"/>
          <w:sz w:val="20"/>
          <w:vertAlign w:val="baseline"/>
        </w:rPr>
        <w:t>4</w:t>
      </w:r>
      <w:r>
        <w:rPr>
          <w:rFonts w:ascii="Calibri"/>
          <w:spacing w:val="-8"/>
          <w:sz w:val="20"/>
          <w:vertAlign w:val="baseline"/>
        </w:rPr>
        <w:t> </w:t>
      </w:r>
      <w:r>
        <w:rPr>
          <w:rFonts w:ascii="Calibri"/>
          <w:sz w:val="20"/>
          <w:vertAlign w:val="baseline"/>
        </w:rPr>
        <w:t>B.C.C.</w:t>
      </w:r>
      <w:r>
        <w:rPr>
          <w:rFonts w:ascii="Calibri"/>
          <w:spacing w:val="-1"/>
          <w:sz w:val="20"/>
          <w:vertAlign w:val="baseline"/>
        </w:rPr>
        <w:t> </w:t>
      </w:r>
      <w:r>
        <w:rPr>
          <w:rFonts w:ascii="Calibri"/>
          <w:sz w:val="20"/>
          <w:vertAlign w:val="baseline"/>
        </w:rPr>
        <w:t>305</w:t>
      </w:r>
      <w:r>
        <w:rPr>
          <w:rFonts w:ascii="Calibri"/>
          <w:spacing w:val="-9"/>
          <w:sz w:val="20"/>
          <w:vertAlign w:val="baseline"/>
        </w:rPr>
        <w:t> </w:t>
      </w:r>
      <w:r>
        <w:rPr>
          <w:rFonts w:ascii="Calibri"/>
          <w:sz w:val="20"/>
          <w:vertAlign w:val="baseline"/>
        </w:rPr>
        <w:t>CS</w:t>
      </w:r>
      <w:r>
        <w:rPr>
          <w:rFonts w:ascii="Calibri"/>
          <w:spacing w:val="-3"/>
          <w:sz w:val="20"/>
          <w:vertAlign w:val="baseline"/>
        </w:rPr>
        <w:t> </w:t>
      </w:r>
      <w:r>
        <w:rPr>
          <w:rFonts w:ascii="Calibri"/>
          <w:spacing w:val="-2"/>
          <w:sz w:val="20"/>
          <w:vertAlign w:val="baseline"/>
        </w:rPr>
        <w:t>(OH).</w:t>
      </w:r>
    </w:p>
    <w:p>
      <w:pPr>
        <w:spacing w:before="1"/>
        <w:ind w:left="308" w:right="0" w:firstLine="0"/>
        <w:jc w:val="left"/>
        <w:rPr>
          <w:rFonts w:ascii="Calibri"/>
          <w:sz w:val="20"/>
        </w:rPr>
      </w:pPr>
      <w:r>
        <w:rPr>
          <w:rFonts w:ascii="Calibri"/>
          <w:sz w:val="20"/>
          <w:vertAlign w:val="superscript"/>
        </w:rPr>
        <w:t>127</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w:t>
      </w:r>
      <w:r>
        <w:rPr>
          <w:rFonts w:ascii="Calibri"/>
          <w:spacing w:val="-4"/>
          <w:sz w:val="20"/>
          <w:vertAlign w:val="baseline"/>
        </w:rPr>
        <w:t> </w:t>
      </w:r>
      <w:r>
        <w:rPr>
          <w:rFonts w:ascii="Calibri"/>
          <w:sz w:val="20"/>
          <w:vertAlign w:val="baseline"/>
        </w:rPr>
        <w:t>op.cit.at</w:t>
      </w:r>
      <w:r>
        <w:rPr>
          <w:rFonts w:ascii="Calibri"/>
          <w:spacing w:val="-2"/>
          <w:sz w:val="20"/>
          <w:vertAlign w:val="baseline"/>
        </w:rPr>
        <w:t> p.639.</w:t>
      </w:r>
    </w:p>
    <w:p>
      <w:pPr>
        <w:spacing w:before="1"/>
        <w:ind w:left="308" w:right="0" w:firstLine="0"/>
        <w:jc w:val="left"/>
        <w:rPr>
          <w:rFonts w:ascii="Calibri"/>
          <w:sz w:val="20"/>
        </w:rPr>
      </w:pPr>
      <w:r>
        <w:rPr>
          <w:rFonts w:ascii="Calibri"/>
          <w:sz w:val="20"/>
          <w:vertAlign w:val="superscript"/>
        </w:rPr>
        <w:t>128</w:t>
      </w:r>
      <w:r>
        <w:rPr>
          <w:rFonts w:ascii="Calibri"/>
          <w:sz w:val="20"/>
          <w:vertAlign w:val="baseline"/>
        </w:rPr>
        <w:t> See</w:t>
      </w:r>
      <w:r>
        <w:rPr>
          <w:rFonts w:ascii="Calibri"/>
          <w:spacing w:val="-5"/>
          <w:sz w:val="20"/>
          <w:vertAlign w:val="baseline"/>
        </w:rPr>
        <w:t> </w:t>
      </w:r>
      <w:r>
        <w:rPr>
          <w:rFonts w:ascii="Calibri"/>
          <w:i/>
          <w:sz w:val="20"/>
          <w:vertAlign w:val="baseline"/>
        </w:rPr>
        <w:t>Kregor</w:t>
      </w:r>
      <w:r>
        <w:rPr>
          <w:rFonts w:ascii="Calibri"/>
          <w:i/>
          <w:spacing w:val="-7"/>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Hollins</w:t>
      </w:r>
      <w:r>
        <w:rPr>
          <w:rFonts w:ascii="Calibri"/>
          <w:i/>
          <w:spacing w:val="-6"/>
          <w:sz w:val="20"/>
          <w:vertAlign w:val="baseline"/>
        </w:rPr>
        <w:t> </w:t>
      </w:r>
      <w:r>
        <w:rPr>
          <w:rFonts w:ascii="Calibri"/>
          <w:sz w:val="20"/>
          <w:vertAlign w:val="baseline"/>
        </w:rPr>
        <w:t>(1913) 109</w:t>
      </w:r>
      <w:r>
        <w:rPr>
          <w:rFonts w:ascii="Calibri"/>
          <w:spacing w:val="-7"/>
          <w:sz w:val="20"/>
          <w:vertAlign w:val="baseline"/>
        </w:rPr>
        <w:t> </w:t>
      </w:r>
      <w:r>
        <w:rPr>
          <w:rFonts w:ascii="Calibri"/>
          <w:sz w:val="20"/>
          <w:vertAlign w:val="baseline"/>
        </w:rPr>
        <w:t>LT</w:t>
      </w:r>
      <w:r>
        <w:rPr>
          <w:rFonts w:ascii="Calibri"/>
          <w:spacing w:val="-3"/>
          <w:sz w:val="20"/>
          <w:vertAlign w:val="baseline"/>
        </w:rPr>
        <w:t> </w:t>
      </w:r>
      <w:r>
        <w:rPr>
          <w:rFonts w:ascii="Calibri"/>
          <w:sz w:val="20"/>
          <w:vertAlign w:val="baseline"/>
        </w:rPr>
        <w:t>225,</w:t>
      </w:r>
      <w:r>
        <w:rPr>
          <w:rFonts w:ascii="Calibri"/>
          <w:spacing w:val="-3"/>
          <w:sz w:val="20"/>
          <w:vertAlign w:val="baseline"/>
        </w:rPr>
        <w:t> </w:t>
      </w:r>
      <w:r>
        <w:rPr>
          <w:rFonts w:ascii="Calibri"/>
          <w:sz w:val="20"/>
          <w:vertAlign w:val="baseline"/>
        </w:rPr>
        <w:t>at</w:t>
      </w:r>
      <w:r>
        <w:rPr>
          <w:rFonts w:ascii="Calibri"/>
          <w:spacing w:val="-6"/>
          <w:sz w:val="20"/>
          <w:vertAlign w:val="baseline"/>
        </w:rPr>
        <w:t> </w:t>
      </w:r>
      <w:r>
        <w:rPr>
          <w:rFonts w:ascii="Calibri"/>
          <w:spacing w:val="-4"/>
          <w:sz w:val="20"/>
          <w:vertAlign w:val="baseline"/>
        </w:rPr>
        <w:t>231.</w:t>
      </w:r>
    </w:p>
    <w:p>
      <w:pPr>
        <w:spacing w:before="1"/>
        <w:ind w:left="308" w:right="0" w:firstLine="0"/>
        <w:jc w:val="left"/>
        <w:rPr>
          <w:rFonts w:ascii="Calibri"/>
          <w:sz w:val="20"/>
        </w:rPr>
      </w:pPr>
      <w:r>
        <w:rPr>
          <w:rFonts w:ascii="Calibri"/>
          <w:sz w:val="20"/>
          <w:vertAlign w:val="superscript"/>
        </w:rPr>
        <w:t>129</w:t>
      </w:r>
      <w:r>
        <w:rPr>
          <w:rFonts w:ascii="Calibri"/>
          <w:i/>
          <w:sz w:val="20"/>
          <w:vertAlign w:val="baseline"/>
        </w:rPr>
        <w:t>Boulting</w:t>
      </w:r>
      <w:r>
        <w:rPr>
          <w:rFonts w:ascii="Calibri"/>
          <w:i/>
          <w:spacing w:val="-6"/>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ACTAT</w:t>
      </w:r>
      <w:r>
        <w:rPr>
          <w:rFonts w:ascii="Calibri"/>
          <w:i/>
          <w:spacing w:val="-3"/>
          <w:sz w:val="20"/>
          <w:vertAlign w:val="baseline"/>
        </w:rPr>
        <w:t> </w:t>
      </w:r>
      <w:r>
        <w:rPr>
          <w:rFonts w:ascii="Calibri"/>
          <w:sz w:val="20"/>
          <w:vertAlign w:val="baseline"/>
        </w:rPr>
        <w:t>(1963)</w:t>
      </w:r>
      <w:r>
        <w:rPr>
          <w:rFonts w:ascii="Calibri"/>
          <w:spacing w:val="-3"/>
          <w:sz w:val="20"/>
          <w:vertAlign w:val="baseline"/>
        </w:rPr>
        <w:t> </w:t>
      </w:r>
      <w:r>
        <w:rPr>
          <w:rFonts w:ascii="Calibri"/>
          <w:sz w:val="20"/>
          <w:vertAlign w:val="baseline"/>
        </w:rPr>
        <w:t>2</w:t>
      </w:r>
      <w:r>
        <w:rPr>
          <w:rFonts w:ascii="Calibri"/>
          <w:spacing w:val="-8"/>
          <w:sz w:val="20"/>
          <w:vertAlign w:val="baseline"/>
        </w:rPr>
        <w:t> </w:t>
      </w:r>
      <w:r>
        <w:rPr>
          <w:rFonts w:ascii="Calibri"/>
          <w:sz w:val="20"/>
          <w:vertAlign w:val="baseline"/>
        </w:rPr>
        <w:t>QB</w:t>
      </w:r>
      <w:r>
        <w:rPr>
          <w:rFonts w:ascii="Calibri"/>
          <w:spacing w:val="-7"/>
          <w:sz w:val="20"/>
          <w:vertAlign w:val="baseline"/>
        </w:rPr>
        <w:t> </w:t>
      </w:r>
      <w:r>
        <w:rPr>
          <w:rFonts w:ascii="Calibri"/>
          <w:sz w:val="20"/>
          <w:vertAlign w:val="baseline"/>
        </w:rPr>
        <w:t>606,</w:t>
      </w:r>
      <w:r>
        <w:rPr>
          <w:rFonts w:ascii="Calibri"/>
          <w:spacing w:val="-5"/>
          <w:sz w:val="20"/>
          <w:vertAlign w:val="baseline"/>
        </w:rPr>
        <w:t> </w:t>
      </w:r>
      <w:r>
        <w:rPr>
          <w:rFonts w:ascii="Calibri"/>
          <w:sz w:val="20"/>
          <w:vertAlign w:val="baseline"/>
        </w:rPr>
        <w:t>at</w:t>
      </w:r>
      <w:r>
        <w:rPr>
          <w:rFonts w:ascii="Calibri"/>
          <w:spacing w:val="-3"/>
          <w:sz w:val="20"/>
          <w:vertAlign w:val="baseline"/>
        </w:rPr>
        <w:t> </w:t>
      </w:r>
      <w:r>
        <w:rPr>
          <w:rFonts w:ascii="Calibri"/>
          <w:sz w:val="20"/>
          <w:vertAlign w:val="baseline"/>
        </w:rPr>
        <w:t>626-</w:t>
      </w:r>
      <w:r>
        <w:rPr>
          <w:rFonts w:ascii="Calibri"/>
          <w:spacing w:val="-4"/>
          <w:sz w:val="20"/>
          <w:vertAlign w:val="baseline"/>
        </w:rPr>
        <w:t>627.</w:t>
      </w:r>
    </w:p>
    <w:p>
      <w:pPr>
        <w:spacing w:before="0"/>
        <w:ind w:left="308" w:right="0" w:firstLine="0"/>
        <w:jc w:val="left"/>
        <w:rPr>
          <w:rFonts w:ascii="Calibri"/>
          <w:sz w:val="20"/>
        </w:rPr>
      </w:pPr>
      <w:r>
        <w:rPr>
          <w:rFonts w:ascii="Calibri"/>
          <w:sz w:val="20"/>
          <w:vertAlign w:val="superscript"/>
        </w:rPr>
        <w:t>130</w:t>
      </w:r>
      <w:r>
        <w:rPr>
          <w:rFonts w:ascii="Calibri"/>
          <w:i/>
          <w:sz w:val="20"/>
          <w:vertAlign w:val="baseline"/>
        </w:rPr>
        <w:t>Scottish</w:t>
      </w:r>
      <w:r>
        <w:rPr>
          <w:rFonts w:ascii="Calibri"/>
          <w:i/>
          <w:spacing w:val="-8"/>
          <w:sz w:val="20"/>
          <w:vertAlign w:val="baseline"/>
        </w:rPr>
        <w:t> </w:t>
      </w:r>
      <w:r>
        <w:rPr>
          <w:rFonts w:ascii="Calibri"/>
          <w:i/>
          <w:sz w:val="20"/>
          <w:vertAlign w:val="baseline"/>
        </w:rPr>
        <w:t>Co-operative</w:t>
      </w:r>
      <w:r>
        <w:rPr>
          <w:rFonts w:ascii="Calibri"/>
          <w:i/>
          <w:spacing w:val="-5"/>
          <w:sz w:val="20"/>
          <w:vertAlign w:val="baseline"/>
        </w:rPr>
        <w:t> </w:t>
      </w:r>
      <w:r>
        <w:rPr>
          <w:rFonts w:ascii="Calibri"/>
          <w:i/>
          <w:sz w:val="20"/>
          <w:vertAlign w:val="baseline"/>
        </w:rPr>
        <w:t>Wholesale</w:t>
      </w:r>
      <w:r>
        <w:rPr>
          <w:rFonts w:ascii="Calibri"/>
          <w:i/>
          <w:spacing w:val="-9"/>
          <w:sz w:val="20"/>
          <w:vertAlign w:val="baseline"/>
        </w:rPr>
        <w:t> </w:t>
      </w:r>
      <w:r>
        <w:rPr>
          <w:rFonts w:ascii="Calibri"/>
          <w:i/>
          <w:sz w:val="20"/>
          <w:vertAlign w:val="baseline"/>
        </w:rPr>
        <w:t>Society</w:t>
      </w:r>
      <w:r>
        <w:rPr>
          <w:rFonts w:ascii="Calibri"/>
          <w:i/>
          <w:spacing w:val="-9"/>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8"/>
          <w:sz w:val="20"/>
          <w:vertAlign w:val="baseline"/>
        </w:rPr>
        <w:t> </w:t>
      </w:r>
      <w:r>
        <w:rPr>
          <w:rFonts w:ascii="Calibri"/>
          <w:i/>
          <w:sz w:val="20"/>
          <w:vertAlign w:val="baseline"/>
        </w:rPr>
        <w:t>Meyer</w:t>
      </w:r>
      <w:r>
        <w:rPr>
          <w:rFonts w:ascii="Calibri"/>
          <w:i/>
          <w:spacing w:val="-7"/>
          <w:sz w:val="20"/>
          <w:vertAlign w:val="baseline"/>
        </w:rPr>
        <w:t> </w:t>
      </w:r>
      <w:r>
        <w:rPr>
          <w:rFonts w:ascii="Calibri"/>
          <w:sz w:val="20"/>
          <w:vertAlign w:val="baseline"/>
        </w:rPr>
        <w:t>(1959)</w:t>
      </w:r>
      <w:r>
        <w:rPr>
          <w:rFonts w:ascii="Calibri"/>
          <w:spacing w:val="-4"/>
          <w:sz w:val="20"/>
          <w:vertAlign w:val="baseline"/>
        </w:rPr>
        <w:t> </w:t>
      </w:r>
      <w:r>
        <w:rPr>
          <w:rFonts w:ascii="Calibri"/>
          <w:sz w:val="20"/>
          <w:vertAlign w:val="baseline"/>
        </w:rPr>
        <w:t>AC</w:t>
      </w:r>
      <w:r>
        <w:rPr>
          <w:rFonts w:ascii="Calibri"/>
          <w:spacing w:val="-6"/>
          <w:sz w:val="20"/>
          <w:vertAlign w:val="baseline"/>
        </w:rPr>
        <w:t> </w:t>
      </w:r>
      <w:r>
        <w:rPr>
          <w:rFonts w:ascii="Calibri"/>
          <w:spacing w:val="-4"/>
          <w:sz w:val="20"/>
          <w:vertAlign w:val="baseline"/>
        </w:rPr>
        <w:t>324.</w:t>
      </w:r>
    </w:p>
    <w:p>
      <w:pPr>
        <w:spacing w:before="1"/>
        <w:ind w:left="308" w:right="0" w:firstLine="0"/>
        <w:jc w:val="left"/>
        <w:rPr>
          <w:rFonts w:ascii="Calibri"/>
          <w:sz w:val="20"/>
        </w:rPr>
      </w:pPr>
      <w:r>
        <w:rPr>
          <w:rFonts w:ascii="Calibri"/>
          <w:sz w:val="20"/>
          <w:vertAlign w:val="superscript"/>
        </w:rPr>
        <w:t>131</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536.</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9"/>
        <w:jc w:val="both"/>
      </w:pPr>
      <w:r>
        <w:rPr/>
        <w:t>Noticeably, the law has</w:t>
      </w:r>
      <w:r>
        <w:rPr>
          <w:spacing w:val="-1"/>
        </w:rPr>
        <w:t> </w:t>
      </w:r>
      <w:r>
        <w:rPr/>
        <w:t>spelt out</w:t>
      </w:r>
      <w:r>
        <w:rPr>
          <w:spacing w:val="-3"/>
        </w:rPr>
        <w:t> </w:t>
      </w:r>
      <w:r>
        <w:rPr/>
        <w:t>the limit of</w:t>
      </w:r>
      <w:r>
        <w:rPr>
          <w:spacing w:val="-2"/>
        </w:rPr>
        <w:t> </w:t>
      </w:r>
      <w:r>
        <w:rPr/>
        <w:t>independence required by</w:t>
      </w:r>
      <w:r>
        <w:rPr>
          <w:spacing w:val="-3"/>
        </w:rPr>
        <w:t> </w:t>
      </w:r>
      <w:r>
        <w:rPr/>
        <w:t>stating instances where</w:t>
      </w:r>
      <w:r>
        <w:rPr>
          <w:spacing w:val="-2"/>
        </w:rPr>
        <w:t> </w:t>
      </w:r>
      <w:r>
        <w:rPr/>
        <w:t>the</w:t>
      </w:r>
      <w:r>
        <w:rPr>
          <w:spacing w:val="-2"/>
        </w:rPr>
        <w:t> </w:t>
      </w:r>
      <w:r>
        <w:rPr/>
        <w:t>duty</w:t>
      </w:r>
      <w:r>
        <w:rPr>
          <w:spacing w:val="-11"/>
        </w:rPr>
        <w:t> </w:t>
      </w:r>
      <w:r>
        <w:rPr/>
        <w:t>would not</w:t>
      </w:r>
      <w:r>
        <w:rPr>
          <w:spacing w:val="-1"/>
        </w:rPr>
        <w:t> </w:t>
      </w:r>
      <w:r>
        <w:rPr/>
        <w:t>be</w:t>
      </w:r>
      <w:r>
        <w:rPr>
          <w:spacing w:val="-2"/>
        </w:rPr>
        <w:t> </w:t>
      </w:r>
      <w:r>
        <w:rPr/>
        <w:t>said</w:t>
      </w:r>
      <w:r>
        <w:rPr>
          <w:spacing w:val="-1"/>
        </w:rPr>
        <w:t> </w:t>
      </w:r>
      <w:r>
        <w:rPr/>
        <w:t>to have been</w:t>
      </w:r>
      <w:r>
        <w:rPr>
          <w:spacing w:val="-1"/>
        </w:rPr>
        <w:t> </w:t>
      </w:r>
      <w:r>
        <w:rPr/>
        <w:t>breached. This is</w:t>
      </w:r>
      <w:r>
        <w:rPr>
          <w:spacing w:val="-3"/>
        </w:rPr>
        <w:t> </w:t>
      </w:r>
      <w:r>
        <w:rPr/>
        <w:t>considered</w:t>
      </w:r>
      <w:r>
        <w:rPr>
          <w:spacing w:val="-1"/>
        </w:rPr>
        <w:t> </w:t>
      </w:r>
      <w:r>
        <w:rPr/>
        <w:t>necessary</w:t>
      </w:r>
      <w:r>
        <w:rPr>
          <w:spacing w:val="-6"/>
        </w:rPr>
        <w:t> </w:t>
      </w:r>
      <w:r>
        <w:rPr/>
        <w:t>in the interest of business. During the passage of the Act through Parliament, the government clarified the ambit of the duty, stating that</w:t>
      </w:r>
    </w:p>
    <w:p>
      <w:pPr>
        <w:spacing w:line="240" w:lineRule="auto" w:before="0"/>
        <w:ind w:left="2007" w:right="1885" w:firstLine="0"/>
        <w:jc w:val="both"/>
        <w:rPr>
          <w:i/>
          <w:sz w:val="24"/>
        </w:rPr>
      </w:pPr>
      <w:r>
        <w:rPr>
          <w:i/>
          <w:sz w:val="24"/>
        </w:rPr>
        <w:t>...the clause does not mean that a director has to</w:t>
      </w:r>
      <w:r>
        <w:rPr>
          <w:i/>
          <w:spacing w:val="40"/>
          <w:sz w:val="24"/>
        </w:rPr>
        <w:t> </w:t>
      </w:r>
      <w:r>
        <w:rPr>
          <w:i/>
          <w:sz w:val="24"/>
        </w:rPr>
        <w:t>form his judgement totally independently from anyone or anything. It does not actually mean that the director has to be independent himself. He can have an interest in the matter…It is the exercise of the judgement of a director that must be independent in the sense of it being his own judgement…The duty does not prevent a director from relying on the</w:t>
      </w:r>
      <w:r>
        <w:rPr>
          <w:i/>
          <w:spacing w:val="40"/>
          <w:sz w:val="24"/>
        </w:rPr>
        <w:t> </w:t>
      </w:r>
      <w:r>
        <w:rPr>
          <w:i/>
          <w:sz w:val="24"/>
        </w:rPr>
        <w:t>advice or work of others, but the final judgement must be his responsibility. He clearly cannot be expected to do everything himself. Indeed, in certain circumstances directors may be in breach of duty if they fail to take appropriate advice – for </w:t>
      </w:r>
      <w:r>
        <w:rPr>
          <w:i/>
          <w:sz w:val="24"/>
        </w:rPr>
        <w:t>example, legal advice. As with all advice, slavish reliance is not acceptable, and the obtaining of outside advice does not absolve directors from exercising their judgement on the basis of such advice.</w:t>
      </w:r>
      <w:r>
        <w:rPr>
          <w:i/>
          <w:sz w:val="24"/>
          <w:vertAlign w:val="superscript"/>
        </w:rPr>
        <w:t>132</w:t>
      </w:r>
    </w:p>
    <w:p>
      <w:pPr>
        <w:pStyle w:val="BodyText"/>
        <w:spacing w:before="2"/>
        <w:ind w:left="0"/>
        <w:rPr>
          <w:i/>
        </w:rPr>
      </w:pPr>
    </w:p>
    <w:p>
      <w:pPr>
        <w:pStyle w:val="BodyText"/>
        <w:ind w:left="730"/>
      </w:pPr>
      <w:r>
        <w:rPr/>
        <w:t>Basically,</w:t>
      </w:r>
      <w:r>
        <w:rPr>
          <w:spacing w:val="-1"/>
        </w:rPr>
        <w:t> </w:t>
      </w:r>
      <w:r>
        <w:rPr/>
        <w:t>the</w:t>
      </w:r>
      <w:r>
        <w:rPr>
          <w:spacing w:val="2"/>
        </w:rPr>
        <w:t> </w:t>
      </w:r>
      <w:r>
        <w:rPr/>
        <w:t>limits,</w:t>
      </w:r>
      <w:r>
        <w:rPr>
          <w:spacing w:val="-1"/>
        </w:rPr>
        <w:t> </w:t>
      </w:r>
      <w:r>
        <w:rPr/>
        <w:t>both</w:t>
      </w:r>
      <w:r>
        <w:rPr>
          <w:spacing w:val="-6"/>
        </w:rPr>
        <w:t> </w:t>
      </w:r>
      <w:r>
        <w:rPr/>
        <w:t>from</w:t>
      </w:r>
      <w:r>
        <w:rPr>
          <w:spacing w:val="-11"/>
        </w:rPr>
        <w:t> </w:t>
      </w:r>
      <w:r>
        <w:rPr/>
        <w:t>case</w:t>
      </w:r>
      <w:r>
        <w:rPr>
          <w:spacing w:val="1"/>
        </w:rPr>
        <w:t> </w:t>
      </w:r>
      <w:r>
        <w:rPr/>
        <w:t>law</w:t>
      </w:r>
      <w:r>
        <w:rPr>
          <w:spacing w:val="-3"/>
        </w:rPr>
        <w:t> </w:t>
      </w:r>
      <w:r>
        <w:rPr/>
        <w:t>and</w:t>
      </w:r>
      <w:r>
        <w:rPr>
          <w:spacing w:val="-2"/>
        </w:rPr>
        <w:t> </w:t>
      </w:r>
      <w:r>
        <w:rPr/>
        <w:t>the</w:t>
      </w:r>
      <w:r>
        <w:rPr>
          <w:spacing w:val="-3"/>
        </w:rPr>
        <w:t> </w:t>
      </w:r>
      <w:r>
        <w:rPr/>
        <w:t>Act, can</w:t>
      </w:r>
      <w:r>
        <w:rPr>
          <w:spacing w:val="-7"/>
        </w:rPr>
        <w:t> </w:t>
      </w:r>
      <w:r>
        <w:rPr/>
        <w:t>be</w:t>
      </w:r>
      <w:r>
        <w:rPr>
          <w:spacing w:val="-3"/>
        </w:rPr>
        <w:t> </w:t>
      </w:r>
      <w:r>
        <w:rPr/>
        <w:t>summarised</w:t>
      </w:r>
      <w:r>
        <w:rPr>
          <w:spacing w:val="-2"/>
        </w:rPr>
        <w:t> thus:</w:t>
      </w:r>
      <w:r>
        <w:rPr>
          <w:spacing w:val="-2"/>
          <w:vertAlign w:val="superscript"/>
        </w:rPr>
        <w:t>133</w:t>
      </w:r>
    </w:p>
    <w:p>
      <w:pPr>
        <w:pStyle w:val="BodyText"/>
        <w:spacing w:before="1"/>
        <w:ind w:left="0"/>
      </w:pPr>
    </w:p>
    <w:p>
      <w:pPr>
        <w:pStyle w:val="ListParagraph"/>
        <w:numPr>
          <w:ilvl w:val="0"/>
          <w:numId w:val="17"/>
        </w:numPr>
        <w:tabs>
          <w:tab w:pos="1028" w:val="left" w:leader="none"/>
        </w:tabs>
        <w:spacing w:line="276" w:lineRule="auto" w:before="0" w:after="0"/>
        <w:ind w:left="1028" w:right="241" w:hanging="360"/>
        <w:jc w:val="both"/>
        <w:rPr>
          <w:sz w:val="24"/>
        </w:rPr>
      </w:pPr>
      <w:r>
        <w:rPr>
          <w:sz w:val="24"/>
        </w:rPr>
        <w:t>directors are not precluded from complying with contracts by which the company is bound;</w:t>
      </w:r>
    </w:p>
    <w:p>
      <w:pPr>
        <w:pStyle w:val="ListParagraph"/>
        <w:numPr>
          <w:ilvl w:val="0"/>
          <w:numId w:val="17"/>
        </w:numPr>
        <w:tabs>
          <w:tab w:pos="1028" w:val="left" w:leader="none"/>
        </w:tabs>
        <w:spacing w:line="276" w:lineRule="auto" w:before="3" w:after="0"/>
        <w:ind w:left="1028" w:right="233" w:hanging="360"/>
        <w:jc w:val="both"/>
        <w:rPr>
          <w:sz w:val="24"/>
        </w:rPr>
      </w:pPr>
      <w:r>
        <w:rPr>
          <w:sz w:val="24"/>
        </w:rPr>
        <w:t>exercise of independence can be jettisoned while acting in accordance with the company‘s constitution, orauthorisation thereunder;</w:t>
      </w:r>
    </w:p>
    <w:p>
      <w:pPr>
        <w:pStyle w:val="ListParagraph"/>
        <w:numPr>
          <w:ilvl w:val="0"/>
          <w:numId w:val="17"/>
        </w:numPr>
        <w:tabs>
          <w:tab w:pos="1028" w:val="left" w:leader="none"/>
        </w:tabs>
        <w:spacing w:line="276" w:lineRule="auto" w:before="0" w:after="0"/>
        <w:ind w:left="1028" w:right="237" w:hanging="360"/>
        <w:jc w:val="both"/>
        <w:rPr>
          <w:sz w:val="24"/>
        </w:rPr>
      </w:pPr>
      <w:r>
        <w:rPr>
          <w:sz w:val="24"/>
        </w:rPr>
        <w:t>delegating to appropriate individuals or committees is allowed where otherwise </w:t>
      </w:r>
      <w:r>
        <w:rPr>
          <w:spacing w:val="-2"/>
          <w:sz w:val="24"/>
        </w:rPr>
        <w:t>permitted;</w:t>
      </w:r>
    </w:p>
    <w:p>
      <w:pPr>
        <w:pStyle w:val="ListParagraph"/>
        <w:numPr>
          <w:ilvl w:val="0"/>
          <w:numId w:val="17"/>
        </w:numPr>
        <w:tabs>
          <w:tab w:pos="1028" w:val="left" w:leader="none"/>
        </w:tabs>
        <w:spacing w:line="276" w:lineRule="auto" w:before="0" w:after="0"/>
        <w:ind w:left="1028" w:right="232" w:hanging="360"/>
        <w:jc w:val="both"/>
        <w:rPr>
          <w:sz w:val="24"/>
        </w:rPr>
      </w:pPr>
      <w:r>
        <w:rPr>
          <w:sz w:val="24"/>
        </w:rPr>
        <w:t>relying upon advice in areas where this is required is permitted and even demanded, provided directors exercise their judgment in deciding whether to follow such advice.</w:t>
      </w:r>
    </w:p>
    <w:p>
      <w:pPr>
        <w:pStyle w:val="BodyText"/>
        <w:spacing w:before="38"/>
        <w:ind w:left="0"/>
      </w:pPr>
    </w:p>
    <w:p>
      <w:pPr>
        <w:pStyle w:val="BodyText"/>
        <w:spacing w:line="480" w:lineRule="auto"/>
        <w:ind w:right="226"/>
        <w:jc w:val="both"/>
      </w:pPr>
      <w:r>
        <w:rPr/>
        <mc:AlternateContent>
          <mc:Choice Requires="wps">
            <w:drawing>
              <wp:anchor distT="0" distB="0" distL="0" distR="0" allowOverlap="1" layoutInCell="1" locked="0" behindDoc="1" simplePos="0" relativeHeight="487685632">
                <wp:simplePos x="0" y="0"/>
                <wp:positionH relativeFrom="page">
                  <wp:posOffset>1262481</wp:posOffset>
                </wp:positionH>
                <wp:positionV relativeFrom="paragraph">
                  <wp:posOffset>1435305</wp:posOffset>
                </wp:positionV>
                <wp:extent cx="1829435" cy="9525"/>
                <wp:effectExtent l="0" t="0" r="0" b="0"/>
                <wp:wrapTopAndBottom/>
                <wp:docPr id="215" name="Graphic 215"/>
                <wp:cNvGraphicFramePr>
                  <a:graphicFrameLocks/>
                </wp:cNvGraphicFramePr>
                <a:graphic>
                  <a:graphicData uri="http://schemas.microsoft.com/office/word/2010/wordprocessingShape">
                    <wps:wsp>
                      <wps:cNvPr id="215" name="Graphic 21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3.016144pt;width:144.050pt;height:.71997pt;mso-position-horizontal-relative:page;mso-position-vertical-relative:paragraph;z-index:-15630848;mso-wrap-distance-left:0;mso-wrap-distance-right:0" id="docshape170" filled="true" fillcolor="#000000" stroked="false">
                <v:fill type="solid"/>
                <w10:wrap type="topAndBottom"/>
              </v:rect>
            </w:pict>
          </mc:Fallback>
        </mc:AlternateContent>
      </w:r>
      <w:r>
        <w:rPr/>
        <w:t>It would be undesirable to prevent directors from undertaking to conduct themselves in the future in a way as to give effect to a contract they enter into on behalf of the company. A strict rule would have the potential of making companies unreliable contracting</w:t>
      </w:r>
      <w:r>
        <w:rPr>
          <w:spacing w:val="39"/>
        </w:rPr>
        <w:t> </w:t>
      </w:r>
      <w:r>
        <w:rPr/>
        <w:t>parties</w:t>
      </w:r>
      <w:r>
        <w:rPr>
          <w:spacing w:val="37"/>
        </w:rPr>
        <w:t> </w:t>
      </w:r>
      <w:r>
        <w:rPr/>
        <w:t>and</w:t>
      </w:r>
      <w:r>
        <w:rPr>
          <w:spacing w:val="39"/>
        </w:rPr>
        <w:t> </w:t>
      </w:r>
      <w:r>
        <w:rPr/>
        <w:t>even</w:t>
      </w:r>
      <w:r>
        <w:rPr>
          <w:spacing w:val="35"/>
        </w:rPr>
        <w:t> </w:t>
      </w:r>
      <w:r>
        <w:rPr/>
        <w:t>deprive</w:t>
      </w:r>
      <w:r>
        <w:rPr>
          <w:spacing w:val="38"/>
        </w:rPr>
        <w:t> </w:t>
      </w:r>
      <w:r>
        <w:rPr/>
        <w:t>them</w:t>
      </w:r>
      <w:r>
        <w:rPr>
          <w:spacing w:val="31"/>
        </w:rPr>
        <w:t> </w:t>
      </w:r>
      <w:r>
        <w:rPr/>
        <w:t>of</w:t>
      </w:r>
      <w:r>
        <w:rPr>
          <w:spacing w:val="31"/>
        </w:rPr>
        <w:t> </w:t>
      </w:r>
      <w:r>
        <w:rPr/>
        <w:t>the</w:t>
      </w:r>
      <w:r>
        <w:rPr>
          <w:spacing w:val="38"/>
        </w:rPr>
        <w:t> </w:t>
      </w:r>
      <w:r>
        <w:rPr/>
        <w:t>opportunity</w:t>
      </w:r>
      <w:r>
        <w:rPr>
          <w:spacing w:val="30"/>
        </w:rPr>
        <w:t> </w:t>
      </w:r>
      <w:r>
        <w:rPr/>
        <w:t>to</w:t>
      </w:r>
      <w:r>
        <w:rPr>
          <w:spacing w:val="44"/>
        </w:rPr>
        <w:t> </w:t>
      </w:r>
      <w:r>
        <w:rPr/>
        <w:t>enter</w:t>
      </w:r>
      <w:r>
        <w:rPr>
          <w:spacing w:val="36"/>
        </w:rPr>
        <w:t> </w:t>
      </w:r>
      <w:r>
        <w:rPr/>
        <w:t>into</w:t>
      </w:r>
      <w:r>
        <w:rPr>
          <w:spacing w:val="45"/>
        </w:rPr>
        <w:t> </w:t>
      </w:r>
      <w:r>
        <w:rPr/>
        <w:t>long-</w:t>
      </w:r>
      <w:r>
        <w:rPr>
          <w:spacing w:val="-4"/>
        </w:rPr>
        <w:t>term</w:t>
      </w:r>
    </w:p>
    <w:p>
      <w:pPr>
        <w:spacing w:before="102"/>
        <w:ind w:left="308" w:right="233" w:firstLine="0"/>
        <w:jc w:val="left"/>
        <w:rPr>
          <w:rFonts w:ascii="Calibri"/>
          <w:sz w:val="20"/>
        </w:rPr>
      </w:pPr>
      <w:r>
        <w:rPr>
          <w:rFonts w:ascii="Calibri"/>
          <w:sz w:val="20"/>
          <w:vertAlign w:val="superscript"/>
        </w:rPr>
        <w:t>132</w:t>
      </w:r>
      <w:r>
        <w:rPr>
          <w:rFonts w:ascii="Calibri"/>
          <w:sz w:val="20"/>
          <w:vertAlign w:val="baseline"/>
        </w:rPr>
        <w:t>Per</w:t>
      </w:r>
      <w:r>
        <w:rPr>
          <w:rFonts w:ascii="Calibri"/>
          <w:spacing w:val="36"/>
          <w:sz w:val="20"/>
          <w:vertAlign w:val="baseline"/>
        </w:rPr>
        <w:t> </w:t>
      </w:r>
      <w:r>
        <w:rPr>
          <w:rFonts w:ascii="Calibri"/>
          <w:sz w:val="20"/>
          <w:vertAlign w:val="baseline"/>
        </w:rPr>
        <w:t>Goldsmith</w:t>
      </w:r>
      <w:r>
        <w:rPr>
          <w:rFonts w:ascii="Calibri"/>
          <w:spacing w:val="39"/>
          <w:sz w:val="20"/>
          <w:vertAlign w:val="baseline"/>
        </w:rPr>
        <w:t> </w:t>
      </w:r>
      <w:r>
        <w:rPr>
          <w:rFonts w:ascii="Calibri"/>
          <w:sz w:val="20"/>
          <w:vertAlign w:val="baseline"/>
        </w:rPr>
        <w:t>MP</w:t>
      </w:r>
      <w:r>
        <w:rPr>
          <w:rFonts w:ascii="Calibri"/>
          <w:spacing w:val="40"/>
          <w:sz w:val="20"/>
          <w:vertAlign w:val="baseline"/>
        </w:rPr>
        <w:t> </w:t>
      </w:r>
      <w:r>
        <w:rPr>
          <w:rFonts w:ascii="Calibri"/>
          <w:sz w:val="20"/>
          <w:vertAlign w:val="baseline"/>
        </w:rPr>
        <w:t>of</w:t>
      </w:r>
      <w:r>
        <w:rPr>
          <w:rFonts w:ascii="Calibri"/>
          <w:spacing w:val="40"/>
          <w:sz w:val="20"/>
          <w:vertAlign w:val="baseline"/>
        </w:rPr>
        <w:t> </w:t>
      </w:r>
      <w:r>
        <w:rPr>
          <w:rFonts w:ascii="Calibri"/>
          <w:sz w:val="20"/>
          <w:vertAlign w:val="baseline"/>
        </w:rPr>
        <w:t>the</w:t>
      </w:r>
      <w:r>
        <w:rPr>
          <w:rFonts w:ascii="Calibri"/>
          <w:spacing w:val="34"/>
          <w:sz w:val="20"/>
          <w:vertAlign w:val="baseline"/>
        </w:rPr>
        <w:t> </w:t>
      </w:r>
      <w:r>
        <w:rPr>
          <w:rFonts w:ascii="Calibri"/>
          <w:sz w:val="20"/>
          <w:vertAlign w:val="baseline"/>
        </w:rPr>
        <w:t>Lords</w:t>
      </w:r>
      <w:r>
        <w:rPr>
          <w:rFonts w:ascii="Calibri"/>
          <w:spacing w:val="37"/>
          <w:sz w:val="20"/>
          <w:vertAlign w:val="baseline"/>
        </w:rPr>
        <w:t> </w:t>
      </w:r>
      <w:r>
        <w:rPr>
          <w:rFonts w:ascii="Calibri"/>
          <w:sz w:val="20"/>
          <w:vertAlign w:val="baseline"/>
        </w:rPr>
        <w:t>Grand</w:t>
      </w:r>
      <w:r>
        <w:rPr>
          <w:rFonts w:ascii="Calibri"/>
          <w:spacing w:val="39"/>
          <w:sz w:val="20"/>
          <w:vertAlign w:val="baseline"/>
        </w:rPr>
        <w:t> </w:t>
      </w:r>
      <w:r>
        <w:rPr>
          <w:rFonts w:ascii="Calibri"/>
          <w:sz w:val="20"/>
          <w:vertAlign w:val="baseline"/>
        </w:rPr>
        <w:t>Committee,</w:t>
      </w:r>
      <w:r>
        <w:rPr>
          <w:rFonts w:ascii="Calibri"/>
          <w:spacing w:val="37"/>
          <w:sz w:val="20"/>
          <w:vertAlign w:val="baseline"/>
        </w:rPr>
        <w:t> </w:t>
      </w:r>
      <w:r>
        <w:rPr>
          <w:rFonts w:ascii="Calibri"/>
          <w:sz w:val="20"/>
          <w:vertAlign w:val="baseline"/>
        </w:rPr>
        <w:t>recorded</w:t>
      </w:r>
      <w:r>
        <w:rPr>
          <w:rFonts w:ascii="Calibri"/>
          <w:spacing w:val="39"/>
          <w:sz w:val="20"/>
          <w:vertAlign w:val="baseline"/>
        </w:rPr>
        <w:t> </w:t>
      </w:r>
      <w:r>
        <w:rPr>
          <w:rFonts w:ascii="Calibri"/>
          <w:sz w:val="20"/>
          <w:vertAlign w:val="baseline"/>
        </w:rPr>
        <w:t>in</w:t>
      </w:r>
      <w:r>
        <w:rPr>
          <w:rFonts w:ascii="Calibri"/>
          <w:spacing w:val="39"/>
          <w:sz w:val="20"/>
          <w:vertAlign w:val="baseline"/>
        </w:rPr>
        <w:t> </w:t>
      </w:r>
      <w:r>
        <w:rPr>
          <w:rFonts w:ascii="Calibri"/>
          <w:sz w:val="20"/>
          <w:vertAlign w:val="baseline"/>
        </w:rPr>
        <w:t>the</w:t>
      </w:r>
      <w:r>
        <w:rPr>
          <w:rFonts w:ascii="Calibri"/>
          <w:spacing w:val="40"/>
          <w:sz w:val="20"/>
          <w:vertAlign w:val="baseline"/>
        </w:rPr>
        <w:t> </w:t>
      </w:r>
      <w:r>
        <w:rPr>
          <w:rFonts w:ascii="Calibri"/>
          <w:sz w:val="20"/>
          <w:vertAlign w:val="baseline"/>
        </w:rPr>
        <w:t>Hansard</w:t>
      </w:r>
      <w:r>
        <w:rPr>
          <w:rFonts w:ascii="Calibri"/>
          <w:spacing w:val="40"/>
          <w:sz w:val="20"/>
          <w:vertAlign w:val="baseline"/>
        </w:rPr>
        <w:t> </w:t>
      </w:r>
      <w:r>
        <w:rPr>
          <w:rFonts w:ascii="Calibri"/>
          <w:sz w:val="20"/>
          <w:vertAlign w:val="baseline"/>
        </w:rPr>
        <w:t>of</w:t>
      </w:r>
      <w:r>
        <w:rPr>
          <w:rFonts w:ascii="Calibri"/>
          <w:spacing w:val="40"/>
          <w:sz w:val="20"/>
          <w:vertAlign w:val="baseline"/>
        </w:rPr>
        <w:t> </w:t>
      </w:r>
      <w:r>
        <w:rPr>
          <w:rFonts w:ascii="Calibri"/>
          <w:sz w:val="20"/>
          <w:vertAlign w:val="baseline"/>
        </w:rPr>
        <w:t>February</w:t>
      </w:r>
      <w:r>
        <w:rPr>
          <w:rFonts w:ascii="Calibri"/>
          <w:spacing w:val="39"/>
          <w:sz w:val="20"/>
          <w:vertAlign w:val="baseline"/>
        </w:rPr>
        <w:t> </w:t>
      </w:r>
      <w:r>
        <w:rPr>
          <w:rFonts w:ascii="Calibri"/>
          <w:sz w:val="20"/>
          <w:vertAlign w:val="baseline"/>
        </w:rPr>
        <w:t>6</w:t>
      </w:r>
      <w:r>
        <w:rPr>
          <w:rFonts w:ascii="Calibri"/>
          <w:spacing w:val="38"/>
          <w:sz w:val="20"/>
          <w:vertAlign w:val="baseline"/>
        </w:rPr>
        <w:t> </w:t>
      </w:r>
      <w:r>
        <w:rPr>
          <w:rFonts w:ascii="Calibri"/>
          <w:sz w:val="20"/>
          <w:vertAlign w:val="baseline"/>
        </w:rPr>
        <w:t>2006, column 282.</w:t>
      </w:r>
    </w:p>
    <w:p>
      <w:pPr>
        <w:spacing w:before="1"/>
        <w:ind w:left="308" w:right="0" w:firstLine="0"/>
        <w:jc w:val="left"/>
        <w:rPr>
          <w:rFonts w:ascii="Calibri"/>
          <w:sz w:val="20"/>
        </w:rPr>
      </w:pPr>
      <w:r>
        <w:rPr>
          <w:rFonts w:ascii="Calibri"/>
          <w:sz w:val="20"/>
          <w:vertAlign w:val="superscript"/>
        </w:rPr>
        <w:t>133</w:t>
      </w:r>
      <w:r>
        <w:rPr>
          <w:rFonts w:ascii="Calibri"/>
          <w:sz w:val="20"/>
          <w:vertAlign w:val="baseline"/>
        </w:rPr>
        <w:t>Lumb,</w:t>
      </w:r>
      <w:r>
        <w:rPr>
          <w:rFonts w:ascii="Calibri"/>
          <w:spacing w:val="-9"/>
          <w:sz w:val="20"/>
          <w:vertAlign w:val="baseline"/>
        </w:rPr>
        <w:t> </w:t>
      </w:r>
      <w:r>
        <w:rPr>
          <w:rFonts w:ascii="Calibri"/>
          <w:sz w:val="20"/>
          <w:vertAlign w:val="baseline"/>
        </w:rPr>
        <w:t>L.</w:t>
      </w:r>
      <w:r>
        <w:rPr>
          <w:rFonts w:ascii="Calibri"/>
          <w:spacing w:val="-5"/>
          <w:sz w:val="20"/>
          <w:vertAlign w:val="baseline"/>
        </w:rPr>
        <w:t> </w:t>
      </w:r>
      <w:r>
        <w:rPr>
          <w:rFonts w:ascii="Calibri"/>
          <w:sz w:val="20"/>
          <w:vertAlign w:val="baseline"/>
        </w:rPr>
        <w:t>Blankfield,</w:t>
      </w:r>
      <w:r>
        <w:rPr>
          <w:rFonts w:ascii="Calibri"/>
          <w:spacing w:val="-5"/>
          <w:sz w:val="20"/>
          <w:vertAlign w:val="baseline"/>
        </w:rPr>
        <w:t> </w:t>
      </w:r>
      <w:r>
        <w:rPr>
          <w:rFonts w:ascii="Calibri"/>
          <w:sz w:val="20"/>
          <w:vertAlign w:val="baseline"/>
        </w:rPr>
        <w:t>A.</w:t>
      </w:r>
      <w:r>
        <w:rPr>
          <w:rFonts w:ascii="Calibri"/>
          <w:spacing w:val="-3"/>
          <w:sz w:val="20"/>
          <w:vertAlign w:val="baseline"/>
        </w:rPr>
        <w:t> </w:t>
      </w:r>
      <w:r>
        <w:rPr>
          <w:rFonts w:ascii="Calibri"/>
          <w:i/>
          <w:sz w:val="20"/>
          <w:vertAlign w:val="baseline"/>
        </w:rPr>
        <w:t>op.cit.</w:t>
      </w:r>
      <w:r>
        <w:rPr>
          <w:rFonts w:ascii="Calibri"/>
          <w:sz w:val="20"/>
          <w:vertAlign w:val="baseline"/>
        </w:rPr>
        <w:t>,</w:t>
      </w:r>
      <w:r>
        <w:rPr>
          <w:rFonts w:ascii="Calibri"/>
          <w:spacing w:val="-4"/>
          <w:sz w:val="20"/>
          <w:vertAlign w:val="baseline"/>
        </w:rPr>
        <w:t> </w:t>
      </w:r>
      <w:r>
        <w:rPr>
          <w:rFonts w:ascii="Calibri"/>
          <w:sz w:val="20"/>
          <w:vertAlign w:val="baseline"/>
        </w:rPr>
        <w:t>p.</w:t>
      </w:r>
      <w:r>
        <w:rPr>
          <w:rFonts w:ascii="Calibri"/>
          <w:spacing w:val="-5"/>
          <w:sz w:val="20"/>
          <w:vertAlign w:val="baseline"/>
        </w:rPr>
        <w:t> 4.</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27"/>
        <w:jc w:val="both"/>
      </w:pPr>
      <w:r>
        <w:rPr/>
        <w:t>contracts.</w:t>
      </w:r>
      <w:r>
        <w:rPr>
          <w:vertAlign w:val="superscript"/>
        </w:rPr>
        <w:t>134</w:t>
      </w:r>
      <w:r>
        <w:rPr>
          <w:vertAlign w:val="baseline"/>
        </w:rPr>
        <w:t> Besides, if the corporation is imbued with legal personality like natural persons, then it follows that corporations should likewise be able to contract as to their future behaviour. S.173(2)(a) codified the decision in </w:t>
      </w:r>
      <w:r>
        <w:rPr>
          <w:b/>
          <w:vertAlign w:val="baseline"/>
        </w:rPr>
        <w:t>Cabra Estates Plc. vs. Fulham Football</w:t>
      </w:r>
      <w:r>
        <w:rPr>
          <w:b/>
          <w:spacing w:val="-4"/>
          <w:vertAlign w:val="baseline"/>
        </w:rPr>
        <w:t> </w:t>
      </w:r>
      <w:r>
        <w:rPr>
          <w:b/>
          <w:vertAlign w:val="baseline"/>
        </w:rPr>
        <w:t>Club</w:t>
      </w:r>
      <w:r>
        <w:rPr>
          <w:vertAlign w:val="baseline"/>
        </w:rPr>
        <w:t>,</w:t>
      </w:r>
      <w:r>
        <w:rPr>
          <w:vertAlign w:val="superscript"/>
        </w:rPr>
        <w:t>135</w:t>
      </w:r>
      <w:r>
        <w:rPr>
          <w:vertAlign w:val="baseline"/>
        </w:rPr>
        <w:t> wherein</w:t>
      </w:r>
      <w:r>
        <w:rPr>
          <w:spacing w:val="-1"/>
          <w:vertAlign w:val="baseline"/>
        </w:rPr>
        <w:t> </w:t>
      </w:r>
      <w:r>
        <w:rPr>
          <w:vertAlign w:val="baseline"/>
        </w:rPr>
        <w:t>the</w:t>
      </w:r>
      <w:r>
        <w:rPr>
          <w:spacing w:val="-2"/>
          <w:vertAlign w:val="baseline"/>
        </w:rPr>
        <w:t> </w:t>
      </w:r>
      <w:r>
        <w:rPr>
          <w:vertAlign w:val="baseline"/>
        </w:rPr>
        <w:t>directors</w:t>
      </w:r>
      <w:r>
        <w:rPr>
          <w:spacing w:val="-7"/>
          <w:vertAlign w:val="baseline"/>
        </w:rPr>
        <w:t> </w:t>
      </w:r>
      <w:r>
        <w:rPr>
          <w:vertAlign w:val="baseline"/>
        </w:rPr>
        <w:t>of</w:t>
      </w:r>
      <w:r>
        <w:rPr>
          <w:spacing w:val="-8"/>
          <w:vertAlign w:val="baseline"/>
        </w:rPr>
        <w:t> </w:t>
      </w:r>
      <w:r>
        <w:rPr>
          <w:vertAlign w:val="baseline"/>
        </w:rPr>
        <w:t>the</w:t>
      </w:r>
      <w:r>
        <w:rPr>
          <w:spacing w:val="-2"/>
          <w:vertAlign w:val="baseline"/>
        </w:rPr>
        <w:t> </w:t>
      </w:r>
      <w:r>
        <w:rPr>
          <w:vertAlign w:val="baseline"/>
        </w:rPr>
        <w:t>respondent had</w:t>
      </w:r>
      <w:r>
        <w:rPr>
          <w:spacing w:val="-1"/>
          <w:vertAlign w:val="baseline"/>
        </w:rPr>
        <w:t> </w:t>
      </w:r>
      <w:r>
        <w:rPr>
          <w:vertAlign w:val="baseline"/>
        </w:rPr>
        <w:t>entered into a</w:t>
      </w:r>
      <w:r>
        <w:rPr>
          <w:spacing w:val="-2"/>
          <w:vertAlign w:val="baseline"/>
        </w:rPr>
        <w:t> </w:t>
      </w:r>
      <w:r>
        <w:rPr>
          <w:vertAlign w:val="baseline"/>
        </w:rPr>
        <w:t>contract for the development of a football ground with the appellant, undertaking that Fulham Football Club Ltd would not oppose the development</w:t>
      </w:r>
      <w:r>
        <w:rPr>
          <w:spacing w:val="20"/>
          <w:vertAlign w:val="baseline"/>
        </w:rPr>
        <w:t> </w:t>
      </w:r>
      <w:r>
        <w:rPr>
          <w:vertAlign w:val="baseline"/>
        </w:rPr>
        <w:t>contract at a later date or support</w:t>
      </w:r>
      <w:r>
        <w:rPr>
          <w:spacing w:val="40"/>
          <w:vertAlign w:val="baseline"/>
        </w:rPr>
        <w:t> </w:t>
      </w:r>
      <w:r>
        <w:rPr>
          <w:vertAlign w:val="baseline"/>
        </w:rPr>
        <w:t>a</w:t>
      </w:r>
      <w:r>
        <w:rPr>
          <w:spacing w:val="-1"/>
          <w:vertAlign w:val="baseline"/>
        </w:rPr>
        <w:t> </w:t>
      </w:r>
      <w:r>
        <w:rPr>
          <w:vertAlign w:val="baseline"/>
        </w:rPr>
        <w:t>compulsory</w:t>
      </w:r>
      <w:r>
        <w:rPr>
          <w:spacing w:val="-10"/>
          <w:vertAlign w:val="baseline"/>
        </w:rPr>
        <w:t> </w:t>
      </w:r>
      <w:r>
        <w:rPr>
          <w:vertAlign w:val="baseline"/>
        </w:rPr>
        <w:t>purchase</w:t>
      </w:r>
      <w:r>
        <w:rPr>
          <w:spacing w:val="-1"/>
          <w:vertAlign w:val="baseline"/>
        </w:rPr>
        <w:t> </w:t>
      </w:r>
      <w:r>
        <w:rPr>
          <w:vertAlign w:val="baseline"/>
        </w:rPr>
        <w:t>order.</w:t>
      </w:r>
      <w:r>
        <w:rPr>
          <w:spacing w:val="-3"/>
          <w:vertAlign w:val="baseline"/>
        </w:rPr>
        <w:t> </w:t>
      </w:r>
      <w:r>
        <w:rPr>
          <w:vertAlign w:val="baseline"/>
        </w:rPr>
        <w:t>It was</w:t>
      </w:r>
      <w:r>
        <w:rPr>
          <w:spacing w:val="-2"/>
          <w:vertAlign w:val="baseline"/>
        </w:rPr>
        <w:t> </w:t>
      </w:r>
      <w:r>
        <w:rPr>
          <w:vertAlign w:val="baseline"/>
        </w:rPr>
        <w:t>held that the</w:t>
      </w:r>
      <w:r>
        <w:rPr>
          <w:spacing w:val="-1"/>
          <w:vertAlign w:val="baseline"/>
        </w:rPr>
        <w:t> </w:t>
      </w:r>
      <w:r>
        <w:rPr>
          <w:vertAlign w:val="baseline"/>
        </w:rPr>
        <w:t>directors</w:t>
      </w:r>
      <w:r>
        <w:rPr>
          <w:spacing w:val="-2"/>
          <w:vertAlign w:val="baseline"/>
        </w:rPr>
        <w:t> </w:t>
      </w:r>
      <w:r>
        <w:rPr>
          <w:vertAlign w:val="baseline"/>
        </w:rPr>
        <w:t>had not improperly</w:t>
      </w:r>
      <w:r>
        <w:rPr>
          <w:spacing w:val="-5"/>
          <w:vertAlign w:val="baseline"/>
        </w:rPr>
        <w:t> </w:t>
      </w:r>
      <w:r>
        <w:rPr>
          <w:vertAlign w:val="baseline"/>
        </w:rPr>
        <w:t>restricted the future exercise of their discretion.</w:t>
      </w:r>
    </w:p>
    <w:p>
      <w:pPr>
        <w:pStyle w:val="BodyText"/>
        <w:spacing w:line="480" w:lineRule="auto" w:before="2"/>
        <w:ind w:right="225" w:firstLine="720"/>
        <w:jc w:val="both"/>
      </w:pPr>
      <w:r>
        <w:rPr/>
        <w:t>Once more, as is evident throughout the Act, the company‘s constitution is highly</w:t>
      </w:r>
      <w:r>
        <w:rPr>
          <w:spacing w:val="-10"/>
        </w:rPr>
        <w:t> </w:t>
      </w:r>
      <w:r>
        <w:rPr/>
        <w:t>regarded. Recall</w:t>
      </w:r>
      <w:r>
        <w:rPr>
          <w:spacing w:val="-5"/>
        </w:rPr>
        <w:t> </w:t>
      </w:r>
      <w:r>
        <w:rPr/>
        <w:t>that it is</w:t>
      </w:r>
      <w:r>
        <w:rPr>
          <w:spacing w:val="-3"/>
        </w:rPr>
        <w:t> </w:t>
      </w:r>
      <w:r>
        <w:rPr/>
        <w:t>not</w:t>
      </w:r>
      <w:r>
        <w:rPr>
          <w:spacing w:val="-1"/>
        </w:rPr>
        <w:t> </w:t>
      </w:r>
      <w:r>
        <w:rPr/>
        <w:t>restricted</w:t>
      </w:r>
      <w:r>
        <w:rPr>
          <w:spacing w:val="-6"/>
        </w:rPr>
        <w:t> </w:t>
      </w:r>
      <w:r>
        <w:rPr/>
        <w:t>to</w:t>
      </w:r>
      <w:r>
        <w:rPr>
          <w:spacing w:val="-1"/>
        </w:rPr>
        <w:t> </w:t>
      </w:r>
      <w:r>
        <w:rPr/>
        <w:t>the</w:t>
      </w:r>
      <w:r>
        <w:rPr>
          <w:spacing w:val="-2"/>
        </w:rPr>
        <w:t> </w:t>
      </w:r>
      <w:r>
        <w:rPr/>
        <w:t>articles but includes</w:t>
      </w:r>
      <w:r>
        <w:rPr>
          <w:spacing w:val="-3"/>
        </w:rPr>
        <w:t> </w:t>
      </w:r>
      <w:r>
        <w:rPr/>
        <w:t>any</w:t>
      </w:r>
      <w:r>
        <w:rPr>
          <w:spacing w:val="-6"/>
        </w:rPr>
        <w:t> </w:t>
      </w:r>
      <w:r>
        <w:rPr/>
        <w:t>resolutions or agreements duly reached.</w:t>
      </w:r>
      <w:r>
        <w:rPr>
          <w:vertAlign w:val="superscript"/>
        </w:rPr>
        <w:t>136</w:t>
      </w:r>
      <w:r>
        <w:rPr>
          <w:vertAlign w:val="baseline"/>
        </w:rPr>
        <w:t> This essentially allows some measure of control over management and lends flexibility so that as the need arises, members can decide to</w:t>
      </w:r>
      <w:r>
        <w:rPr>
          <w:spacing w:val="40"/>
          <w:vertAlign w:val="baseline"/>
        </w:rPr>
        <w:t> </w:t>
      </w:r>
      <w:r>
        <w:rPr>
          <w:vertAlign w:val="baseline"/>
        </w:rPr>
        <w:t>allow</w:t>
      </w:r>
      <w:r>
        <w:rPr>
          <w:spacing w:val="-1"/>
          <w:vertAlign w:val="baseline"/>
        </w:rPr>
        <w:t> </w:t>
      </w:r>
      <w:r>
        <w:rPr>
          <w:vertAlign w:val="baseline"/>
        </w:rPr>
        <w:t>directors</w:t>
      </w:r>
      <w:r>
        <w:rPr>
          <w:spacing w:val="-2"/>
          <w:vertAlign w:val="baseline"/>
        </w:rPr>
        <w:t> </w:t>
      </w:r>
      <w:r>
        <w:rPr>
          <w:vertAlign w:val="baseline"/>
        </w:rPr>
        <w:t>act in</w:t>
      </w:r>
      <w:r>
        <w:rPr>
          <w:spacing w:val="-4"/>
          <w:vertAlign w:val="baseline"/>
        </w:rPr>
        <w:t> </w:t>
      </w:r>
      <w:r>
        <w:rPr>
          <w:vertAlign w:val="baseline"/>
        </w:rPr>
        <w:t>an</w:t>
      </w:r>
      <w:r>
        <w:rPr>
          <w:spacing w:val="-4"/>
          <w:vertAlign w:val="baseline"/>
        </w:rPr>
        <w:t> </w:t>
      </w:r>
      <w:r>
        <w:rPr>
          <w:vertAlign w:val="baseline"/>
        </w:rPr>
        <w:t>otherwise improper manner in</w:t>
      </w:r>
      <w:r>
        <w:rPr>
          <w:spacing w:val="-4"/>
          <w:vertAlign w:val="baseline"/>
        </w:rPr>
        <w:t> </w:t>
      </w:r>
      <w:r>
        <w:rPr>
          <w:vertAlign w:val="baseline"/>
        </w:rPr>
        <w:t>order</w:t>
      </w:r>
      <w:r>
        <w:rPr>
          <w:spacing w:val="-2"/>
          <w:vertAlign w:val="baseline"/>
        </w:rPr>
        <w:t> </w:t>
      </w:r>
      <w:r>
        <w:rPr>
          <w:vertAlign w:val="baseline"/>
        </w:rPr>
        <w:t>to achieve</w:t>
      </w:r>
      <w:r>
        <w:rPr>
          <w:spacing w:val="-1"/>
          <w:vertAlign w:val="baseline"/>
        </w:rPr>
        <w:t> </w:t>
      </w:r>
      <w:r>
        <w:rPr>
          <w:vertAlign w:val="baseline"/>
        </w:rPr>
        <w:t>a</w:t>
      </w:r>
      <w:r>
        <w:rPr>
          <w:spacing w:val="-1"/>
          <w:vertAlign w:val="baseline"/>
        </w:rPr>
        <w:t> </w:t>
      </w:r>
      <w:r>
        <w:rPr>
          <w:vertAlign w:val="baseline"/>
        </w:rPr>
        <w:t>certain</w:t>
      </w:r>
      <w:r>
        <w:rPr>
          <w:spacing w:val="-4"/>
          <w:vertAlign w:val="baseline"/>
        </w:rPr>
        <w:t> </w:t>
      </w:r>
      <w:r>
        <w:rPr>
          <w:vertAlign w:val="baseline"/>
        </w:rPr>
        <w:t>goal</w:t>
      </w:r>
      <w:r>
        <w:rPr>
          <w:spacing w:val="-8"/>
          <w:vertAlign w:val="baseline"/>
        </w:rPr>
        <w:t> </w:t>
      </w:r>
      <w:r>
        <w:rPr>
          <w:vertAlign w:val="baseline"/>
        </w:rPr>
        <w:t>or give effect to contractual</w:t>
      </w:r>
      <w:r>
        <w:rPr>
          <w:spacing w:val="-8"/>
          <w:vertAlign w:val="baseline"/>
        </w:rPr>
        <w:t> </w:t>
      </w:r>
      <w:r>
        <w:rPr>
          <w:vertAlign w:val="baseline"/>
        </w:rPr>
        <w:t>obligations. This will be especially helpful in group situations. Where the constitution also permits delegation, the directors may resort to it, though even the decision to delegate, must be solely theirs.</w:t>
      </w:r>
    </w:p>
    <w:p>
      <w:pPr>
        <w:pStyle w:val="BodyText"/>
        <w:spacing w:line="480" w:lineRule="auto" w:before="1"/>
        <w:ind w:right="240" w:firstLine="720"/>
        <w:jc w:val="both"/>
      </w:pPr>
      <w:r>
        <w:rPr/>
        <w:t>Considering the fact that directors may need to constantly resort to the opinion</w:t>
      </w:r>
      <w:r>
        <w:rPr>
          <w:spacing w:val="40"/>
        </w:rPr>
        <w:t> </w:t>
      </w:r>
      <w:r>
        <w:rPr/>
        <w:t>or advice of experts, such as lawyers, valuers or auditors, the court would hardly find them</w:t>
      </w:r>
      <w:r>
        <w:rPr>
          <w:spacing w:val="-1"/>
        </w:rPr>
        <w:t> </w:t>
      </w:r>
      <w:r>
        <w:rPr/>
        <w:t>in breach</w:t>
      </w:r>
      <w:r>
        <w:rPr>
          <w:spacing w:val="-1"/>
        </w:rPr>
        <w:t> </w:t>
      </w:r>
      <w:r>
        <w:rPr/>
        <w:t>of</w:t>
      </w:r>
      <w:r>
        <w:rPr>
          <w:spacing w:val="-4"/>
        </w:rPr>
        <w:t> </w:t>
      </w:r>
      <w:r>
        <w:rPr/>
        <w:t>the duty</w:t>
      </w:r>
      <w:r>
        <w:rPr>
          <w:spacing w:val="-6"/>
        </w:rPr>
        <w:t> </w:t>
      </w:r>
      <w:r>
        <w:rPr/>
        <w:t>to exercise independent judgment because they</w:t>
      </w:r>
      <w:r>
        <w:rPr>
          <w:spacing w:val="-1"/>
        </w:rPr>
        <w:t> </w:t>
      </w:r>
      <w:r>
        <w:rPr/>
        <w:t>do. In</w:t>
      </w:r>
      <w:r>
        <w:rPr>
          <w:spacing w:val="-1"/>
        </w:rPr>
        <w:t> </w:t>
      </w:r>
      <w:r>
        <w:rPr/>
        <w:t>fact, it has been suggested</w:t>
      </w:r>
      <w:r>
        <w:rPr>
          <w:vertAlign w:val="superscript"/>
        </w:rPr>
        <w:t>137</w:t>
      </w:r>
      <w:r>
        <w:rPr>
          <w:vertAlign w:val="baseline"/>
        </w:rPr>
        <w:t> that directors may breach their duty to take reasonable care and act diligently if</w:t>
      </w:r>
      <w:r>
        <w:rPr>
          <w:spacing w:val="-4"/>
          <w:vertAlign w:val="baseline"/>
        </w:rPr>
        <w:t> </w:t>
      </w:r>
      <w:r>
        <w:rPr>
          <w:vertAlign w:val="baseline"/>
        </w:rPr>
        <w:t>they</w:t>
      </w:r>
      <w:r>
        <w:rPr>
          <w:spacing w:val="-1"/>
          <w:vertAlign w:val="baseline"/>
        </w:rPr>
        <w:t> </w:t>
      </w:r>
      <w:r>
        <w:rPr>
          <w:vertAlign w:val="baseline"/>
        </w:rPr>
        <w:t>fail</w:t>
      </w:r>
      <w:r>
        <w:rPr>
          <w:spacing w:val="-5"/>
          <w:vertAlign w:val="baseline"/>
        </w:rPr>
        <w:t> </w:t>
      </w:r>
      <w:r>
        <w:rPr>
          <w:vertAlign w:val="baseline"/>
        </w:rPr>
        <w:t>to consult appropriate</w:t>
      </w:r>
      <w:r>
        <w:rPr>
          <w:spacing w:val="-2"/>
          <w:vertAlign w:val="baseline"/>
        </w:rPr>
        <w:t> </w:t>
      </w:r>
      <w:r>
        <w:rPr>
          <w:vertAlign w:val="baseline"/>
        </w:rPr>
        <w:t>experts, although</w:t>
      </w:r>
      <w:r>
        <w:rPr>
          <w:spacing w:val="-6"/>
          <w:vertAlign w:val="baseline"/>
        </w:rPr>
        <w:t> </w:t>
      </w:r>
      <w:r>
        <w:rPr>
          <w:vertAlign w:val="baseline"/>
        </w:rPr>
        <w:t>they must not treat any such opinion as an instruction, merely as advice they may</w:t>
      </w:r>
      <w:r>
        <w:rPr>
          <w:spacing w:val="-2"/>
          <w:vertAlign w:val="baseline"/>
        </w:rPr>
        <w:t> </w:t>
      </w:r>
      <w:r>
        <w:rPr>
          <w:vertAlign w:val="baseline"/>
        </w:rPr>
        <w:t>or may not decide to adopt.</w:t>
      </w:r>
    </w:p>
    <w:p>
      <w:pPr>
        <w:pStyle w:val="BodyText"/>
        <w:ind w:left="0"/>
        <w:rPr>
          <w:sz w:val="20"/>
        </w:rPr>
      </w:pPr>
    </w:p>
    <w:p>
      <w:pPr>
        <w:pStyle w:val="BodyText"/>
        <w:spacing w:before="43"/>
        <w:ind w:left="0"/>
        <w:rPr>
          <w:sz w:val="20"/>
        </w:rPr>
      </w:pPr>
      <w:r>
        <w:rPr/>
        <mc:AlternateContent>
          <mc:Choice Requires="wps">
            <w:drawing>
              <wp:anchor distT="0" distB="0" distL="0" distR="0" allowOverlap="1" layoutInCell="1" locked="0" behindDoc="1" simplePos="0" relativeHeight="487686144">
                <wp:simplePos x="0" y="0"/>
                <wp:positionH relativeFrom="page">
                  <wp:posOffset>1262481</wp:posOffset>
                </wp:positionH>
                <wp:positionV relativeFrom="paragraph">
                  <wp:posOffset>189134</wp:posOffset>
                </wp:positionV>
                <wp:extent cx="1829435" cy="9525"/>
                <wp:effectExtent l="0" t="0" r="0" b="0"/>
                <wp:wrapTopAndBottom/>
                <wp:docPr id="216" name="Graphic 216"/>
                <wp:cNvGraphicFramePr>
                  <a:graphicFrameLocks/>
                </wp:cNvGraphicFramePr>
                <a:graphic>
                  <a:graphicData uri="http://schemas.microsoft.com/office/word/2010/wordprocessingShape">
                    <wps:wsp>
                      <wps:cNvPr id="216" name="Graphic 21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509pt;width:144.050pt;height:.72003pt;mso-position-horizontal-relative:page;mso-position-vertical-relative:paragraph;z-index:-15630336;mso-wrap-distance-left:0;mso-wrap-distance-right:0" id="docshape171"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134</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538.</w:t>
      </w:r>
    </w:p>
    <w:p>
      <w:pPr>
        <w:spacing w:before="0"/>
        <w:ind w:left="308" w:right="0" w:firstLine="0"/>
        <w:jc w:val="left"/>
        <w:rPr>
          <w:rFonts w:ascii="Calibri" w:hAnsi="Calibri"/>
          <w:sz w:val="20"/>
        </w:rPr>
      </w:pPr>
      <w:r>
        <w:rPr>
          <w:rFonts w:ascii="Calibri" w:hAnsi="Calibri"/>
          <w:sz w:val="20"/>
          <w:vertAlign w:val="superscript"/>
        </w:rPr>
        <w:t>135</w:t>
      </w:r>
      <w:r>
        <w:rPr>
          <w:rFonts w:ascii="Calibri" w:hAnsi="Calibri"/>
          <w:sz w:val="20"/>
          <w:vertAlign w:val="baseline"/>
        </w:rPr>
        <w:t>(1994)</w:t>
      </w:r>
      <w:r>
        <w:rPr>
          <w:rFonts w:ascii="Calibri" w:hAnsi="Calibri"/>
          <w:spacing w:val="21"/>
          <w:sz w:val="20"/>
          <w:vertAlign w:val="baseline"/>
        </w:rPr>
        <w:t> </w:t>
      </w:r>
      <w:r>
        <w:rPr>
          <w:rFonts w:ascii="Calibri" w:hAnsi="Calibri"/>
          <w:sz w:val="20"/>
          <w:vertAlign w:val="baseline"/>
        </w:rPr>
        <w:t>1</w:t>
      </w:r>
      <w:r>
        <w:rPr>
          <w:rFonts w:ascii="Calibri" w:hAnsi="Calibri"/>
          <w:spacing w:val="18"/>
          <w:sz w:val="20"/>
          <w:vertAlign w:val="baseline"/>
        </w:rPr>
        <w:t> </w:t>
      </w:r>
      <w:r>
        <w:rPr>
          <w:rFonts w:ascii="Calibri" w:hAnsi="Calibri"/>
          <w:sz w:val="20"/>
          <w:vertAlign w:val="baseline"/>
        </w:rPr>
        <w:t>BCLC</w:t>
      </w:r>
      <w:r>
        <w:rPr>
          <w:rFonts w:ascii="Calibri" w:hAnsi="Calibri"/>
          <w:spacing w:val="14"/>
          <w:sz w:val="20"/>
          <w:vertAlign w:val="baseline"/>
        </w:rPr>
        <w:t> </w:t>
      </w:r>
      <w:r>
        <w:rPr>
          <w:rFonts w:ascii="Calibri" w:hAnsi="Calibri"/>
          <w:sz w:val="20"/>
          <w:vertAlign w:val="baseline"/>
        </w:rPr>
        <w:t>363,</w:t>
      </w:r>
      <w:r>
        <w:rPr>
          <w:rFonts w:ascii="Calibri" w:hAnsi="Calibri"/>
          <w:spacing w:val="19"/>
          <w:sz w:val="20"/>
          <w:vertAlign w:val="baseline"/>
        </w:rPr>
        <w:t> </w:t>
      </w:r>
      <w:r>
        <w:rPr>
          <w:rFonts w:ascii="Calibri" w:hAnsi="Calibri"/>
          <w:sz w:val="20"/>
          <w:vertAlign w:val="baseline"/>
        </w:rPr>
        <w:t>CA,</w:t>
      </w:r>
      <w:r>
        <w:rPr>
          <w:rFonts w:ascii="Calibri" w:hAnsi="Calibri"/>
          <w:spacing w:val="19"/>
          <w:sz w:val="20"/>
          <w:vertAlign w:val="baseline"/>
        </w:rPr>
        <w:t> </w:t>
      </w:r>
      <w:r>
        <w:rPr>
          <w:rFonts w:ascii="Calibri" w:hAnsi="Calibri"/>
          <w:sz w:val="20"/>
          <w:vertAlign w:val="baseline"/>
        </w:rPr>
        <w:t>following</w:t>
      </w:r>
      <w:r>
        <w:rPr>
          <w:rFonts w:ascii="Calibri" w:hAnsi="Calibri"/>
          <w:spacing w:val="21"/>
          <w:sz w:val="20"/>
          <w:vertAlign w:val="baseline"/>
        </w:rPr>
        <w:t> </w:t>
      </w:r>
      <w:r>
        <w:rPr>
          <w:rFonts w:ascii="Calibri" w:hAnsi="Calibri"/>
          <w:sz w:val="20"/>
          <w:vertAlign w:val="baseline"/>
        </w:rPr>
        <w:t>the</w:t>
      </w:r>
      <w:r>
        <w:rPr>
          <w:rFonts w:ascii="Calibri" w:hAnsi="Calibri"/>
          <w:spacing w:val="20"/>
          <w:sz w:val="20"/>
          <w:vertAlign w:val="baseline"/>
        </w:rPr>
        <w:t> </w:t>
      </w:r>
      <w:r>
        <w:rPr>
          <w:rFonts w:ascii="Calibri" w:hAnsi="Calibri"/>
          <w:sz w:val="20"/>
          <w:vertAlign w:val="baseline"/>
        </w:rPr>
        <w:t>Australian</w:t>
      </w:r>
      <w:r>
        <w:rPr>
          <w:rFonts w:ascii="Calibri" w:hAnsi="Calibri"/>
          <w:spacing w:val="15"/>
          <w:sz w:val="20"/>
          <w:vertAlign w:val="baseline"/>
        </w:rPr>
        <w:t> </w:t>
      </w:r>
      <w:r>
        <w:rPr>
          <w:rFonts w:ascii="Calibri" w:hAnsi="Calibri"/>
          <w:sz w:val="20"/>
          <w:vertAlign w:val="baseline"/>
        </w:rPr>
        <w:t>court’s</w:t>
      </w:r>
      <w:r>
        <w:rPr>
          <w:rFonts w:ascii="Calibri" w:hAnsi="Calibri"/>
          <w:spacing w:val="19"/>
          <w:sz w:val="20"/>
          <w:vertAlign w:val="baseline"/>
        </w:rPr>
        <w:t> </w:t>
      </w:r>
      <w:r>
        <w:rPr>
          <w:rFonts w:ascii="Calibri" w:hAnsi="Calibri"/>
          <w:sz w:val="20"/>
          <w:vertAlign w:val="baseline"/>
        </w:rPr>
        <w:t>decision</w:t>
      </w:r>
      <w:r>
        <w:rPr>
          <w:rFonts w:ascii="Calibri" w:hAnsi="Calibri"/>
          <w:spacing w:val="16"/>
          <w:sz w:val="20"/>
          <w:vertAlign w:val="baseline"/>
        </w:rPr>
        <w:t> </w:t>
      </w:r>
      <w:r>
        <w:rPr>
          <w:rFonts w:ascii="Calibri" w:hAnsi="Calibri"/>
          <w:sz w:val="20"/>
          <w:vertAlign w:val="baseline"/>
        </w:rPr>
        <w:t>in</w:t>
      </w:r>
      <w:r>
        <w:rPr>
          <w:rFonts w:ascii="Calibri" w:hAnsi="Calibri"/>
          <w:spacing w:val="27"/>
          <w:sz w:val="20"/>
          <w:vertAlign w:val="baseline"/>
        </w:rPr>
        <w:t> </w:t>
      </w:r>
      <w:r>
        <w:rPr>
          <w:rFonts w:ascii="Calibri" w:hAnsi="Calibri"/>
          <w:i/>
          <w:sz w:val="20"/>
          <w:vertAlign w:val="baseline"/>
        </w:rPr>
        <w:t>Thorby</w:t>
      </w:r>
      <w:r>
        <w:rPr>
          <w:rFonts w:ascii="Calibri" w:hAnsi="Calibri"/>
          <w:i/>
          <w:spacing w:val="16"/>
          <w:sz w:val="20"/>
          <w:vertAlign w:val="baseline"/>
        </w:rPr>
        <w:t> </w:t>
      </w:r>
      <w:r>
        <w:rPr>
          <w:rFonts w:ascii="Calibri" w:hAnsi="Calibri"/>
          <w:i/>
          <w:sz w:val="20"/>
          <w:vertAlign w:val="baseline"/>
        </w:rPr>
        <w:t>vs.</w:t>
      </w:r>
      <w:r>
        <w:rPr>
          <w:rFonts w:ascii="Calibri" w:hAnsi="Calibri"/>
          <w:i/>
          <w:spacing w:val="18"/>
          <w:sz w:val="20"/>
          <w:vertAlign w:val="baseline"/>
        </w:rPr>
        <w:t> </w:t>
      </w:r>
      <w:r>
        <w:rPr>
          <w:rFonts w:ascii="Calibri" w:hAnsi="Calibri"/>
          <w:i/>
          <w:sz w:val="20"/>
          <w:vertAlign w:val="baseline"/>
        </w:rPr>
        <w:t>Goldberg</w:t>
      </w:r>
      <w:r>
        <w:rPr>
          <w:rFonts w:ascii="Calibri" w:hAnsi="Calibri"/>
          <w:i/>
          <w:spacing w:val="25"/>
          <w:sz w:val="20"/>
          <w:vertAlign w:val="baseline"/>
        </w:rPr>
        <w:t> </w:t>
      </w:r>
      <w:r>
        <w:rPr>
          <w:rFonts w:ascii="Calibri" w:hAnsi="Calibri"/>
          <w:sz w:val="20"/>
          <w:vertAlign w:val="baseline"/>
        </w:rPr>
        <w:t>(1964)</w:t>
      </w:r>
      <w:r>
        <w:rPr>
          <w:rFonts w:ascii="Calibri" w:hAnsi="Calibri"/>
          <w:spacing w:val="22"/>
          <w:sz w:val="20"/>
          <w:vertAlign w:val="baseline"/>
        </w:rPr>
        <w:t> </w:t>
      </w:r>
      <w:r>
        <w:rPr>
          <w:rFonts w:ascii="Calibri" w:hAnsi="Calibri"/>
          <w:spacing w:val="-5"/>
          <w:sz w:val="20"/>
          <w:vertAlign w:val="baseline"/>
        </w:rPr>
        <w:t>112</w:t>
      </w:r>
    </w:p>
    <w:p>
      <w:pPr>
        <w:spacing w:before="1"/>
        <w:ind w:left="308" w:right="0" w:firstLine="0"/>
        <w:jc w:val="left"/>
        <w:rPr>
          <w:rFonts w:ascii="Calibri"/>
          <w:sz w:val="20"/>
        </w:rPr>
      </w:pPr>
      <w:r>
        <w:rPr>
          <w:rFonts w:ascii="Calibri"/>
          <w:sz w:val="20"/>
        </w:rPr>
        <w:t>CLR,</w:t>
      </w:r>
      <w:r>
        <w:rPr>
          <w:rFonts w:ascii="Calibri"/>
          <w:spacing w:val="-4"/>
          <w:sz w:val="20"/>
        </w:rPr>
        <w:t> </w:t>
      </w:r>
      <w:r>
        <w:rPr>
          <w:rFonts w:ascii="Calibri"/>
          <w:sz w:val="20"/>
        </w:rPr>
        <w:t>597,</w:t>
      </w:r>
      <w:r>
        <w:rPr>
          <w:rFonts w:ascii="Calibri"/>
          <w:spacing w:val="-3"/>
          <w:sz w:val="20"/>
        </w:rPr>
        <w:t> </w:t>
      </w:r>
      <w:r>
        <w:rPr>
          <w:rFonts w:ascii="Calibri"/>
          <w:spacing w:val="-2"/>
          <w:sz w:val="20"/>
        </w:rPr>
        <w:t>Aust.HC.</w:t>
      </w:r>
    </w:p>
    <w:p>
      <w:pPr>
        <w:spacing w:before="1"/>
        <w:ind w:left="308" w:right="0" w:firstLine="0"/>
        <w:jc w:val="left"/>
        <w:rPr>
          <w:rFonts w:ascii="Calibri"/>
          <w:sz w:val="20"/>
        </w:rPr>
      </w:pPr>
      <w:r>
        <w:rPr>
          <w:rFonts w:ascii="Calibri"/>
          <w:sz w:val="20"/>
          <w:vertAlign w:val="superscript"/>
        </w:rPr>
        <w:t>136</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ss.17</w:t>
      </w:r>
      <w:r>
        <w:rPr>
          <w:rFonts w:ascii="Calibri"/>
          <w:spacing w:val="-2"/>
          <w:sz w:val="20"/>
          <w:vertAlign w:val="baseline"/>
        </w:rPr>
        <w:t> </w:t>
      </w:r>
      <w:r>
        <w:rPr>
          <w:rFonts w:ascii="Calibri"/>
          <w:sz w:val="20"/>
          <w:vertAlign w:val="baseline"/>
        </w:rPr>
        <w:t>and</w:t>
      </w:r>
      <w:r>
        <w:rPr>
          <w:rFonts w:ascii="Calibri"/>
          <w:spacing w:val="-5"/>
          <w:sz w:val="20"/>
          <w:vertAlign w:val="baseline"/>
        </w:rPr>
        <w:t> 29.</w:t>
      </w:r>
    </w:p>
    <w:p>
      <w:pPr>
        <w:spacing w:before="0"/>
        <w:ind w:left="308" w:right="0" w:firstLine="0"/>
        <w:jc w:val="left"/>
        <w:rPr>
          <w:rFonts w:ascii="Calibri"/>
          <w:sz w:val="20"/>
        </w:rPr>
      </w:pPr>
      <w:r>
        <w:rPr>
          <w:rFonts w:ascii="Calibri"/>
          <w:sz w:val="20"/>
          <w:vertAlign w:val="superscript"/>
        </w:rPr>
        <w:t>137</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536.</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29" w:firstLine="720"/>
        <w:jc w:val="both"/>
      </w:pPr>
      <w:r>
        <w:rPr/>
        <w:t>The duty under consideration is of particular relevance in situations involving nominee directors who are often nominated by a shareholder, creditor or even an outsider to see</w:t>
      </w:r>
      <w:r>
        <w:rPr>
          <w:spacing w:val="-7"/>
        </w:rPr>
        <w:t> </w:t>
      </w:r>
      <w:r>
        <w:rPr/>
        <w:t>to</w:t>
      </w:r>
      <w:r>
        <w:rPr>
          <w:spacing w:val="-1"/>
        </w:rPr>
        <w:t> </w:t>
      </w:r>
      <w:r>
        <w:rPr/>
        <w:t>the latter‘s interests. Here,</w:t>
      </w:r>
      <w:r>
        <w:rPr>
          <w:spacing w:val="-4"/>
        </w:rPr>
        <w:t> </w:t>
      </w:r>
      <w:r>
        <w:rPr/>
        <w:t>the</w:t>
      </w:r>
      <w:r>
        <w:rPr>
          <w:spacing w:val="-2"/>
        </w:rPr>
        <w:t> </w:t>
      </w:r>
      <w:r>
        <w:rPr/>
        <w:t>director</w:t>
      </w:r>
      <w:r>
        <w:rPr>
          <w:spacing w:val="-4"/>
        </w:rPr>
        <w:t> </w:t>
      </w:r>
      <w:r>
        <w:rPr/>
        <w:t>still</w:t>
      </w:r>
      <w:r>
        <w:rPr>
          <w:spacing w:val="-1"/>
        </w:rPr>
        <w:t> </w:t>
      </w:r>
      <w:r>
        <w:rPr/>
        <w:t>cannot</w:t>
      </w:r>
      <w:r>
        <w:rPr>
          <w:spacing w:val="-1"/>
        </w:rPr>
        <w:t> </w:t>
      </w:r>
      <w:r>
        <w:rPr/>
        <w:t>jettison</w:t>
      </w:r>
      <w:r>
        <w:rPr>
          <w:spacing w:val="-6"/>
        </w:rPr>
        <w:t> </w:t>
      </w:r>
      <w:r>
        <w:rPr/>
        <w:t>the interests of the company in favour of those of his nominator</w:t>
      </w:r>
      <w:r>
        <w:rPr>
          <w:vertAlign w:val="superscript"/>
        </w:rPr>
        <w:t>138</w:t>
      </w:r>
      <w:r>
        <w:rPr>
          <w:vertAlign w:val="baseline"/>
        </w:rPr>
        <w:t> because, as Lord Cullen pointed out, he</w:t>
      </w:r>
      <w:r>
        <w:rPr>
          <w:spacing w:val="-2"/>
          <w:vertAlign w:val="baseline"/>
        </w:rPr>
        <w:t> </w:t>
      </w:r>
      <w:r>
        <w:rPr>
          <w:vertAlign w:val="baseline"/>
        </w:rPr>
        <w:t>has</w:t>
      </w:r>
      <w:r>
        <w:rPr>
          <w:spacing w:val="-3"/>
          <w:vertAlign w:val="baseline"/>
        </w:rPr>
        <w:t> </w:t>
      </w:r>
      <w:r>
        <w:rPr>
          <w:vertAlign w:val="baseline"/>
        </w:rPr>
        <w:t>only</w:t>
      </w:r>
      <w:r>
        <w:rPr>
          <w:spacing w:val="-5"/>
          <w:vertAlign w:val="baseline"/>
        </w:rPr>
        <w:t> </w:t>
      </w:r>
      <w:r>
        <w:rPr>
          <w:vertAlign w:val="baseline"/>
        </w:rPr>
        <w:t>one master,</w:t>
      </w:r>
      <w:r>
        <w:rPr>
          <w:spacing w:val="-4"/>
          <w:vertAlign w:val="baseline"/>
        </w:rPr>
        <w:t> </w:t>
      </w:r>
      <w:r>
        <w:rPr>
          <w:vertAlign w:val="baseline"/>
        </w:rPr>
        <w:t>the</w:t>
      </w:r>
      <w:r>
        <w:rPr>
          <w:spacing w:val="-2"/>
          <w:vertAlign w:val="baseline"/>
        </w:rPr>
        <w:t> </w:t>
      </w:r>
      <w:r>
        <w:rPr>
          <w:vertAlign w:val="baseline"/>
        </w:rPr>
        <w:t>company,</w:t>
      </w:r>
      <w:r>
        <w:rPr>
          <w:vertAlign w:val="superscript"/>
        </w:rPr>
        <w:t>139</w:t>
      </w:r>
      <w:r>
        <w:rPr>
          <w:vertAlign w:val="baseline"/>
        </w:rPr>
        <w:t> which</w:t>
      </w:r>
      <w:r>
        <w:rPr>
          <w:spacing w:val="-1"/>
          <w:vertAlign w:val="baseline"/>
        </w:rPr>
        <w:t> </w:t>
      </w:r>
      <w:r>
        <w:rPr>
          <w:vertAlign w:val="baseline"/>
        </w:rPr>
        <w:t>he must serve</w:t>
      </w:r>
      <w:r>
        <w:rPr>
          <w:spacing w:val="-2"/>
          <w:vertAlign w:val="baseline"/>
        </w:rPr>
        <w:t> </w:t>
      </w:r>
      <w:r>
        <w:rPr>
          <w:vertAlign w:val="baseline"/>
        </w:rPr>
        <w:t>while</w:t>
      </w:r>
      <w:r>
        <w:rPr>
          <w:spacing w:val="-2"/>
          <w:vertAlign w:val="baseline"/>
        </w:rPr>
        <w:t> </w:t>
      </w:r>
      <w:r>
        <w:rPr>
          <w:vertAlign w:val="baseline"/>
        </w:rPr>
        <w:t>employing</w:t>
      </w:r>
      <w:r>
        <w:rPr>
          <w:spacing w:val="-1"/>
          <w:vertAlign w:val="baseline"/>
        </w:rPr>
        <w:t> </w:t>
      </w:r>
      <w:r>
        <w:rPr>
          <w:vertAlign w:val="baseline"/>
        </w:rPr>
        <w:t>only his own judgment. Besides, the nominator could be liable for the negligence of the director, if it can be shown that he/it had exploited this position and interfered with the affairs of the company.</w:t>
      </w:r>
      <w:r>
        <w:rPr>
          <w:vertAlign w:val="superscript"/>
        </w:rPr>
        <w:t>140</w:t>
      </w:r>
    </w:p>
    <w:p>
      <w:pPr>
        <w:pStyle w:val="Heading2"/>
        <w:numPr>
          <w:ilvl w:val="2"/>
          <w:numId w:val="16"/>
        </w:numPr>
        <w:tabs>
          <w:tab w:pos="1027" w:val="left" w:leader="none"/>
        </w:tabs>
        <w:spacing w:line="240" w:lineRule="auto" w:before="208" w:after="0"/>
        <w:ind w:left="1027" w:right="0" w:hanging="719"/>
        <w:jc w:val="both"/>
      </w:pPr>
      <w:bookmarkStart w:name="_TOC_250017" w:id="35"/>
      <w:r>
        <w:rPr/>
        <w:t>Duty</w:t>
      </w:r>
      <w:r>
        <w:rPr>
          <w:spacing w:val="-1"/>
        </w:rPr>
        <w:t> </w:t>
      </w:r>
      <w:r>
        <w:rPr/>
        <w:t>to</w:t>
      </w:r>
      <w:r>
        <w:rPr>
          <w:spacing w:val="-6"/>
        </w:rPr>
        <w:t> </w:t>
      </w:r>
      <w:r>
        <w:rPr/>
        <w:t>Exercise</w:t>
      </w:r>
      <w:r>
        <w:rPr>
          <w:spacing w:val="-2"/>
        </w:rPr>
        <w:t> </w:t>
      </w:r>
      <w:r>
        <w:rPr/>
        <w:t>Reasonable</w:t>
      </w:r>
      <w:r>
        <w:rPr>
          <w:spacing w:val="-1"/>
        </w:rPr>
        <w:t> </w:t>
      </w:r>
      <w:r>
        <w:rPr/>
        <w:t>Care,</w:t>
      </w:r>
      <w:r>
        <w:rPr>
          <w:spacing w:val="1"/>
        </w:rPr>
        <w:t> </w:t>
      </w:r>
      <w:r>
        <w:rPr/>
        <w:t>Skill</w:t>
      </w:r>
      <w:r>
        <w:rPr>
          <w:spacing w:val="-6"/>
        </w:rPr>
        <w:t> </w:t>
      </w:r>
      <w:r>
        <w:rPr/>
        <w:t>and </w:t>
      </w:r>
      <w:bookmarkEnd w:id="35"/>
      <w:r>
        <w:rPr>
          <w:spacing w:val="-2"/>
        </w:rPr>
        <w:t>Diligence</w:t>
      </w:r>
    </w:p>
    <w:p>
      <w:pPr>
        <w:pStyle w:val="BodyText"/>
        <w:spacing w:line="480" w:lineRule="auto" w:before="132"/>
        <w:ind w:right="223"/>
        <w:jc w:val="both"/>
      </w:pPr>
      <w:r>
        <w:rPr/>
        <w:t>Another area of considerable interest</w:t>
      </w:r>
      <w:r>
        <w:rPr>
          <w:spacing w:val="25"/>
        </w:rPr>
        <w:t> </w:t>
      </w:r>
      <w:r>
        <w:rPr/>
        <w:t>in the codification of directors‘ duties in the UK,</w:t>
      </w:r>
      <w:r>
        <w:rPr>
          <w:spacing w:val="40"/>
        </w:rPr>
        <w:t> </w:t>
      </w:r>
      <w:r>
        <w:rPr/>
        <w:t>is the standardization of the duty</w:t>
      </w:r>
      <w:r>
        <w:rPr>
          <w:spacing w:val="-8"/>
        </w:rPr>
        <w:t> </w:t>
      </w:r>
      <w:r>
        <w:rPr/>
        <w:t>under this head. The director‘s duty</w:t>
      </w:r>
      <w:r>
        <w:rPr>
          <w:spacing w:val="-8"/>
        </w:rPr>
        <w:t> </w:t>
      </w:r>
      <w:r>
        <w:rPr/>
        <w:t>of</w:t>
      </w:r>
      <w:r>
        <w:rPr>
          <w:spacing w:val="-5"/>
        </w:rPr>
        <w:t> </w:t>
      </w:r>
      <w:r>
        <w:rPr/>
        <w:t>care and skill is simply a manifestation of the general duty of care imposed on all individuals in the conduct of</w:t>
      </w:r>
      <w:r>
        <w:rPr>
          <w:spacing w:val="-3"/>
        </w:rPr>
        <w:t> </w:t>
      </w:r>
      <w:r>
        <w:rPr/>
        <w:t>activities, so that a person may be liable to pay</w:t>
      </w:r>
      <w:r>
        <w:rPr>
          <w:spacing w:val="-5"/>
        </w:rPr>
        <w:t> </w:t>
      </w:r>
      <w:r>
        <w:rPr/>
        <w:t>compensation when found to have been negligent by</w:t>
      </w:r>
      <w:r>
        <w:rPr>
          <w:spacing w:val="-1"/>
        </w:rPr>
        <w:t> </w:t>
      </w:r>
      <w:r>
        <w:rPr/>
        <w:t>causing harm</w:t>
      </w:r>
      <w:r>
        <w:rPr>
          <w:spacing w:val="-1"/>
        </w:rPr>
        <w:t> </w:t>
      </w:r>
      <w:r>
        <w:rPr/>
        <w:t>to someone else.</w:t>
      </w:r>
      <w:r>
        <w:rPr>
          <w:vertAlign w:val="superscript"/>
        </w:rPr>
        <w:t>141</w:t>
      </w:r>
      <w:r>
        <w:rPr>
          <w:vertAlign w:val="baseline"/>
        </w:rPr>
        <w:t> It is this same principle that is extended to corporate law. Having a chequered history, the duty to exercise reasonable care, skill</w:t>
      </w:r>
      <w:r>
        <w:rPr>
          <w:spacing w:val="-4"/>
          <w:vertAlign w:val="baseline"/>
        </w:rPr>
        <w:t> </w:t>
      </w:r>
      <w:r>
        <w:rPr>
          <w:vertAlign w:val="baseline"/>
        </w:rPr>
        <w:t>and diligence stems from</w:t>
      </w:r>
      <w:r>
        <w:rPr>
          <w:spacing w:val="-5"/>
          <w:vertAlign w:val="baseline"/>
        </w:rPr>
        <w:t> </w:t>
      </w:r>
      <w:r>
        <w:rPr>
          <w:vertAlign w:val="baseline"/>
        </w:rPr>
        <w:t>the idea</w:t>
      </w:r>
      <w:r>
        <w:rPr>
          <w:spacing w:val="-1"/>
          <w:vertAlign w:val="baseline"/>
        </w:rPr>
        <w:t> </w:t>
      </w:r>
      <w:r>
        <w:rPr>
          <w:vertAlign w:val="baseline"/>
        </w:rPr>
        <w:t>of</w:t>
      </w:r>
      <w:r>
        <w:rPr>
          <w:spacing w:val="-3"/>
          <w:vertAlign w:val="baseline"/>
        </w:rPr>
        <w:t> </w:t>
      </w:r>
      <w:r>
        <w:rPr>
          <w:vertAlign w:val="baseline"/>
        </w:rPr>
        <w:t>company law having to balance</w:t>
      </w:r>
      <w:r>
        <w:rPr>
          <w:spacing w:val="-1"/>
          <w:vertAlign w:val="baseline"/>
        </w:rPr>
        <w:t> </w:t>
      </w:r>
      <w:r>
        <w:rPr>
          <w:vertAlign w:val="baseline"/>
        </w:rPr>
        <w:t>the need for directorial</w:t>
      </w:r>
      <w:r>
        <w:rPr>
          <w:spacing w:val="-5"/>
          <w:vertAlign w:val="baseline"/>
        </w:rPr>
        <w:t> </w:t>
      </w:r>
      <w:r>
        <w:rPr>
          <w:vertAlign w:val="baseline"/>
        </w:rPr>
        <w:t>accountability with the need to permit a</w:t>
      </w:r>
      <w:r>
        <w:rPr>
          <w:spacing w:val="-1"/>
          <w:vertAlign w:val="baseline"/>
        </w:rPr>
        <w:t> </w:t>
      </w:r>
      <w:r>
        <w:rPr>
          <w:vertAlign w:val="baseline"/>
        </w:rPr>
        <w:t>certain amount of</w:t>
      </w:r>
      <w:r>
        <w:rPr>
          <w:spacing w:val="-3"/>
          <w:vertAlign w:val="baseline"/>
        </w:rPr>
        <w:t> </w:t>
      </w:r>
      <w:r>
        <w:rPr>
          <w:vertAlign w:val="baseline"/>
        </w:rPr>
        <w:t>entrepreneurial risk taking.</w:t>
      </w:r>
      <w:r>
        <w:rPr>
          <w:vertAlign w:val="superscript"/>
        </w:rPr>
        <w:t>142</w:t>
      </w:r>
      <w:r>
        <w:rPr>
          <w:vertAlign w:val="baseline"/>
        </w:rPr>
        <w:t> On the one hand, the law ought to demand a certain amount of responsibility on the part of</w:t>
      </w:r>
      <w:r>
        <w:rPr>
          <w:spacing w:val="-2"/>
          <w:vertAlign w:val="baseline"/>
        </w:rPr>
        <w:t> </w:t>
      </w:r>
      <w:r>
        <w:rPr>
          <w:vertAlign w:val="baseline"/>
        </w:rPr>
        <w:t>directors and on the other, creativity and initiative must not</w:t>
      </w:r>
    </w:p>
    <w:p>
      <w:pPr>
        <w:pStyle w:val="BodyText"/>
        <w:spacing w:before="6"/>
        <w:ind w:left="0"/>
        <w:rPr>
          <w:sz w:val="12"/>
        </w:rPr>
      </w:pPr>
      <w:r>
        <w:rPr/>
        <mc:AlternateContent>
          <mc:Choice Requires="wps">
            <w:drawing>
              <wp:anchor distT="0" distB="0" distL="0" distR="0" allowOverlap="1" layoutInCell="1" locked="0" behindDoc="1" simplePos="0" relativeHeight="487686656">
                <wp:simplePos x="0" y="0"/>
                <wp:positionH relativeFrom="page">
                  <wp:posOffset>1262481</wp:posOffset>
                </wp:positionH>
                <wp:positionV relativeFrom="paragraph">
                  <wp:posOffset>107104</wp:posOffset>
                </wp:positionV>
                <wp:extent cx="1829435" cy="9525"/>
                <wp:effectExtent l="0" t="0" r="0" b="0"/>
                <wp:wrapTopAndBottom/>
                <wp:docPr id="217" name="Graphic 217"/>
                <wp:cNvGraphicFramePr>
                  <a:graphicFrameLocks/>
                </wp:cNvGraphicFramePr>
                <a:graphic>
                  <a:graphicData uri="http://schemas.microsoft.com/office/word/2010/wordprocessingShape">
                    <wps:wsp>
                      <wps:cNvPr id="217" name="Graphic 21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433390pt;width:144.050pt;height:.71997pt;mso-position-horizontal-relative:page;mso-position-vertical-relative:paragraph;z-index:-15629824;mso-wrap-distance-left:0;mso-wrap-distance-right:0" id="docshape172" filled="true" fillcolor="#000000" stroked="false">
                <v:fill type="solid"/>
                <w10:wrap type="topAndBottom"/>
              </v:rect>
            </w:pict>
          </mc:Fallback>
        </mc:AlternateContent>
      </w:r>
    </w:p>
    <w:p>
      <w:pPr>
        <w:spacing w:before="102"/>
        <w:ind w:left="308" w:right="227" w:firstLine="0"/>
        <w:jc w:val="both"/>
        <w:rPr>
          <w:rFonts w:ascii="Calibri" w:hAnsi="Calibri"/>
          <w:sz w:val="20"/>
        </w:rPr>
      </w:pPr>
      <w:r>
        <w:rPr>
          <w:rFonts w:ascii="Calibri" w:hAnsi="Calibri"/>
          <w:sz w:val="20"/>
          <w:vertAlign w:val="superscript"/>
        </w:rPr>
        <w:t>138</w:t>
      </w:r>
      <w:r>
        <w:rPr>
          <w:rFonts w:ascii="Calibri" w:hAnsi="Calibri"/>
          <w:i/>
          <w:sz w:val="20"/>
          <w:vertAlign w:val="baseline"/>
        </w:rPr>
        <w:t>Boulting vs. ACTT </w:t>
      </w:r>
      <w:r>
        <w:rPr>
          <w:rFonts w:ascii="Calibri" w:hAnsi="Calibri"/>
          <w:sz w:val="20"/>
          <w:vertAlign w:val="baseline"/>
        </w:rPr>
        <w:t>(1963) 2 Q.B. 606 at 626, per Lord Denning M.R.; </w:t>
      </w:r>
      <w:r>
        <w:rPr>
          <w:rFonts w:ascii="Calibri" w:hAnsi="Calibri"/>
          <w:i/>
          <w:sz w:val="20"/>
          <w:vertAlign w:val="baseline"/>
        </w:rPr>
        <w:t>Kuwait Asia Bank EC vs. National Mutual Life Nominees Ltd. </w:t>
      </w:r>
      <w:r>
        <w:rPr>
          <w:rFonts w:ascii="Calibri" w:hAnsi="Calibri"/>
          <w:sz w:val="20"/>
          <w:vertAlign w:val="baseline"/>
        </w:rPr>
        <w:t>(1991) 1 A.C. 187, PC. But consider </w:t>
      </w:r>
      <w:r>
        <w:rPr>
          <w:rFonts w:ascii="Calibri" w:hAnsi="Calibri"/>
          <w:i/>
          <w:sz w:val="20"/>
          <w:vertAlign w:val="baseline"/>
        </w:rPr>
        <w:t>Re Neath Rugby Ltd</w:t>
      </w:r>
      <w:r>
        <w:rPr>
          <w:rFonts w:ascii="Calibri" w:hAnsi="Calibri"/>
          <w:sz w:val="20"/>
          <w:vertAlign w:val="baseline"/>
        </w:rPr>
        <w:t>. (2008) 1 BCLC 527, particularly at par. 26-27, where the court held that though the nominee’s primary loyalty is to the company, he is entitled to have regard to the interests or requirements of his appointer to the extent that they are not incompatible with his primary duty to the company.</w:t>
      </w:r>
    </w:p>
    <w:p>
      <w:pPr>
        <w:spacing w:line="237" w:lineRule="auto" w:before="6"/>
        <w:ind w:left="308" w:right="1721" w:firstLine="0"/>
        <w:jc w:val="left"/>
        <w:rPr>
          <w:rFonts w:ascii="Calibri"/>
          <w:sz w:val="20"/>
        </w:rPr>
      </w:pPr>
      <w:r>
        <w:rPr>
          <w:rFonts w:ascii="Calibri"/>
          <w:sz w:val="20"/>
          <w:vertAlign w:val="superscript"/>
        </w:rPr>
        <w:t>139</w:t>
      </w:r>
      <w:r>
        <w:rPr>
          <w:rFonts w:ascii="Calibri"/>
          <w:i/>
          <w:sz w:val="20"/>
          <w:vertAlign w:val="baseline"/>
        </w:rPr>
        <w:t>Dawson International Plc. vs. Coats Patons Plc</w:t>
      </w:r>
      <w:r>
        <w:rPr>
          <w:rFonts w:ascii="Calibri"/>
          <w:sz w:val="20"/>
          <w:vertAlign w:val="baseline"/>
        </w:rPr>
        <w:t>. (1988) 4 B.C.C. 305 CS (OH). </w:t>
      </w:r>
      <w:r>
        <w:rPr>
          <w:rFonts w:ascii="Calibri"/>
          <w:sz w:val="20"/>
          <w:vertAlign w:val="superscript"/>
        </w:rPr>
        <w:t>140</w:t>
      </w:r>
      <w:r>
        <w:rPr>
          <w:rFonts w:ascii="Calibri"/>
          <w:i/>
          <w:sz w:val="20"/>
          <w:vertAlign w:val="baseline"/>
        </w:rPr>
        <w:t>Kuwait</w:t>
      </w:r>
      <w:r>
        <w:rPr>
          <w:rFonts w:ascii="Calibri"/>
          <w:i/>
          <w:spacing w:val="-5"/>
          <w:sz w:val="20"/>
          <w:vertAlign w:val="baseline"/>
        </w:rPr>
        <w:t> </w:t>
      </w:r>
      <w:r>
        <w:rPr>
          <w:rFonts w:ascii="Calibri"/>
          <w:i/>
          <w:sz w:val="20"/>
          <w:vertAlign w:val="baseline"/>
        </w:rPr>
        <w:t>Asia Bank</w:t>
      </w:r>
      <w:r>
        <w:rPr>
          <w:rFonts w:ascii="Calibri"/>
          <w:i/>
          <w:spacing w:val="-5"/>
          <w:sz w:val="20"/>
          <w:vertAlign w:val="baseline"/>
        </w:rPr>
        <w:t> </w:t>
      </w:r>
      <w:r>
        <w:rPr>
          <w:rFonts w:ascii="Calibri"/>
          <w:i/>
          <w:sz w:val="20"/>
          <w:vertAlign w:val="baseline"/>
        </w:rPr>
        <w:t>EC</w:t>
      </w:r>
      <w:r>
        <w:rPr>
          <w:rFonts w:ascii="Calibri"/>
          <w:i/>
          <w:spacing w:val="-4"/>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National</w:t>
      </w:r>
      <w:r>
        <w:rPr>
          <w:rFonts w:ascii="Calibri"/>
          <w:i/>
          <w:spacing w:val="-3"/>
          <w:sz w:val="20"/>
          <w:vertAlign w:val="baseline"/>
        </w:rPr>
        <w:t> </w:t>
      </w:r>
      <w:r>
        <w:rPr>
          <w:rFonts w:ascii="Calibri"/>
          <w:i/>
          <w:sz w:val="20"/>
          <w:vertAlign w:val="baseline"/>
        </w:rPr>
        <w:t>Mutual</w:t>
      </w:r>
      <w:r>
        <w:rPr>
          <w:rFonts w:ascii="Calibri"/>
          <w:i/>
          <w:spacing w:val="-3"/>
          <w:sz w:val="20"/>
          <w:vertAlign w:val="baseline"/>
        </w:rPr>
        <w:t> </w:t>
      </w:r>
      <w:r>
        <w:rPr>
          <w:rFonts w:ascii="Calibri"/>
          <w:i/>
          <w:sz w:val="20"/>
          <w:vertAlign w:val="baseline"/>
        </w:rPr>
        <w:t>Life Nominees</w:t>
      </w:r>
      <w:r>
        <w:rPr>
          <w:rFonts w:ascii="Calibri"/>
          <w:i/>
          <w:spacing w:val="-6"/>
          <w:sz w:val="20"/>
          <w:vertAlign w:val="baseline"/>
        </w:rPr>
        <w:t> </w:t>
      </w:r>
      <w:r>
        <w:rPr>
          <w:rFonts w:ascii="Calibri"/>
          <w:i/>
          <w:sz w:val="20"/>
          <w:vertAlign w:val="baseline"/>
        </w:rPr>
        <w:t>Ltd.</w:t>
      </w:r>
      <w:r>
        <w:rPr>
          <w:rFonts w:ascii="Calibri"/>
          <w:i/>
          <w:spacing w:val="-4"/>
          <w:sz w:val="20"/>
          <w:vertAlign w:val="baseline"/>
        </w:rPr>
        <w:t> </w:t>
      </w:r>
      <w:r>
        <w:rPr>
          <w:rFonts w:ascii="Calibri"/>
          <w:sz w:val="20"/>
          <w:vertAlign w:val="baseline"/>
        </w:rPr>
        <w:t>(1991) 1</w:t>
      </w:r>
      <w:r>
        <w:rPr>
          <w:rFonts w:ascii="Calibri"/>
          <w:spacing w:val="-1"/>
          <w:sz w:val="20"/>
          <w:vertAlign w:val="baseline"/>
        </w:rPr>
        <w:t> </w:t>
      </w:r>
      <w:r>
        <w:rPr>
          <w:rFonts w:ascii="Calibri"/>
          <w:sz w:val="20"/>
          <w:vertAlign w:val="baseline"/>
        </w:rPr>
        <w:t>A.C.</w:t>
      </w:r>
      <w:r>
        <w:rPr>
          <w:rFonts w:ascii="Calibri"/>
          <w:spacing w:val="-3"/>
          <w:sz w:val="20"/>
          <w:vertAlign w:val="baseline"/>
        </w:rPr>
        <w:t> </w:t>
      </w:r>
      <w:r>
        <w:rPr>
          <w:rFonts w:ascii="Calibri"/>
          <w:sz w:val="20"/>
          <w:vertAlign w:val="baseline"/>
        </w:rPr>
        <w:t>187,</w:t>
      </w:r>
      <w:r>
        <w:rPr>
          <w:rFonts w:ascii="Calibri"/>
          <w:spacing w:val="-2"/>
          <w:sz w:val="20"/>
          <w:vertAlign w:val="baseline"/>
        </w:rPr>
        <w:t> </w:t>
      </w:r>
      <w:r>
        <w:rPr>
          <w:rFonts w:ascii="Calibri"/>
          <w:sz w:val="20"/>
          <w:vertAlign w:val="baseline"/>
        </w:rPr>
        <w:t>PC. </w:t>
      </w:r>
      <w:r>
        <w:rPr>
          <w:rFonts w:ascii="Calibri"/>
          <w:sz w:val="20"/>
          <w:vertAlign w:val="superscript"/>
        </w:rPr>
        <w:t>141</w:t>
      </w:r>
      <w:r>
        <w:rPr>
          <w:rFonts w:ascii="Calibri"/>
          <w:sz w:val="20"/>
          <w:vertAlign w:val="baseline"/>
        </w:rPr>
        <w:t>Worthington, S. op.cit., pp. 9-10.</w:t>
      </w:r>
    </w:p>
    <w:p>
      <w:pPr>
        <w:spacing w:before="3"/>
        <w:ind w:left="308" w:right="224" w:firstLine="0"/>
        <w:jc w:val="both"/>
        <w:rPr>
          <w:rFonts w:ascii="Calibri" w:hAnsi="Calibri"/>
          <w:sz w:val="20"/>
        </w:rPr>
      </w:pPr>
      <w:r>
        <w:rPr>
          <w:rFonts w:ascii="Calibri" w:hAnsi="Calibri"/>
          <w:sz w:val="20"/>
          <w:vertAlign w:val="superscript"/>
        </w:rPr>
        <w:t>142</w:t>
      </w:r>
      <w:r>
        <w:rPr>
          <w:rFonts w:ascii="Calibri" w:hAnsi="Calibri"/>
          <w:sz w:val="20"/>
          <w:vertAlign w:val="baseline"/>
        </w:rPr>
        <w:t>Roach, L. (1999).The Director’s Duty of Skill and Care: Has the Law Commission Got it Right?</w:t>
      </w:r>
      <w:r>
        <w:rPr>
          <w:rFonts w:ascii="Calibri" w:hAnsi="Calibri"/>
          <w:i/>
          <w:sz w:val="20"/>
          <w:vertAlign w:val="baseline"/>
        </w:rPr>
        <w:t>Business Law Review</w:t>
      </w:r>
      <w:r>
        <w:rPr>
          <w:rFonts w:ascii="Calibri" w:hAnsi="Calibri"/>
          <w:sz w:val="20"/>
          <w:vertAlign w:val="baseline"/>
        </w:rPr>
        <w:t>, 20(51): p. 4. Retrieved December 11, 2013, from </w:t>
      </w:r>
      <w:hyperlink r:id="rId54">
        <w:r>
          <w:rPr>
            <w:rFonts w:ascii="Calibri" w:hAnsi="Calibri"/>
            <w:color w:val="0000FF"/>
            <w:sz w:val="20"/>
            <w:u w:val="single" w:color="0000FF"/>
            <w:vertAlign w:val="baseline"/>
          </w:rPr>
          <w:t>http://papers.ssrn.com/sol3/papers.cfm?abstract_id=1754664</w:t>
        </w:r>
        <w:r>
          <w:rPr>
            <w:rFonts w:ascii="Calibri" w:hAnsi="Calibri"/>
            <w:sz w:val="20"/>
            <w:vertAlign w:val="baseline"/>
          </w:rPr>
          <w:t>.</w:t>
        </w:r>
      </w:hyperlink>
      <w:r>
        <w:rPr>
          <w:rFonts w:ascii="Calibri" w:hAnsi="Calibri"/>
          <w:sz w:val="20"/>
          <w:vertAlign w:val="baseline"/>
        </w:rPr>
        <w:t> Indeed, some have gone as far as to say that “companies are in business to take risk.” See Davies, L.P. and Worthington, S. (2012).Op.cit. at p. 522 and Worthington, S. op.cit., p. 10.</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70"/>
        <w:ind w:right="241"/>
        <w:jc w:val="both"/>
      </w:pPr>
      <w:r>
        <w:rPr/>
        <w:t>be stifled for they</w:t>
      </w:r>
      <w:r>
        <w:rPr>
          <w:spacing w:val="-1"/>
        </w:rPr>
        <w:t> </w:t>
      </w:r>
      <w:r>
        <w:rPr/>
        <w:t>are the pillars of business ventures, which companies most often are. Still, risk taking by company management must be restricted to acceptable levels.</w:t>
      </w:r>
    </w:p>
    <w:p>
      <w:pPr>
        <w:pStyle w:val="BodyText"/>
        <w:spacing w:line="480" w:lineRule="auto"/>
        <w:ind w:right="223" w:firstLine="720"/>
        <w:jc w:val="both"/>
      </w:pPr>
      <w:r>
        <w:rPr/>
        <w:t>The duty applies to everything that directors do. The minimum degree of care, skill and diligence required, therefore, is what the law has been hard put to decide, over time. At first, the duty was judged by subjective standards and many court decisions in the late nineteenth and early twentieth century continuously endorsed this notion, some of the most notorious of which were</w:t>
      </w:r>
      <w:r>
        <w:rPr>
          <w:b/>
        </w:rPr>
        <w:t>Re City Equitable Fire Insurance Co.</w:t>
      </w:r>
      <w:r>
        <w:rPr/>
        <w:t>,</w:t>
      </w:r>
      <w:r>
        <w:rPr>
          <w:vertAlign w:val="superscript"/>
        </w:rPr>
        <w:t>143</w:t>
      </w:r>
      <w:r>
        <w:rPr>
          <w:b/>
          <w:vertAlign w:val="baseline"/>
        </w:rPr>
        <w:t>Re Cardiff Savings Bank (Marquis of Bute’s Case)</w:t>
      </w:r>
      <w:r>
        <w:rPr>
          <w:vertAlign w:val="superscript"/>
        </w:rPr>
        <w:t>144</w:t>
      </w:r>
      <w:r>
        <w:rPr>
          <w:vertAlign w:val="baseline"/>
        </w:rPr>
        <w:t>and </w:t>
      </w:r>
      <w:r>
        <w:rPr>
          <w:b/>
          <w:vertAlign w:val="baseline"/>
        </w:rPr>
        <w:t>Re Brazilian Rubber Plantation and Estates</w:t>
      </w:r>
      <w:r>
        <w:rPr>
          <w:vertAlign w:val="baseline"/>
        </w:rPr>
        <w:t>.</w:t>
      </w:r>
      <w:r>
        <w:rPr>
          <w:vertAlign w:val="superscript"/>
        </w:rPr>
        <w:t>145</w:t>
      </w:r>
      <w:r>
        <w:rPr>
          <w:vertAlign w:val="baseline"/>
        </w:rPr>
        <w:t> The decision by Romer J.</w:t>
      </w:r>
      <w:r>
        <w:rPr>
          <w:vertAlign w:val="superscript"/>
        </w:rPr>
        <w:t>146</w:t>
      </w:r>
      <w:r>
        <w:rPr>
          <w:vertAlign w:val="baseline"/>
        </w:rPr>
        <w:t> neatly summed up what these cases proposed, namely</w:t>
      </w:r>
      <w:r>
        <w:rPr>
          <w:spacing w:val="-4"/>
          <w:vertAlign w:val="baseline"/>
        </w:rPr>
        <w:t> </w:t>
      </w:r>
      <w:r>
        <w:rPr>
          <w:vertAlign w:val="baseline"/>
        </w:rPr>
        <w:t>that (i) the skill to be expected was merely what a person</w:t>
      </w:r>
      <w:r>
        <w:rPr>
          <w:spacing w:val="-4"/>
          <w:vertAlign w:val="baseline"/>
        </w:rPr>
        <w:t> </w:t>
      </w:r>
      <w:r>
        <w:rPr>
          <w:vertAlign w:val="baseline"/>
        </w:rPr>
        <w:t>of</w:t>
      </w:r>
      <w:r>
        <w:rPr>
          <w:spacing w:val="-2"/>
          <w:vertAlign w:val="baseline"/>
        </w:rPr>
        <w:t> </w:t>
      </w:r>
      <w:r>
        <w:rPr>
          <w:vertAlign w:val="baseline"/>
        </w:rPr>
        <w:t>the director‘s knowledge and experience could reasonably be expected to display; (ii) a director</w:t>
      </w:r>
      <w:r>
        <w:rPr>
          <w:spacing w:val="17"/>
          <w:vertAlign w:val="baseline"/>
        </w:rPr>
        <w:t> </w:t>
      </w:r>
      <w:r>
        <w:rPr>
          <w:vertAlign w:val="baseline"/>
        </w:rPr>
        <w:t>was</w:t>
      </w:r>
      <w:r>
        <w:rPr>
          <w:spacing w:val="18"/>
          <w:vertAlign w:val="baseline"/>
        </w:rPr>
        <w:t> </w:t>
      </w:r>
      <w:r>
        <w:rPr>
          <w:vertAlign w:val="baseline"/>
        </w:rPr>
        <w:t>not</w:t>
      </w:r>
      <w:r>
        <w:rPr>
          <w:spacing w:val="20"/>
          <w:vertAlign w:val="baseline"/>
        </w:rPr>
        <w:t> </w:t>
      </w:r>
      <w:r>
        <w:rPr>
          <w:vertAlign w:val="baseline"/>
        </w:rPr>
        <w:t>bound</w:t>
      </w:r>
      <w:r>
        <w:rPr>
          <w:spacing w:val="15"/>
          <w:vertAlign w:val="baseline"/>
        </w:rPr>
        <w:t> </w:t>
      </w:r>
      <w:r>
        <w:rPr>
          <w:vertAlign w:val="baseline"/>
        </w:rPr>
        <w:t>to</w:t>
      </w:r>
      <w:r>
        <w:rPr>
          <w:spacing w:val="20"/>
          <w:vertAlign w:val="baseline"/>
        </w:rPr>
        <w:t> </w:t>
      </w:r>
      <w:r>
        <w:rPr>
          <w:vertAlign w:val="baseline"/>
        </w:rPr>
        <w:t>give</w:t>
      </w:r>
      <w:r>
        <w:rPr>
          <w:spacing w:val="19"/>
          <w:vertAlign w:val="baseline"/>
        </w:rPr>
        <w:t> </w:t>
      </w:r>
      <w:r>
        <w:rPr>
          <w:vertAlign w:val="baseline"/>
        </w:rPr>
        <w:t>continuous attention to</w:t>
      </w:r>
      <w:r>
        <w:rPr>
          <w:spacing w:val="29"/>
          <w:vertAlign w:val="baseline"/>
        </w:rPr>
        <w:t> </w:t>
      </w:r>
      <w:r>
        <w:rPr>
          <w:vertAlign w:val="baseline"/>
        </w:rPr>
        <w:t>the</w:t>
      </w:r>
      <w:r>
        <w:rPr>
          <w:spacing w:val="14"/>
          <w:vertAlign w:val="baseline"/>
        </w:rPr>
        <w:t> </w:t>
      </w:r>
      <w:r>
        <w:rPr>
          <w:vertAlign w:val="baseline"/>
        </w:rPr>
        <w:t>affairs of the</w:t>
      </w:r>
      <w:r>
        <w:rPr>
          <w:spacing w:val="14"/>
          <w:vertAlign w:val="baseline"/>
        </w:rPr>
        <w:t> </w:t>
      </w:r>
      <w:r>
        <w:rPr>
          <w:vertAlign w:val="baseline"/>
        </w:rPr>
        <w:t>company;</w:t>
      </w:r>
      <w:r>
        <w:rPr>
          <w:spacing w:val="20"/>
          <w:vertAlign w:val="baseline"/>
        </w:rPr>
        <w:t> </w:t>
      </w:r>
      <w:r>
        <w:rPr>
          <w:vertAlign w:val="baseline"/>
        </w:rPr>
        <w:t>and</w:t>
      </w:r>
    </w:p>
    <w:p>
      <w:pPr>
        <w:pStyle w:val="BodyText"/>
        <w:spacing w:line="480" w:lineRule="auto" w:before="2"/>
        <w:ind w:right="230"/>
        <w:jc w:val="both"/>
      </w:pPr>
      <w:r>
        <w:rPr/>
        <w:t>(iii) a director could trust others entrusted with specific duties to perform</w:t>
      </w:r>
      <w:r>
        <w:rPr>
          <w:spacing w:val="-5"/>
        </w:rPr>
        <w:t> </w:t>
      </w:r>
      <w:r>
        <w:rPr/>
        <w:t>them honestly in the absence of grounds for suspicion. The common law then seemed not to have distinguished between executive and non-executive directors when it came to the manner of discharging their duties. They were all judged by the same low, subjective standard. It is suggested that the courts may have been influenced by a model of corporate decision-making which gave the shareholders effective control over the</w:t>
      </w:r>
      <w:r>
        <w:rPr>
          <w:spacing w:val="40"/>
        </w:rPr>
        <w:t> </w:t>
      </w:r>
      <w:r>
        <w:rPr/>
        <w:t>choice of</w:t>
      </w:r>
      <w:r>
        <w:rPr>
          <w:spacing w:val="-4"/>
        </w:rPr>
        <w:t> </w:t>
      </w:r>
      <w:r>
        <w:rPr/>
        <w:t>directors. Thus, if</w:t>
      </w:r>
      <w:r>
        <w:rPr>
          <w:spacing w:val="-4"/>
        </w:rPr>
        <w:t> </w:t>
      </w:r>
      <w:r>
        <w:rPr/>
        <w:t>the shareholders chose incompetent directors,</w:t>
      </w:r>
      <w:r>
        <w:rPr>
          <w:spacing w:val="-4"/>
        </w:rPr>
        <w:t> </w:t>
      </w:r>
      <w:r>
        <w:rPr/>
        <w:t>that was</w:t>
      </w:r>
      <w:r>
        <w:rPr>
          <w:spacing w:val="-3"/>
        </w:rPr>
        <w:t> </w:t>
      </w:r>
      <w:r>
        <w:rPr/>
        <w:t>their fault. They must therefore bear the consequences.</w:t>
      </w:r>
      <w:r>
        <w:rPr>
          <w:vertAlign w:val="superscript"/>
        </w:rPr>
        <w:t>147</w:t>
      </w:r>
      <w:r>
        <w:rPr>
          <w:vertAlign w:val="baseline"/>
        </w:rPr>
        <w:t> Expectedly, the effect of such decisions was undesirable: directors were more or less immune from suit arising out of</w:t>
      </w:r>
    </w:p>
    <w:p>
      <w:pPr>
        <w:pStyle w:val="BodyText"/>
        <w:ind w:left="0"/>
        <w:rPr>
          <w:sz w:val="20"/>
        </w:rPr>
      </w:pPr>
    </w:p>
    <w:p>
      <w:pPr>
        <w:pStyle w:val="BodyText"/>
        <w:ind w:left="0"/>
        <w:rPr>
          <w:sz w:val="20"/>
        </w:rPr>
      </w:pPr>
    </w:p>
    <w:p>
      <w:pPr>
        <w:pStyle w:val="BodyText"/>
        <w:ind w:left="0"/>
        <w:rPr>
          <w:sz w:val="20"/>
        </w:rPr>
      </w:pPr>
    </w:p>
    <w:p>
      <w:pPr>
        <w:pStyle w:val="BodyText"/>
        <w:spacing w:before="136"/>
        <w:ind w:left="0"/>
        <w:rPr>
          <w:sz w:val="20"/>
        </w:rPr>
      </w:pPr>
      <w:r>
        <w:rPr/>
        <mc:AlternateContent>
          <mc:Choice Requires="wps">
            <w:drawing>
              <wp:anchor distT="0" distB="0" distL="0" distR="0" allowOverlap="1" layoutInCell="1" locked="0" behindDoc="1" simplePos="0" relativeHeight="487687168">
                <wp:simplePos x="0" y="0"/>
                <wp:positionH relativeFrom="page">
                  <wp:posOffset>1262481</wp:posOffset>
                </wp:positionH>
                <wp:positionV relativeFrom="paragraph">
                  <wp:posOffset>248184</wp:posOffset>
                </wp:positionV>
                <wp:extent cx="1829435" cy="9525"/>
                <wp:effectExtent l="0" t="0" r="0" b="0"/>
                <wp:wrapTopAndBottom/>
                <wp:docPr id="218" name="Graphic 218"/>
                <wp:cNvGraphicFramePr>
                  <a:graphicFrameLocks/>
                </wp:cNvGraphicFramePr>
                <a:graphic>
                  <a:graphicData uri="http://schemas.microsoft.com/office/word/2010/wordprocessingShape">
                    <wps:wsp>
                      <wps:cNvPr id="218" name="Graphic 218"/>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542118pt;width:144.050pt;height:.72003pt;mso-position-horizontal-relative:page;mso-position-vertical-relative:paragraph;z-index:-15629312;mso-wrap-distance-left:0;mso-wrap-distance-right:0" id="docshape173"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143</w:t>
      </w:r>
      <w:r>
        <w:rPr>
          <w:rFonts w:ascii="Calibri"/>
          <w:sz w:val="20"/>
          <w:vertAlign w:val="baseline"/>
        </w:rPr>
        <w:t>(1925)</w:t>
      </w:r>
      <w:r>
        <w:rPr>
          <w:rFonts w:ascii="Calibri"/>
          <w:spacing w:val="-2"/>
          <w:sz w:val="20"/>
          <w:vertAlign w:val="baseline"/>
        </w:rPr>
        <w:t> </w:t>
      </w:r>
      <w:r>
        <w:rPr>
          <w:rFonts w:ascii="Calibri"/>
          <w:sz w:val="20"/>
          <w:vertAlign w:val="baseline"/>
        </w:rPr>
        <w:t>Ch.</w:t>
      </w:r>
      <w:r>
        <w:rPr>
          <w:rFonts w:ascii="Calibri"/>
          <w:spacing w:val="-5"/>
          <w:sz w:val="20"/>
          <w:vertAlign w:val="baseline"/>
        </w:rPr>
        <w:t> 40.</w:t>
      </w:r>
    </w:p>
    <w:p>
      <w:pPr>
        <w:spacing w:before="0"/>
        <w:ind w:left="308" w:right="0" w:firstLine="0"/>
        <w:jc w:val="left"/>
        <w:rPr>
          <w:rFonts w:ascii="Calibri"/>
          <w:sz w:val="20"/>
        </w:rPr>
      </w:pPr>
      <w:r>
        <w:rPr>
          <w:rFonts w:ascii="Calibri"/>
          <w:sz w:val="20"/>
          <w:vertAlign w:val="superscript"/>
        </w:rPr>
        <w:t>144</w:t>
      </w:r>
      <w:r>
        <w:rPr>
          <w:rFonts w:ascii="Calibri"/>
          <w:sz w:val="20"/>
          <w:vertAlign w:val="baseline"/>
        </w:rPr>
        <w:t>(1892)</w:t>
      </w:r>
      <w:r>
        <w:rPr>
          <w:rFonts w:ascii="Calibri"/>
          <w:spacing w:val="-2"/>
          <w:sz w:val="20"/>
          <w:vertAlign w:val="baseline"/>
        </w:rPr>
        <w:t> </w:t>
      </w:r>
      <w:r>
        <w:rPr>
          <w:rFonts w:ascii="Calibri"/>
          <w:sz w:val="20"/>
          <w:vertAlign w:val="baseline"/>
        </w:rPr>
        <w:t>Ch.</w:t>
      </w:r>
      <w:r>
        <w:rPr>
          <w:rFonts w:ascii="Calibri"/>
          <w:spacing w:val="-5"/>
          <w:sz w:val="20"/>
          <w:vertAlign w:val="baseline"/>
        </w:rPr>
        <w:t> </w:t>
      </w:r>
      <w:r>
        <w:rPr>
          <w:rFonts w:ascii="Calibri"/>
          <w:spacing w:val="-4"/>
          <w:sz w:val="20"/>
          <w:vertAlign w:val="baseline"/>
        </w:rPr>
        <w:t>100.</w:t>
      </w:r>
    </w:p>
    <w:p>
      <w:pPr>
        <w:spacing w:before="1"/>
        <w:ind w:left="308" w:right="0" w:firstLine="0"/>
        <w:jc w:val="left"/>
        <w:rPr>
          <w:rFonts w:ascii="Calibri"/>
          <w:sz w:val="20"/>
        </w:rPr>
      </w:pPr>
      <w:r>
        <w:rPr>
          <w:rFonts w:ascii="Calibri"/>
          <w:sz w:val="20"/>
          <w:vertAlign w:val="superscript"/>
        </w:rPr>
        <w:t>145</w:t>
      </w:r>
      <w:r>
        <w:rPr>
          <w:rFonts w:ascii="Calibri"/>
          <w:sz w:val="20"/>
          <w:vertAlign w:val="baseline"/>
        </w:rPr>
        <w:t>(1911)</w:t>
      </w:r>
      <w:r>
        <w:rPr>
          <w:rFonts w:ascii="Calibri"/>
          <w:spacing w:val="-2"/>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Ch. </w:t>
      </w:r>
      <w:r>
        <w:rPr>
          <w:rFonts w:ascii="Calibri"/>
          <w:spacing w:val="-4"/>
          <w:sz w:val="20"/>
          <w:vertAlign w:val="baseline"/>
        </w:rPr>
        <w:t>425.</w:t>
      </w:r>
    </w:p>
    <w:p>
      <w:pPr>
        <w:spacing w:before="1"/>
        <w:ind w:left="308" w:right="0" w:firstLine="0"/>
        <w:jc w:val="left"/>
        <w:rPr>
          <w:rFonts w:ascii="Calibri"/>
          <w:sz w:val="20"/>
        </w:rPr>
      </w:pPr>
      <w:r>
        <w:rPr>
          <w:rFonts w:ascii="Calibri"/>
          <w:sz w:val="20"/>
          <w:vertAlign w:val="superscript"/>
        </w:rPr>
        <w:t>146</w:t>
      </w:r>
      <w:r>
        <w:rPr>
          <w:rFonts w:ascii="Calibri"/>
          <w:sz w:val="20"/>
          <w:vertAlign w:val="baseline"/>
        </w:rPr>
        <w:t>Re</w:t>
      </w:r>
      <w:r>
        <w:rPr>
          <w:rFonts w:ascii="Calibri"/>
          <w:spacing w:val="-2"/>
          <w:sz w:val="20"/>
          <w:vertAlign w:val="baseline"/>
        </w:rPr>
        <w:t> </w:t>
      </w:r>
      <w:r>
        <w:rPr>
          <w:rFonts w:ascii="Calibri"/>
          <w:sz w:val="20"/>
          <w:vertAlign w:val="baseline"/>
        </w:rPr>
        <w:t>City</w:t>
      </w:r>
      <w:r>
        <w:rPr>
          <w:rFonts w:ascii="Calibri"/>
          <w:spacing w:val="-7"/>
          <w:sz w:val="20"/>
          <w:vertAlign w:val="baseline"/>
        </w:rPr>
        <w:t> </w:t>
      </w:r>
      <w:r>
        <w:rPr>
          <w:rFonts w:ascii="Calibri"/>
          <w:sz w:val="20"/>
          <w:vertAlign w:val="baseline"/>
        </w:rPr>
        <w:t>Equitable</w:t>
      </w:r>
      <w:r>
        <w:rPr>
          <w:rFonts w:ascii="Calibri"/>
          <w:spacing w:val="-6"/>
          <w:sz w:val="20"/>
          <w:vertAlign w:val="baseline"/>
        </w:rPr>
        <w:t> </w:t>
      </w:r>
      <w:r>
        <w:rPr>
          <w:rFonts w:ascii="Calibri"/>
          <w:sz w:val="20"/>
          <w:vertAlign w:val="baseline"/>
        </w:rPr>
        <w:t>Fire</w:t>
      </w:r>
      <w:r>
        <w:rPr>
          <w:rFonts w:ascii="Calibri"/>
          <w:spacing w:val="-7"/>
          <w:sz w:val="20"/>
          <w:vertAlign w:val="baseline"/>
        </w:rPr>
        <w:t> </w:t>
      </w:r>
      <w:r>
        <w:rPr>
          <w:rFonts w:ascii="Calibri"/>
          <w:sz w:val="20"/>
          <w:vertAlign w:val="baseline"/>
        </w:rPr>
        <w:t>Insurance</w:t>
      </w:r>
      <w:r>
        <w:rPr>
          <w:rFonts w:ascii="Calibri"/>
          <w:spacing w:val="-6"/>
          <w:sz w:val="20"/>
          <w:vertAlign w:val="baseline"/>
        </w:rPr>
        <w:t> </w:t>
      </w:r>
      <w:r>
        <w:rPr>
          <w:rFonts w:ascii="Calibri"/>
          <w:sz w:val="20"/>
          <w:vertAlign w:val="baseline"/>
        </w:rPr>
        <w:t>Co.</w:t>
      </w:r>
      <w:r>
        <w:rPr>
          <w:rFonts w:ascii="Calibri"/>
          <w:spacing w:val="-1"/>
          <w:sz w:val="20"/>
          <w:vertAlign w:val="baseline"/>
        </w:rPr>
        <w:t> </w:t>
      </w:r>
      <w:r>
        <w:rPr>
          <w:rFonts w:ascii="Calibri"/>
          <w:i/>
          <w:spacing w:val="-2"/>
          <w:sz w:val="20"/>
          <w:vertAlign w:val="baseline"/>
        </w:rPr>
        <w:t>supra</w:t>
      </w:r>
      <w:r>
        <w:rPr>
          <w:rFonts w:ascii="Calibri"/>
          <w:spacing w:val="-2"/>
          <w:sz w:val="20"/>
          <w:vertAlign w:val="baseline"/>
        </w:rPr>
        <w:t>.</w:t>
      </w:r>
    </w:p>
    <w:p>
      <w:pPr>
        <w:spacing w:before="0"/>
        <w:ind w:left="308" w:right="0" w:firstLine="0"/>
        <w:jc w:val="left"/>
        <w:rPr>
          <w:rFonts w:ascii="Calibri"/>
          <w:sz w:val="20"/>
        </w:rPr>
      </w:pPr>
      <w:r>
        <w:rPr>
          <w:rFonts w:ascii="Calibri"/>
          <w:sz w:val="20"/>
          <w:vertAlign w:val="superscript"/>
        </w:rPr>
        <w:t>147</w:t>
      </w:r>
      <w:r>
        <w:rPr>
          <w:rFonts w:ascii="Calibri"/>
          <w:i/>
          <w:sz w:val="20"/>
          <w:vertAlign w:val="baseline"/>
        </w:rPr>
        <w:t>Turquand</w:t>
      </w:r>
      <w:r>
        <w:rPr>
          <w:rFonts w:ascii="Calibri"/>
          <w:i/>
          <w:spacing w:val="-7"/>
          <w:sz w:val="20"/>
          <w:vertAlign w:val="baseline"/>
        </w:rPr>
        <w:t> </w:t>
      </w:r>
      <w:r>
        <w:rPr>
          <w:rFonts w:ascii="Calibri"/>
          <w:i/>
          <w:sz w:val="20"/>
          <w:vertAlign w:val="baseline"/>
        </w:rPr>
        <w:t>vs.</w:t>
      </w:r>
      <w:r>
        <w:rPr>
          <w:rFonts w:ascii="Calibri"/>
          <w:i/>
          <w:spacing w:val="-7"/>
          <w:sz w:val="20"/>
          <w:vertAlign w:val="baseline"/>
        </w:rPr>
        <w:t> </w:t>
      </w:r>
      <w:r>
        <w:rPr>
          <w:rFonts w:ascii="Calibri"/>
          <w:i/>
          <w:sz w:val="20"/>
          <w:vertAlign w:val="baseline"/>
        </w:rPr>
        <w:t>Marshall</w:t>
      </w:r>
      <w:r>
        <w:rPr>
          <w:rFonts w:ascii="Calibri"/>
          <w:i/>
          <w:spacing w:val="-4"/>
          <w:sz w:val="20"/>
          <w:vertAlign w:val="baseline"/>
        </w:rPr>
        <w:t> </w:t>
      </w:r>
      <w:r>
        <w:rPr>
          <w:rFonts w:ascii="Calibri"/>
          <w:sz w:val="20"/>
          <w:vertAlign w:val="baseline"/>
        </w:rPr>
        <w:t>(1869)</w:t>
      </w:r>
      <w:r>
        <w:rPr>
          <w:rFonts w:ascii="Calibri"/>
          <w:spacing w:val="-6"/>
          <w:sz w:val="20"/>
          <w:vertAlign w:val="baseline"/>
        </w:rPr>
        <w:t> </w:t>
      </w:r>
      <w:r>
        <w:rPr>
          <w:rFonts w:ascii="Calibri"/>
          <w:sz w:val="20"/>
          <w:vertAlign w:val="baseline"/>
        </w:rPr>
        <w:t>4</w:t>
      </w:r>
      <w:r>
        <w:rPr>
          <w:rFonts w:ascii="Calibri"/>
          <w:spacing w:val="-5"/>
          <w:sz w:val="20"/>
          <w:vertAlign w:val="baseline"/>
        </w:rPr>
        <w:t> </w:t>
      </w:r>
      <w:r>
        <w:rPr>
          <w:rFonts w:ascii="Calibri"/>
          <w:sz w:val="20"/>
          <w:vertAlign w:val="baseline"/>
        </w:rPr>
        <w:t>Ch.</w:t>
      </w:r>
      <w:r>
        <w:rPr>
          <w:rFonts w:ascii="Calibri"/>
          <w:spacing w:val="-2"/>
          <w:sz w:val="20"/>
          <w:vertAlign w:val="baseline"/>
        </w:rPr>
        <w:t> </w:t>
      </w:r>
      <w:r>
        <w:rPr>
          <w:rFonts w:ascii="Calibri"/>
          <w:sz w:val="20"/>
          <w:vertAlign w:val="baseline"/>
        </w:rPr>
        <w:t>App.</w:t>
      </w:r>
      <w:r>
        <w:rPr>
          <w:rFonts w:ascii="Calibri"/>
          <w:spacing w:val="-2"/>
          <w:sz w:val="20"/>
          <w:vertAlign w:val="baseline"/>
        </w:rPr>
        <w:t> </w:t>
      </w:r>
      <w:r>
        <w:rPr>
          <w:rFonts w:ascii="Calibri"/>
          <w:spacing w:val="-4"/>
          <w:sz w:val="20"/>
          <w:vertAlign w:val="baseline"/>
        </w:rPr>
        <w:t>376.</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27"/>
        <w:jc w:val="both"/>
      </w:pPr>
      <w:r>
        <w:rPr/>
        <w:t>their conduct of the entrepreneurial aspect of their functions.</w:t>
      </w:r>
      <w:r>
        <w:rPr>
          <w:vertAlign w:val="superscript"/>
        </w:rPr>
        <w:t>148</w:t>
      </w:r>
      <w:r>
        <w:rPr>
          <w:vertAlign w:val="baseline"/>
        </w:rPr>
        <w:t> It was thought that the common law gave directors a remarkable freedom to run companies incompetently.</w:t>
      </w:r>
      <w:r>
        <w:rPr>
          <w:vertAlign w:val="superscript"/>
        </w:rPr>
        <w:t>149</w:t>
      </w:r>
      <w:r>
        <w:rPr>
          <w:vertAlign w:val="baseline"/>
        </w:rPr>
        <w:t> For more discussions on these submissions and more, refer to </w:t>
      </w:r>
      <w:r>
        <w:rPr>
          <w:b/>
          <w:vertAlign w:val="baseline"/>
        </w:rPr>
        <w:t>3.3 </w:t>
      </w:r>
      <w:r>
        <w:rPr>
          <w:vertAlign w:val="baseline"/>
        </w:rPr>
        <w:t>supra.</w:t>
      </w:r>
    </w:p>
    <w:p>
      <w:pPr>
        <w:pStyle w:val="BodyText"/>
        <w:spacing w:line="480" w:lineRule="auto"/>
        <w:ind w:right="224" w:firstLine="720"/>
        <w:jc w:val="both"/>
      </w:pPr>
      <w:r>
        <w:rPr/>
        <w:t>Criticism of the aforementioned decisions as well as a change in perception of company management</w:t>
      </w:r>
      <w:r>
        <w:rPr>
          <w:vertAlign w:val="superscript"/>
        </w:rPr>
        <w:t>150</w:t>
      </w:r>
      <w:r>
        <w:rPr>
          <w:vertAlign w:val="baseline"/>
        </w:rPr>
        <w:t> in time combined to force the hand of the courts to begin to take a harder look at, and demand a higher standard of, services rendered by directors. Beginning from the decision in</w:t>
      </w:r>
      <w:r>
        <w:rPr>
          <w:b/>
          <w:vertAlign w:val="baseline"/>
        </w:rPr>
        <w:t>Dorchester Finance Co. Ltd vs. Stebbing,</w:t>
      </w:r>
      <w:r>
        <w:rPr>
          <w:vertAlign w:val="superscript"/>
        </w:rPr>
        <w:t>151</w:t>
      </w:r>
      <w:r>
        <w:rPr>
          <w:vertAlign w:val="baseline"/>
        </w:rPr>
        <w:t>the common law standard for directors began to change. In that case, the plaintiff, which was a money lending company, had three directors, S, P and H. S was involved in the affairs</w:t>
      </w:r>
      <w:r>
        <w:rPr>
          <w:spacing w:val="-3"/>
          <w:vertAlign w:val="baseline"/>
        </w:rPr>
        <w:t> </w:t>
      </w:r>
      <w:r>
        <w:rPr>
          <w:vertAlign w:val="baseline"/>
        </w:rPr>
        <w:t>of</w:t>
      </w:r>
      <w:r>
        <w:rPr>
          <w:spacing w:val="-8"/>
          <w:vertAlign w:val="baseline"/>
        </w:rPr>
        <w:t> </w:t>
      </w:r>
      <w:r>
        <w:rPr>
          <w:vertAlign w:val="baseline"/>
        </w:rPr>
        <w:t>the</w:t>
      </w:r>
      <w:r>
        <w:rPr>
          <w:spacing w:val="-2"/>
          <w:vertAlign w:val="baseline"/>
        </w:rPr>
        <w:t> </w:t>
      </w:r>
      <w:r>
        <w:rPr>
          <w:vertAlign w:val="baseline"/>
        </w:rPr>
        <w:t>company</w:t>
      </w:r>
      <w:r>
        <w:rPr>
          <w:spacing w:val="-6"/>
          <w:vertAlign w:val="baseline"/>
        </w:rPr>
        <w:t> </w:t>
      </w:r>
      <w:r>
        <w:rPr>
          <w:vertAlign w:val="baseline"/>
        </w:rPr>
        <w:t>on</w:t>
      </w:r>
      <w:r>
        <w:rPr>
          <w:spacing w:val="-6"/>
          <w:vertAlign w:val="baseline"/>
        </w:rPr>
        <w:t> </w:t>
      </w:r>
      <w:r>
        <w:rPr>
          <w:vertAlign w:val="baseline"/>
        </w:rPr>
        <w:t>a full-time basis, while P</w:t>
      </w:r>
      <w:r>
        <w:rPr>
          <w:spacing w:val="-1"/>
          <w:vertAlign w:val="baseline"/>
        </w:rPr>
        <w:t> </w:t>
      </w:r>
      <w:r>
        <w:rPr>
          <w:vertAlign w:val="baseline"/>
        </w:rPr>
        <w:t>and</w:t>
      </w:r>
      <w:r>
        <w:rPr>
          <w:spacing w:val="-1"/>
          <w:vertAlign w:val="baseline"/>
        </w:rPr>
        <w:t> </w:t>
      </w:r>
      <w:r>
        <w:rPr>
          <w:vertAlign w:val="baseline"/>
        </w:rPr>
        <w:t>H made</w:t>
      </w:r>
      <w:r>
        <w:rPr>
          <w:spacing w:val="-2"/>
          <w:vertAlign w:val="baseline"/>
        </w:rPr>
        <w:t> </w:t>
      </w:r>
      <w:r>
        <w:rPr>
          <w:vertAlign w:val="baseline"/>
        </w:rPr>
        <w:t>only</w:t>
      </w:r>
      <w:r>
        <w:rPr>
          <w:spacing w:val="-6"/>
          <w:vertAlign w:val="baseline"/>
        </w:rPr>
        <w:t> </w:t>
      </w:r>
      <w:r>
        <w:rPr>
          <w:vertAlign w:val="baseline"/>
        </w:rPr>
        <w:t>rare visits. S</w:t>
      </w:r>
      <w:r>
        <w:rPr>
          <w:spacing w:val="-1"/>
          <w:vertAlign w:val="baseline"/>
        </w:rPr>
        <w:t> </w:t>
      </w:r>
      <w:r>
        <w:rPr>
          <w:vertAlign w:val="baseline"/>
        </w:rPr>
        <w:t>and</w:t>
      </w:r>
      <w:r>
        <w:rPr>
          <w:spacing w:val="-1"/>
          <w:vertAlign w:val="baseline"/>
        </w:rPr>
        <w:t> </w:t>
      </w:r>
      <w:r>
        <w:rPr>
          <w:vertAlign w:val="baseline"/>
        </w:rPr>
        <w:t>P were qualified accountants and H, though in fact unqualified, also had considerable accountancy experience. At S‘ request, P and H signed blank cheques in the company‘s name which, unknown</w:t>
      </w:r>
      <w:r>
        <w:rPr>
          <w:spacing w:val="-5"/>
          <w:vertAlign w:val="baseline"/>
        </w:rPr>
        <w:t> </w:t>
      </w:r>
      <w:r>
        <w:rPr>
          <w:vertAlign w:val="baseline"/>
        </w:rPr>
        <w:t>to</w:t>
      </w:r>
      <w:r>
        <w:rPr>
          <w:spacing w:val="-1"/>
          <w:vertAlign w:val="baseline"/>
        </w:rPr>
        <w:t> </w:t>
      </w:r>
      <w:r>
        <w:rPr>
          <w:vertAlign w:val="baseline"/>
        </w:rPr>
        <w:t>them, enabled</w:t>
      </w:r>
      <w:r>
        <w:rPr>
          <w:spacing w:val="-1"/>
          <w:vertAlign w:val="baseline"/>
        </w:rPr>
        <w:t> </w:t>
      </w:r>
      <w:r>
        <w:rPr>
          <w:vertAlign w:val="baseline"/>
        </w:rPr>
        <w:t>S</w:t>
      </w:r>
      <w:r>
        <w:rPr>
          <w:spacing w:val="-1"/>
          <w:vertAlign w:val="baseline"/>
        </w:rPr>
        <w:t> </w:t>
      </w:r>
      <w:r>
        <w:rPr>
          <w:vertAlign w:val="baseline"/>
        </w:rPr>
        <w:t>to make unsecured loans</w:t>
      </w:r>
      <w:r>
        <w:rPr>
          <w:spacing w:val="-2"/>
          <w:vertAlign w:val="baseline"/>
        </w:rPr>
        <w:t> </w:t>
      </w:r>
      <w:r>
        <w:rPr>
          <w:vertAlign w:val="baseline"/>
        </w:rPr>
        <w:t>to</w:t>
      </w:r>
      <w:r>
        <w:rPr>
          <w:spacing w:val="-1"/>
          <w:vertAlign w:val="baseline"/>
        </w:rPr>
        <w:t> </w:t>
      </w:r>
      <w:r>
        <w:rPr>
          <w:vertAlign w:val="baseline"/>
        </w:rPr>
        <w:t>other persons and companies with whom he had some connection. Eventually, the loans could not be recovered by the company, which then brought an action against the three directors for alleged negligence and misappropriation of company‘s property.</w:t>
      </w:r>
    </w:p>
    <w:p>
      <w:pPr>
        <w:pStyle w:val="BodyText"/>
        <w:spacing w:line="480" w:lineRule="auto" w:before="3"/>
        <w:ind w:right="238" w:firstLine="720"/>
        <w:jc w:val="both"/>
      </w:pPr>
      <w:r>
        <w:rPr/>
        <w:t>Foster J. held all three liable, especially S who was said to have been grossly negligent. P and H were also held to have failed to exhibit the necessary skill and care</w:t>
      </w:r>
      <w:r>
        <w:rPr>
          <w:spacing w:val="80"/>
        </w:rPr>
        <w:t> </w:t>
      </w:r>
      <w:r>
        <w:rPr/>
        <w:t>in their duties even as non-executive directors. Apparently, it made no difference that the evidence showed that they had acted throughout in good faith. While their accountancy</w:t>
      </w:r>
      <w:r>
        <w:rPr>
          <w:spacing w:val="28"/>
        </w:rPr>
        <w:t> </w:t>
      </w:r>
      <w:r>
        <w:rPr/>
        <w:t>experience</w:t>
      </w:r>
      <w:r>
        <w:rPr>
          <w:spacing w:val="32"/>
        </w:rPr>
        <w:t> </w:t>
      </w:r>
      <w:r>
        <w:rPr/>
        <w:t>and</w:t>
      </w:r>
      <w:r>
        <w:rPr>
          <w:spacing w:val="38"/>
        </w:rPr>
        <w:t> </w:t>
      </w:r>
      <w:r>
        <w:rPr/>
        <w:t>qualification</w:t>
      </w:r>
      <w:r>
        <w:rPr>
          <w:spacing w:val="38"/>
        </w:rPr>
        <w:t> </w:t>
      </w:r>
      <w:r>
        <w:rPr/>
        <w:t>may</w:t>
      </w:r>
      <w:r>
        <w:rPr>
          <w:spacing w:val="33"/>
        </w:rPr>
        <w:t> </w:t>
      </w:r>
      <w:r>
        <w:rPr/>
        <w:t>have</w:t>
      </w:r>
      <w:r>
        <w:rPr>
          <w:spacing w:val="37"/>
        </w:rPr>
        <w:t> </w:t>
      </w:r>
      <w:r>
        <w:rPr/>
        <w:t>prompted</w:t>
      </w:r>
      <w:r>
        <w:rPr>
          <w:spacing w:val="33"/>
        </w:rPr>
        <w:t> </w:t>
      </w:r>
      <w:r>
        <w:rPr/>
        <w:t>the</w:t>
      </w:r>
      <w:r>
        <w:rPr>
          <w:spacing w:val="37"/>
        </w:rPr>
        <w:t> </w:t>
      </w:r>
      <w:r>
        <w:rPr/>
        <w:t>court</w:t>
      </w:r>
      <w:r>
        <w:rPr>
          <w:spacing w:val="34"/>
        </w:rPr>
        <w:t> </w:t>
      </w:r>
      <w:r>
        <w:rPr/>
        <w:t>to</w:t>
      </w:r>
      <w:r>
        <w:rPr>
          <w:spacing w:val="38"/>
        </w:rPr>
        <w:t> </w:t>
      </w:r>
      <w:r>
        <w:rPr/>
        <w:t>reach</w:t>
      </w:r>
      <w:r>
        <w:rPr>
          <w:spacing w:val="34"/>
        </w:rPr>
        <w:t> </w:t>
      </w:r>
      <w:r>
        <w:rPr>
          <w:spacing w:val="-4"/>
        </w:rPr>
        <w:t>this</w:t>
      </w:r>
    </w:p>
    <w:p>
      <w:pPr>
        <w:pStyle w:val="BodyText"/>
        <w:ind w:left="0"/>
        <w:rPr>
          <w:sz w:val="20"/>
        </w:rPr>
      </w:pPr>
    </w:p>
    <w:p>
      <w:pPr>
        <w:pStyle w:val="BodyText"/>
        <w:spacing w:before="111"/>
        <w:ind w:left="0"/>
        <w:rPr>
          <w:sz w:val="20"/>
        </w:rPr>
      </w:pPr>
      <w:r>
        <w:rPr/>
        <mc:AlternateContent>
          <mc:Choice Requires="wps">
            <w:drawing>
              <wp:anchor distT="0" distB="0" distL="0" distR="0" allowOverlap="1" layoutInCell="1" locked="0" behindDoc="1" simplePos="0" relativeHeight="487687680">
                <wp:simplePos x="0" y="0"/>
                <wp:positionH relativeFrom="page">
                  <wp:posOffset>1262481</wp:posOffset>
                </wp:positionH>
                <wp:positionV relativeFrom="paragraph">
                  <wp:posOffset>231777</wp:posOffset>
                </wp:positionV>
                <wp:extent cx="1829435" cy="9525"/>
                <wp:effectExtent l="0" t="0" r="0" b="0"/>
                <wp:wrapTopAndBottom/>
                <wp:docPr id="219" name="Graphic 219"/>
                <wp:cNvGraphicFramePr>
                  <a:graphicFrameLocks/>
                </wp:cNvGraphicFramePr>
                <a:graphic>
                  <a:graphicData uri="http://schemas.microsoft.com/office/word/2010/wordprocessingShape">
                    <wps:wsp>
                      <wps:cNvPr id="219" name="Graphic 21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250225pt;width:144.050pt;height:.71997pt;mso-position-horizontal-relative:page;mso-position-vertical-relative:paragraph;z-index:-15628800;mso-wrap-distance-left:0;mso-wrap-distance-right:0" id="docshape174" filled="true" fillcolor="#000000" stroked="false">
                <v:fill type="solid"/>
                <w10:wrap type="topAndBottom"/>
              </v:rect>
            </w:pict>
          </mc:Fallback>
        </mc:AlternateContent>
      </w:r>
    </w:p>
    <w:p>
      <w:pPr>
        <w:spacing w:before="97"/>
        <w:ind w:left="308" w:right="227" w:firstLine="0"/>
        <w:jc w:val="both"/>
        <w:rPr>
          <w:rFonts w:ascii="Calibri"/>
          <w:sz w:val="20"/>
        </w:rPr>
      </w:pPr>
      <w:r>
        <w:rPr>
          <w:rFonts w:ascii="Calibri"/>
          <w:sz w:val="20"/>
          <w:vertAlign w:val="superscript"/>
        </w:rPr>
        <w:t>148</w:t>
      </w:r>
      <w:r>
        <w:rPr>
          <w:rFonts w:ascii="Calibri"/>
          <w:sz w:val="20"/>
          <w:vertAlign w:val="baseline"/>
        </w:rPr>
        <w:t>Pettet, B. Common Law Duties of Care and Skill.Retrieved December 11, 2013, from </w:t>
      </w:r>
      <w:hyperlink r:id="rId55">
        <w:r>
          <w:rPr>
            <w:rFonts w:ascii="Calibri"/>
            <w:color w:val="0000FF"/>
            <w:sz w:val="20"/>
            <w:u w:val="single" w:color="0000FF"/>
            <w:vertAlign w:val="baseline"/>
          </w:rPr>
          <w:t>http://law.oxy.co/common-law-duties-of-care-and-skill-93650/</w:t>
        </w:r>
        <w:r>
          <w:rPr>
            <w:rFonts w:ascii="Calibri"/>
            <w:sz w:val="20"/>
            <w:vertAlign w:val="baseline"/>
          </w:rPr>
          <w:t>.</w:t>
        </w:r>
      </w:hyperlink>
      <w:r>
        <w:rPr>
          <w:rFonts w:ascii="Calibri"/>
          <w:sz w:val="20"/>
          <w:vertAlign w:val="baseline"/>
        </w:rPr>
        <w:t> This is coupled with the fact that shareholders are hampered by the rule in Foss vs. Harbottle in instituting actions against directors.</w:t>
      </w:r>
    </w:p>
    <w:p>
      <w:pPr>
        <w:spacing w:before="3"/>
        <w:ind w:left="308" w:right="0" w:firstLine="0"/>
        <w:jc w:val="both"/>
        <w:rPr>
          <w:rFonts w:ascii="Calibri"/>
          <w:sz w:val="20"/>
        </w:rPr>
      </w:pPr>
      <w:r>
        <w:rPr>
          <w:rFonts w:ascii="Calibri"/>
          <w:sz w:val="20"/>
          <w:vertAlign w:val="superscript"/>
        </w:rPr>
        <w:t>149</w:t>
      </w:r>
      <w:r>
        <w:rPr>
          <w:rFonts w:ascii="Calibri"/>
          <w:spacing w:val="1"/>
          <w:sz w:val="20"/>
          <w:vertAlign w:val="baseline"/>
        </w:rPr>
        <w:t> </w:t>
      </w:r>
      <w:r>
        <w:rPr>
          <w:rFonts w:ascii="Calibri"/>
          <w:sz w:val="20"/>
          <w:vertAlign w:val="baseline"/>
        </w:rPr>
        <w:t>Finch,</w:t>
      </w:r>
      <w:r>
        <w:rPr>
          <w:rFonts w:ascii="Calibri"/>
          <w:spacing w:val="-7"/>
          <w:sz w:val="20"/>
          <w:vertAlign w:val="baseline"/>
        </w:rPr>
        <w:t> </w:t>
      </w:r>
      <w:r>
        <w:rPr>
          <w:rFonts w:ascii="Calibri"/>
          <w:sz w:val="20"/>
          <w:vertAlign w:val="baseline"/>
        </w:rPr>
        <w:t>V.</w:t>
      </w:r>
      <w:r>
        <w:rPr>
          <w:rFonts w:ascii="Calibri"/>
          <w:spacing w:val="-4"/>
          <w:sz w:val="20"/>
          <w:vertAlign w:val="baseline"/>
        </w:rPr>
        <w:t> </w:t>
      </w:r>
      <w:r>
        <w:rPr>
          <w:rFonts w:ascii="Calibri"/>
          <w:sz w:val="20"/>
          <w:vertAlign w:val="baseline"/>
        </w:rPr>
        <w:t>Op.cit.,</w:t>
      </w:r>
      <w:r>
        <w:rPr>
          <w:rFonts w:ascii="Calibri"/>
          <w:spacing w:val="-7"/>
          <w:sz w:val="20"/>
          <w:vertAlign w:val="baseline"/>
        </w:rPr>
        <w:t> </w:t>
      </w:r>
      <w:r>
        <w:rPr>
          <w:rFonts w:ascii="Calibri"/>
          <w:sz w:val="20"/>
          <w:vertAlign w:val="baseline"/>
        </w:rPr>
        <w:t>at</w:t>
      </w:r>
      <w:r>
        <w:rPr>
          <w:rFonts w:ascii="Calibri"/>
          <w:spacing w:val="-1"/>
          <w:sz w:val="20"/>
          <w:vertAlign w:val="baseline"/>
        </w:rPr>
        <w:t> </w:t>
      </w:r>
      <w:r>
        <w:rPr>
          <w:rFonts w:ascii="Calibri"/>
          <w:sz w:val="20"/>
          <w:vertAlign w:val="baseline"/>
        </w:rPr>
        <w:t>p.</w:t>
      </w:r>
      <w:r>
        <w:rPr>
          <w:rFonts w:ascii="Calibri"/>
          <w:spacing w:val="-3"/>
          <w:sz w:val="20"/>
          <w:vertAlign w:val="baseline"/>
        </w:rPr>
        <w:t> </w:t>
      </w:r>
      <w:r>
        <w:rPr>
          <w:rFonts w:ascii="Calibri"/>
          <w:spacing w:val="-4"/>
          <w:sz w:val="20"/>
          <w:vertAlign w:val="baseline"/>
        </w:rPr>
        <w:t>179.</w:t>
      </w:r>
    </w:p>
    <w:p>
      <w:pPr>
        <w:spacing w:before="0"/>
        <w:ind w:left="308" w:right="230" w:firstLine="0"/>
        <w:jc w:val="both"/>
        <w:rPr>
          <w:rFonts w:ascii="Calibri"/>
          <w:sz w:val="20"/>
        </w:rPr>
      </w:pPr>
      <w:r>
        <w:rPr>
          <w:rFonts w:ascii="Calibri"/>
          <w:sz w:val="20"/>
          <w:vertAlign w:val="superscript"/>
        </w:rPr>
        <w:t>150</w:t>
      </w:r>
      <w:r>
        <w:rPr>
          <w:rFonts w:ascii="Calibri"/>
          <w:sz w:val="20"/>
          <w:vertAlign w:val="baseline"/>
        </w:rPr>
        <w:t>Mainly arising from indications of a new statutory interest in responsible management and by developments at European Community level, in North America and in the Commonwealth.</w:t>
      </w:r>
    </w:p>
    <w:p>
      <w:pPr>
        <w:spacing w:before="2"/>
        <w:ind w:left="308" w:right="0" w:firstLine="0"/>
        <w:jc w:val="both"/>
        <w:rPr>
          <w:rFonts w:ascii="Calibri"/>
          <w:sz w:val="20"/>
        </w:rPr>
      </w:pPr>
      <w:r>
        <w:rPr>
          <w:rFonts w:ascii="Calibri"/>
          <w:sz w:val="20"/>
          <w:vertAlign w:val="superscript"/>
        </w:rPr>
        <w:t>151</w:t>
      </w:r>
      <w:r>
        <w:rPr>
          <w:rFonts w:ascii="Calibri"/>
          <w:sz w:val="20"/>
          <w:vertAlign w:val="baseline"/>
        </w:rPr>
        <w:t> Decided</w:t>
      </w:r>
      <w:r>
        <w:rPr>
          <w:rFonts w:ascii="Calibri"/>
          <w:spacing w:val="-7"/>
          <w:sz w:val="20"/>
          <w:vertAlign w:val="baseline"/>
        </w:rPr>
        <w:t> </w:t>
      </w:r>
      <w:r>
        <w:rPr>
          <w:rFonts w:ascii="Calibri"/>
          <w:sz w:val="20"/>
          <w:vertAlign w:val="baseline"/>
        </w:rPr>
        <w:t>in</w:t>
      </w:r>
      <w:r>
        <w:rPr>
          <w:rFonts w:ascii="Calibri"/>
          <w:spacing w:val="-1"/>
          <w:sz w:val="20"/>
          <w:vertAlign w:val="baseline"/>
        </w:rPr>
        <w:t> </w:t>
      </w:r>
      <w:r>
        <w:rPr>
          <w:rFonts w:ascii="Calibri"/>
          <w:sz w:val="20"/>
          <w:vertAlign w:val="baseline"/>
        </w:rPr>
        <w:t>1977,</w:t>
      </w:r>
      <w:r>
        <w:rPr>
          <w:rFonts w:ascii="Calibri"/>
          <w:spacing w:val="-4"/>
          <w:sz w:val="20"/>
          <w:vertAlign w:val="baseline"/>
        </w:rPr>
        <w:t> </w:t>
      </w:r>
      <w:r>
        <w:rPr>
          <w:rFonts w:ascii="Calibri"/>
          <w:sz w:val="20"/>
          <w:vertAlign w:val="baseline"/>
        </w:rPr>
        <w:t>but</w:t>
      </w:r>
      <w:r>
        <w:rPr>
          <w:rFonts w:ascii="Calibri"/>
          <w:spacing w:val="-7"/>
          <w:sz w:val="20"/>
          <w:vertAlign w:val="baseline"/>
        </w:rPr>
        <w:t> </w:t>
      </w:r>
      <w:r>
        <w:rPr>
          <w:rFonts w:ascii="Calibri"/>
          <w:sz w:val="20"/>
          <w:vertAlign w:val="baseline"/>
        </w:rPr>
        <w:t>reported</w:t>
      </w:r>
      <w:r>
        <w:rPr>
          <w:rFonts w:ascii="Calibri"/>
          <w:spacing w:val="-5"/>
          <w:sz w:val="20"/>
          <w:vertAlign w:val="baseline"/>
        </w:rPr>
        <w:t> </w:t>
      </w:r>
      <w:r>
        <w:rPr>
          <w:rFonts w:ascii="Calibri"/>
          <w:sz w:val="20"/>
          <w:vertAlign w:val="baseline"/>
        </w:rPr>
        <w:t>much</w:t>
      </w:r>
      <w:r>
        <w:rPr>
          <w:rFonts w:ascii="Calibri"/>
          <w:spacing w:val="-7"/>
          <w:sz w:val="20"/>
          <w:vertAlign w:val="baseline"/>
        </w:rPr>
        <w:t> </w:t>
      </w:r>
      <w:r>
        <w:rPr>
          <w:rFonts w:ascii="Calibri"/>
          <w:sz w:val="20"/>
          <w:vertAlign w:val="baseline"/>
        </w:rPr>
        <w:t>later:</w:t>
      </w:r>
      <w:r>
        <w:rPr>
          <w:rFonts w:ascii="Calibri"/>
          <w:spacing w:val="-7"/>
          <w:sz w:val="20"/>
          <w:vertAlign w:val="baseline"/>
        </w:rPr>
        <w:t> </w:t>
      </w:r>
      <w:r>
        <w:rPr>
          <w:rFonts w:ascii="Calibri"/>
          <w:sz w:val="20"/>
          <w:vertAlign w:val="baseline"/>
        </w:rPr>
        <w:t>(1989)</w:t>
      </w:r>
      <w:r>
        <w:rPr>
          <w:rFonts w:ascii="Calibri"/>
          <w:spacing w:val="-4"/>
          <w:sz w:val="20"/>
          <w:vertAlign w:val="baseline"/>
        </w:rPr>
        <w:t> </w:t>
      </w:r>
      <w:r>
        <w:rPr>
          <w:rFonts w:ascii="Calibri"/>
          <w:sz w:val="20"/>
          <w:vertAlign w:val="baseline"/>
        </w:rPr>
        <w:t>BCLC</w:t>
      </w:r>
      <w:r>
        <w:rPr>
          <w:rFonts w:ascii="Calibri"/>
          <w:spacing w:val="-8"/>
          <w:sz w:val="20"/>
          <w:vertAlign w:val="baseline"/>
        </w:rPr>
        <w:t> </w:t>
      </w:r>
      <w:r>
        <w:rPr>
          <w:rFonts w:ascii="Calibri"/>
          <w:spacing w:val="-4"/>
          <w:sz w:val="20"/>
          <w:vertAlign w:val="baseline"/>
        </w:rPr>
        <w:t>498.</w:t>
      </w:r>
    </w:p>
    <w:p>
      <w:pPr>
        <w:spacing w:after="0"/>
        <w:jc w:val="both"/>
        <w:rPr>
          <w:rFonts w:ascii="Calibri"/>
          <w:sz w:val="20"/>
        </w:rPr>
        <w:sectPr>
          <w:pgSz w:w="11910" w:h="16840"/>
          <w:pgMar w:header="0" w:footer="1003" w:top="1280" w:bottom="1200" w:left="1680" w:right="1180"/>
        </w:sectPr>
      </w:pPr>
    </w:p>
    <w:p>
      <w:pPr>
        <w:pStyle w:val="BodyText"/>
        <w:spacing w:line="480" w:lineRule="auto" w:before="110"/>
        <w:ind w:right="233"/>
        <w:jc w:val="both"/>
      </w:pPr>
      <w:r>
        <w:rPr/>
        <w:t>conclusion,</w:t>
      </w:r>
      <w:r>
        <w:rPr>
          <w:vertAlign w:val="superscript"/>
        </w:rPr>
        <w:t>152</w:t>
      </w:r>
      <w:r>
        <w:rPr>
          <w:vertAlign w:val="baseline"/>
        </w:rPr>
        <w:t> the judge stressed the fact that as far as directors duties were concerned, there was no distinction to be drawn between executive and non-executive directors. It can therefore not be said with certainty that the court would not have come to the same conclusion had the directors not been so qualified.</w:t>
      </w:r>
    </w:p>
    <w:p>
      <w:pPr>
        <w:pStyle w:val="BodyText"/>
        <w:spacing w:line="480" w:lineRule="auto"/>
        <w:ind w:right="223" w:firstLine="720"/>
        <w:jc w:val="both"/>
      </w:pPr>
      <w:r>
        <w:rPr/>
        <w:t>This was certainly a marked departure from the earlier cases of the late nineteenth century. Unlike the decision of Neville J.</w:t>
      </w:r>
      <w:r>
        <w:rPr>
          <w:vertAlign w:val="superscript"/>
        </w:rPr>
        <w:t>153</w:t>
      </w:r>
      <w:r>
        <w:rPr>
          <w:vertAlign w:val="baseline"/>
        </w:rPr>
        <w:t> that one could take up the directorship of a rubber company in complete ignorance of anything connected to</w:t>
      </w:r>
      <w:r>
        <w:rPr>
          <w:spacing w:val="80"/>
          <w:vertAlign w:val="baseline"/>
        </w:rPr>
        <w:t> </w:t>
      </w:r>
      <w:r>
        <w:rPr>
          <w:vertAlign w:val="baseline"/>
        </w:rPr>
        <w:t>rubber without accruing responsibility for any mistakes resulting from such ignorance, the English court in </w:t>
      </w:r>
      <w:r>
        <w:rPr>
          <w:b/>
          <w:vertAlign w:val="baseline"/>
        </w:rPr>
        <w:t>Re Barings Plc. (No. 5)</w:t>
      </w:r>
      <w:r>
        <w:rPr>
          <w:vertAlign w:val="baseline"/>
        </w:rPr>
        <w:t>,</w:t>
      </w:r>
      <w:r>
        <w:rPr>
          <w:vertAlign w:val="superscript"/>
        </w:rPr>
        <w:t>154</w:t>
      </w:r>
      <w:r>
        <w:rPr>
          <w:vertAlign w:val="baseline"/>
        </w:rPr>
        <w:t> ruled that ―directors have, both collectively and individually, a continuing duty to acquire and maintain a sufficient knowledge and understanding of the company‘s business to enable them properly to discharge their duties as directors.‖ Clearly, the courts were beginning to have a rethink of their past decisions.</w:t>
      </w:r>
    </w:p>
    <w:p>
      <w:pPr>
        <w:pStyle w:val="BodyText"/>
        <w:spacing w:line="480" w:lineRule="auto" w:before="2"/>
        <w:ind w:right="228" w:firstLine="720"/>
        <w:jc w:val="both"/>
      </w:pPr>
      <w:r>
        <w:rPr/>
        <mc:AlternateContent>
          <mc:Choice Requires="wps">
            <w:drawing>
              <wp:anchor distT="0" distB="0" distL="0" distR="0" allowOverlap="1" layoutInCell="1" locked="0" behindDoc="0" simplePos="0" relativeHeight="15828992">
                <wp:simplePos x="0" y="0"/>
                <wp:positionH relativeFrom="page">
                  <wp:posOffset>1262481</wp:posOffset>
                </wp:positionH>
                <wp:positionV relativeFrom="paragraph">
                  <wp:posOffset>3491489</wp:posOffset>
                </wp:positionV>
                <wp:extent cx="1829435" cy="9525"/>
                <wp:effectExtent l="0" t="0" r="0" b="0"/>
                <wp:wrapNone/>
                <wp:docPr id="220" name="Graphic 220"/>
                <wp:cNvGraphicFramePr>
                  <a:graphicFrameLocks/>
                </wp:cNvGraphicFramePr>
                <a:graphic>
                  <a:graphicData uri="http://schemas.microsoft.com/office/word/2010/wordprocessingShape">
                    <wps:wsp>
                      <wps:cNvPr id="220" name="Graphic 22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74.920441pt;width:144.050pt;height:.72003pt;mso-position-horizontal-relative:page;mso-position-vertical-relative:paragraph;z-index:15828992" id="docshape175" filled="true" fillcolor="#000000" stroked="false">
                <v:fill type="solid"/>
                <w10:wrap type="none"/>
              </v:rect>
            </w:pict>
          </mc:Fallback>
        </mc:AlternateContent>
      </w:r>
      <w:r>
        <w:rPr/>
        <w:t>Another case which at once showed a marked departure from the earlier</w:t>
      </w:r>
      <w:r>
        <w:rPr>
          <w:spacing w:val="40"/>
        </w:rPr>
        <w:t> </w:t>
      </w:r>
      <w:r>
        <w:rPr/>
        <w:t>common law position and set the format for the present standard under the Act, is </w:t>
      </w:r>
      <w:r>
        <w:rPr>
          <w:b/>
        </w:rPr>
        <w:t>Norman vs. Theodore Goddard</w:t>
      </w:r>
      <w:r>
        <w:rPr>
          <w:vertAlign w:val="superscript"/>
        </w:rPr>
        <w:t>155</w:t>
      </w:r>
      <w:r>
        <w:rPr>
          <w:vertAlign w:val="baseline"/>
        </w:rPr>
        <w:t> which was followed by </w:t>
      </w:r>
      <w:r>
        <w:rPr>
          <w:b/>
          <w:vertAlign w:val="baseline"/>
        </w:rPr>
        <w:t>ReD’Jan of London Ltd.</w:t>
      </w:r>
      <w:r>
        <w:rPr>
          <w:vertAlign w:val="baseline"/>
        </w:rPr>
        <w:t>,</w:t>
      </w:r>
      <w:r>
        <w:rPr>
          <w:vertAlign w:val="superscript"/>
        </w:rPr>
        <w:t>156</w:t>
      </w:r>
      <w:r>
        <w:rPr>
          <w:vertAlign w:val="baseline"/>
        </w:rPr>
        <w:t>all decided by the same judge, who held similarly in both cases that s. 214(4) of the</w:t>
      </w:r>
      <w:r>
        <w:rPr>
          <w:spacing w:val="-2"/>
          <w:vertAlign w:val="baseline"/>
        </w:rPr>
        <w:t> </w:t>
      </w:r>
      <w:r>
        <w:rPr>
          <w:vertAlign w:val="baseline"/>
        </w:rPr>
        <w:t>Insolvency</w:t>
      </w:r>
      <w:r>
        <w:rPr>
          <w:spacing w:val="-1"/>
          <w:vertAlign w:val="baseline"/>
        </w:rPr>
        <w:t> </w:t>
      </w:r>
      <w:r>
        <w:rPr>
          <w:vertAlign w:val="baseline"/>
        </w:rPr>
        <w:t>Act 1986 in</w:t>
      </w:r>
      <w:r>
        <w:rPr>
          <w:spacing w:val="-6"/>
          <w:vertAlign w:val="baseline"/>
        </w:rPr>
        <w:t> </w:t>
      </w:r>
      <w:r>
        <w:rPr>
          <w:vertAlign w:val="baseline"/>
        </w:rPr>
        <w:t>relation</w:t>
      </w:r>
      <w:r>
        <w:rPr>
          <w:spacing w:val="-6"/>
          <w:vertAlign w:val="baseline"/>
        </w:rPr>
        <w:t> </w:t>
      </w:r>
      <w:r>
        <w:rPr>
          <w:vertAlign w:val="baseline"/>
        </w:rPr>
        <w:t>to wrongful</w:t>
      </w:r>
      <w:r>
        <w:rPr>
          <w:spacing w:val="-6"/>
          <w:vertAlign w:val="baseline"/>
        </w:rPr>
        <w:t> </w:t>
      </w:r>
      <w:r>
        <w:rPr>
          <w:vertAlign w:val="baseline"/>
        </w:rPr>
        <w:t>trading, properly</w:t>
      </w:r>
      <w:r>
        <w:rPr>
          <w:spacing w:val="-6"/>
          <w:vertAlign w:val="baseline"/>
        </w:rPr>
        <w:t> </w:t>
      </w:r>
      <w:r>
        <w:rPr>
          <w:vertAlign w:val="baseline"/>
        </w:rPr>
        <w:t>expressed</w:t>
      </w:r>
      <w:r>
        <w:rPr>
          <w:spacing w:val="-1"/>
          <w:vertAlign w:val="baseline"/>
        </w:rPr>
        <w:t> </w:t>
      </w:r>
      <w:r>
        <w:rPr>
          <w:vertAlign w:val="baseline"/>
        </w:rPr>
        <w:t>the standard to be expected of</w:t>
      </w:r>
      <w:r>
        <w:rPr>
          <w:spacing w:val="-4"/>
          <w:vertAlign w:val="baseline"/>
        </w:rPr>
        <w:t> </w:t>
      </w:r>
      <w:r>
        <w:rPr>
          <w:vertAlign w:val="baseline"/>
        </w:rPr>
        <w:t>directors in</w:t>
      </w:r>
      <w:r>
        <w:rPr>
          <w:spacing w:val="-1"/>
          <w:vertAlign w:val="baseline"/>
        </w:rPr>
        <w:t> </w:t>
      </w:r>
      <w:r>
        <w:rPr>
          <w:vertAlign w:val="baseline"/>
        </w:rPr>
        <w:t>the discharge of</w:t>
      </w:r>
      <w:r>
        <w:rPr>
          <w:spacing w:val="-4"/>
          <w:vertAlign w:val="baseline"/>
        </w:rPr>
        <w:t> </w:t>
      </w:r>
      <w:r>
        <w:rPr>
          <w:vertAlign w:val="baseline"/>
        </w:rPr>
        <w:t>their duties.</w:t>
      </w:r>
      <w:r>
        <w:rPr>
          <w:spacing w:val="16"/>
          <w:vertAlign w:val="baseline"/>
        </w:rPr>
        <w:t> </w:t>
      </w:r>
      <w:r>
        <w:rPr>
          <w:vertAlign w:val="baseline"/>
        </w:rPr>
        <w:t>The said s. 214applies where a company has gone into insolvent liquidation and, at some time before the commencement of the winding up, a director knew or ought to have concluded that</w:t>
      </w:r>
      <w:r>
        <w:rPr>
          <w:spacing w:val="40"/>
          <w:vertAlign w:val="baseline"/>
        </w:rPr>
        <w:t> </w:t>
      </w:r>
      <w:r>
        <w:rPr>
          <w:vertAlign w:val="baseline"/>
        </w:rPr>
        <w:t>there was no reasonable prospect of avoiding insolvent liquidation. If the director does not</w:t>
      </w:r>
      <w:r>
        <w:rPr>
          <w:spacing w:val="23"/>
          <w:vertAlign w:val="baseline"/>
        </w:rPr>
        <w:t> </w:t>
      </w:r>
      <w:r>
        <w:rPr>
          <w:vertAlign w:val="baseline"/>
        </w:rPr>
        <w:t>convince</w:t>
      </w:r>
      <w:r>
        <w:rPr>
          <w:spacing w:val="18"/>
          <w:vertAlign w:val="baseline"/>
        </w:rPr>
        <w:t> </w:t>
      </w:r>
      <w:r>
        <w:rPr>
          <w:vertAlign w:val="baseline"/>
        </w:rPr>
        <w:t>the</w:t>
      </w:r>
      <w:r>
        <w:rPr>
          <w:spacing w:val="22"/>
          <w:vertAlign w:val="baseline"/>
        </w:rPr>
        <w:t> </w:t>
      </w:r>
      <w:r>
        <w:rPr>
          <w:vertAlign w:val="baseline"/>
        </w:rPr>
        <w:t>court</w:t>
      </w:r>
      <w:r>
        <w:rPr>
          <w:spacing w:val="19"/>
          <w:vertAlign w:val="baseline"/>
        </w:rPr>
        <w:t> </w:t>
      </w:r>
      <w:r>
        <w:rPr>
          <w:vertAlign w:val="baseline"/>
        </w:rPr>
        <w:t>that</w:t>
      </w:r>
      <w:r>
        <w:rPr>
          <w:spacing w:val="23"/>
          <w:vertAlign w:val="baseline"/>
        </w:rPr>
        <w:t> </w:t>
      </w:r>
      <w:r>
        <w:rPr>
          <w:vertAlign w:val="baseline"/>
        </w:rPr>
        <w:t>he</w:t>
      </w:r>
      <w:r>
        <w:rPr>
          <w:spacing w:val="18"/>
          <w:vertAlign w:val="baseline"/>
        </w:rPr>
        <w:t> </w:t>
      </w:r>
      <w:r>
        <w:rPr>
          <w:vertAlign w:val="baseline"/>
        </w:rPr>
        <w:t>took</w:t>
      </w:r>
      <w:r>
        <w:rPr>
          <w:spacing w:val="19"/>
          <w:vertAlign w:val="baseline"/>
        </w:rPr>
        <w:t> </w:t>
      </w:r>
      <w:r>
        <w:rPr>
          <w:vertAlign w:val="baseline"/>
        </w:rPr>
        <w:t>every</w:t>
      </w:r>
      <w:r>
        <w:rPr>
          <w:spacing w:val="14"/>
          <w:vertAlign w:val="baseline"/>
        </w:rPr>
        <w:t> </w:t>
      </w:r>
      <w:r>
        <w:rPr>
          <w:vertAlign w:val="baseline"/>
        </w:rPr>
        <w:t>step</w:t>
      </w:r>
      <w:r>
        <w:rPr>
          <w:spacing w:val="19"/>
          <w:vertAlign w:val="baseline"/>
        </w:rPr>
        <w:t> </w:t>
      </w:r>
      <w:r>
        <w:rPr>
          <w:vertAlign w:val="baseline"/>
        </w:rPr>
        <w:t>he</w:t>
      </w:r>
      <w:r>
        <w:rPr>
          <w:spacing w:val="21"/>
          <w:vertAlign w:val="baseline"/>
        </w:rPr>
        <w:t> </w:t>
      </w:r>
      <w:r>
        <w:rPr>
          <w:vertAlign w:val="baseline"/>
        </w:rPr>
        <w:t>ought</w:t>
      </w:r>
      <w:r>
        <w:rPr>
          <w:spacing w:val="19"/>
          <w:vertAlign w:val="baseline"/>
        </w:rPr>
        <w:t> </w:t>
      </w:r>
      <w:r>
        <w:rPr>
          <w:vertAlign w:val="baseline"/>
        </w:rPr>
        <w:t>to</w:t>
      </w:r>
      <w:r>
        <w:rPr>
          <w:spacing w:val="23"/>
          <w:vertAlign w:val="baseline"/>
        </w:rPr>
        <w:t> </w:t>
      </w:r>
      <w:r>
        <w:rPr>
          <w:vertAlign w:val="baseline"/>
        </w:rPr>
        <w:t>have</w:t>
      </w:r>
      <w:r>
        <w:rPr>
          <w:spacing w:val="18"/>
          <w:vertAlign w:val="baseline"/>
        </w:rPr>
        <w:t> </w:t>
      </w:r>
      <w:r>
        <w:rPr>
          <w:vertAlign w:val="baseline"/>
        </w:rPr>
        <w:t>taken</w:t>
      </w:r>
      <w:r>
        <w:rPr>
          <w:spacing w:val="14"/>
          <w:vertAlign w:val="baseline"/>
        </w:rPr>
        <w:t> </w:t>
      </w:r>
      <w:r>
        <w:rPr>
          <w:vertAlign w:val="baseline"/>
        </w:rPr>
        <w:t>to</w:t>
      </w:r>
      <w:r>
        <w:rPr>
          <w:spacing w:val="22"/>
          <w:vertAlign w:val="baseline"/>
        </w:rPr>
        <w:t> </w:t>
      </w:r>
      <w:r>
        <w:rPr>
          <w:vertAlign w:val="baseline"/>
        </w:rPr>
        <w:t>minimise</w:t>
      </w:r>
      <w:r>
        <w:rPr>
          <w:spacing w:val="18"/>
          <w:vertAlign w:val="baseline"/>
        </w:rPr>
        <w:t> </w:t>
      </w:r>
      <w:r>
        <w:rPr>
          <w:vertAlign w:val="baseline"/>
        </w:rPr>
        <w:t>the</w:t>
      </w:r>
    </w:p>
    <w:p>
      <w:pPr>
        <w:spacing w:before="94"/>
        <w:ind w:left="308" w:right="0" w:firstLine="0"/>
        <w:jc w:val="left"/>
        <w:rPr>
          <w:rFonts w:ascii="Calibri"/>
          <w:sz w:val="20"/>
        </w:rPr>
      </w:pPr>
      <w:r>
        <w:rPr>
          <w:rFonts w:ascii="Calibri"/>
          <w:sz w:val="20"/>
          <w:vertAlign w:val="superscript"/>
        </w:rPr>
        <w:t>152</w:t>
      </w:r>
      <w:r>
        <w:rPr>
          <w:rFonts w:ascii="Calibri"/>
          <w:sz w:val="20"/>
          <w:vertAlign w:val="baseline"/>
        </w:rPr>
        <w:t>Wild,</w:t>
      </w:r>
      <w:r>
        <w:rPr>
          <w:rFonts w:ascii="Calibri"/>
          <w:spacing w:val="-5"/>
          <w:sz w:val="20"/>
          <w:vertAlign w:val="baseline"/>
        </w:rPr>
        <w:t> </w:t>
      </w:r>
      <w:r>
        <w:rPr>
          <w:rFonts w:ascii="Calibri"/>
          <w:sz w:val="20"/>
          <w:vertAlign w:val="baseline"/>
        </w:rPr>
        <w:t>C.</w:t>
      </w:r>
      <w:r>
        <w:rPr>
          <w:rFonts w:ascii="Calibri"/>
          <w:spacing w:val="-5"/>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Weinstein,</w:t>
      </w:r>
      <w:r>
        <w:rPr>
          <w:rFonts w:ascii="Calibri"/>
          <w:spacing w:val="-4"/>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op.cit.at</w:t>
      </w:r>
      <w:r>
        <w:rPr>
          <w:rFonts w:ascii="Calibri"/>
          <w:spacing w:val="-6"/>
          <w:sz w:val="20"/>
          <w:vertAlign w:val="baseline"/>
        </w:rPr>
        <w:t> </w:t>
      </w:r>
      <w:r>
        <w:rPr>
          <w:rFonts w:ascii="Calibri"/>
          <w:sz w:val="20"/>
          <w:vertAlign w:val="baseline"/>
        </w:rPr>
        <w:t>p.</w:t>
      </w:r>
      <w:r>
        <w:rPr>
          <w:rFonts w:ascii="Calibri"/>
          <w:spacing w:val="-5"/>
          <w:sz w:val="20"/>
          <w:vertAlign w:val="baseline"/>
        </w:rPr>
        <w:t> </w:t>
      </w:r>
      <w:r>
        <w:rPr>
          <w:rFonts w:ascii="Calibri"/>
          <w:sz w:val="20"/>
          <w:vertAlign w:val="baseline"/>
        </w:rPr>
        <w:t>339;</w:t>
      </w:r>
      <w:r>
        <w:rPr>
          <w:rFonts w:ascii="Calibri"/>
          <w:spacing w:val="-3"/>
          <w:sz w:val="20"/>
          <w:vertAlign w:val="baseline"/>
        </w:rPr>
        <w:t> </w:t>
      </w:r>
      <w:r>
        <w:rPr>
          <w:rFonts w:ascii="Calibri"/>
          <w:sz w:val="20"/>
          <w:vertAlign w:val="baseline"/>
        </w:rPr>
        <w:t>Finch</w:t>
      </w:r>
      <w:r>
        <w:rPr>
          <w:rFonts w:ascii="Calibri"/>
          <w:spacing w:val="-7"/>
          <w:sz w:val="20"/>
          <w:vertAlign w:val="baseline"/>
        </w:rPr>
        <w:t> </w:t>
      </w:r>
      <w:r>
        <w:rPr>
          <w:rFonts w:ascii="Calibri"/>
          <w:sz w:val="20"/>
          <w:vertAlign w:val="baseline"/>
        </w:rPr>
        <w:t>V.</w:t>
      </w:r>
      <w:r>
        <w:rPr>
          <w:rFonts w:ascii="Calibri"/>
          <w:spacing w:val="-5"/>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201.</w:t>
      </w:r>
    </w:p>
    <w:p>
      <w:pPr>
        <w:spacing w:before="1"/>
        <w:ind w:left="308" w:right="0" w:firstLine="0"/>
        <w:jc w:val="left"/>
        <w:rPr>
          <w:rFonts w:ascii="Calibri"/>
          <w:sz w:val="20"/>
        </w:rPr>
      </w:pPr>
      <w:r>
        <w:rPr>
          <w:rFonts w:ascii="Calibri"/>
          <w:sz w:val="20"/>
          <w:vertAlign w:val="superscript"/>
        </w:rPr>
        <w:t>153</w:t>
      </w:r>
      <w:r>
        <w:rPr>
          <w:rFonts w:ascii="Calibri"/>
          <w:i/>
          <w:sz w:val="20"/>
          <w:vertAlign w:val="baseline"/>
        </w:rPr>
        <w:t>Re</w:t>
      </w:r>
      <w:r>
        <w:rPr>
          <w:rFonts w:ascii="Calibri"/>
          <w:i/>
          <w:spacing w:val="-4"/>
          <w:sz w:val="20"/>
          <w:vertAlign w:val="baseline"/>
        </w:rPr>
        <w:t> </w:t>
      </w:r>
      <w:r>
        <w:rPr>
          <w:rFonts w:ascii="Calibri"/>
          <w:i/>
          <w:sz w:val="20"/>
          <w:vertAlign w:val="baseline"/>
        </w:rPr>
        <w:t>Brazilian</w:t>
      </w:r>
      <w:r>
        <w:rPr>
          <w:rFonts w:ascii="Calibri"/>
          <w:i/>
          <w:spacing w:val="-6"/>
          <w:sz w:val="20"/>
          <w:vertAlign w:val="baseline"/>
        </w:rPr>
        <w:t> </w:t>
      </w:r>
      <w:r>
        <w:rPr>
          <w:rFonts w:ascii="Calibri"/>
          <w:i/>
          <w:sz w:val="20"/>
          <w:vertAlign w:val="baseline"/>
        </w:rPr>
        <w:t>Rubber</w:t>
      </w:r>
      <w:r>
        <w:rPr>
          <w:rFonts w:ascii="Calibri"/>
          <w:i/>
          <w:spacing w:val="-6"/>
          <w:sz w:val="20"/>
          <w:vertAlign w:val="baseline"/>
        </w:rPr>
        <w:t> </w:t>
      </w:r>
      <w:r>
        <w:rPr>
          <w:rFonts w:ascii="Calibri"/>
          <w:i/>
          <w:sz w:val="20"/>
          <w:vertAlign w:val="baseline"/>
        </w:rPr>
        <w:t>Plantation</w:t>
      </w:r>
      <w:r>
        <w:rPr>
          <w:rFonts w:ascii="Calibri"/>
          <w:i/>
          <w:spacing w:val="-6"/>
          <w:sz w:val="20"/>
          <w:vertAlign w:val="baseline"/>
        </w:rPr>
        <w:t> </w:t>
      </w:r>
      <w:r>
        <w:rPr>
          <w:rFonts w:ascii="Calibri"/>
          <w:i/>
          <w:sz w:val="20"/>
          <w:vertAlign w:val="baseline"/>
        </w:rPr>
        <w:t>and</w:t>
      </w:r>
      <w:r>
        <w:rPr>
          <w:rFonts w:ascii="Calibri"/>
          <w:i/>
          <w:spacing w:val="-6"/>
          <w:sz w:val="20"/>
          <w:vertAlign w:val="baseline"/>
        </w:rPr>
        <w:t> </w:t>
      </w:r>
      <w:r>
        <w:rPr>
          <w:rFonts w:ascii="Calibri"/>
          <w:i/>
          <w:sz w:val="20"/>
          <w:vertAlign w:val="baseline"/>
        </w:rPr>
        <w:t>Estates</w:t>
      </w:r>
      <w:r>
        <w:rPr>
          <w:rFonts w:ascii="Calibri"/>
          <w:i/>
          <w:spacing w:val="-6"/>
          <w:sz w:val="20"/>
          <w:vertAlign w:val="baseline"/>
        </w:rPr>
        <w:t> </w:t>
      </w:r>
      <w:r>
        <w:rPr>
          <w:rFonts w:ascii="Calibri"/>
          <w:sz w:val="20"/>
          <w:vertAlign w:val="baseline"/>
        </w:rPr>
        <w:t>(1911)</w:t>
      </w:r>
      <w:r>
        <w:rPr>
          <w:rFonts w:ascii="Calibri"/>
          <w:spacing w:val="-6"/>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Ch.</w:t>
      </w:r>
      <w:r>
        <w:rPr>
          <w:rFonts w:ascii="Calibri"/>
          <w:spacing w:val="-6"/>
          <w:sz w:val="20"/>
          <w:vertAlign w:val="baseline"/>
        </w:rPr>
        <w:t> </w:t>
      </w:r>
      <w:r>
        <w:rPr>
          <w:rFonts w:ascii="Calibri"/>
          <w:spacing w:val="-4"/>
          <w:sz w:val="20"/>
          <w:vertAlign w:val="baseline"/>
        </w:rPr>
        <w:t>425.</w:t>
      </w:r>
    </w:p>
    <w:p>
      <w:pPr>
        <w:spacing w:before="0"/>
        <w:ind w:left="308" w:right="0" w:firstLine="0"/>
        <w:jc w:val="left"/>
        <w:rPr>
          <w:rFonts w:ascii="Calibri"/>
          <w:sz w:val="20"/>
        </w:rPr>
      </w:pPr>
      <w:r>
        <w:rPr>
          <w:rFonts w:ascii="Calibri"/>
          <w:sz w:val="20"/>
          <w:vertAlign w:val="superscript"/>
        </w:rPr>
        <w:t>154</w:t>
      </w:r>
      <w:r>
        <w:rPr>
          <w:rFonts w:ascii="Calibri"/>
          <w:sz w:val="20"/>
          <w:vertAlign w:val="baseline"/>
        </w:rPr>
        <w:t>(2000) 1</w:t>
      </w:r>
      <w:r>
        <w:rPr>
          <w:rFonts w:ascii="Calibri"/>
          <w:spacing w:val="-6"/>
          <w:sz w:val="20"/>
          <w:vertAlign w:val="baseline"/>
        </w:rPr>
        <w:t> </w:t>
      </w:r>
      <w:r>
        <w:rPr>
          <w:rFonts w:ascii="Calibri"/>
          <w:sz w:val="20"/>
          <w:vertAlign w:val="baseline"/>
        </w:rPr>
        <w:t>BCLC</w:t>
      </w:r>
      <w:r>
        <w:rPr>
          <w:rFonts w:ascii="Calibri"/>
          <w:spacing w:val="-2"/>
          <w:sz w:val="20"/>
          <w:vertAlign w:val="baseline"/>
        </w:rPr>
        <w:t> </w:t>
      </w:r>
      <w:r>
        <w:rPr>
          <w:rFonts w:ascii="Calibri"/>
          <w:spacing w:val="-4"/>
          <w:sz w:val="20"/>
          <w:vertAlign w:val="baseline"/>
        </w:rPr>
        <w:t>523.</w:t>
      </w:r>
    </w:p>
    <w:p>
      <w:pPr>
        <w:spacing w:before="1"/>
        <w:ind w:left="308" w:right="0" w:firstLine="0"/>
        <w:jc w:val="left"/>
        <w:rPr>
          <w:rFonts w:ascii="Calibri"/>
          <w:sz w:val="20"/>
        </w:rPr>
      </w:pPr>
      <w:r>
        <w:rPr>
          <w:rFonts w:ascii="Calibri"/>
          <w:sz w:val="20"/>
          <w:vertAlign w:val="superscript"/>
        </w:rPr>
        <w:t>155</w:t>
      </w:r>
      <w:r>
        <w:rPr>
          <w:rFonts w:ascii="Calibri"/>
          <w:sz w:val="20"/>
          <w:vertAlign w:val="baseline"/>
        </w:rPr>
        <w:t>(1991)</w:t>
      </w:r>
      <w:r>
        <w:rPr>
          <w:rFonts w:ascii="Calibri"/>
          <w:spacing w:val="-1"/>
          <w:sz w:val="20"/>
          <w:vertAlign w:val="baseline"/>
        </w:rPr>
        <w:t> </w:t>
      </w:r>
      <w:r>
        <w:rPr>
          <w:rFonts w:ascii="Calibri"/>
          <w:sz w:val="20"/>
          <w:vertAlign w:val="baseline"/>
        </w:rPr>
        <w:t>BCLC</w:t>
      </w:r>
      <w:r>
        <w:rPr>
          <w:rFonts w:ascii="Calibri"/>
          <w:spacing w:val="-8"/>
          <w:sz w:val="20"/>
          <w:vertAlign w:val="baseline"/>
        </w:rPr>
        <w:t> </w:t>
      </w:r>
      <w:r>
        <w:rPr>
          <w:rFonts w:ascii="Calibri"/>
          <w:spacing w:val="-2"/>
          <w:sz w:val="20"/>
          <w:vertAlign w:val="baseline"/>
        </w:rPr>
        <w:t>1028.</w:t>
      </w:r>
    </w:p>
    <w:p>
      <w:pPr>
        <w:spacing w:before="1"/>
        <w:ind w:left="308" w:right="0" w:firstLine="0"/>
        <w:jc w:val="left"/>
        <w:rPr>
          <w:rFonts w:ascii="Calibri"/>
          <w:sz w:val="20"/>
        </w:rPr>
      </w:pPr>
      <w:r>
        <w:rPr>
          <w:rFonts w:ascii="Calibri"/>
          <w:sz w:val="20"/>
          <w:vertAlign w:val="superscript"/>
        </w:rPr>
        <w:t>156</w:t>
      </w:r>
      <w:r>
        <w:rPr>
          <w:rFonts w:ascii="Calibri"/>
          <w:sz w:val="20"/>
          <w:vertAlign w:val="baseline"/>
        </w:rPr>
        <w:t>(1993)</w:t>
      </w:r>
      <w:r>
        <w:rPr>
          <w:rFonts w:ascii="Calibri"/>
          <w:spacing w:val="-2"/>
          <w:sz w:val="20"/>
          <w:vertAlign w:val="baseline"/>
        </w:rPr>
        <w:t> </w:t>
      </w:r>
      <w:r>
        <w:rPr>
          <w:rFonts w:ascii="Calibri"/>
          <w:sz w:val="20"/>
          <w:vertAlign w:val="baseline"/>
        </w:rPr>
        <w:t>BCC</w:t>
      </w:r>
      <w:r>
        <w:rPr>
          <w:rFonts w:ascii="Calibri"/>
          <w:spacing w:val="-3"/>
          <w:sz w:val="20"/>
          <w:vertAlign w:val="baseline"/>
        </w:rPr>
        <w:t> </w:t>
      </w:r>
      <w:r>
        <w:rPr>
          <w:rFonts w:ascii="Calibri"/>
          <w:spacing w:val="-4"/>
          <w:sz w:val="20"/>
          <w:vertAlign w:val="baseline"/>
        </w:rPr>
        <w:t>646.</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30"/>
        <w:jc w:val="both"/>
      </w:pPr>
      <w:r>
        <w:rPr/>
        <w:t>potential loss to creditors, personal contribution to the company‘s assets may be ordered.S.214(4)judges the steps to be taken or conclusions to be reached by both objective and subjective criteria. The director‘s actions or conclusions are judged by those of a reasonably diligent person who has both the general knowledge, skill and experience reasonably expected of a person carrying out the same functions as that director </w:t>
      </w:r>
      <w:r>
        <w:rPr>
          <w:i/>
        </w:rPr>
        <w:t>and</w:t>
      </w:r>
      <w:r>
        <w:rPr/>
        <w:t>the general knowledge, skill and experience that that director actually has. Thus, it has been suggested</w:t>
      </w:r>
      <w:r>
        <w:rPr>
          <w:vertAlign w:val="superscript"/>
        </w:rPr>
        <w:t>157</w:t>
      </w:r>
      <w:r>
        <w:rPr>
          <w:vertAlign w:val="baseline"/>
        </w:rPr>
        <w:t> that the honest incompetent and the unjustified optimist may now have something to fear.</w:t>
      </w:r>
    </w:p>
    <w:p>
      <w:pPr>
        <w:pStyle w:val="BodyText"/>
        <w:spacing w:line="480" w:lineRule="auto" w:before="2"/>
        <w:ind w:right="232" w:firstLine="720"/>
        <w:jc w:val="both"/>
      </w:pPr>
      <w:r>
        <w:rPr/>
        <w:t>Thus, the court resorted</w:t>
      </w:r>
      <w:r>
        <w:rPr>
          <w:spacing w:val="-1"/>
        </w:rPr>
        <w:t> </w:t>
      </w:r>
      <w:r>
        <w:rPr/>
        <w:t>to the Insolvency Act in</w:t>
      </w:r>
      <w:r>
        <w:rPr>
          <w:spacing w:val="-1"/>
        </w:rPr>
        <w:t> </w:t>
      </w:r>
      <w:r>
        <w:rPr/>
        <w:t>order to define the standards in evaluating the conduct of the directors. Apparently, the English Law Commission and the</w:t>
      </w:r>
      <w:r>
        <w:rPr>
          <w:spacing w:val="-6"/>
        </w:rPr>
        <w:t> </w:t>
      </w:r>
      <w:r>
        <w:rPr/>
        <w:t>CLRSG</w:t>
      </w:r>
      <w:r>
        <w:rPr>
          <w:spacing w:val="-2"/>
        </w:rPr>
        <w:t> </w:t>
      </w:r>
      <w:r>
        <w:rPr/>
        <w:t>considered</w:t>
      </w:r>
      <w:r>
        <w:rPr>
          <w:spacing w:val="-6"/>
        </w:rPr>
        <w:t> </w:t>
      </w:r>
      <w:r>
        <w:rPr/>
        <w:t>the</w:t>
      </w:r>
      <w:r>
        <w:rPr>
          <w:spacing w:val="-2"/>
        </w:rPr>
        <w:t> </w:t>
      </w:r>
      <w:r>
        <w:rPr/>
        <w:t>court‘s</w:t>
      </w:r>
      <w:r>
        <w:rPr>
          <w:spacing w:val="-7"/>
        </w:rPr>
        <w:t> </w:t>
      </w:r>
      <w:r>
        <w:rPr/>
        <w:t>decision</w:t>
      </w:r>
      <w:r>
        <w:rPr>
          <w:spacing w:val="-9"/>
        </w:rPr>
        <w:t> </w:t>
      </w:r>
      <w:r>
        <w:rPr/>
        <w:t>to</w:t>
      </w:r>
      <w:r>
        <w:rPr>
          <w:spacing w:val="-2"/>
        </w:rPr>
        <w:t> </w:t>
      </w:r>
      <w:r>
        <w:rPr/>
        <w:t>have</w:t>
      </w:r>
      <w:r>
        <w:rPr>
          <w:spacing w:val="-6"/>
        </w:rPr>
        <w:t> </w:t>
      </w:r>
      <w:r>
        <w:rPr/>
        <w:t>been</w:t>
      </w:r>
      <w:r>
        <w:rPr>
          <w:spacing w:val="-9"/>
        </w:rPr>
        <w:t> </w:t>
      </w:r>
      <w:r>
        <w:rPr/>
        <w:t>properly</w:t>
      </w:r>
      <w:r>
        <w:rPr>
          <w:spacing w:val="-9"/>
        </w:rPr>
        <w:t> </w:t>
      </w:r>
      <w:r>
        <w:rPr/>
        <w:t>reached,</w:t>
      </w:r>
      <w:r>
        <w:rPr>
          <w:spacing w:val="-3"/>
        </w:rPr>
        <w:t> </w:t>
      </w:r>
      <w:r>
        <w:rPr/>
        <w:t>so</w:t>
      </w:r>
      <w:r>
        <w:rPr>
          <w:spacing w:val="-2"/>
        </w:rPr>
        <w:t> </w:t>
      </w:r>
      <w:r>
        <w:rPr/>
        <w:t>that</w:t>
      </w:r>
      <w:r>
        <w:rPr>
          <w:spacing w:val="-1"/>
        </w:rPr>
        <w:t> </w:t>
      </w:r>
      <w:r>
        <w:rPr/>
        <w:t>―it is now accepted that the duty of care…is accurately stated in s.214(4) of the Insolvency Act 1986,‖</w:t>
      </w:r>
      <w:r>
        <w:rPr>
          <w:vertAlign w:val="superscript"/>
        </w:rPr>
        <w:t>158</w:t>
      </w:r>
      <w:r>
        <w:rPr>
          <w:vertAlign w:val="baseline"/>
        </w:rPr>
        <w:t> and confirmed in s. 174 thus:</w:t>
      </w:r>
    </w:p>
    <w:p>
      <w:pPr>
        <w:pStyle w:val="ListParagraph"/>
        <w:numPr>
          <w:ilvl w:val="3"/>
          <w:numId w:val="16"/>
        </w:numPr>
        <w:tabs>
          <w:tab w:pos="2007" w:val="left" w:leader="none"/>
          <w:tab w:pos="2162" w:val="left" w:leader="none"/>
        </w:tabs>
        <w:spacing w:line="242" w:lineRule="auto" w:before="0" w:after="0"/>
        <w:ind w:left="2007" w:right="1892" w:hanging="202"/>
        <w:jc w:val="both"/>
        <w:rPr>
          <w:i/>
          <w:sz w:val="24"/>
        </w:rPr>
      </w:pPr>
      <w:r>
        <w:rPr>
          <w:i/>
          <w:sz w:val="24"/>
        </w:rPr>
        <w:t>A director of a company must exercise reasonable care, skill and diligence.</w:t>
      </w:r>
    </w:p>
    <w:p>
      <w:pPr>
        <w:pStyle w:val="ListParagraph"/>
        <w:numPr>
          <w:ilvl w:val="3"/>
          <w:numId w:val="16"/>
        </w:numPr>
        <w:tabs>
          <w:tab w:pos="2007" w:val="left" w:leader="none"/>
          <w:tab w:pos="2104" w:val="left" w:leader="none"/>
        </w:tabs>
        <w:spacing w:line="242" w:lineRule="auto" w:before="0" w:after="0"/>
        <w:ind w:left="2007" w:right="1892" w:hanging="260"/>
        <w:jc w:val="both"/>
        <w:rPr>
          <w:i/>
          <w:sz w:val="24"/>
        </w:rPr>
      </w:pPr>
      <w:r>
        <w:rPr>
          <w:i/>
          <w:sz w:val="24"/>
        </w:rPr>
        <w:t>This means the care, skill and diligence that would be exercised by a reasonably diligent person with—</w:t>
      </w:r>
    </w:p>
    <w:p>
      <w:pPr>
        <w:pStyle w:val="ListParagraph"/>
        <w:numPr>
          <w:ilvl w:val="4"/>
          <w:numId w:val="16"/>
        </w:numPr>
        <w:tabs>
          <w:tab w:pos="2007" w:val="left" w:leader="none"/>
          <w:tab w:pos="2143" w:val="left" w:leader="none"/>
        </w:tabs>
        <w:spacing w:line="240" w:lineRule="auto" w:before="0" w:after="0"/>
        <w:ind w:left="2007" w:right="1891" w:hanging="260"/>
        <w:jc w:val="both"/>
        <w:rPr>
          <w:i/>
          <w:sz w:val="24"/>
        </w:rPr>
      </w:pPr>
      <w:r>
        <w:rPr>
          <w:i/>
          <w:sz w:val="24"/>
        </w:rPr>
        <w:t>the general knowledge, skill and experience that may</w:t>
      </w:r>
      <w:r>
        <w:rPr>
          <w:i/>
          <w:spacing w:val="-1"/>
          <w:sz w:val="24"/>
        </w:rPr>
        <w:t> </w:t>
      </w:r>
      <w:r>
        <w:rPr>
          <w:i/>
          <w:sz w:val="24"/>
        </w:rPr>
        <w:t>reasonably be expected of a person carrying out the functions carried out by the director in relation</w:t>
      </w:r>
      <w:r>
        <w:rPr>
          <w:i/>
          <w:spacing w:val="40"/>
          <w:sz w:val="24"/>
        </w:rPr>
        <w:t> </w:t>
      </w:r>
      <w:r>
        <w:rPr>
          <w:i/>
          <w:sz w:val="24"/>
        </w:rPr>
        <w:t>to the company, and</w:t>
      </w:r>
    </w:p>
    <w:p>
      <w:pPr>
        <w:pStyle w:val="ListParagraph"/>
        <w:numPr>
          <w:ilvl w:val="4"/>
          <w:numId w:val="16"/>
        </w:numPr>
        <w:tabs>
          <w:tab w:pos="2007" w:val="left" w:leader="none"/>
          <w:tab w:pos="2090" w:val="left" w:leader="none"/>
        </w:tabs>
        <w:spacing w:line="242" w:lineRule="auto" w:before="0" w:after="0"/>
        <w:ind w:left="2007" w:right="1888" w:hanging="260"/>
        <w:jc w:val="both"/>
        <w:rPr>
          <w:i/>
          <w:sz w:val="24"/>
        </w:rPr>
      </w:pPr>
      <w:r>
        <w:rPr>
          <w:i/>
          <w:sz w:val="24"/>
        </w:rPr>
        <w:t>the general knowledge, skill and experience that the director has.</w:t>
      </w:r>
    </w:p>
    <w:p>
      <w:pPr>
        <w:pStyle w:val="BodyText"/>
        <w:spacing w:line="480" w:lineRule="auto" w:before="263" w:after="4"/>
        <w:ind w:right="230"/>
        <w:jc w:val="both"/>
      </w:pPr>
      <w:r>
        <w:rPr/>
        <w:t>Evidently, as the High Court rightly observed in</w:t>
      </w:r>
      <w:r>
        <w:rPr>
          <w:b/>
        </w:rPr>
        <w:t>Gregson vs. HAE Trustee Ltd and Others</w:t>
      </w:r>
      <w:r>
        <w:rPr>
          <w:i/>
        </w:rPr>
        <w:t>,</w:t>
      </w:r>
      <w:r>
        <w:rPr>
          <w:vertAlign w:val="superscript"/>
        </w:rPr>
        <w:t>159</w:t>
      </w:r>
      <w:r>
        <w:rPr>
          <w:vertAlign w:val="baseline"/>
        </w:rPr>
        <w:t> s.174 merely codified existing dicta from the previous case law discussed above.The law has thereby effectively classified directors so that 2(a) takes into consideration</w:t>
      </w:r>
      <w:r>
        <w:rPr>
          <w:spacing w:val="40"/>
          <w:vertAlign w:val="baseline"/>
        </w:rPr>
        <w:t> </w:t>
      </w:r>
      <w:r>
        <w:rPr>
          <w:vertAlign w:val="baseline"/>
        </w:rPr>
        <w:t>the</w:t>
      </w:r>
      <w:r>
        <w:rPr>
          <w:spacing w:val="62"/>
          <w:vertAlign w:val="baseline"/>
        </w:rPr>
        <w:t> </w:t>
      </w:r>
      <w:r>
        <w:rPr>
          <w:vertAlign w:val="baseline"/>
        </w:rPr>
        <w:t>particular</w:t>
      </w:r>
      <w:r>
        <w:rPr>
          <w:spacing w:val="65"/>
          <w:vertAlign w:val="baseline"/>
        </w:rPr>
        <w:t> </w:t>
      </w:r>
      <w:r>
        <w:rPr>
          <w:vertAlign w:val="baseline"/>
        </w:rPr>
        <w:t>responsibilities</w:t>
      </w:r>
      <w:r>
        <w:rPr>
          <w:spacing w:val="40"/>
          <w:vertAlign w:val="baseline"/>
        </w:rPr>
        <w:t> </w:t>
      </w:r>
      <w:r>
        <w:rPr>
          <w:vertAlign w:val="baseline"/>
        </w:rPr>
        <w:t>attached</w:t>
      </w:r>
      <w:r>
        <w:rPr>
          <w:spacing w:val="63"/>
          <w:vertAlign w:val="baseline"/>
        </w:rPr>
        <w:t> </w:t>
      </w:r>
      <w:r>
        <w:rPr>
          <w:vertAlign w:val="baseline"/>
        </w:rPr>
        <w:t>to</w:t>
      </w:r>
      <w:r>
        <w:rPr>
          <w:spacing w:val="63"/>
          <w:vertAlign w:val="baseline"/>
        </w:rPr>
        <w:t> </w:t>
      </w:r>
      <w:r>
        <w:rPr>
          <w:vertAlign w:val="baseline"/>
        </w:rPr>
        <w:t>the</w:t>
      </w:r>
      <w:r>
        <w:rPr>
          <w:spacing w:val="62"/>
          <w:vertAlign w:val="baseline"/>
        </w:rPr>
        <w:t> </w:t>
      </w:r>
      <w:r>
        <w:rPr>
          <w:vertAlign w:val="baseline"/>
        </w:rPr>
        <w:t>office</w:t>
      </w:r>
      <w:r>
        <w:rPr>
          <w:spacing w:val="62"/>
          <w:vertAlign w:val="baseline"/>
        </w:rPr>
        <w:t> </w:t>
      </w:r>
      <w:r>
        <w:rPr>
          <w:vertAlign w:val="baseline"/>
        </w:rPr>
        <w:t>of</w:t>
      </w:r>
      <w:r>
        <w:rPr>
          <w:spacing w:val="40"/>
          <w:vertAlign w:val="baseline"/>
        </w:rPr>
        <w:t> </w:t>
      </w:r>
      <w:r>
        <w:rPr>
          <w:vertAlign w:val="baseline"/>
        </w:rPr>
        <w:t>any</w:t>
      </w:r>
      <w:r>
        <w:rPr>
          <w:spacing w:val="40"/>
          <w:vertAlign w:val="baseline"/>
        </w:rPr>
        <w:t> </w:t>
      </w:r>
      <w:r>
        <w:rPr>
          <w:vertAlign w:val="baseline"/>
        </w:rPr>
        <w:t>particular</w:t>
      </w:r>
    </w:p>
    <w:p>
      <w:pPr>
        <w:pStyle w:val="BodyText"/>
        <w:spacing w:line="20" w:lineRule="exact"/>
        <w:rPr>
          <w:sz w:val="2"/>
        </w:rPr>
      </w:pPr>
      <w:r>
        <w:rPr>
          <w:sz w:val="2"/>
        </w:rPr>
        <mc:AlternateContent>
          <mc:Choice Requires="wps">
            <w:drawing>
              <wp:inline distT="0" distB="0" distL="0" distR="0">
                <wp:extent cx="1829435" cy="9525"/>
                <wp:effectExtent l="0" t="0" r="0" b="0"/>
                <wp:docPr id="221" name="Group 221"/>
                <wp:cNvGraphicFramePr>
                  <a:graphicFrameLocks/>
                </wp:cNvGraphicFramePr>
                <a:graphic>
                  <a:graphicData uri="http://schemas.microsoft.com/office/word/2010/wordprocessingGroup">
                    <wpg:wgp>
                      <wpg:cNvPr id="221" name="Group 221"/>
                      <wpg:cNvGrpSpPr/>
                      <wpg:grpSpPr>
                        <a:xfrm>
                          <a:off x="0" y="0"/>
                          <a:ext cx="1829435" cy="9525"/>
                          <a:chExt cx="1829435" cy="9525"/>
                        </a:xfrm>
                      </wpg:grpSpPr>
                      <wps:wsp>
                        <wps:cNvPr id="222" name="Graphic 22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176" coordorigin="0,0" coordsize="2881,15">
                <v:rect style="position:absolute;left:0;top:0;width:2881;height:15" id="docshape177" filled="true" fillcolor="#000000" stroked="false">
                  <v:fill type="solid"/>
                </v:rect>
              </v:group>
            </w:pict>
          </mc:Fallback>
        </mc:AlternateContent>
      </w:r>
      <w:r>
        <w:rPr>
          <w:sz w:val="2"/>
        </w:rPr>
      </w:r>
    </w:p>
    <w:p>
      <w:pPr>
        <w:spacing w:before="96"/>
        <w:ind w:left="308" w:right="0" w:firstLine="0"/>
        <w:jc w:val="both"/>
        <w:rPr>
          <w:rFonts w:ascii="Calibri"/>
          <w:sz w:val="20"/>
        </w:rPr>
      </w:pPr>
      <w:r>
        <w:rPr>
          <w:rFonts w:ascii="Calibri"/>
          <w:sz w:val="20"/>
          <w:vertAlign w:val="superscript"/>
        </w:rPr>
        <w:t>157</w:t>
      </w:r>
      <w:r>
        <w:rPr>
          <w:rFonts w:ascii="Calibri"/>
          <w:sz w:val="20"/>
          <w:vertAlign w:val="baseline"/>
        </w:rPr>
        <w:t>Finch,</w:t>
      </w:r>
      <w:r>
        <w:rPr>
          <w:rFonts w:ascii="Calibri"/>
          <w:spacing w:val="-5"/>
          <w:sz w:val="20"/>
          <w:vertAlign w:val="baseline"/>
        </w:rPr>
        <w:t> </w:t>
      </w:r>
      <w:r>
        <w:rPr>
          <w:rFonts w:ascii="Calibri"/>
          <w:sz w:val="20"/>
          <w:vertAlign w:val="baseline"/>
        </w:rPr>
        <w:t>V.</w:t>
      </w:r>
      <w:r>
        <w:rPr>
          <w:rFonts w:ascii="Calibri"/>
          <w:spacing w:val="-6"/>
          <w:sz w:val="20"/>
          <w:vertAlign w:val="baseline"/>
        </w:rPr>
        <w:t> </w:t>
      </w:r>
      <w:r>
        <w:rPr>
          <w:rFonts w:ascii="Calibri"/>
          <w:sz w:val="20"/>
          <w:vertAlign w:val="baseline"/>
        </w:rPr>
        <w:t>op.cit.at</w:t>
      </w:r>
      <w:r>
        <w:rPr>
          <w:rFonts w:ascii="Calibri"/>
          <w:spacing w:val="-3"/>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201.</w:t>
      </w:r>
    </w:p>
    <w:p>
      <w:pPr>
        <w:spacing w:before="2"/>
        <w:ind w:left="308" w:right="226" w:firstLine="0"/>
        <w:jc w:val="both"/>
        <w:rPr>
          <w:rFonts w:ascii="Calibri"/>
          <w:sz w:val="20"/>
        </w:rPr>
      </w:pPr>
      <w:r>
        <w:rPr>
          <w:rFonts w:ascii="Calibri"/>
          <w:sz w:val="20"/>
          <w:vertAlign w:val="superscript"/>
        </w:rPr>
        <w:t>158</w:t>
      </w:r>
      <w:r>
        <w:rPr>
          <w:rFonts w:ascii="Calibri"/>
          <w:sz w:val="20"/>
          <w:vertAlign w:val="baseline"/>
        </w:rPr>
        <w:t>Per</w:t>
      </w:r>
      <w:r>
        <w:rPr>
          <w:rFonts w:ascii="Calibri"/>
          <w:spacing w:val="-2"/>
          <w:sz w:val="20"/>
          <w:vertAlign w:val="baseline"/>
        </w:rPr>
        <w:t> </w:t>
      </w:r>
      <w:r>
        <w:rPr>
          <w:rFonts w:ascii="Calibri"/>
          <w:sz w:val="20"/>
          <w:vertAlign w:val="baseline"/>
        </w:rPr>
        <w:t>Lord</w:t>
      </w:r>
      <w:r>
        <w:rPr>
          <w:rFonts w:ascii="Calibri"/>
          <w:spacing w:val="-4"/>
          <w:sz w:val="20"/>
          <w:vertAlign w:val="baseline"/>
        </w:rPr>
        <w:t> </w:t>
      </w:r>
      <w:r>
        <w:rPr>
          <w:rFonts w:ascii="Calibri"/>
          <w:sz w:val="20"/>
          <w:vertAlign w:val="baseline"/>
        </w:rPr>
        <w:t>Goldsmith</w:t>
      </w:r>
      <w:r>
        <w:rPr>
          <w:rFonts w:ascii="Calibri"/>
          <w:spacing w:val="-4"/>
          <w:sz w:val="20"/>
          <w:vertAlign w:val="baseline"/>
        </w:rPr>
        <w:t> </w:t>
      </w:r>
      <w:r>
        <w:rPr>
          <w:rFonts w:ascii="Calibri"/>
          <w:sz w:val="20"/>
          <w:vertAlign w:val="baseline"/>
        </w:rPr>
        <w:t>of the</w:t>
      </w:r>
      <w:r>
        <w:rPr>
          <w:rFonts w:ascii="Calibri"/>
          <w:spacing w:val="-3"/>
          <w:sz w:val="20"/>
          <w:vertAlign w:val="baseline"/>
        </w:rPr>
        <w:t> </w:t>
      </w:r>
      <w:r>
        <w:rPr>
          <w:rFonts w:ascii="Calibri"/>
          <w:sz w:val="20"/>
          <w:vertAlign w:val="baseline"/>
        </w:rPr>
        <w:t>Lords</w:t>
      </w:r>
      <w:r>
        <w:rPr>
          <w:rFonts w:ascii="Calibri"/>
          <w:spacing w:val="-6"/>
          <w:sz w:val="20"/>
          <w:vertAlign w:val="baseline"/>
        </w:rPr>
        <w:t> </w:t>
      </w:r>
      <w:r>
        <w:rPr>
          <w:rFonts w:ascii="Calibri"/>
          <w:sz w:val="20"/>
          <w:vertAlign w:val="baseline"/>
        </w:rPr>
        <w:t>Grand Committee at the Committee hearing on</w:t>
      </w:r>
      <w:r>
        <w:rPr>
          <w:rFonts w:ascii="Calibri"/>
          <w:spacing w:val="-4"/>
          <w:sz w:val="20"/>
          <w:vertAlign w:val="baseline"/>
        </w:rPr>
        <w:t> </w:t>
      </w:r>
      <w:r>
        <w:rPr>
          <w:rFonts w:ascii="Calibri"/>
          <w:sz w:val="20"/>
          <w:vertAlign w:val="baseline"/>
        </w:rPr>
        <w:t>6 February,</w:t>
      </w:r>
      <w:r>
        <w:rPr>
          <w:rFonts w:ascii="Calibri"/>
          <w:spacing w:val="-1"/>
          <w:sz w:val="20"/>
          <w:vertAlign w:val="baseline"/>
        </w:rPr>
        <w:t> </w:t>
      </w:r>
      <w:r>
        <w:rPr>
          <w:rFonts w:ascii="Calibri"/>
          <w:sz w:val="20"/>
          <w:vertAlign w:val="baseline"/>
        </w:rPr>
        <w:t>2006.</w:t>
      </w:r>
      <w:r>
        <w:rPr>
          <w:rFonts w:ascii="Calibri"/>
          <w:spacing w:val="-2"/>
          <w:sz w:val="20"/>
          <w:vertAlign w:val="baseline"/>
        </w:rPr>
        <w:t> </w:t>
      </w:r>
      <w:r>
        <w:rPr>
          <w:rFonts w:ascii="Calibri"/>
          <w:sz w:val="20"/>
          <w:vertAlign w:val="baseline"/>
        </w:rPr>
        <w:t>See Hansard, Column 284. </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12,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before="2"/>
        <w:ind w:left="308" w:right="0" w:firstLine="0"/>
        <w:jc w:val="both"/>
        <w:rPr>
          <w:rFonts w:ascii="Calibri"/>
          <w:sz w:val="20"/>
        </w:rPr>
      </w:pPr>
      <w:r>
        <w:rPr>
          <w:rFonts w:ascii="Calibri"/>
          <w:sz w:val="20"/>
          <w:vertAlign w:val="superscript"/>
        </w:rPr>
        <w:t>159</w:t>
      </w:r>
      <w:r>
        <w:rPr>
          <w:rFonts w:ascii="Calibri"/>
          <w:sz w:val="20"/>
          <w:vertAlign w:val="baseline"/>
        </w:rPr>
        <w:t>(2008)</w:t>
      </w:r>
      <w:r>
        <w:rPr>
          <w:rFonts w:ascii="Calibri"/>
          <w:spacing w:val="-5"/>
          <w:sz w:val="20"/>
          <w:vertAlign w:val="baseline"/>
        </w:rPr>
        <w:t> </w:t>
      </w:r>
      <w:r>
        <w:rPr>
          <w:rFonts w:ascii="Calibri"/>
          <w:sz w:val="20"/>
          <w:vertAlign w:val="baseline"/>
        </w:rPr>
        <w:t>EWHC</w:t>
      </w:r>
      <w:r>
        <w:rPr>
          <w:rFonts w:ascii="Calibri"/>
          <w:spacing w:val="-3"/>
          <w:sz w:val="20"/>
          <w:vertAlign w:val="baseline"/>
        </w:rPr>
        <w:t> </w:t>
      </w:r>
      <w:r>
        <w:rPr>
          <w:rFonts w:ascii="Calibri"/>
          <w:spacing w:val="-2"/>
          <w:sz w:val="20"/>
          <w:vertAlign w:val="baseline"/>
        </w:rPr>
        <w:t>1006.</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8"/>
        <w:jc w:val="both"/>
      </w:pPr>
      <w:r>
        <w:rPr/>
        <w:t>director—for example, a director of sales in a computer software company. It is by the general standard of this class of directors that he is to be judged, so that the director‘s conduct should be appropriate for the particular position</w:t>
      </w:r>
      <w:r>
        <w:rPr>
          <w:spacing w:val="-1"/>
        </w:rPr>
        <w:t> </w:t>
      </w:r>
      <w:r>
        <w:rPr/>
        <w:t>that he occupies. Further, if he happens to have special qualifications beyond those required under the general standards, 2(b) holds him to those extra qualifications—for example, if the director of sales happens also to be a computer programmer. It is therefore, a cumulative requirement.</w:t>
      </w:r>
      <w:r>
        <w:rPr>
          <w:vertAlign w:val="superscript"/>
        </w:rPr>
        <w:t>160</w:t>
      </w:r>
      <w:r>
        <w:rPr>
          <w:vertAlign w:val="baseline"/>
        </w:rPr>
        <w:t> In effect, a director having a lot of knowledge and experience would be expected to use it. Apparently, the difference between s. 174 and the earlier common</w:t>
      </w:r>
      <w:r>
        <w:rPr>
          <w:spacing w:val="40"/>
          <w:vertAlign w:val="baseline"/>
        </w:rPr>
        <w:t> </w:t>
      </w:r>
      <w:r>
        <w:rPr>
          <w:vertAlign w:val="baseline"/>
        </w:rPr>
        <w:t>law decisions is that in the latter, the director‘s subjective level of</w:t>
      </w:r>
      <w:r>
        <w:rPr>
          <w:spacing w:val="-3"/>
          <w:vertAlign w:val="baseline"/>
        </w:rPr>
        <w:t> </w:t>
      </w:r>
      <w:r>
        <w:rPr>
          <w:vertAlign w:val="baseline"/>
        </w:rPr>
        <w:t>skill sets the standard required of the director, whereas under s. 174, the director‘s subjective level does so only if it improves upon the objective standard of the reasonable director.</w:t>
      </w:r>
      <w:r>
        <w:rPr>
          <w:vertAlign w:val="superscript"/>
        </w:rPr>
        <w:t>161</w:t>
      </w:r>
    </w:p>
    <w:p>
      <w:pPr>
        <w:pStyle w:val="BodyText"/>
        <w:spacing w:line="480" w:lineRule="auto" w:before="2"/>
        <w:ind w:right="230" w:firstLine="720"/>
        <w:jc w:val="both"/>
      </w:pPr>
      <w:r>
        <w:rPr/>
        <w:t>The Act clearly does not distinguish between executive and non-executive directors with regard to the duties here discussed. However, although subject to a uniform</w:t>
      </w:r>
      <w:r>
        <w:rPr>
          <w:spacing w:val="-7"/>
        </w:rPr>
        <w:t> </w:t>
      </w:r>
      <w:r>
        <w:rPr/>
        <w:t>and objective duty</w:t>
      </w:r>
      <w:r>
        <w:rPr>
          <w:spacing w:val="-8"/>
        </w:rPr>
        <w:t> </w:t>
      </w:r>
      <w:r>
        <w:rPr/>
        <w:t>of</w:t>
      </w:r>
      <w:r>
        <w:rPr>
          <w:spacing w:val="-6"/>
        </w:rPr>
        <w:t> </w:t>
      </w:r>
      <w:r>
        <w:rPr/>
        <w:t>care, what the discharge of</w:t>
      </w:r>
      <w:r>
        <w:rPr>
          <w:spacing w:val="-6"/>
        </w:rPr>
        <w:t> </w:t>
      </w:r>
      <w:r>
        <w:rPr/>
        <w:t>that duty</w:t>
      </w:r>
      <w:r>
        <w:rPr>
          <w:spacing w:val="-8"/>
        </w:rPr>
        <w:t> </w:t>
      </w:r>
      <w:r>
        <w:rPr/>
        <w:t>requires in particular situations will not necessarily be uniform for executives and non-executives alike, nor, for that matter, between different types of executive directors or even different types</w:t>
      </w:r>
      <w:r>
        <w:rPr>
          <w:spacing w:val="40"/>
        </w:rPr>
        <w:t> </w:t>
      </w:r>
      <w:r>
        <w:rPr/>
        <w:t>and sizes of companies.</w:t>
      </w:r>
      <w:r>
        <w:rPr>
          <w:vertAlign w:val="superscript"/>
        </w:rPr>
        <w:t>162</w:t>
      </w:r>
      <w:r>
        <w:rPr>
          <w:vertAlign w:val="baseline"/>
        </w:rPr>
        <w:t> This fact is evident from s.174 in stating that what the law would expect from the director would all depend on ―the functions carried out by the director in relation to the company.‖ Therefore, objective/subjective standard is also significant for non-executive directors because they would first be subjected to the standards of non-executives generally and then, if they happen to have any special knowledge</w:t>
      </w:r>
      <w:r>
        <w:rPr>
          <w:spacing w:val="-4"/>
          <w:vertAlign w:val="baseline"/>
        </w:rPr>
        <w:t> </w:t>
      </w:r>
      <w:r>
        <w:rPr>
          <w:vertAlign w:val="baseline"/>
        </w:rPr>
        <w:t>or skills,</w:t>
      </w:r>
      <w:r>
        <w:rPr>
          <w:spacing w:val="1"/>
          <w:vertAlign w:val="baseline"/>
        </w:rPr>
        <w:t> </w:t>
      </w:r>
      <w:r>
        <w:rPr>
          <w:vertAlign w:val="baseline"/>
        </w:rPr>
        <w:t>to</w:t>
      </w:r>
      <w:r>
        <w:rPr>
          <w:spacing w:val="-1"/>
          <w:vertAlign w:val="baseline"/>
        </w:rPr>
        <w:t> </w:t>
      </w:r>
      <w:r>
        <w:rPr>
          <w:vertAlign w:val="baseline"/>
        </w:rPr>
        <w:t>those</w:t>
      </w:r>
      <w:r>
        <w:rPr>
          <w:spacing w:val="-2"/>
          <w:vertAlign w:val="baseline"/>
        </w:rPr>
        <w:t> </w:t>
      </w:r>
      <w:r>
        <w:rPr>
          <w:vertAlign w:val="baseline"/>
        </w:rPr>
        <w:t>subjective</w:t>
      </w:r>
      <w:r>
        <w:rPr>
          <w:spacing w:val="-3"/>
          <w:vertAlign w:val="baseline"/>
        </w:rPr>
        <w:t> </w:t>
      </w:r>
      <w:r>
        <w:rPr>
          <w:vertAlign w:val="baseline"/>
        </w:rPr>
        <w:t>criteria.</w:t>
      </w:r>
      <w:r>
        <w:rPr>
          <w:spacing w:val="1"/>
          <w:vertAlign w:val="baseline"/>
        </w:rPr>
        <w:t> </w:t>
      </w:r>
      <w:r>
        <w:rPr>
          <w:vertAlign w:val="baseline"/>
        </w:rPr>
        <w:t>Thus,</w:t>
      </w:r>
      <w:r>
        <w:rPr>
          <w:spacing w:val="1"/>
          <w:vertAlign w:val="baseline"/>
        </w:rPr>
        <w:t> </w:t>
      </w:r>
      <w:r>
        <w:rPr>
          <w:vertAlign w:val="baseline"/>
        </w:rPr>
        <w:t>even</w:t>
      </w:r>
      <w:r>
        <w:rPr>
          <w:spacing w:val="-1"/>
          <w:vertAlign w:val="baseline"/>
        </w:rPr>
        <w:t> </w:t>
      </w:r>
      <w:r>
        <w:rPr>
          <w:vertAlign w:val="baseline"/>
        </w:rPr>
        <w:t>non-executive</w:t>
      </w:r>
      <w:r>
        <w:rPr>
          <w:spacing w:val="-2"/>
          <w:vertAlign w:val="baseline"/>
        </w:rPr>
        <w:t> </w:t>
      </w:r>
      <w:r>
        <w:rPr>
          <w:vertAlign w:val="baseline"/>
        </w:rPr>
        <w:t>directors</w:t>
      </w:r>
      <w:r>
        <w:rPr>
          <w:spacing w:val="-3"/>
          <w:vertAlign w:val="baseline"/>
        </w:rPr>
        <w:t> </w:t>
      </w:r>
      <w:r>
        <w:rPr>
          <w:spacing w:val="-5"/>
          <w:vertAlign w:val="baseline"/>
        </w:rPr>
        <w:t>may</w:t>
      </w:r>
    </w:p>
    <w:p>
      <w:pPr>
        <w:pStyle w:val="BodyText"/>
        <w:spacing w:before="30"/>
        <w:ind w:left="0"/>
        <w:rPr>
          <w:sz w:val="20"/>
        </w:rPr>
      </w:pPr>
      <w:r>
        <w:rPr/>
        <mc:AlternateContent>
          <mc:Choice Requires="wps">
            <w:drawing>
              <wp:anchor distT="0" distB="0" distL="0" distR="0" allowOverlap="1" layoutInCell="1" locked="0" behindDoc="1" simplePos="0" relativeHeight="487689216">
                <wp:simplePos x="0" y="0"/>
                <wp:positionH relativeFrom="page">
                  <wp:posOffset>1262481</wp:posOffset>
                </wp:positionH>
                <wp:positionV relativeFrom="paragraph">
                  <wp:posOffset>180360</wp:posOffset>
                </wp:positionV>
                <wp:extent cx="1829435" cy="9525"/>
                <wp:effectExtent l="0" t="0" r="0" b="0"/>
                <wp:wrapTopAndBottom/>
                <wp:docPr id="223" name="Graphic 223"/>
                <wp:cNvGraphicFramePr>
                  <a:graphicFrameLocks/>
                </wp:cNvGraphicFramePr>
                <a:graphic>
                  <a:graphicData uri="http://schemas.microsoft.com/office/word/2010/wordprocessingShape">
                    <wps:wsp>
                      <wps:cNvPr id="223" name="Graphic 22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201592pt;width:144.050pt;height:.71997pt;mso-position-horizontal-relative:page;mso-position-vertical-relative:paragraph;z-index:-15627264;mso-wrap-distance-left:0;mso-wrap-distance-right:0" id="docshape178" filled="true" fillcolor="#000000" stroked="false">
                <v:fill type="solid"/>
                <w10:wrap type="topAndBottom"/>
              </v:rect>
            </w:pict>
          </mc:Fallback>
        </mc:AlternateContent>
      </w:r>
    </w:p>
    <w:p>
      <w:pPr>
        <w:spacing w:before="102"/>
        <w:ind w:left="308" w:right="226" w:firstLine="0"/>
        <w:jc w:val="both"/>
        <w:rPr>
          <w:rFonts w:ascii="Calibri"/>
          <w:sz w:val="20"/>
        </w:rPr>
      </w:pPr>
      <w:r>
        <w:rPr>
          <w:rFonts w:ascii="Calibri"/>
          <w:sz w:val="20"/>
          <w:vertAlign w:val="superscript"/>
        </w:rPr>
        <w:t>160</w:t>
      </w:r>
      <w:r>
        <w:rPr>
          <w:rFonts w:ascii="Calibri"/>
          <w:sz w:val="20"/>
          <w:vertAlign w:val="baseline"/>
        </w:rPr>
        <w:t>Per</w:t>
      </w:r>
      <w:r>
        <w:rPr>
          <w:rFonts w:ascii="Calibri"/>
          <w:spacing w:val="-2"/>
          <w:sz w:val="20"/>
          <w:vertAlign w:val="baseline"/>
        </w:rPr>
        <w:t> </w:t>
      </w:r>
      <w:r>
        <w:rPr>
          <w:rFonts w:ascii="Calibri"/>
          <w:sz w:val="20"/>
          <w:vertAlign w:val="baseline"/>
        </w:rPr>
        <w:t>Lord</w:t>
      </w:r>
      <w:r>
        <w:rPr>
          <w:rFonts w:ascii="Calibri"/>
          <w:spacing w:val="-4"/>
          <w:sz w:val="20"/>
          <w:vertAlign w:val="baseline"/>
        </w:rPr>
        <w:t> </w:t>
      </w:r>
      <w:r>
        <w:rPr>
          <w:rFonts w:ascii="Calibri"/>
          <w:sz w:val="20"/>
          <w:vertAlign w:val="baseline"/>
        </w:rPr>
        <w:t>Goldsmith</w:t>
      </w:r>
      <w:r>
        <w:rPr>
          <w:rFonts w:ascii="Calibri"/>
          <w:spacing w:val="-4"/>
          <w:sz w:val="20"/>
          <w:vertAlign w:val="baseline"/>
        </w:rPr>
        <w:t> </w:t>
      </w:r>
      <w:r>
        <w:rPr>
          <w:rFonts w:ascii="Calibri"/>
          <w:sz w:val="20"/>
          <w:vertAlign w:val="baseline"/>
        </w:rPr>
        <w:t>of the</w:t>
      </w:r>
      <w:r>
        <w:rPr>
          <w:rFonts w:ascii="Calibri"/>
          <w:spacing w:val="-3"/>
          <w:sz w:val="20"/>
          <w:vertAlign w:val="baseline"/>
        </w:rPr>
        <w:t> </w:t>
      </w:r>
      <w:r>
        <w:rPr>
          <w:rFonts w:ascii="Calibri"/>
          <w:sz w:val="20"/>
          <w:vertAlign w:val="baseline"/>
        </w:rPr>
        <w:t>Lords</w:t>
      </w:r>
      <w:r>
        <w:rPr>
          <w:rFonts w:ascii="Calibri"/>
          <w:spacing w:val="-6"/>
          <w:sz w:val="20"/>
          <w:vertAlign w:val="baseline"/>
        </w:rPr>
        <w:t> </w:t>
      </w:r>
      <w:r>
        <w:rPr>
          <w:rFonts w:ascii="Calibri"/>
          <w:sz w:val="20"/>
          <w:vertAlign w:val="baseline"/>
        </w:rPr>
        <w:t>Grand Committee at the Committee hearing on</w:t>
      </w:r>
      <w:r>
        <w:rPr>
          <w:rFonts w:ascii="Calibri"/>
          <w:spacing w:val="-4"/>
          <w:sz w:val="20"/>
          <w:vertAlign w:val="baseline"/>
        </w:rPr>
        <w:t> </w:t>
      </w:r>
      <w:r>
        <w:rPr>
          <w:rFonts w:ascii="Calibri"/>
          <w:sz w:val="20"/>
          <w:vertAlign w:val="baseline"/>
        </w:rPr>
        <w:t>6 February,</w:t>
      </w:r>
      <w:r>
        <w:rPr>
          <w:rFonts w:ascii="Calibri"/>
          <w:spacing w:val="-1"/>
          <w:sz w:val="20"/>
          <w:vertAlign w:val="baseline"/>
        </w:rPr>
        <w:t> </w:t>
      </w:r>
      <w:r>
        <w:rPr>
          <w:rFonts w:ascii="Calibri"/>
          <w:sz w:val="20"/>
          <w:vertAlign w:val="baseline"/>
        </w:rPr>
        <w:t>2006.</w:t>
      </w:r>
      <w:r>
        <w:rPr>
          <w:rFonts w:ascii="Calibri"/>
          <w:spacing w:val="-2"/>
          <w:sz w:val="20"/>
          <w:vertAlign w:val="baseline"/>
        </w:rPr>
        <w:t> </w:t>
      </w:r>
      <w:r>
        <w:rPr>
          <w:rFonts w:ascii="Calibri"/>
          <w:sz w:val="20"/>
          <w:vertAlign w:val="baseline"/>
        </w:rPr>
        <w:t>See Hansard, Column 284. </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12,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before="3"/>
        <w:ind w:left="308" w:right="0" w:firstLine="0"/>
        <w:jc w:val="both"/>
        <w:rPr>
          <w:rFonts w:ascii="Calibri"/>
          <w:sz w:val="20"/>
        </w:rPr>
      </w:pPr>
      <w:r>
        <w:rPr>
          <w:rFonts w:ascii="Calibri"/>
          <w:sz w:val="20"/>
          <w:vertAlign w:val="superscript"/>
        </w:rPr>
        <w:t>161</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520.</w:t>
      </w:r>
    </w:p>
    <w:p>
      <w:pPr>
        <w:spacing w:before="1"/>
        <w:ind w:left="308" w:right="0" w:firstLine="0"/>
        <w:jc w:val="both"/>
        <w:rPr>
          <w:rFonts w:ascii="Calibri"/>
          <w:sz w:val="20"/>
        </w:rPr>
      </w:pPr>
      <w:r>
        <w:rPr>
          <w:rFonts w:ascii="Calibri"/>
          <w:sz w:val="20"/>
          <w:vertAlign w:val="superscript"/>
        </w:rPr>
        <w:t>162</w:t>
      </w:r>
      <w:r>
        <w:rPr>
          <w:rFonts w:ascii="Calibri"/>
          <w:spacing w:val="4"/>
          <w:sz w:val="20"/>
          <w:vertAlign w:val="baseline"/>
        </w:rPr>
        <w:t> </w:t>
      </w:r>
      <w:r>
        <w:rPr>
          <w:rFonts w:ascii="Calibri"/>
          <w:spacing w:val="-4"/>
          <w:sz w:val="20"/>
          <w:vertAlign w:val="baseline"/>
        </w:rPr>
        <w:t>Ibid.</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43"/>
        <w:jc w:val="both"/>
      </w:pPr>
      <w:r>
        <w:rPr/>
        <w:t>be subjected to higher standards than some executive directors, if the former happen to have some special qualifications.</w:t>
      </w:r>
    </w:p>
    <w:p>
      <w:pPr>
        <w:pStyle w:val="BodyText"/>
        <w:spacing w:line="480" w:lineRule="auto"/>
        <w:ind w:right="226" w:firstLine="720"/>
        <w:jc w:val="both"/>
      </w:pPr>
      <w:r>
        <w:rPr/>
        <w:t>A recent case which considered s. 174 is </w:t>
      </w:r>
      <w:r>
        <w:rPr>
          <w:b/>
        </w:rPr>
        <w:t>Abbey Forwarding Limited (in liquidation) vs. Hone</w:t>
      </w:r>
      <w:r>
        <w:rPr/>
        <w:t>,</w:t>
      </w:r>
      <w:r>
        <w:rPr>
          <w:vertAlign w:val="superscript"/>
        </w:rPr>
        <w:t>163</w:t>
      </w:r>
      <w:r>
        <w:rPr>
          <w:vertAlign w:val="baseline"/>
        </w:rPr>
        <w:t> wherein the English High Court observed that in deciding whether directors have fallen short of</w:t>
      </w:r>
      <w:r>
        <w:rPr>
          <w:spacing w:val="-1"/>
          <w:vertAlign w:val="baseline"/>
        </w:rPr>
        <w:t> </w:t>
      </w:r>
      <w:r>
        <w:rPr>
          <w:vertAlign w:val="baseline"/>
        </w:rPr>
        <w:t>their duty</w:t>
      </w:r>
      <w:r>
        <w:rPr>
          <w:spacing w:val="-3"/>
          <w:vertAlign w:val="baseline"/>
        </w:rPr>
        <w:t> </w:t>
      </w:r>
      <w:r>
        <w:rPr>
          <w:vertAlign w:val="baseline"/>
        </w:rPr>
        <w:t>of skill and care, particularly where the breach of duty concerned the precise way in which the business was run, evidence of what was normal in the field of commerce in which the company operates is of considerable relevance. The court</w:t>
      </w:r>
      <w:r>
        <w:rPr>
          <w:spacing w:val="-1"/>
          <w:vertAlign w:val="baseline"/>
        </w:rPr>
        <w:t> </w:t>
      </w:r>
      <w:r>
        <w:rPr>
          <w:vertAlign w:val="baseline"/>
        </w:rPr>
        <w:t>then</w:t>
      </w:r>
      <w:r>
        <w:rPr>
          <w:spacing w:val="-1"/>
          <w:vertAlign w:val="baseline"/>
        </w:rPr>
        <w:t> </w:t>
      </w:r>
      <w:r>
        <w:rPr>
          <w:vertAlign w:val="baseline"/>
        </w:rPr>
        <w:t>ruled that, taking various factors</w:t>
      </w:r>
      <w:r>
        <w:rPr>
          <w:spacing w:val="-3"/>
          <w:vertAlign w:val="baseline"/>
        </w:rPr>
        <w:t> </w:t>
      </w:r>
      <w:r>
        <w:rPr>
          <w:vertAlign w:val="baseline"/>
        </w:rPr>
        <w:t>together, and in the</w:t>
      </w:r>
      <w:r>
        <w:rPr>
          <w:spacing w:val="-1"/>
          <w:vertAlign w:val="baseline"/>
        </w:rPr>
        <w:t> </w:t>
      </w:r>
      <w:r>
        <w:rPr>
          <w:vertAlign w:val="baseline"/>
        </w:rPr>
        <w:t>absence</w:t>
      </w:r>
      <w:r>
        <w:rPr>
          <w:spacing w:val="-1"/>
          <w:vertAlign w:val="baseline"/>
        </w:rPr>
        <w:t> </w:t>
      </w:r>
      <w:r>
        <w:rPr>
          <w:vertAlign w:val="baseline"/>
        </w:rPr>
        <w:t>of</w:t>
      </w:r>
      <w:r>
        <w:rPr>
          <w:spacing w:val="-7"/>
          <w:vertAlign w:val="baseline"/>
        </w:rPr>
        <w:t> </w:t>
      </w:r>
      <w:r>
        <w:rPr>
          <w:vertAlign w:val="baseline"/>
        </w:rPr>
        <w:t>evidence</w:t>
      </w:r>
      <w:r>
        <w:rPr>
          <w:spacing w:val="-1"/>
          <w:vertAlign w:val="baseline"/>
        </w:rPr>
        <w:t> </w:t>
      </w:r>
      <w:r>
        <w:rPr>
          <w:vertAlign w:val="baseline"/>
        </w:rPr>
        <w:t>about industry</w:t>
      </w:r>
      <w:r>
        <w:rPr>
          <w:spacing w:val="-4"/>
          <w:vertAlign w:val="baseline"/>
        </w:rPr>
        <w:t> </w:t>
      </w:r>
      <w:r>
        <w:rPr>
          <w:vertAlign w:val="baseline"/>
        </w:rPr>
        <w:t>practice, it was not prepared to find the</w:t>
      </w:r>
      <w:r>
        <w:rPr>
          <w:spacing w:val="-1"/>
          <w:vertAlign w:val="baseline"/>
        </w:rPr>
        <w:t> </w:t>
      </w:r>
      <w:r>
        <w:rPr>
          <w:vertAlign w:val="baseline"/>
        </w:rPr>
        <w:t>directors were in breach of their duty of skill and care to the company. Clearly, therefore, every case will be decided based on the relevant circumstances.</w:t>
      </w:r>
    </w:p>
    <w:p>
      <w:pPr>
        <w:pStyle w:val="BodyText"/>
        <w:spacing w:line="480" w:lineRule="auto" w:before="2"/>
        <w:ind w:right="229" w:firstLine="720"/>
        <w:jc w:val="both"/>
      </w:pPr>
      <w:r>
        <w:rPr/>
        <w:t>Of</w:t>
      </w:r>
      <w:r>
        <w:rPr>
          <w:spacing w:val="-14"/>
        </w:rPr>
        <w:t> </w:t>
      </w:r>
      <w:r>
        <w:rPr/>
        <w:t>course</w:t>
      </w:r>
      <w:r>
        <w:rPr>
          <w:spacing w:val="-3"/>
        </w:rPr>
        <w:t> </w:t>
      </w:r>
      <w:r>
        <w:rPr/>
        <w:t>―reasonable‖</w:t>
      </w:r>
      <w:r>
        <w:rPr>
          <w:spacing w:val="-3"/>
        </w:rPr>
        <w:t> </w:t>
      </w:r>
      <w:r>
        <w:rPr/>
        <w:t>is</w:t>
      </w:r>
      <w:r>
        <w:rPr>
          <w:spacing w:val="-5"/>
        </w:rPr>
        <w:t> </w:t>
      </w:r>
      <w:r>
        <w:rPr/>
        <w:t>a highly</w:t>
      </w:r>
      <w:r>
        <w:rPr>
          <w:spacing w:val="-7"/>
        </w:rPr>
        <w:t> </w:t>
      </w:r>
      <w:r>
        <w:rPr/>
        <w:t>nebulous</w:t>
      </w:r>
      <w:r>
        <w:rPr>
          <w:spacing w:val="-5"/>
        </w:rPr>
        <w:t> </w:t>
      </w:r>
      <w:r>
        <w:rPr/>
        <w:t>term.</w:t>
      </w:r>
      <w:r>
        <w:rPr>
          <w:spacing w:val="-1"/>
        </w:rPr>
        <w:t> </w:t>
      </w:r>
      <w:r>
        <w:rPr/>
        <w:t>It</w:t>
      </w:r>
      <w:r>
        <w:rPr>
          <w:spacing w:val="-2"/>
        </w:rPr>
        <w:t> </w:t>
      </w:r>
      <w:r>
        <w:rPr/>
        <w:t>still</w:t>
      </w:r>
      <w:r>
        <w:rPr>
          <w:spacing w:val="-10"/>
        </w:rPr>
        <w:t> </w:t>
      </w:r>
      <w:r>
        <w:rPr/>
        <w:t>remains</w:t>
      </w:r>
      <w:r>
        <w:rPr>
          <w:spacing w:val="-5"/>
        </w:rPr>
        <w:t> </w:t>
      </w:r>
      <w:r>
        <w:rPr/>
        <w:t>to</w:t>
      </w:r>
      <w:r>
        <w:rPr>
          <w:spacing w:val="-3"/>
        </w:rPr>
        <w:t> </w:t>
      </w:r>
      <w:r>
        <w:rPr/>
        <w:t>be</w:t>
      </w:r>
      <w:r>
        <w:rPr>
          <w:spacing w:val="-8"/>
        </w:rPr>
        <w:t> </w:t>
      </w:r>
      <w:r>
        <w:rPr/>
        <w:t>seen</w:t>
      </w:r>
      <w:r>
        <w:rPr>
          <w:spacing w:val="-7"/>
        </w:rPr>
        <w:t> </w:t>
      </w:r>
      <w:r>
        <w:rPr/>
        <w:t>how the courts would actually interpret ―reasonably diligent person‖ as well as the things that may</w:t>
      </w:r>
      <w:r>
        <w:rPr>
          <w:spacing w:val="-2"/>
        </w:rPr>
        <w:t> </w:t>
      </w:r>
      <w:r>
        <w:rPr/>
        <w:t>―reasonably</w:t>
      </w:r>
      <w:r>
        <w:rPr>
          <w:spacing w:val="-6"/>
        </w:rPr>
        <w:t> </w:t>
      </w:r>
      <w:r>
        <w:rPr/>
        <w:t>be</w:t>
      </w:r>
      <w:r>
        <w:rPr>
          <w:spacing w:val="-2"/>
        </w:rPr>
        <w:t> </w:t>
      </w:r>
      <w:r>
        <w:rPr/>
        <w:t>expected</w:t>
      </w:r>
      <w:r>
        <w:rPr>
          <w:spacing w:val="-2"/>
        </w:rPr>
        <w:t> </w:t>
      </w:r>
      <w:r>
        <w:rPr/>
        <w:t>of</w:t>
      </w:r>
      <w:r>
        <w:rPr>
          <w:spacing w:val="-8"/>
        </w:rPr>
        <w:t> </w:t>
      </w:r>
      <w:r>
        <w:rPr/>
        <w:t>persons‖</w:t>
      </w:r>
      <w:r>
        <w:rPr>
          <w:spacing w:val="-2"/>
        </w:rPr>
        <w:t> </w:t>
      </w:r>
      <w:r>
        <w:rPr/>
        <w:t>carrying</w:t>
      </w:r>
      <w:r>
        <w:rPr>
          <w:spacing w:val="-2"/>
        </w:rPr>
        <w:t> </w:t>
      </w:r>
      <w:r>
        <w:rPr/>
        <w:t>out</w:t>
      </w:r>
      <w:r>
        <w:rPr>
          <w:spacing w:val="-1"/>
        </w:rPr>
        <w:t> </w:t>
      </w:r>
      <w:r>
        <w:rPr/>
        <w:t>the</w:t>
      </w:r>
      <w:r>
        <w:rPr>
          <w:spacing w:val="-2"/>
        </w:rPr>
        <w:t> </w:t>
      </w:r>
      <w:r>
        <w:rPr/>
        <w:t>functions</w:t>
      </w:r>
      <w:r>
        <w:rPr>
          <w:spacing w:val="-4"/>
        </w:rPr>
        <w:t> </w:t>
      </w:r>
      <w:r>
        <w:rPr/>
        <w:t>of</w:t>
      </w:r>
      <w:r>
        <w:rPr>
          <w:spacing w:val="-8"/>
        </w:rPr>
        <w:t> </w:t>
      </w:r>
      <w:r>
        <w:rPr/>
        <w:t>a</w:t>
      </w:r>
      <w:r>
        <w:rPr>
          <w:spacing w:val="-2"/>
        </w:rPr>
        <w:t> </w:t>
      </w:r>
      <w:r>
        <w:rPr/>
        <w:t>director in relation</w:t>
      </w:r>
      <w:r>
        <w:rPr>
          <w:spacing w:val="-6"/>
        </w:rPr>
        <w:t> </w:t>
      </w:r>
      <w:r>
        <w:rPr/>
        <w:t>to</w:t>
      </w:r>
      <w:r>
        <w:rPr>
          <w:spacing w:val="-1"/>
        </w:rPr>
        <w:t> </w:t>
      </w:r>
      <w:r>
        <w:rPr/>
        <w:t>this</w:t>
      </w:r>
      <w:r>
        <w:rPr>
          <w:spacing w:val="-3"/>
        </w:rPr>
        <w:t> </w:t>
      </w:r>
      <w:r>
        <w:rPr/>
        <w:t>duty. It is important for</w:t>
      </w:r>
      <w:r>
        <w:rPr>
          <w:spacing w:val="-4"/>
        </w:rPr>
        <w:t> </w:t>
      </w:r>
      <w:r>
        <w:rPr/>
        <w:t>the</w:t>
      </w:r>
      <w:r>
        <w:rPr>
          <w:spacing w:val="-2"/>
        </w:rPr>
        <w:t> </w:t>
      </w:r>
      <w:r>
        <w:rPr/>
        <w:t>courts</w:t>
      </w:r>
      <w:r>
        <w:rPr>
          <w:spacing w:val="-8"/>
        </w:rPr>
        <w:t> </w:t>
      </w:r>
      <w:r>
        <w:rPr/>
        <w:t>to clearly</w:t>
      </w:r>
      <w:r>
        <w:rPr>
          <w:spacing w:val="-6"/>
        </w:rPr>
        <w:t> </w:t>
      </w:r>
      <w:r>
        <w:rPr/>
        <w:t>interpret</w:t>
      </w:r>
      <w:r>
        <w:rPr>
          <w:spacing w:val="-1"/>
        </w:rPr>
        <w:t> </w:t>
      </w:r>
      <w:r>
        <w:rPr/>
        <w:t>these</w:t>
      </w:r>
      <w:r>
        <w:rPr>
          <w:spacing w:val="-2"/>
        </w:rPr>
        <w:t> </w:t>
      </w:r>
      <w:r>
        <w:rPr/>
        <w:t>terms</w:t>
      </w:r>
      <w:r>
        <w:rPr>
          <w:spacing w:val="-3"/>
        </w:rPr>
        <w:t> </w:t>
      </w:r>
      <w:r>
        <w:rPr/>
        <w:t>because the benchmark which s. 174 attempts to set, is actually implicit in them.</w:t>
      </w:r>
      <w:r>
        <w:rPr>
          <w:vertAlign w:val="superscript"/>
        </w:rPr>
        <w:t>164</w:t>
      </w:r>
      <w:r>
        <w:rPr>
          <w:vertAlign w:val="baseline"/>
        </w:rPr>
        <w:t> Importantly, the imposition of an objective standard does not necessarily require a directorship to be regarded</w:t>
      </w:r>
      <w:r>
        <w:rPr>
          <w:spacing w:val="-9"/>
          <w:vertAlign w:val="baseline"/>
        </w:rPr>
        <w:t> </w:t>
      </w:r>
      <w:r>
        <w:rPr>
          <w:vertAlign w:val="baseline"/>
        </w:rPr>
        <w:t>as</w:t>
      </w:r>
      <w:r>
        <w:rPr>
          <w:spacing w:val="-11"/>
          <w:vertAlign w:val="baseline"/>
        </w:rPr>
        <w:t> </w:t>
      </w:r>
      <w:r>
        <w:rPr>
          <w:vertAlign w:val="baseline"/>
        </w:rPr>
        <w:t>a</w:t>
      </w:r>
      <w:r>
        <w:rPr>
          <w:spacing w:val="-9"/>
          <w:vertAlign w:val="baseline"/>
        </w:rPr>
        <w:t> </w:t>
      </w:r>
      <w:r>
        <w:rPr>
          <w:vertAlign w:val="baseline"/>
        </w:rPr>
        <w:t>profession,</w:t>
      </w:r>
      <w:r>
        <w:rPr>
          <w:spacing w:val="-7"/>
          <w:vertAlign w:val="baseline"/>
        </w:rPr>
        <w:t> </w:t>
      </w:r>
      <w:r>
        <w:rPr>
          <w:vertAlign w:val="baseline"/>
        </w:rPr>
        <w:t>since</w:t>
      </w:r>
      <w:r>
        <w:rPr>
          <w:spacing w:val="-9"/>
          <w:vertAlign w:val="baseline"/>
        </w:rPr>
        <w:t> </w:t>
      </w:r>
      <w:r>
        <w:rPr>
          <w:vertAlign w:val="baseline"/>
        </w:rPr>
        <w:t>the</w:t>
      </w:r>
      <w:r>
        <w:rPr>
          <w:spacing w:val="-9"/>
          <w:vertAlign w:val="baseline"/>
        </w:rPr>
        <w:t> </w:t>
      </w:r>
      <w:r>
        <w:rPr>
          <w:vertAlign w:val="baseline"/>
        </w:rPr>
        <w:t>courts</w:t>
      </w:r>
      <w:r>
        <w:rPr>
          <w:spacing w:val="-11"/>
          <w:vertAlign w:val="baseline"/>
        </w:rPr>
        <w:t> </w:t>
      </w:r>
      <w:r>
        <w:rPr>
          <w:vertAlign w:val="baseline"/>
        </w:rPr>
        <w:t>would</w:t>
      </w:r>
      <w:r>
        <w:rPr>
          <w:spacing w:val="-9"/>
          <w:vertAlign w:val="baseline"/>
        </w:rPr>
        <w:t> </w:t>
      </w:r>
      <w:r>
        <w:rPr>
          <w:vertAlign w:val="baseline"/>
        </w:rPr>
        <w:t>presumably</w:t>
      </w:r>
      <w:r>
        <w:rPr>
          <w:spacing w:val="-15"/>
          <w:vertAlign w:val="baseline"/>
        </w:rPr>
        <w:t> </w:t>
      </w:r>
      <w:r>
        <w:rPr>
          <w:vertAlign w:val="baseline"/>
        </w:rPr>
        <w:t>define</w:t>
      </w:r>
      <w:r>
        <w:rPr>
          <w:spacing w:val="-5"/>
          <w:vertAlign w:val="baseline"/>
        </w:rPr>
        <w:t> </w:t>
      </w:r>
      <w:r>
        <w:rPr>
          <w:vertAlign w:val="baseline"/>
        </w:rPr>
        <w:t>―what</w:t>
      </w:r>
      <w:r>
        <w:rPr>
          <w:spacing w:val="-4"/>
          <w:vertAlign w:val="baseline"/>
        </w:rPr>
        <w:t> </w:t>
      </w:r>
      <w:r>
        <w:rPr>
          <w:vertAlign w:val="baseline"/>
        </w:rPr>
        <w:t>is</w:t>
      </w:r>
      <w:r>
        <w:rPr>
          <w:spacing w:val="-11"/>
          <w:vertAlign w:val="baseline"/>
        </w:rPr>
        <w:t> </w:t>
      </w:r>
      <w:r>
        <w:rPr>
          <w:vertAlign w:val="baseline"/>
        </w:rPr>
        <w:t>reasonable‖ in relation to the director having regard to the knowledge, skill and experience which a person in his position ought to have.</w:t>
      </w:r>
      <w:r>
        <w:rPr>
          <w:vertAlign w:val="superscript"/>
        </w:rPr>
        <w:t>165</w:t>
      </w:r>
      <w:r>
        <w:rPr>
          <w:vertAlign w:val="baseline"/>
        </w:rPr>
        <w:t> Even non-executives would be required to measure up to some reasonable standard in carrying out their duties of guiding and monitoring the management of the company. A caution has been sounded, though, that</w:t>
      </w:r>
    </w:p>
    <w:p>
      <w:pPr>
        <w:pStyle w:val="BodyText"/>
        <w:spacing w:before="30"/>
        <w:ind w:left="0"/>
        <w:rPr>
          <w:sz w:val="20"/>
        </w:rPr>
      </w:pPr>
      <w:r>
        <w:rPr/>
        <mc:AlternateContent>
          <mc:Choice Requires="wps">
            <w:drawing>
              <wp:anchor distT="0" distB="0" distL="0" distR="0" allowOverlap="1" layoutInCell="1" locked="0" behindDoc="1" simplePos="0" relativeHeight="487689728">
                <wp:simplePos x="0" y="0"/>
                <wp:positionH relativeFrom="page">
                  <wp:posOffset>1262481</wp:posOffset>
                </wp:positionH>
                <wp:positionV relativeFrom="paragraph">
                  <wp:posOffset>180360</wp:posOffset>
                </wp:positionV>
                <wp:extent cx="1829435" cy="9525"/>
                <wp:effectExtent l="0" t="0" r="0" b="0"/>
                <wp:wrapTopAndBottom/>
                <wp:docPr id="224" name="Graphic 224"/>
                <wp:cNvGraphicFramePr>
                  <a:graphicFrameLocks/>
                </wp:cNvGraphicFramePr>
                <a:graphic>
                  <a:graphicData uri="http://schemas.microsoft.com/office/word/2010/wordprocessingShape">
                    <wps:wsp>
                      <wps:cNvPr id="224" name="Graphic 22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201592pt;width:144.050pt;height:.71997pt;mso-position-horizontal-relative:page;mso-position-vertical-relative:paragraph;z-index:-15626752;mso-wrap-distance-left:0;mso-wrap-distance-right:0" id="docshape179" filled="true" fillcolor="#000000" stroked="false">
                <v:fill type="solid"/>
                <w10:wrap type="topAndBottom"/>
              </v:rect>
            </w:pict>
          </mc:Fallback>
        </mc:AlternateContent>
      </w:r>
    </w:p>
    <w:p>
      <w:pPr>
        <w:spacing w:before="102"/>
        <w:ind w:left="308" w:right="225" w:firstLine="0"/>
        <w:jc w:val="both"/>
        <w:rPr>
          <w:rFonts w:ascii="Calibri"/>
          <w:sz w:val="20"/>
        </w:rPr>
      </w:pPr>
      <w:r>
        <w:rPr>
          <w:rFonts w:ascii="Calibri"/>
          <w:sz w:val="20"/>
          <w:vertAlign w:val="superscript"/>
        </w:rPr>
        <w:t>163</w:t>
      </w:r>
      <w:r>
        <w:rPr>
          <w:rFonts w:ascii="Calibri"/>
          <w:sz w:val="20"/>
          <w:vertAlign w:val="baseline"/>
        </w:rPr>
        <w:t>(2010) EWHC 2029 (Ch).cited in Bills Committee on Companies Bill: Follow-up to the Meetings on 3 and 10 June 2011 Supplementary Information (June 22, 2011). Financial Services and the treasury Bureau, Companies Registry, p. 8.Retrieved December 11, 2013, from </w:t>
      </w:r>
      <w:hyperlink r:id="rId56">
        <w:r>
          <w:rPr>
            <w:rFonts w:ascii="Calibri"/>
            <w:color w:val="0000FF"/>
            <w:sz w:val="20"/>
            <w:u w:val="single" w:color="0000FF"/>
            <w:vertAlign w:val="baseline"/>
          </w:rPr>
          <w:t>http://www.legco.gov.hk/yr10-</w:t>
        </w:r>
      </w:hyperlink>
      <w:r>
        <w:rPr>
          <w:rFonts w:ascii="Calibri"/>
          <w:color w:val="0000FF"/>
          <w:sz w:val="20"/>
          <w:vertAlign w:val="baseline"/>
        </w:rPr>
        <w:t> </w:t>
      </w:r>
      <w:hyperlink r:id="rId56">
        <w:r>
          <w:rPr>
            <w:rFonts w:ascii="Calibri"/>
            <w:color w:val="0000FF"/>
            <w:spacing w:val="-2"/>
            <w:sz w:val="20"/>
            <w:u w:val="single" w:color="0000FF"/>
            <w:vertAlign w:val="baseline"/>
          </w:rPr>
          <w:t>11/english/bc/bc03/papers/bc030628cb1-2577-1-e.pdf</w:t>
        </w:r>
      </w:hyperlink>
      <w:r>
        <w:rPr>
          <w:rFonts w:ascii="Calibri"/>
          <w:spacing w:val="-2"/>
          <w:sz w:val="20"/>
          <w:vertAlign w:val="baseline"/>
        </w:rPr>
        <w:t>.</w:t>
      </w:r>
    </w:p>
    <w:p>
      <w:pPr>
        <w:spacing w:before="3"/>
        <w:ind w:left="308" w:right="0" w:firstLine="0"/>
        <w:jc w:val="both"/>
        <w:rPr>
          <w:rFonts w:ascii="Calibri"/>
          <w:sz w:val="20"/>
        </w:rPr>
      </w:pPr>
      <w:r>
        <w:rPr>
          <w:rFonts w:ascii="Calibri"/>
          <w:sz w:val="20"/>
          <w:vertAlign w:val="superscript"/>
        </w:rPr>
        <w:t>164</w:t>
      </w:r>
      <w:r>
        <w:rPr>
          <w:rFonts w:ascii="Calibri"/>
          <w:sz w:val="20"/>
          <w:vertAlign w:val="baseline"/>
        </w:rPr>
        <w:t>Davies,</w:t>
      </w:r>
      <w:r>
        <w:rPr>
          <w:rFonts w:ascii="Calibri"/>
          <w:spacing w:val="-6"/>
          <w:sz w:val="20"/>
          <w:vertAlign w:val="baseline"/>
        </w:rPr>
        <w:t> </w:t>
      </w:r>
      <w:r>
        <w:rPr>
          <w:rFonts w:ascii="Calibri"/>
          <w:sz w:val="20"/>
          <w:vertAlign w:val="baseline"/>
        </w:rPr>
        <w:t>J.</w:t>
      </w:r>
      <w:r>
        <w:rPr>
          <w:rFonts w:ascii="Calibri"/>
          <w:spacing w:val="-5"/>
          <w:sz w:val="20"/>
          <w:vertAlign w:val="baseline"/>
        </w:rPr>
        <w:t> </w:t>
      </w:r>
      <w:r>
        <w:rPr>
          <w:rFonts w:ascii="Calibri"/>
          <w:sz w:val="20"/>
          <w:vertAlign w:val="baseline"/>
        </w:rPr>
        <w:t>(2007).Op.cit.,</w:t>
      </w:r>
      <w:r>
        <w:rPr>
          <w:rFonts w:ascii="Calibri"/>
          <w:spacing w:val="-6"/>
          <w:sz w:val="20"/>
          <w:vertAlign w:val="baseline"/>
        </w:rPr>
        <w:t> </w:t>
      </w:r>
      <w:r>
        <w:rPr>
          <w:rFonts w:ascii="Calibri"/>
          <w:sz w:val="20"/>
          <w:vertAlign w:val="baseline"/>
        </w:rPr>
        <w:t>at</w:t>
      </w:r>
      <w:r>
        <w:rPr>
          <w:rFonts w:ascii="Calibri"/>
          <w:spacing w:val="-8"/>
          <w:sz w:val="20"/>
          <w:vertAlign w:val="baseline"/>
        </w:rPr>
        <w:t> </w:t>
      </w:r>
      <w:r>
        <w:rPr>
          <w:rFonts w:ascii="Calibri"/>
          <w:spacing w:val="-4"/>
          <w:sz w:val="20"/>
          <w:vertAlign w:val="baseline"/>
        </w:rPr>
        <w:t>p.42.</w:t>
      </w:r>
    </w:p>
    <w:p>
      <w:pPr>
        <w:spacing w:before="1"/>
        <w:ind w:left="308" w:right="0" w:firstLine="0"/>
        <w:jc w:val="both"/>
        <w:rPr>
          <w:rFonts w:ascii="Calibri"/>
          <w:sz w:val="20"/>
        </w:rPr>
      </w:pPr>
      <w:r>
        <w:rPr>
          <w:rFonts w:ascii="Calibri"/>
          <w:sz w:val="20"/>
          <w:vertAlign w:val="superscript"/>
        </w:rPr>
        <w:t>165</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520.</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34"/>
        <w:jc w:val="both"/>
      </w:pPr>
      <w:r>
        <w:rPr/>
        <w:t>the courts cannot afford to be too hard on directors in their interpretation of reasonableness, considering the complexities of modern companies where many transactions are carried out simultaneously in dispersed geographical locations, or they would make it difficult for boards to find directors.</w:t>
      </w:r>
      <w:r>
        <w:rPr>
          <w:vertAlign w:val="superscript"/>
        </w:rPr>
        <w:t>166</w:t>
      </w:r>
      <w:r>
        <w:rPr>
          <w:vertAlign w:val="baseline"/>
        </w:rPr>
        <w:t> Besides, the courts would not want to end up being made into assessors of business risk, a role for which they are obviously unsuited.</w:t>
      </w:r>
      <w:r>
        <w:rPr>
          <w:vertAlign w:val="superscript"/>
        </w:rPr>
        <w:t>167</w:t>
      </w:r>
    </w:p>
    <w:p>
      <w:pPr>
        <w:pStyle w:val="BodyText"/>
        <w:spacing w:line="480" w:lineRule="auto" w:before="1"/>
        <w:ind w:right="226" w:firstLine="720"/>
        <w:jc w:val="both"/>
      </w:pPr>
      <w:r>
        <w:rPr/>
        <w:t>Interestingly, the demand for higher standards for directors in the discharge of their duties,resulted in the current practice whereby directors obtain insurance against their potential liability for negligence.</w:t>
      </w:r>
      <w:r>
        <w:rPr>
          <w:vertAlign w:val="superscript"/>
        </w:rPr>
        <w:t>168</w:t>
      </w:r>
      <w:r>
        <w:rPr>
          <w:vertAlign w:val="baseline"/>
        </w:rPr>
        <w:t> Indeed, s. 233 allows a company to purchase and maintain insurance for its director against liability arising from negligence and others. It is generally conceded that companies essentially take risks and so even where directors act in good faith while displaying the relevant care and skill, the result may</w:t>
      </w:r>
      <w:r>
        <w:rPr>
          <w:spacing w:val="40"/>
          <w:vertAlign w:val="baseline"/>
        </w:rPr>
        <w:t> </w:t>
      </w:r>
      <w:r>
        <w:rPr>
          <w:vertAlign w:val="baseline"/>
        </w:rPr>
        <w:t>still be disastrous. Thus, the fact that a company makes a loss, or even fails totally, is</w:t>
      </w:r>
      <w:r>
        <w:rPr>
          <w:spacing w:val="40"/>
          <w:vertAlign w:val="baseline"/>
        </w:rPr>
        <w:t> </w:t>
      </w:r>
      <w:r>
        <w:rPr>
          <w:vertAlign w:val="baseline"/>
        </w:rPr>
        <w:t>not necessarily indicative that its directors have been negligent in the management of</w:t>
      </w:r>
      <w:r>
        <w:rPr>
          <w:spacing w:val="40"/>
          <w:vertAlign w:val="baseline"/>
        </w:rPr>
        <w:t> </w:t>
      </w:r>
      <w:r>
        <w:rPr>
          <w:vertAlign w:val="baseline"/>
        </w:rPr>
        <w:t>the company‘s affairs.</w:t>
      </w:r>
      <w:r>
        <w:rPr>
          <w:vertAlign w:val="superscript"/>
        </w:rPr>
        <w:t>169</w:t>
      </w:r>
      <w:r>
        <w:rPr>
          <w:spacing w:val="40"/>
          <w:vertAlign w:val="baseline"/>
        </w:rPr>
        <w:t> </w:t>
      </w:r>
      <w:r>
        <w:rPr>
          <w:vertAlign w:val="baseline"/>
        </w:rPr>
        <w:t>And since the law does not allow the company to relieve the director from the duty under s. 174,</w:t>
      </w:r>
      <w:r>
        <w:rPr>
          <w:vertAlign w:val="superscript"/>
        </w:rPr>
        <w:t>170</w:t>
      </w:r>
      <w:r>
        <w:rPr>
          <w:vertAlign w:val="baseline"/>
        </w:rPr>
        <w:t> it is submitted that in allowing the company to take out an insurance policy for its director, the law has thereby aided it in circumventing the law by insuring the director against whatever amount he may be asked to pay. Supposedly, the idea is that, in this manner, companies shield directors who make loss-generating decisions reasonably after collecting all the appropriate evidence</w:t>
      </w:r>
      <w:r>
        <w:rPr>
          <w:spacing w:val="30"/>
          <w:vertAlign w:val="baseline"/>
        </w:rPr>
        <w:t> </w:t>
      </w:r>
      <w:r>
        <w:rPr>
          <w:vertAlign w:val="baseline"/>
        </w:rPr>
        <w:t>and</w:t>
      </w:r>
      <w:r>
        <w:rPr>
          <w:spacing w:val="31"/>
          <w:vertAlign w:val="baseline"/>
        </w:rPr>
        <w:t> </w:t>
      </w:r>
      <w:r>
        <w:rPr>
          <w:vertAlign w:val="baseline"/>
        </w:rPr>
        <w:t>after</w:t>
      </w:r>
      <w:r>
        <w:rPr>
          <w:spacing w:val="33"/>
          <w:vertAlign w:val="baseline"/>
        </w:rPr>
        <w:t> </w:t>
      </w:r>
      <w:r>
        <w:rPr>
          <w:vertAlign w:val="baseline"/>
        </w:rPr>
        <w:t>appropriate</w:t>
      </w:r>
      <w:r>
        <w:rPr>
          <w:spacing w:val="30"/>
          <w:vertAlign w:val="baseline"/>
        </w:rPr>
        <w:t> </w:t>
      </w:r>
      <w:r>
        <w:rPr>
          <w:vertAlign w:val="baseline"/>
        </w:rPr>
        <w:t>consultation</w:t>
      </w:r>
      <w:r>
        <w:rPr>
          <w:spacing w:val="27"/>
          <w:vertAlign w:val="baseline"/>
        </w:rPr>
        <w:t> </w:t>
      </w:r>
      <w:r>
        <w:rPr>
          <w:vertAlign w:val="baseline"/>
        </w:rPr>
        <w:t>and</w:t>
      </w:r>
      <w:r>
        <w:rPr>
          <w:spacing w:val="36"/>
          <w:vertAlign w:val="baseline"/>
        </w:rPr>
        <w:t> </w:t>
      </w:r>
      <w:r>
        <w:rPr>
          <w:vertAlign w:val="baseline"/>
        </w:rPr>
        <w:t>evaluation.</w:t>
      </w:r>
      <w:r>
        <w:rPr>
          <w:spacing w:val="33"/>
          <w:vertAlign w:val="baseline"/>
        </w:rPr>
        <w:t> </w:t>
      </w:r>
      <w:r>
        <w:rPr>
          <w:vertAlign w:val="baseline"/>
        </w:rPr>
        <w:t>But</w:t>
      </w:r>
      <w:r>
        <w:rPr>
          <w:spacing w:val="40"/>
          <w:vertAlign w:val="baseline"/>
        </w:rPr>
        <w:t> </w:t>
      </w:r>
      <w:r>
        <w:rPr>
          <w:vertAlign w:val="baseline"/>
        </w:rPr>
        <w:t>it</w:t>
      </w:r>
      <w:r>
        <w:rPr>
          <w:spacing w:val="36"/>
          <w:vertAlign w:val="baseline"/>
        </w:rPr>
        <w:t> </w:t>
      </w:r>
      <w:r>
        <w:rPr>
          <w:vertAlign w:val="baseline"/>
        </w:rPr>
        <w:t>is</w:t>
      </w:r>
      <w:r>
        <w:rPr>
          <w:spacing w:val="29"/>
          <w:vertAlign w:val="baseline"/>
        </w:rPr>
        <w:t> </w:t>
      </w:r>
      <w:r>
        <w:rPr>
          <w:vertAlign w:val="baseline"/>
        </w:rPr>
        <w:t>argued,</w:t>
      </w:r>
      <w:r>
        <w:rPr>
          <w:spacing w:val="33"/>
          <w:vertAlign w:val="baseline"/>
        </w:rPr>
        <w:t> </w:t>
      </w:r>
      <w:r>
        <w:rPr>
          <w:vertAlign w:val="baseline"/>
        </w:rPr>
        <w:t>and</w:t>
      </w:r>
      <w:r>
        <w:rPr>
          <w:spacing w:val="31"/>
          <w:vertAlign w:val="baseline"/>
        </w:rPr>
        <w:t> </w:t>
      </w:r>
      <w:r>
        <w:rPr>
          <w:vertAlign w:val="baseline"/>
        </w:rPr>
        <w:t>this</w:t>
      </w:r>
    </w:p>
    <w:p>
      <w:pPr>
        <w:pStyle w:val="BodyText"/>
        <w:spacing w:before="2"/>
        <w:ind w:left="0"/>
        <w:rPr>
          <w:sz w:val="7"/>
        </w:rPr>
      </w:pPr>
      <w:r>
        <w:rPr/>
        <mc:AlternateContent>
          <mc:Choice Requires="wps">
            <w:drawing>
              <wp:anchor distT="0" distB="0" distL="0" distR="0" allowOverlap="1" layoutInCell="1" locked="0" behindDoc="1" simplePos="0" relativeHeight="487690240">
                <wp:simplePos x="0" y="0"/>
                <wp:positionH relativeFrom="page">
                  <wp:posOffset>1262481</wp:posOffset>
                </wp:positionH>
                <wp:positionV relativeFrom="paragraph">
                  <wp:posOffset>68189</wp:posOffset>
                </wp:positionV>
                <wp:extent cx="1829435" cy="9525"/>
                <wp:effectExtent l="0" t="0" r="0" b="0"/>
                <wp:wrapTopAndBottom/>
                <wp:docPr id="225" name="Graphic 225"/>
                <wp:cNvGraphicFramePr>
                  <a:graphicFrameLocks/>
                </wp:cNvGraphicFramePr>
                <a:graphic>
                  <a:graphicData uri="http://schemas.microsoft.com/office/word/2010/wordprocessingShape">
                    <wps:wsp>
                      <wps:cNvPr id="225" name="Graphic 22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5.369249pt;width:144.050pt;height:.71997pt;mso-position-horizontal-relative:page;mso-position-vertical-relative:paragraph;z-index:-15626240;mso-wrap-distance-left:0;mso-wrap-distance-right:0" id="docshape180"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166</w:t>
      </w:r>
      <w:r>
        <w:rPr>
          <w:rFonts w:ascii="Calibri"/>
          <w:sz w:val="20"/>
          <w:vertAlign w:val="baseline"/>
        </w:rPr>
        <w:t>Pettet,</w:t>
      </w:r>
      <w:r>
        <w:rPr>
          <w:rFonts w:ascii="Calibri"/>
          <w:spacing w:val="-5"/>
          <w:sz w:val="20"/>
          <w:vertAlign w:val="baseline"/>
        </w:rPr>
        <w:t> </w:t>
      </w:r>
      <w:r>
        <w:rPr>
          <w:rFonts w:ascii="Calibri"/>
          <w:sz w:val="20"/>
          <w:vertAlign w:val="baseline"/>
        </w:rPr>
        <w:t>B.</w:t>
      </w:r>
      <w:r>
        <w:rPr>
          <w:rFonts w:ascii="Calibri"/>
          <w:spacing w:val="1"/>
          <w:sz w:val="20"/>
          <w:vertAlign w:val="baseline"/>
        </w:rPr>
        <w:t> </w:t>
      </w:r>
      <w:r>
        <w:rPr>
          <w:rFonts w:ascii="Calibri"/>
          <w:spacing w:val="-2"/>
          <w:sz w:val="20"/>
          <w:vertAlign w:val="baseline"/>
        </w:rPr>
        <w:t>Op.cit.</w:t>
      </w:r>
    </w:p>
    <w:p>
      <w:pPr>
        <w:spacing w:line="242" w:lineRule="exact" w:before="1"/>
        <w:ind w:left="308" w:right="0" w:firstLine="0"/>
        <w:jc w:val="both"/>
        <w:rPr>
          <w:rFonts w:ascii="Calibri"/>
          <w:sz w:val="20"/>
        </w:rPr>
      </w:pPr>
      <w:r>
        <w:rPr>
          <w:rFonts w:ascii="Calibri"/>
          <w:sz w:val="20"/>
          <w:vertAlign w:val="superscript"/>
        </w:rPr>
        <w:t>167</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523.</w:t>
      </w:r>
    </w:p>
    <w:p>
      <w:pPr>
        <w:spacing w:line="242" w:lineRule="exact" w:before="0"/>
        <w:ind w:left="308" w:right="0" w:firstLine="0"/>
        <w:jc w:val="both"/>
        <w:rPr>
          <w:rFonts w:ascii="Calibri"/>
          <w:sz w:val="20"/>
        </w:rPr>
      </w:pPr>
      <w:r>
        <w:rPr>
          <w:rFonts w:ascii="Calibri"/>
          <w:sz w:val="20"/>
          <w:vertAlign w:val="superscript"/>
        </w:rPr>
        <w:t>168</w:t>
      </w:r>
      <w:r>
        <w:rPr>
          <w:rFonts w:ascii="Calibri"/>
          <w:sz w:val="20"/>
          <w:vertAlign w:val="baseline"/>
        </w:rPr>
        <w:t>Pettet,</w:t>
      </w:r>
      <w:r>
        <w:rPr>
          <w:rFonts w:ascii="Calibri"/>
          <w:spacing w:val="-5"/>
          <w:sz w:val="20"/>
          <w:vertAlign w:val="baseline"/>
        </w:rPr>
        <w:t> </w:t>
      </w:r>
      <w:r>
        <w:rPr>
          <w:rFonts w:ascii="Calibri"/>
          <w:sz w:val="20"/>
          <w:vertAlign w:val="baseline"/>
        </w:rPr>
        <w:t>B.</w:t>
      </w:r>
      <w:r>
        <w:rPr>
          <w:rFonts w:ascii="Calibri"/>
          <w:spacing w:val="1"/>
          <w:sz w:val="20"/>
          <w:vertAlign w:val="baseline"/>
        </w:rPr>
        <w:t> </w:t>
      </w:r>
      <w:r>
        <w:rPr>
          <w:rFonts w:ascii="Calibri"/>
          <w:spacing w:val="-2"/>
          <w:sz w:val="20"/>
          <w:vertAlign w:val="baseline"/>
        </w:rPr>
        <w:t>Op.cit.</w:t>
      </w:r>
    </w:p>
    <w:p>
      <w:pPr>
        <w:spacing w:before="0"/>
        <w:ind w:left="308" w:right="0" w:firstLine="0"/>
        <w:jc w:val="both"/>
        <w:rPr>
          <w:rFonts w:ascii="Calibri"/>
          <w:sz w:val="20"/>
        </w:rPr>
      </w:pPr>
      <w:r>
        <w:rPr>
          <w:rFonts w:ascii="Calibri"/>
          <w:sz w:val="20"/>
          <w:vertAlign w:val="superscript"/>
        </w:rPr>
        <w:t>169</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6"/>
          <w:sz w:val="20"/>
          <w:vertAlign w:val="baseline"/>
        </w:rPr>
        <w:t> </w:t>
      </w:r>
      <w:r>
        <w:rPr>
          <w:rFonts w:ascii="Calibri"/>
          <w:sz w:val="20"/>
          <w:vertAlign w:val="baseline"/>
        </w:rPr>
        <w:t>op.cit.at</w:t>
      </w:r>
      <w:r>
        <w:rPr>
          <w:rFonts w:ascii="Calibri"/>
          <w:spacing w:val="-8"/>
          <w:sz w:val="20"/>
          <w:vertAlign w:val="baseline"/>
        </w:rPr>
        <w:t> </w:t>
      </w:r>
      <w:r>
        <w:rPr>
          <w:rFonts w:ascii="Calibri"/>
          <w:sz w:val="20"/>
          <w:vertAlign w:val="baseline"/>
        </w:rPr>
        <w:t>p.</w:t>
      </w:r>
      <w:r>
        <w:rPr>
          <w:rFonts w:ascii="Calibri"/>
          <w:spacing w:val="-6"/>
          <w:sz w:val="20"/>
          <w:vertAlign w:val="baseline"/>
        </w:rPr>
        <w:t> </w:t>
      </w:r>
      <w:r>
        <w:rPr>
          <w:rFonts w:ascii="Calibri"/>
          <w:spacing w:val="-5"/>
          <w:sz w:val="20"/>
          <w:vertAlign w:val="baseline"/>
        </w:rPr>
        <w:t>10.</w:t>
      </w:r>
    </w:p>
    <w:p>
      <w:pPr>
        <w:spacing w:before="2"/>
        <w:ind w:left="308" w:right="226" w:firstLine="0"/>
        <w:jc w:val="both"/>
        <w:rPr>
          <w:rFonts w:ascii="Calibri" w:hAnsi="Calibri"/>
          <w:sz w:val="20"/>
        </w:rPr>
      </w:pPr>
      <w:r>
        <w:rPr>
          <w:rFonts w:ascii="Calibri" w:hAnsi="Calibri"/>
          <w:sz w:val="20"/>
          <w:vertAlign w:val="superscript"/>
        </w:rPr>
        <w:t>170</w:t>
      </w:r>
      <w:r>
        <w:rPr>
          <w:rFonts w:ascii="Calibri" w:hAnsi="Calibri"/>
          <w:sz w:val="20"/>
          <w:vertAlign w:val="baseline"/>
        </w:rPr>
        <w:t>Although curiously, s. 1157 empowers the court to excuse directors for breach of duties committed under reasonable circumstances. Hoffmann LJ. Expressed doubts, in </w:t>
      </w:r>
      <w:r>
        <w:rPr>
          <w:rFonts w:ascii="Calibri" w:hAnsi="Calibri"/>
          <w:i/>
          <w:sz w:val="20"/>
          <w:vertAlign w:val="baseline"/>
        </w:rPr>
        <w:t>Re D’Jan of London Ltd </w:t>
      </w:r>
      <w:r>
        <w:rPr>
          <w:rFonts w:ascii="Calibri" w:hAnsi="Calibri"/>
          <w:sz w:val="20"/>
          <w:vertAlign w:val="baseline"/>
        </w:rPr>
        <w:t>(1994) 1 BCLC 561 that a person found to have been guilty of negligence, which involves failing to take</w:t>
      </w:r>
      <w:r>
        <w:rPr>
          <w:rFonts w:ascii="Calibri" w:hAnsi="Calibri"/>
          <w:spacing w:val="40"/>
          <w:sz w:val="20"/>
          <w:vertAlign w:val="baseline"/>
        </w:rPr>
        <w:t> </w:t>
      </w:r>
      <w:r>
        <w:rPr>
          <w:rFonts w:ascii="Calibri" w:hAnsi="Calibri"/>
          <w:sz w:val="20"/>
          <w:vertAlign w:val="baseline"/>
        </w:rPr>
        <w:t>reasonable care, can ever satisfy a court that he acted reasonably. It means that conduct may be “reasonable” for the purposes of s.1157 despite amounting to lack of reasonable care at common law.</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70"/>
        <w:ind w:right="238"/>
        <w:jc w:val="both"/>
      </w:pPr>
      <w:r>
        <w:rPr/>
        <w:t>writer quite agrees, that fully insured directors may have little financial interest in</w:t>
      </w:r>
      <w:r>
        <w:rPr>
          <w:spacing w:val="80"/>
        </w:rPr>
        <w:t> </w:t>
      </w:r>
      <w:r>
        <w:rPr/>
        <w:t>taking care, particularly if they do not pay their own premiums.</w:t>
      </w:r>
      <w:r>
        <w:rPr>
          <w:vertAlign w:val="superscript"/>
        </w:rPr>
        <w:t>171</w:t>
      </w:r>
    </w:p>
    <w:p>
      <w:pPr>
        <w:pStyle w:val="BodyText"/>
        <w:spacing w:line="480" w:lineRule="auto"/>
        <w:ind w:right="230" w:firstLine="720"/>
        <w:jc w:val="both"/>
      </w:pPr>
      <w:r>
        <w:rPr/>
        <w:t>In some jurisdictions,</w:t>
      </w:r>
      <w:r>
        <w:rPr>
          <w:vertAlign w:val="superscript"/>
        </w:rPr>
        <w:t>172</w:t>
      </w:r>
      <w:r>
        <w:rPr>
          <w:vertAlign w:val="baseline"/>
        </w:rPr>
        <w:t> this issue is effectively taken care of by the business judgment rule which is designed to accommodate such careful, yet unlucky directors. It has been</w:t>
      </w:r>
      <w:r>
        <w:rPr>
          <w:spacing w:val="-6"/>
          <w:vertAlign w:val="baseline"/>
        </w:rPr>
        <w:t> </w:t>
      </w:r>
      <w:r>
        <w:rPr>
          <w:vertAlign w:val="baseline"/>
        </w:rPr>
        <w:t>suggested</w:t>
      </w:r>
      <w:r>
        <w:rPr>
          <w:spacing w:val="-2"/>
          <w:vertAlign w:val="baseline"/>
        </w:rPr>
        <w:t> </w:t>
      </w:r>
      <w:r>
        <w:rPr>
          <w:vertAlign w:val="baseline"/>
        </w:rPr>
        <w:t>that</w:t>
      </w:r>
      <w:r>
        <w:rPr>
          <w:spacing w:val="-2"/>
          <w:vertAlign w:val="baseline"/>
        </w:rPr>
        <w:t> </w:t>
      </w:r>
      <w:r>
        <w:rPr>
          <w:vertAlign w:val="baseline"/>
        </w:rPr>
        <w:t>there is no need for</w:t>
      </w:r>
      <w:r>
        <w:rPr>
          <w:spacing w:val="-1"/>
          <w:vertAlign w:val="baseline"/>
        </w:rPr>
        <w:t> </w:t>
      </w:r>
      <w:r>
        <w:rPr>
          <w:vertAlign w:val="baseline"/>
        </w:rPr>
        <w:t>the</w:t>
      </w:r>
      <w:r>
        <w:rPr>
          <w:spacing w:val="-3"/>
          <w:vertAlign w:val="baseline"/>
        </w:rPr>
        <w:t> </w:t>
      </w:r>
      <w:r>
        <w:rPr>
          <w:vertAlign w:val="baseline"/>
        </w:rPr>
        <w:t>equivalent of</w:t>
      </w:r>
      <w:r>
        <w:rPr>
          <w:spacing w:val="-9"/>
          <w:vertAlign w:val="baseline"/>
        </w:rPr>
        <w:t> </w:t>
      </w:r>
      <w:r>
        <w:rPr>
          <w:vertAlign w:val="baseline"/>
        </w:rPr>
        <w:t>the business judgment rule in the Act, as</w:t>
      </w:r>
      <w:r>
        <w:rPr>
          <w:spacing w:val="-1"/>
          <w:vertAlign w:val="baseline"/>
        </w:rPr>
        <w:t> </w:t>
      </w:r>
      <w:r>
        <w:rPr>
          <w:vertAlign w:val="baseline"/>
        </w:rPr>
        <w:t>the normal</w:t>
      </w:r>
      <w:r>
        <w:rPr>
          <w:spacing w:val="-4"/>
          <w:vertAlign w:val="baseline"/>
        </w:rPr>
        <w:t> </w:t>
      </w:r>
      <w:r>
        <w:rPr>
          <w:vertAlign w:val="baseline"/>
        </w:rPr>
        <w:t>rules</w:t>
      </w:r>
      <w:r>
        <w:rPr>
          <w:spacing w:val="-1"/>
          <w:vertAlign w:val="baseline"/>
        </w:rPr>
        <w:t> </w:t>
      </w:r>
      <w:r>
        <w:rPr>
          <w:vertAlign w:val="baseline"/>
        </w:rPr>
        <w:t>of</w:t>
      </w:r>
      <w:r>
        <w:rPr>
          <w:spacing w:val="-2"/>
          <w:vertAlign w:val="baseline"/>
        </w:rPr>
        <w:t> </w:t>
      </w:r>
      <w:r>
        <w:rPr>
          <w:vertAlign w:val="baseline"/>
        </w:rPr>
        <w:t>negligence already</w:t>
      </w:r>
      <w:r>
        <w:rPr>
          <w:spacing w:val="-9"/>
          <w:vertAlign w:val="baseline"/>
        </w:rPr>
        <w:t> </w:t>
      </w:r>
      <w:r>
        <w:rPr>
          <w:vertAlign w:val="baseline"/>
        </w:rPr>
        <w:t>accommodate instances</w:t>
      </w:r>
      <w:r>
        <w:rPr>
          <w:spacing w:val="-1"/>
          <w:vertAlign w:val="baseline"/>
        </w:rPr>
        <w:t> </w:t>
      </w:r>
      <w:r>
        <w:rPr>
          <w:vertAlign w:val="baseline"/>
        </w:rPr>
        <w:t>covered by that rule.</w:t>
      </w:r>
      <w:r>
        <w:rPr>
          <w:vertAlign w:val="superscript"/>
        </w:rPr>
        <w:t>173</w:t>
      </w:r>
      <w:r>
        <w:rPr>
          <w:vertAlign w:val="baseline"/>
        </w:rPr>
        <w:t> Besides, even the business judgement rule is a protection available only to competent directors.</w:t>
      </w:r>
      <w:r>
        <w:rPr>
          <w:vertAlign w:val="superscript"/>
        </w:rPr>
        <w:t>174</w:t>
      </w:r>
      <w:r>
        <w:rPr>
          <w:vertAlign w:val="baseline"/>
        </w:rPr>
        <w:t> Usually, where a director is able to prove circumstances exonerating him from liability, he would not be found liable.</w:t>
      </w:r>
    </w:p>
    <w:p>
      <w:pPr>
        <w:pStyle w:val="BodyText"/>
        <w:spacing w:line="480" w:lineRule="auto" w:before="2"/>
        <w:ind w:right="223" w:firstLine="720"/>
        <w:jc w:val="both"/>
      </w:pPr>
      <w:r>
        <w:rPr/>
        <w:t>It is</w:t>
      </w:r>
      <w:r>
        <w:rPr>
          <w:spacing w:val="-1"/>
        </w:rPr>
        <w:t> </w:t>
      </w:r>
      <w:r>
        <w:rPr/>
        <w:t>pertinent to note</w:t>
      </w:r>
      <w:r>
        <w:rPr>
          <w:spacing w:val="-5"/>
        </w:rPr>
        <w:t> </w:t>
      </w:r>
      <w:r>
        <w:rPr/>
        <w:t>that although s. 174 clearly</w:t>
      </w:r>
      <w:r>
        <w:rPr>
          <w:spacing w:val="-4"/>
        </w:rPr>
        <w:t> </w:t>
      </w:r>
      <w:r>
        <w:rPr/>
        <w:t>refutes</w:t>
      </w:r>
      <w:r>
        <w:rPr>
          <w:spacing w:val="-1"/>
        </w:rPr>
        <w:t> </w:t>
      </w:r>
      <w:r>
        <w:rPr/>
        <w:t>some of</w:t>
      </w:r>
      <w:r>
        <w:rPr>
          <w:spacing w:val="-7"/>
        </w:rPr>
        <w:t> </w:t>
      </w:r>
      <w:r>
        <w:rPr/>
        <w:t>the conclusions reached by Romer J. above, the part as to delegation, to a certain extent, remains an extant principle of UK corporate law.</w:t>
      </w:r>
      <w:r>
        <w:rPr>
          <w:vertAlign w:val="superscript"/>
        </w:rPr>
        <w:t>175</w:t>
      </w:r>
      <w:r>
        <w:rPr>
          <w:vertAlign w:val="baseline"/>
        </w:rPr>
        <w:t> In other words, the permission to delegate is still available to the director, although he must monitor the delegate reasonably to</w:t>
      </w:r>
      <w:r>
        <w:rPr>
          <w:spacing w:val="40"/>
          <w:vertAlign w:val="baseline"/>
        </w:rPr>
        <w:t> </w:t>
      </w:r>
      <w:r>
        <w:rPr>
          <w:vertAlign w:val="baseline"/>
        </w:rPr>
        <w:t>ensure the proper discharge of the responsibilities. In </w:t>
      </w:r>
      <w:r>
        <w:rPr>
          <w:b/>
          <w:vertAlign w:val="baseline"/>
        </w:rPr>
        <w:t>Re Barings Plc.</w:t>
      </w:r>
      <w:r>
        <w:rPr>
          <w:vertAlign w:val="baseline"/>
        </w:rPr>
        <w:t>,</w:t>
      </w:r>
      <w:r>
        <w:rPr>
          <w:vertAlign w:val="superscript"/>
        </w:rPr>
        <w:t>176</w:t>
      </w:r>
      <w:r>
        <w:rPr>
          <w:vertAlign w:val="baseline"/>
        </w:rPr>
        <w:t> the court clarified that the fact that a director is allowed to delegate ―does not absolve a director from the duty to supervise the discharge of the delegated functions.‖</w:t>
      </w:r>
      <w:r>
        <w:rPr>
          <w:vertAlign w:val="superscript"/>
        </w:rPr>
        <w:t>177</w:t>
      </w:r>
      <w:r>
        <w:rPr>
          <w:vertAlign w:val="baseline"/>
        </w:rPr>
        <w:t> However, when once the director discharges this duty</w:t>
      </w:r>
      <w:r>
        <w:rPr>
          <w:spacing w:val="-4"/>
          <w:vertAlign w:val="baseline"/>
        </w:rPr>
        <w:t> </w:t>
      </w:r>
      <w:r>
        <w:rPr>
          <w:vertAlign w:val="baseline"/>
        </w:rPr>
        <w:t>to the best of his ability, while being confident of the person he has put in charge, he cannot be liable for the negligence or fraud of that delegate or employee. In any case, his liability would all depend on the</w:t>
      </w:r>
      <w:r>
        <w:rPr>
          <w:spacing w:val="80"/>
          <w:vertAlign w:val="baseline"/>
        </w:rPr>
        <w:t> </w:t>
      </w:r>
      <w:r>
        <w:rPr>
          <w:spacing w:val="-2"/>
          <w:vertAlign w:val="baseline"/>
        </w:rPr>
        <w:t>circumstances.</w:t>
      </w:r>
      <w:r>
        <w:rPr>
          <w:spacing w:val="-2"/>
          <w:vertAlign w:val="superscript"/>
        </w:rPr>
        <w:t>178</w:t>
      </w:r>
    </w:p>
    <w:p>
      <w:pPr>
        <w:pStyle w:val="BodyText"/>
        <w:spacing w:before="159"/>
        <w:ind w:left="0"/>
        <w:rPr>
          <w:sz w:val="20"/>
        </w:rPr>
      </w:pPr>
      <w:r>
        <w:rPr/>
        <mc:AlternateContent>
          <mc:Choice Requires="wps">
            <w:drawing>
              <wp:anchor distT="0" distB="0" distL="0" distR="0" allowOverlap="1" layoutInCell="1" locked="0" behindDoc="1" simplePos="0" relativeHeight="487690752">
                <wp:simplePos x="0" y="0"/>
                <wp:positionH relativeFrom="page">
                  <wp:posOffset>1262481</wp:posOffset>
                </wp:positionH>
                <wp:positionV relativeFrom="paragraph">
                  <wp:posOffset>262595</wp:posOffset>
                </wp:positionV>
                <wp:extent cx="1829435" cy="9525"/>
                <wp:effectExtent l="0" t="0" r="0" b="0"/>
                <wp:wrapTopAndBottom/>
                <wp:docPr id="226" name="Graphic 226"/>
                <wp:cNvGraphicFramePr>
                  <a:graphicFrameLocks/>
                </wp:cNvGraphicFramePr>
                <a:graphic>
                  <a:graphicData uri="http://schemas.microsoft.com/office/word/2010/wordprocessingShape">
                    <wps:wsp>
                      <wps:cNvPr id="226" name="Graphic 22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676846pt;width:144.050pt;height:.72003pt;mso-position-horizontal-relative:page;mso-position-vertical-relative:paragraph;z-index:-15625728;mso-wrap-distance-left:0;mso-wrap-distance-right:0" id="docshape181"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171</w:t>
      </w:r>
      <w:r>
        <w:rPr>
          <w:rFonts w:ascii="Calibri"/>
          <w:sz w:val="20"/>
          <w:vertAlign w:val="baseline"/>
        </w:rPr>
        <w:t>Finch,</w:t>
      </w:r>
      <w:r>
        <w:rPr>
          <w:rFonts w:ascii="Calibri"/>
          <w:spacing w:val="-5"/>
          <w:sz w:val="20"/>
          <w:vertAlign w:val="baseline"/>
        </w:rPr>
        <w:t> </w:t>
      </w:r>
      <w:r>
        <w:rPr>
          <w:rFonts w:ascii="Calibri"/>
          <w:sz w:val="20"/>
          <w:vertAlign w:val="baseline"/>
        </w:rPr>
        <w:t>V.</w:t>
      </w:r>
      <w:r>
        <w:rPr>
          <w:rFonts w:ascii="Calibri"/>
          <w:spacing w:val="-6"/>
          <w:sz w:val="20"/>
          <w:vertAlign w:val="baseline"/>
        </w:rPr>
        <w:t> </w:t>
      </w:r>
      <w:r>
        <w:rPr>
          <w:rFonts w:ascii="Calibri"/>
          <w:sz w:val="20"/>
          <w:vertAlign w:val="baseline"/>
        </w:rPr>
        <w:t>op.cit.at</w:t>
      </w:r>
      <w:r>
        <w:rPr>
          <w:rFonts w:ascii="Calibri"/>
          <w:spacing w:val="-3"/>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212.</w:t>
      </w:r>
    </w:p>
    <w:p>
      <w:pPr>
        <w:spacing w:before="1"/>
        <w:ind w:left="308" w:right="0" w:firstLine="0"/>
        <w:jc w:val="left"/>
        <w:rPr>
          <w:rFonts w:ascii="Calibri"/>
          <w:sz w:val="20"/>
        </w:rPr>
      </w:pPr>
      <w:r>
        <w:rPr>
          <w:rFonts w:ascii="Calibri"/>
          <w:sz w:val="20"/>
          <w:vertAlign w:val="superscript"/>
        </w:rPr>
        <w:t>172</w:t>
      </w:r>
      <w:r>
        <w:rPr>
          <w:rFonts w:ascii="Calibri"/>
          <w:sz w:val="20"/>
          <w:vertAlign w:val="baseline"/>
        </w:rPr>
        <w:t>Notably,</w:t>
      </w:r>
      <w:r>
        <w:rPr>
          <w:rFonts w:ascii="Calibri"/>
          <w:spacing w:val="-5"/>
          <w:sz w:val="20"/>
          <w:vertAlign w:val="baseline"/>
        </w:rPr>
        <w:t> </w:t>
      </w:r>
      <w:r>
        <w:rPr>
          <w:rFonts w:ascii="Calibri"/>
          <w:sz w:val="20"/>
          <w:vertAlign w:val="baseline"/>
        </w:rPr>
        <w:t>the</w:t>
      </w:r>
      <w:r>
        <w:rPr>
          <w:rFonts w:ascii="Calibri"/>
          <w:spacing w:val="-1"/>
          <w:sz w:val="20"/>
          <w:vertAlign w:val="baseline"/>
        </w:rPr>
        <w:t> </w:t>
      </w:r>
      <w:r>
        <w:rPr>
          <w:rFonts w:ascii="Calibri"/>
          <w:sz w:val="20"/>
          <w:vertAlign w:val="baseline"/>
        </w:rPr>
        <w:t>United</w:t>
      </w:r>
      <w:r>
        <w:rPr>
          <w:rFonts w:ascii="Calibri"/>
          <w:spacing w:val="-7"/>
          <w:sz w:val="20"/>
          <w:vertAlign w:val="baseline"/>
        </w:rPr>
        <w:t> </w:t>
      </w:r>
      <w:r>
        <w:rPr>
          <w:rFonts w:ascii="Calibri"/>
          <w:sz w:val="20"/>
          <w:vertAlign w:val="baseline"/>
        </w:rPr>
        <w:t>States</w:t>
      </w:r>
      <w:r>
        <w:rPr>
          <w:rFonts w:ascii="Calibri"/>
          <w:spacing w:val="-9"/>
          <w:sz w:val="20"/>
          <w:vertAlign w:val="baseline"/>
        </w:rPr>
        <w:t> </w:t>
      </w:r>
      <w:r>
        <w:rPr>
          <w:rFonts w:ascii="Calibri"/>
          <w:sz w:val="20"/>
          <w:vertAlign w:val="baseline"/>
        </w:rPr>
        <w:t>and</w:t>
      </w:r>
      <w:r>
        <w:rPr>
          <w:rFonts w:ascii="Calibri"/>
          <w:spacing w:val="-2"/>
          <w:sz w:val="20"/>
          <w:vertAlign w:val="baseline"/>
        </w:rPr>
        <w:t> Australia.</w:t>
      </w:r>
    </w:p>
    <w:p>
      <w:pPr>
        <w:spacing w:line="235" w:lineRule="auto" w:before="4"/>
        <w:ind w:left="308" w:right="0" w:firstLine="0"/>
        <w:jc w:val="left"/>
        <w:rPr>
          <w:rFonts w:ascii="Calibri"/>
          <w:sz w:val="20"/>
        </w:rPr>
      </w:pPr>
      <w:r>
        <w:rPr>
          <w:rFonts w:ascii="Calibri"/>
          <w:sz w:val="20"/>
          <w:vertAlign w:val="superscript"/>
        </w:rPr>
        <w:t>173</w:t>
      </w:r>
      <w:r>
        <w:rPr>
          <w:rFonts w:ascii="Calibri"/>
          <w:sz w:val="20"/>
          <w:vertAlign w:val="baseline"/>
        </w:rPr>
        <w:t>The</w:t>
      </w:r>
      <w:r>
        <w:rPr>
          <w:rFonts w:ascii="Calibri"/>
          <w:spacing w:val="30"/>
          <w:sz w:val="20"/>
          <w:vertAlign w:val="baseline"/>
        </w:rPr>
        <w:t> </w:t>
      </w:r>
      <w:r>
        <w:rPr>
          <w:rFonts w:ascii="Calibri"/>
          <w:sz w:val="20"/>
          <w:vertAlign w:val="baseline"/>
        </w:rPr>
        <w:t>Law</w:t>
      </w:r>
      <w:r>
        <w:rPr>
          <w:rFonts w:ascii="Calibri"/>
          <w:spacing w:val="24"/>
          <w:sz w:val="20"/>
          <w:vertAlign w:val="baseline"/>
        </w:rPr>
        <w:t> </w:t>
      </w:r>
      <w:r>
        <w:rPr>
          <w:rFonts w:ascii="Calibri"/>
          <w:sz w:val="20"/>
          <w:vertAlign w:val="baseline"/>
        </w:rPr>
        <w:t>Commission</w:t>
      </w:r>
      <w:r>
        <w:rPr>
          <w:rFonts w:ascii="Calibri"/>
          <w:spacing w:val="25"/>
          <w:sz w:val="20"/>
          <w:vertAlign w:val="baseline"/>
        </w:rPr>
        <w:t> </w:t>
      </w:r>
      <w:r>
        <w:rPr>
          <w:rFonts w:ascii="Calibri"/>
          <w:sz w:val="20"/>
          <w:vertAlign w:val="baseline"/>
        </w:rPr>
        <w:t>and</w:t>
      </w:r>
      <w:r>
        <w:rPr>
          <w:rFonts w:ascii="Calibri"/>
          <w:spacing w:val="29"/>
          <w:sz w:val="20"/>
          <w:vertAlign w:val="baseline"/>
        </w:rPr>
        <w:t> </w:t>
      </w:r>
      <w:r>
        <w:rPr>
          <w:rFonts w:ascii="Calibri"/>
          <w:sz w:val="20"/>
          <w:vertAlign w:val="baseline"/>
        </w:rPr>
        <w:t>the</w:t>
      </w:r>
      <w:r>
        <w:rPr>
          <w:rFonts w:ascii="Calibri"/>
          <w:spacing w:val="31"/>
          <w:sz w:val="20"/>
          <w:vertAlign w:val="baseline"/>
        </w:rPr>
        <w:t> </w:t>
      </w:r>
      <w:r>
        <w:rPr>
          <w:rFonts w:ascii="Calibri"/>
          <w:sz w:val="20"/>
          <w:vertAlign w:val="baseline"/>
        </w:rPr>
        <w:t>Scottish</w:t>
      </w:r>
      <w:r>
        <w:rPr>
          <w:rFonts w:ascii="Calibri"/>
          <w:spacing w:val="25"/>
          <w:sz w:val="20"/>
          <w:vertAlign w:val="baseline"/>
        </w:rPr>
        <w:t> </w:t>
      </w:r>
      <w:r>
        <w:rPr>
          <w:rFonts w:ascii="Calibri"/>
          <w:sz w:val="20"/>
          <w:vertAlign w:val="baseline"/>
        </w:rPr>
        <w:t>Law</w:t>
      </w:r>
      <w:r>
        <w:rPr>
          <w:rFonts w:ascii="Calibri"/>
          <w:spacing w:val="24"/>
          <w:sz w:val="20"/>
          <w:vertAlign w:val="baseline"/>
        </w:rPr>
        <w:t> </w:t>
      </w:r>
      <w:r>
        <w:rPr>
          <w:rFonts w:ascii="Calibri"/>
          <w:sz w:val="20"/>
          <w:vertAlign w:val="baseline"/>
        </w:rPr>
        <w:t>Commission.</w:t>
      </w:r>
      <w:r>
        <w:rPr>
          <w:rFonts w:ascii="Calibri"/>
          <w:i/>
          <w:sz w:val="20"/>
          <w:vertAlign w:val="baseline"/>
        </w:rPr>
        <w:t>Company</w:t>
      </w:r>
      <w:r>
        <w:rPr>
          <w:rFonts w:ascii="Calibri"/>
          <w:i/>
          <w:spacing w:val="26"/>
          <w:sz w:val="20"/>
          <w:vertAlign w:val="baseline"/>
        </w:rPr>
        <w:t> </w:t>
      </w:r>
      <w:r>
        <w:rPr>
          <w:rFonts w:ascii="Calibri"/>
          <w:i/>
          <w:sz w:val="20"/>
          <w:vertAlign w:val="baseline"/>
        </w:rPr>
        <w:t>Directors:</w:t>
      </w:r>
      <w:r>
        <w:rPr>
          <w:rFonts w:ascii="Calibri"/>
          <w:i/>
          <w:spacing w:val="29"/>
          <w:sz w:val="20"/>
          <w:vertAlign w:val="baseline"/>
        </w:rPr>
        <w:t> </w:t>
      </w:r>
      <w:r>
        <w:rPr>
          <w:rFonts w:ascii="Calibri"/>
          <w:i/>
          <w:sz w:val="20"/>
          <w:vertAlign w:val="baseline"/>
        </w:rPr>
        <w:t>Regulating</w:t>
      </w:r>
      <w:r>
        <w:rPr>
          <w:rFonts w:ascii="Calibri"/>
          <w:i/>
          <w:spacing w:val="27"/>
          <w:sz w:val="20"/>
          <w:vertAlign w:val="baseline"/>
        </w:rPr>
        <w:t> </w:t>
      </w:r>
      <w:r>
        <w:rPr>
          <w:rFonts w:ascii="Calibri"/>
          <w:i/>
          <w:sz w:val="20"/>
          <w:vertAlign w:val="baseline"/>
        </w:rPr>
        <w:t>Conflicts of Interest and Formulating a Statement of Duties</w:t>
      </w:r>
      <w:r>
        <w:rPr>
          <w:rFonts w:ascii="Calibri"/>
          <w:sz w:val="20"/>
          <w:vertAlign w:val="baseline"/>
        </w:rPr>
        <w:t>, Cm. 4436, 1999, Pt. 5; Worthington, S. op.cit, p. 10.</w:t>
      </w:r>
    </w:p>
    <w:p>
      <w:pPr>
        <w:spacing w:before="3"/>
        <w:ind w:left="308" w:right="0" w:firstLine="0"/>
        <w:jc w:val="left"/>
        <w:rPr>
          <w:rFonts w:ascii="Calibri"/>
          <w:sz w:val="20"/>
        </w:rPr>
      </w:pPr>
      <w:r>
        <w:rPr>
          <w:rFonts w:ascii="Calibri"/>
          <w:sz w:val="20"/>
          <w:vertAlign w:val="superscript"/>
        </w:rPr>
        <w:t>174</w:t>
      </w:r>
      <w:r>
        <w:rPr>
          <w:rFonts w:ascii="Calibri"/>
          <w:sz w:val="20"/>
          <w:vertAlign w:val="baseline"/>
        </w:rPr>
        <w:t>Finch,</w:t>
      </w:r>
      <w:r>
        <w:rPr>
          <w:rFonts w:ascii="Calibri"/>
          <w:spacing w:val="-5"/>
          <w:sz w:val="20"/>
          <w:vertAlign w:val="baseline"/>
        </w:rPr>
        <w:t> </w:t>
      </w:r>
      <w:r>
        <w:rPr>
          <w:rFonts w:ascii="Calibri"/>
          <w:sz w:val="20"/>
          <w:vertAlign w:val="baseline"/>
        </w:rPr>
        <w:t>V.</w:t>
      </w:r>
      <w:r>
        <w:rPr>
          <w:rFonts w:ascii="Calibri"/>
          <w:spacing w:val="-6"/>
          <w:sz w:val="20"/>
          <w:vertAlign w:val="baseline"/>
        </w:rPr>
        <w:t> </w:t>
      </w:r>
      <w:r>
        <w:rPr>
          <w:rFonts w:ascii="Calibri"/>
          <w:sz w:val="20"/>
          <w:vertAlign w:val="baseline"/>
        </w:rPr>
        <w:t>op.cit.at</w:t>
      </w:r>
      <w:r>
        <w:rPr>
          <w:rFonts w:ascii="Calibri"/>
          <w:spacing w:val="-3"/>
          <w:sz w:val="20"/>
          <w:vertAlign w:val="baseline"/>
        </w:rPr>
        <w:t> </w:t>
      </w:r>
      <w:r>
        <w:rPr>
          <w:rFonts w:ascii="Calibri"/>
          <w:sz w:val="20"/>
          <w:vertAlign w:val="baseline"/>
        </w:rPr>
        <w:t>p.</w:t>
      </w:r>
      <w:r>
        <w:rPr>
          <w:rFonts w:ascii="Calibri"/>
          <w:spacing w:val="-1"/>
          <w:sz w:val="20"/>
          <w:vertAlign w:val="baseline"/>
        </w:rPr>
        <w:t> </w:t>
      </w:r>
      <w:r>
        <w:rPr>
          <w:rFonts w:ascii="Calibri"/>
          <w:spacing w:val="-4"/>
          <w:sz w:val="20"/>
          <w:vertAlign w:val="baseline"/>
        </w:rPr>
        <w:t>189.</w:t>
      </w:r>
    </w:p>
    <w:p>
      <w:pPr>
        <w:spacing w:before="1"/>
        <w:ind w:left="308" w:right="0" w:firstLine="0"/>
        <w:jc w:val="left"/>
        <w:rPr>
          <w:rFonts w:ascii="Calibri"/>
          <w:sz w:val="20"/>
        </w:rPr>
      </w:pPr>
      <w:r>
        <w:rPr>
          <w:rFonts w:ascii="Calibri"/>
          <w:sz w:val="20"/>
          <w:vertAlign w:val="superscript"/>
        </w:rPr>
        <w:t>175</w:t>
      </w:r>
      <w:r>
        <w:rPr>
          <w:rFonts w:ascii="Calibri"/>
          <w:spacing w:val="36"/>
          <w:sz w:val="20"/>
          <w:vertAlign w:val="baseline"/>
        </w:rPr>
        <w:t> </w:t>
      </w:r>
      <w:r>
        <w:rPr>
          <w:rFonts w:ascii="Calibri"/>
          <w:sz w:val="20"/>
          <w:vertAlign w:val="baseline"/>
        </w:rPr>
        <w:t>Especially</w:t>
      </w:r>
      <w:r>
        <w:rPr>
          <w:rFonts w:ascii="Calibri"/>
          <w:spacing w:val="34"/>
          <w:sz w:val="20"/>
          <w:vertAlign w:val="baseline"/>
        </w:rPr>
        <w:t> </w:t>
      </w:r>
      <w:r>
        <w:rPr>
          <w:rFonts w:ascii="Calibri"/>
          <w:sz w:val="20"/>
          <w:vertAlign w:val="baseline"/>
        </w:rPr>
        <w:t>considering</w:t>
      </w:r>
      <w:r>
        <w:rPr>
          <w:rFonts w:ascii="Calibri"/>
          <w:spacing w:val="35"/>
          <w:sz w:val="20"/>
          <w:vertAlign w:val="baseline"/>
        </w:rPr>
        <w:t> </w:t>
      </w:r>
      <w:r>
        <w:rPr>
          <w:rFonts w:ascii="Calibri"/>
          <w:sz w:val="20"/>
          <w:vertAlign w:val="baseline"/>
        </w:rPr>
        <w:t>s.</w:t>
      </w:r>
      <w:r>
        <w:rPr>
          <w:rFonts w:ascii="Calibri"/>
          <w:spacing w:val="36"/>
          <w:sz w:val="20"/>
          <w:vertAlign w:val="baseline"/>
        </w:rPr>
        <w:t> </w:t>
      </w:r>
      <w:r>
        <w:rPr>
          <w:rFonts w:ascii="Calibri"/>
          <w:sz w:val="20"/>
          <w:vertAlign w:val="baseline"/>
        </w:rPr>
        <w:t>170(3)</w:t>
      </w:r>
      <w:r>
        <w:rPr>
          <w:rFonts w:ascii="Calibri"/>
          <w:spacing w:val="36"/>
          <w:sz w:val="20"/>
          <w:vertAlign w:val="baseline"/>
        </w:rPr>
        <w:t> </w:t>
      </w:r>
      <w:r>
        <w:rPr>
          <w:rFonts w:ascii="Calibri"/>
          <w:sz w:val="20"/>
          <w:vertAlign w:val="baseline"/>
        </w:rPr>
        <w:t>and</w:t>
      </w:r>
      <w:r>
        <w:rPr>
          <w:rFonts w:ascii="Calibri"/>
          <w:spacing w:val="34"/>
          <w:sz w:val="20"/>
          <w:vertAlign w:val="baseline"/>
        </w:rPr>
        <w:t> </w:t>
      </w:r>
      <w:r>
        <w:rPr>
          <w:rFonts w:ascii="Calibri"/>
          <w:sz w:val="20"/>
          <w:vertAlign w:val="baseline"/>
        </w:rPr>
        <w:t>(4)</w:t>
      </w:r>
      <w:r>
        <w:rPr>
          <w:rFonts w:ascii="Calibri"/>
          <w:spacing w:val="36"/>
          <w:sz w:val="20"/>
          <w:vertAlign w:val="baseline"/>
        </w:rPr>
        <w:t> </w:t>
      </w:r>
      <w:r>
        <w:rPr>
          <w:rFonts w:ascii="Calibri"/>
          <w:sz w:val="20"/>
          <w:vertAlign w:val="baseline"/>
        </w:rPr>
        <w:t>acknowledges</w:t>
      </w:r>
      <w:r>
        <w:rPr>
          <w:rFonts w:ascii="Calibri"/>
          <w:spacing w:val="33"/>
          <w:sz w:val="20"/>
          <w:vertAlign w:val="baseline"/>
        </w:rPr>
        <w:t> </w:t>
      </w:r>
      <w:r>
        <w:rPr>
          <w:rFonts w:ascii="Calibri"/>
          <w:sz w:val="20"/>
          <w:vertAlign w:val="baseline"/>
        </w:rPr>
        <w:t>the</w:t>
      </w:r>
      <w:r>
        <w:rPr>
          <w:rFonts w:ascii="Calibri"/>
          <w:spacing w:val="35"/>
          <w:sz w:val="20"/>
          <w:vertAlign w:val="baseline"/>
        </w:rPr>
        <w:t> </w:t>
      </w:r>
      <w:r>
        <w:rPr>
          <w:rFonts w:ascii="Calibri"/>
          <w:sz w:val="20"/>
          <w:vertAlign w:val="baseline"/>
        </w:rPr>
        <w:t>continued</w:t>
      </w:r>
      <w:r>
        <w:rPr>
          <w:rFonts w:ascii="Calibri"/>
          <w:spacing w:val="34"/>
          <w:sz w:val="20"/>
          <w:vertAlign w:val="baseline"/>
        </w:rPr>
        <w:t> </w:t>
      </w:r>
      <w:r>
        <w:rPr>
          <w:rFonts w:ascii="Calibri"/>
          <w:sz w:val="20"/>
          <w:vertAlign w:val="baseline"/>
        </w:rPr>
        <w:t>application</w:t>
      </w:r>
      <w:r>
        <w:rPr>
          <w:rFonts w:ascii="Calibri"/>
          <w:spacing w:val="34"/>
          <w:sz w:val="20"/>
          <w:vertAlign w:val="baseline"/>
        </w:rPr>
        <w:t> </w:t>
      </w:r>
      <w:r>
        <w:rPr>
          <w:rFonts w:ascii="Calibri"/>
          <w:sz w:val="20"/>
          <w:vertAlign w:val="baseline"/>
        </w:rPr>
        <w:t>of</w:t>
      </w:r>
      <w:r>
        <w:rPr>
          <w:rFonts w:ascii="Calibri"/>
          <w:spacing w:val="35"/>
          <w:sz w:val="20"/>
          <w:vertAlign w:val="baseline"/>
        </w:rPr>
        <w:t> </w:t>
      </w:r>
      <w:r>
        <w:rPr>
          <w:rFonts w:ascii="Calibri"/>
          <w:sz w:val="20"/>
          <w:vertAlign w:val="baseline"/>
        </w:rPr>
        <w:t>common</w:t>
      </w:r>
      <w:r>
        <w:rPr>
          <w:rFonts w:ascii="Calibri"/>
          <w:spacing w:val="34"/>
          <w:sz w:val="20"/>
          <w:vertAlign w:val="baseline"/>
        </w:rPr>
        <w:t> </w:t>
      </w:r>
      <w:r>
        <w:rPr>
          <w:rFonts w:ascii="Calibri"/>
          <w:sz w:val="20"/>
          <w:vertAlign w:val="baseline"/>
        </w:rPr>
        <w:t>law principles presumably not in conflict with the Act.</w:t>
      </w:r>
    </w:p>
    <w:p>
      <w:pPr>
        <w:spacing w:before="1"/>
        <w:ind w:left="308" w:right="0" w:firstLine="0"/>
        <w:jc w:val="left"/>
        <w:rPr>
          <w:rFonts w:ascii="Calibri"/>
          <w:sz w:val="20"/>
        </w:rPr>
      </w:pPr>
      <w:r>
        <w:rPr>
          <w:rFonts w:ascii="Calibri"/>
          <w:sz w:val="20"/>
          <w:vertAlign w:val="superscript"/>
        </w:rPr>
        <w:t>176</w:t>
      </w:r>
      <w:r>
        <w:rPr>
          <w:rFonts w:ascii="Calibri"/>
          <w:spacing w:val="-1"/>
          <w:sz w:val="20"/>
          <w:vertAlign w:val="baseline"/>
        </w:rPr>
        <w:t> </w:t>
      </w:r>
      <w:r>
        <w:rPr>
          <w:rFonts w:ascii="Calibri"/>
          <w:sz w:val="20"/>
          <w:vertAlign w:val="baseline"/>
        </w:rPr>
        <w:t>(No. 5)</w:t>
      </w:r>
      <w:r>
        <w:rPr>
          <w:rFonts w:ascii="Calibri"/>
          <w:spacing w:val="-5"/>
          <w:sz w:val="20"/>
          <w:vertAlign w:val="baseline"/>
        </w:rPr>
        <w:t> </w:t>
      </w:r>
      <w:r>
        <w:rPr>
          <w:rFonts w:ascii="Calibri"/>
          <w:sz w:val="20"/>
          <w:vertAlign w:val="baseline"/>
        </w:rPr>
        <w:t>(2000)</w:t>
      </w:r>
      <w:r>
        <w:rPr>
          <w:rFonts w:ascii="Calibri"/>
          <w:spacing w:val="-5"/>
          <w:sz w:val="20"/>
          <w:vertAlign w:val="baseline"/>
        </w:rPr>
        <w:t> </w:t>
      </w:r>
      <w:r>
        <w:rPr>
          <w:rFonts w:ascii="Calibri"/>
          <w:sz w:val="20"/>
          <w:vertAlign w:val="baseline"/>
        </w:rPr>
        <w:t>1</w:t>
      </w:r>
      <w:r>
        <w:rPr>
          <w:rFonts w:ascii="Calibri"/>
          <w:spacing w:val="-7"/>
          <w:sz w:val="20"/>
          <w:vertAlign w:val="baseline"/>
        </w:rPr>
        <w:t> </w:t>
      </w:r>
      <w:r>
        <w:rPr>
          <w:rFonts w:ascii="Calibri"/>
          <w:sz w:val="20"/>
          <w:vertAlign w:val="baseline"/>
        </w:rPr>
        <w:t>B.C.L.C. </w:t>
      </w:r>
      <w:r>
        <w:rPr>
          <w:rFonts w:ascii="Calibri"/>
          <w:spacing w:val="-4"/>
          <w:sz w:val="20"/>
          <w:vertAlign w:val="baseline"/>
        </w:rPr>
        <w:t>433.</w:t>
      </w:r>
    </w:p>
    <w:p>
      <w:pPr>
        <w:spacing w:before="1"/>
        <w:ind w:left="308" w:right="0" w:firstLine="0"/>
        <w:jc w:val="left"/>
        <w:rPr>
          <w:rFonts w:ascii="Calibri"/>
          <w:sz w:val="20"/>
        </w:rPr>
      </w:pPr>
      <w:r>
        <w:rPr>
          <w:rFonts w:ascii="Calibri"/>
          <w:sz w:val="20"/>
          <w:vertAlign w:val="superscript"/>
        </w:rPr>
        <w:t>177</w:t>
      </w:r>
      <w:r>
        <w:rPr>
          <w:rFonts w:ascii="Calibri"/>
          <w:sz w:val="20"/>
          <w:vertAlign w:val="baseline"/>
        </w:rPr>
        <w:t>Per</w:t>
      </w:r>
      <w:r>
        <w:rPr>
          <w:rFonts w:ascii="Calibri"/>
          <w:spacing w:val="-4"/>
          <w:sz w:val="20"/>
          <w:vertAlign w:val="baseline"/>
        </w:rPr>
        <w:t> </w:t>
      </w:r>
      <w:r>
        <w:rPr>
          <w:rFonts w:ascii="Calibri"/>
          <w:sz w:val="20"/>
          <w:vertAlign w:val="baseline"/>
        </w:rPr>
        <w:t>Jonathan</w:t>
      </w:r>
      <w:r>
        <w:rPr>
          <w:rFonts w:ascii="Calibri"/>
          <w:spacing w:val="-5"/>
          <w:sz w:val="20"/>
          <w:vertAlign w:val="baseline"/>
        </w:rPr>
        <w:t> </w:t>
      </w:r>
      <w:r>
        <w:rPr>
          <w:rFonts w:ascii="Calibri"/>
          <w:sz w:val="20"/>
          <w:vertAlign w:val="baseline"/>
        </w:rPr>
        <w:t>Parker</w:t>
      </w:r>
      <w:r>
        <w:rPr>
          <w:rFonts w:ascii="Calibri"/>
          <w:spacing w:val="-3"/>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ibid.</w:t>
      </w:r>
      <w:r>
        <w:rPr>
          <w:rFonts w:ascii="Calibri"/>
          <w:spacing w:val="-3"/>
          <w:sz w:val="20"/>
          <w:vertAlign w:val="baseline"/>
        </w:rPr>
        <w:t> </w:t>
      </w:r>
      <w:r>
        <w:rPr>
          <w:rFonts w:ascii="Calibri"/>
          <w:sz w:val="20"/>
          <w:vertAlign w:val="baseline"/>
        </w:rPr>
        <w:t>at</w:t>
      </w:r>
      <w:r>
        <w:rPr>
          <w:rFonts w:ascii="Calibri"/>
          <w:spacing w:val="-6"/>
          <w:sz w:val="20"/>
          <w:vertAlign w:val="baseline"/>
        </w:rPr>
        <w:t> </w:t>
      </w:r>
      <w:r>
        <w:rPr>
          <w:rFonts w:ascii="Calibri"/>
          <w:sz w:val="20"/>
          <w:vertAlign w:val="baseline"/>
        </w:rPr>
        <w:t>p.</w:t>
      </w:r>
      <w:r>
        <w:rPr>
          <w:rFonts w:ascii="Calibri"/>
          <w:spacing w:val="-3"/>
          <w:sz w:val="20"/>
          <w:vertAlign w:val="baseline"/>
        </w:rPr>
        <w:t> </w:t>
      </w:r>
      <w:r>
        <w:rPr>
          <w:rFonts w:ascii="Calibri"/>
          <w:spacing w:val="-4"/>
          <w:sz w:val="20"/>
          <w:vertAlign w:val="baseline"/>
        </w:rPr>
        <w:t>489.</w:t>
      </w:r>
    </w:p>
    <w:p>
      <w:pPr>
        <w:spacing w:before="0"/>
        <w:ind w:left="308" w:right="0" w:firstLine="0"/>
        <w:jc w:val="left"/>
        <w:rPr>
          <w:rFonts w:ascii="Calibri"/>
          <w:sz w:val="20"/>
        </w:rPr>
      </w:pPr>
      <w:r>
        <w:rPr>
          <w:rFonts w:ascii="Calibri"/>
          <w:sz w:val="20"/>
          <w:vertAlign w:val="superscript"/>
        </w:rPr>
        <w:t>178</w:t>
      </w:r>
      <w:r>
        <w:rPr>
          <w:rFonts w:ascii="Calibri"/>
          <w:sz w:val="20"/>
          <w:vertAlign w:val="baseline"/>
        </w:rPr>
        <w:t>See</w:t>
      </w:r>
      <w:r>
        <w:rPr>
          <w:rFonts w:ascii="Calibri"/>
          <w:spacing w:val="-2"/>
          <w:sz w:val="20"/>
          <w:vertAlign w:val="baseline"/>
        </w:rPr>
        <w:t> </w:t>
      </w:r>
      <w:r>
        <w:rPr>
          <w:rFonts w:ascii="Calibri"/>
          <w:i/>
          <w:sz w:val="20"/>
          <w:vertAlign w:val="baseline"/>
        </w:rPr>
        <w:t>Lexi</w:t>
      </w:r>
      <w:r>
        <w:rPr>
          <w:rFonts w:ascii="Calibri"/>
          <w:i/>
          <w:spacing w:val="-5"/>
          <w:sz w:val="20"/>
          <w:vertAlign w:val="baseline"/>
        </w:rPr>
        <w:t> </w:t>
      </w:r>
      <w:r>
        <w:rPr>
          <w:rFonts w:ascii="Calibri"/>
          <w:i/>
          <w:sz w:val="20"/>
          <w:vertAlign w:val="baseline"/>
        </w:rPr>
        <w:t>Holdings</w:t>
      </w:r>
      <w:r>
        <w:rPr>
          <w:rFonts w:ascii="Calibri"/>
          <w:i/>
          <w:spacing w:val="-7"/>
          <w:sz w:val="20"/>
          <w:vertAlign w:val="baseline"/>
        </w:rPr>
        <w:t> </w:t>
      </w:r>
      <w:r>
        <w:rPr>
          <w:rFonts w:ascii="Calibri"/>
          <w:i/>
          <w:sz w:val="20"/>
          <w:vertAlign w:val="baseline"/>
        </w:rPr>
        <w:t>Plc</w:t>
      </w:r>
      <w:r>
        <w:rPr>
          <w:rFonts w:ascii="Calibri"/>
          <w:i/>
          <w:spacing w:val="-9"/>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Luqman</w:t>
      </w:r>
      <w:r>
        <w:rPr>
          <w:rFonts w:ascii="Calibri"/>
          <w:i/>
          <w:spacing w:val="3"/>
          <w:sz w:val="20"/>
          <w:vertAlign w:val="baseline"/>
        </w:rPr>
        <w:t> </w:t>
      </w:r>
      <w:r>
        <w:rPr>
          <w:rFonts w:ascii="Calibri"/>
          <w:sz w:val="20"/>
          <w:vertAlign w:val="baseline"/>
        </w:rPr>
        <w:t>(2009)</w:t>
      </w:r>
      <w:r>
        <w:rPr>
          <w:rFonts w:ascii="Calibri"/>
          <w:spacing w:val="-10"/>
          <w:sz w:val="20"/>
          <w:vertAlign w:val="baseline"/>
        </w:rPr>
        <w:t> </w:t>
      </w:r>
      <w:r>
        <w:rPr>
          <w:rFonts w:ascii="Calibri"/>
          <w:sz w:val="20"/>
          <w:vertAlign w:val="baseline"/>
        </w:rPr>
        <w:t>EWCA</w:t>
      </w:r>
      <w:r>
        <w:rPr>
          <w:rFonts w:ascii="Calibri"/>
          <w:spacing w:val="-3"/>
          <w:sz w:val="20"/>
          <w:vertAlign w:val="baseline"/>
        </w:rPr>
        <w:t> </w:t>
      </w:r>
      <w:r>
        <w:rPr>
          <w:rFonts w:ascii="Calibri"/>
          <w:sz w:val="20"/>
          <w:vertAlign w:val="baseline"/>
        </w:rPr>
        <w:t>Civ</w:t>
      </w:r>
      <w:r>
        <w:rPr>
          <w:rFonts w:ascii="Calibri"/>
          <w:spacing w:val="-5"/>
          <w:sz w:val="20"/>
          <w:vertAlign w:val="baseline"/>
        </w:rPr>
        <w:t> </w:t>
      </w:r>
      <w:r>
        <w:rPr>
          <w:rFonts w:ascii="Calibri"/>
          <w:spacing w:val="-4"/>
          <w:sz w:val="20"/>
          <w:vertAlign w:val="baseline"/>
        </w:rPr>
        <w:t>117.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6" w:firstLine="720"/>
        <w:jc w:val="both"/>
      </w:pPr>
      <w:r>
        <w:rPr/>
        <w:t>The duty under s. 174 is particularly important because of the Company Directors Disqualification Act 1986 and the Insolvency Act 2000, which combine to generally disqualify certain persons in certain situations from being involved in the formation or management of companies and, in particular, from being company</w:t>
      </w:r>
      <w:r>
        <w:rPr>
          <w:spacing w:val="40"/>
        </w:rPr>
        <w:t> </w:t>
      </w:r>
      <w:r>
        <w:rPr/>
        <w:t>directors in the future.</w:t>
      </w:r>
      <w:r>
        <w:rPr>
          <w:vertAlign w:val="superscript"/>
        </w:rPr>
        <w:t>179</w:t>
      </w:r>
      <w:r>
        <w:rPr>
          <w:vertAlign w:val="baseline"/>
        </w:rPr>
        <w:t> Any director found liable for the breach of the duty under s. 174 can, as a result, be disqualified for a period ranging from 2 to 15 years, from</w:t>
      </w:r>
      <w:r>
        <w:rPr>
          <w:spacing w:val="40"/>
          <w:vertAlign w:val="baseline"/>
        </w:rPr>
        <w:t> </w:t>
      </w:r>
      <w:r>
        <w:rPr>
          <w:vertAlign w:val="baseline"/>
        </w:rPr>
        <w:t>holding directorship positions.</w:t>
      </w:r>
      <w:r>
        <w:rPr>
          <w:vertAlign w:val="superscript"/>
        </w:rPr>
        <w:t>180</w:t>
      </w:r>
      <w:r>
        <w:rPr>
          <w:vertAlign w:val="baseline"/>
        </w:rPr>
        <w:t> This is apart from the publication of his name in a register</w:t>
      </w:r>
      <w:r>
        <w:rPr>
          <w:spacing w:val="22"/>
          <w:vertAlign w:val="baseline"/>
        </w:rPr>
        <w:t> </w:t>
      </w:r>
      <w:r>
        <w:rPr>
          <w:vertAlign w:val="baseline"/>
        </w:rPr>
        <w:t>maintained</w:t>
      </w:r>
      <w:r>
        <w:rPr>
          <w:spacing w:val="26"/>
          <w:vertAlign w:val="baseline"/>
        </w:rPr>
        <w:t> </w:t>
      </w:r>
      <w:r>
        <w:rPr>
          <w:vertAlign w:val="baseline"/>
        </w:rPr>
        <w:t>by the</w:t>
      </w:r>
      <w:r>
        <w:rPr>
          <w:spacing w:val="15"/>
          <w:vertAlign w:val="baseline"/>
        </w:rPr>
        <w:t> </w:t>
      </w:r>
      <w:r>
        <w:rPr>
          <w:vertAlign w:val="baseline"/>
        </w:rPr>
        <w:t>Secretary of State,</w:t>
      </w:r>
      <w:r>
        <w:rPr>
          <w:spacing w:val="18"/>
          <w:vertAlign w:val="baseline"/>
        </w:rPr>
        <w:t> </w:t>
      </w:r>
      <w:r>
        <w:rPr>
          <w:vertAlign w:val="baseline"/>
        </w:rPr>
        <w:t>which</w:t>
      </w:r>
      <w:r>
        <w:rPr>
          <w:spacing w:val="16"/>
          <w:vertAlign w:val="baseline"/>
        </w:rPr>
        <w:t> </w:t>
      </w:r>
      <w:r>
        <w:rPr>
          <w:vertAlign w:val="baseline"/>
        </w:rPr>
        <w:t>effectively</w:t>
      </w:r>
      <w:r>
        <w:rPr>
          <w:spacing w:val="17"/>
          <w:vertAlign w:val="baseline"/>
        </w:rPr>
        <w:t> </w:t>
      </w:r>
      <w:r>
        <w:rPr>
          <w:vertAlign w:val="baseline"/>
        </w:rPr>
        <w:t>puts him on</w:t>
      </w:r>
      <w:r>
        <w:rPr>
          <w:spacing w:val="16"/>
          <w:vertAlign w:val="baseline"/>
        </w:rPr>
        <w:t> </w:t>
      </w:r>
      <w:r>
        <w:rPr>
          <w:vertAlign w:val="baseline"/>
        </w:rPr>
        <w:t>a</w:t>
      </w:r>
      <w:r>
        <w:rPr>
          <w:spacing w:val="20"/>
          <w:vertAlign w:val="baseline"/>
        </w:rPr>
        <w:t> </w:t>
      </w:r>
      <w:r>
        <w:rPr>
          <w:vertAlign w:val="baseline"/>
        </w:rPr>
        <w:t>notional</w:t>
      </w:r>
    </w:p>
    <w:p>
      <w:pPr>
        <w:pStyle w:val="BodyText"/>
        <w:spacing w:before="2"/>
        <w:jc w:val="both"/>
      </w:pPr>
      <w:r>
        <w:rPr/>
        <w:t>―red</w:t>
      </w:r>
      <w:r>
        <w:rPr>
          <w:spacing w:val="-13"/>
        </w:rPr>
        <w:t> </w:t>
      </w:r>
      <w:r>
        <w:rPr/>
        <w:t>list‖</w:t>
      </w:r>
      <w:r>
        <w:rPr>
          <w:spacing w:val="-12"/>
        </w:rPr>
        <w:t> </w:t>
      </w:r>
      <w:r>
        <w:rPr/>
        <w:t>so</w:t>
      </w:r>
      <w:r>
        <w:rPr>
          <w:spacing w:val="-11"/>
        </w:rPr>
        <w:t> </w:t>
      </w:r>
      <w:r>
        <w:rPr/>
        <w:t>that</w:t>
      </w:r>
      <w:r>
        <w:rPr>
          <w:spacing w:val="-8"/>
        </w:rPr>
        <w:t> </w:t>
      </w:r>
      <w:r>
        <w:rPr/>
        <w:t>companies</w:t>
      </w:r>
      <w:r>
        <w:rPr>
          <w:spacing w:val="-13"/>
        </w:rPr>
        <w:t> </w:t>
      </w:r>
      <w:r>
        <w:rPr/>
        <w:t>and</w:t>
      </w:r>
      <w:r>
        <w:rPr>
          <w:spacing w:val="-11"/>
        </w:rPr>
        <w:t> </w:t>
      </w:r>
      <w:r>
        <w:rPr/>
        <w:t>the</w:t>
      </w:r>
      <w:r>
        <w:rPr>
          <w:spacing w:val="-13"/>
        </w:rPr>
        <w:t> </w:t>
      </w:r>
      <w:r>
        <w:rPr/>
        <w:t>public</w:t>
      </w:r>
      <w:r>
        <w:rPr>
          <w:spacing w:val="-8"/>
        </w:rPr>
        <w:t> </w:t>
      </w:r>
      <w:r>
        <w:rPr/>
        <w:t>may</w:t>
      </w:r>
      <w:r>
        <w:rPr>
          <w:spacing w:val="-15"/>
        </w:rPr>
        <w:t> </w:t>
      </w:r>
      <w:r>
        <w:rPr/>
        <w:t>take</w:t>
      </w:r>
      <w:r>
        <w:rPr>
          <w:spacing w:val="-12"/>
        </w:rPr>
        <w:t> </w:t>
      </w:r>
      <w:r>
        <w:rPr>
          <w:spacing w:val="-2"/>
        </w:rPr>
        <w:t>note.</w:t>
      </w:r>
    </w:p>
    <w:p>
      <w:pPr>
        <w:pStyle w:val="BodyText"/>
        <w:spacing w:line="480" w:lineRule="auto" w:before="276"/>
        <w:ind w:right="230" w:firstLine="720"/>
        <w:jc w:val="both"/>
      </w:pPr>
      <w:r>
        <w:rPr/>
        <w:t>It has been opined that the view that more qualified persons are subjected to higher standards of duty, is counter-productive in the long term, as it may deter such able, qualified persons from opting for the office.</w:t>
      </w:r>
      <w:r>
        <w:rPr>
          <w:vertAlign w:val="superscript"/>
        </w:rPr>
        <w:t>181</w:t>
      </w:r>
      <w:r>
        <w:rPr>
          <w:vertAlign w:val="baseline"/>
        </w:rPr>
        <w:t> It is here submitted that this may</w:t>
      </w:r>
      <w:r>
        <w:rPr>
          <w:spacing w:val="40"/>
          <w:vertAlign w:val="baseline"/>
        </w:rPr>
        <w:t> </w:t>
      </w:r>
      <w:r>
        <w:rPr>
          <w:vertAlign w:val="baseline"/>
        </w:rPr>
        <w:t>not be the case. Such directors can effectively retaliate by raising their ―prices‖ or contract with the company to take out insurance policies on their behalf. Conversely, directors</w:t>
      </w:r>
      <w:r>
        <w:rPr>
          <w:spacing w:val="-8"/>
          <w:vertAlign w:val="baseline"/>
        </w:rPr>
        <w:t> </w:t>
      </w:r>
      <w:r>
        <w:rPr>
          <w:vertAlign w:val="baseline"/>
        </w:rPr>
        <w:t>owe</w:t>
      </w:r>
      <w:r>
        <w:rPr>
          <w:spacing w:val="-3"/>
          <w:vertAlign w:val="baseline"/>
        </w:rPr>
        <w:t> </w:t>
      </w:r>
      <w:r>
        <w:rPr>
          <w:vertAlign w:val="baseline"/>
        </w:rPr>
        <w:t>it to</w:t>
      </w:r>
      <w:r>
        <w:rPr>
          <w:spacing w:val="-5"/>
          <w:vertAlign w:val="baseline"/>
        </w:rPr>
        <w:t> </w:t>
      </w:r>
      <w:r>
        <w:rPr>
          <w:vertAlign w:val="baseline"/>
        </w:rPr>
        <w:t>their company—indeed, it is in</w:t>
      </w:r>
      <w:r>
        <w:rPr>
          <w:spacing w:val="-1"/>
          <w:vertAlign w:val="baseline"/>
        </w:rPr>
        <w:t> </w:t>
      </w:r>
      <w:r>
        <w:rPr>
          <w:vertAlign w:val="baseline"/>
        </w:rPr>
        <w:t>harmony</w:t>
      </w:r>
      <w:r>
        <w:rPr>
          <w:spacing w:val="-10"/>
          <w:vertAlign w:val="baseline"/>
        </w:rPr>
        <w:t> </w:t>
      </w:r>
      <w:r>
        <w:rPr>
          <w:vertAlign w:val="baseline"/>
        </w:rPr>
        <w:t>with</w:t>
      </w:r>
      <w:r>
        <w:rPr>
          <w:spacing w:val="-6"/>
          <w:vertAlign w:val="baseline"/>
        </w:rPr>
        <w:t> </w:t>
      </w:r>
      <w:r>
        <w:rPr>
          <w:vertAlign w:val="baseline"/>
        </w:rPr>
        <w:t>the</w:t>
      </w:r>
      <w:r>
        <w:rPr>
          <w:spacing w:val="-2"/>
          <w:vertAlign w:val="baseline"/>
        </w:rPr>
        <w:t> </w:t>
      </w:r>
      <w:r>
        <w:rPr>
          <w:vertAlign w:val="baseline"/>
        </w:rPr>
        <w:t>expectation</w:t>
      </w:r>
      <w:r>
        <w:rPr>
          <w:spacing w:val="-6"/>
          <w:vertAlign w:val="baseline"/>
        </w:rPr>
        <w:t> </w:t>
      </w:r>
      <w:r>
        <w:rPr>
          <w:vertAlign w:val="baseline"/>
        </w:rPr>
        <w:t>of</w:t>
      </w:r>
      <w:r>
        <w:rPr>
          <w:spacing w:val="-9"/>
          <w:vertAlign w:val="baseline"/>
        </w:rPr>
        <w:t> </w:t>
      </w:r>
      <w:r>
        <w:rPr>
          <w:vertAlign w:val="baseline"/>
        </w:rPr>
        <w:t>good faith on their part—to afford the company any and all special qualifications they have, especially if this was the basis upon which the company hired them in the first place. Obviously, the new regime proposed by the tenor of s. 174 requires prospective</w:t>
      </w:r>
      <w:r>
        <w:rPr>
          <w:spacing w:val="40"/>
          <w:vertAlign w:val="baseline"/>
        </w:rPr>
        <w:t> </w:t>
      </w:r>
      <w:r>
        <w:rPr>
          <w:vertAlign w:val="baseline"/>
        </w:rPr>
        <w:t>directors to be alert to their future responsibilities. A director cannot complain that the standards required of him by s. 174 are unfair. He does have a choice whether or not to accept</w:t>
      </w:r>
      <w:r>
        <w:rPr>
          <w:spacing w:val="40"/>
          <w:vertAlign w:val="baseline"/>
        </w:rPr>
        <w:t> </w:t>
      </w:r>
      <w:r>
        <w:rPr>
          <w:vertAlign w:val="baseline"/>
        </w:rPr>
        <w:t>directorial</w:t>
      </w:r>
      <w:r>
        <w:rPr>
          <w:spacing w:val="37"/>
          <w:vertAlign w:val="baseline"/>
        </w:rPr>
        <w:t> </w:t>
      </w:r>
      <w:r>
        <w:rPr>
          <w:vertAlign w:val="baseline"/>
        </w:rPr>
        <w:t>responsibility,</w:t>
      </w:r>
      <w:r>
        <w:rPr>
          <w:spacing w:val="40"/>
          <w:vertAlign w:val="baseline"/>
        </w:rPr>
        <w:t> </w:t>
      </w:r>
      <w:r>
        <w:rPr>
          <w:vertAlign w:val="baseline"/>
        </w:rPr>
        <w:t>after</w:t>
      </w:r>
      <w:r>
        <w:rPr>
          <w:spacing w:val="40"/>
          <w:vertAlign w:val="baseline"/>
        </w:rPr>
        <w:t> </w:t>
      </w:r>
      <w:r>
        <w:rPr>
          <w:vertAlign w:val="baseline"/>
        </w:rPr>
        <w:t>considering</w:t>
      </w:r>
      <w:r>
        <w:rPr>
          <w:spacing w:val="40"/>
          <w:vertAlign w:val="baseline"/>
        </w:rPr>
        <w:t> </w:t>
      </w:r>
      <w:r>
        <w:rPr>
          <w:vertAlign w:val="baseline"/>
        </w:rPr>
        <w:t>his</w:t>
      </w:r>
      <w:r>
        <w:rPr>
          <w:spacing w:val="40"/>
          <w:vertAlign w:val="baseline"/>
        </w:rPr>
        <w:t> </w:t>
      </w:r>
      <w:r>
        <w:rPr>
          <w:vertAlign w:val="baseline"/>
        </w:rPr>
        <w:t>qualifications</w:t>
      </w:r>
      <w:r>
        <w:rPr>
          <w:spacing w:val="40"/>
          <w:vertAlign w:val="baseline"/>
        </w:rPr>
        <w:t> </w:t>
      </w:r>
      <w:r>
        <w:rPr>
          <w:vertAlign w:val="baseline"/>
        </w:rPr>
        <w:t>and</w:t>
      </w:r>
      <w:r>
        <w:rPr>
          <w:spacing w:val="40"/>
          <w:vertAlign w:val="baseline"/>
        </w:rPr>
        <w:t> </w:t>
      </w:r>
      <w:r>
        <w:rPr>
          <w:vertAlign w:val="baseline"/>
        </w:rPr>
        <w:t>the</w:t>
      </w:r>
      <w:r>
        <w:rPr>
          <w:spacing w:val="40"/>
          <w:vertAlign w:val="baseline"/>
        </w:rPr>
        <w:t> </w:t>
      </w:r>
      <w:r>
        <w:rPr>
          <w:vertAlign w:val="baseline"/>
        </w:rPr>
        <w:t>level</w:t>
      </w:r>
      <w:r>
        <w:rPr>
          <w:spacing w:val="40"/>
          <w:vertAlign w:val="baseline"/>
        </w:rPr>
        <w:t> </w:t>
      </w:r>
      <w:r>
        <w:rPr>
          <w:vertAlign w:val="baseline"/>
        </w:rPr>
        <w:t>of</w:t>
      </w:r>
    </w:p>
    <w:p>
      <w:pPr>
        <w:pStyle w:val="BodyText"/>
        <w:spacing w:before="97"/>
        <w:ind w:left="0"/>
        <w:rPr>
          <w:sz w:val="20"/>
        </w:rPr>
      </w:pPr>
      <w:r>
        <w:rPr/>
        <mc:AlternateContent>
          <mc:Choice Requires="wps">
            <w:drawing>
              <wp:anchor distT="0" distB="0" distL="0" distR="0" allowOverlap="1" layoutInCell="1" locked="0" behindDoc="1" simplePos="0" relativeHeight="487691264">
                <wp:simplePos x="0" y="0"/>
                <wp:positionH relativeFrom="page">
                  <wp:posOffset>1262481</wp:posOffset>
                </wp:positionH>
                <wp:positionV relativeFrom="paragraph">
                  <wp:posOffset>222987</wp:posOffset>
                </wp:positionV>
                <wp:extent cx="1829435" cy="9525"/>
                <wp:effectExtent l="0" t="0" r="0" b="0"/>
                <wp:wrapTopAndBottom/>
                <wp:docPr id="227" name="Graphic 227"/>
                <wp:cNvGraphicFramePr>
                  <a:graphicFrameLocks/>
                </wp:cNvGraphicFramePr>
                <a:graphic>
                  <a:graphicData uri="http://schemas.microsoft.com/office/word/2010/wordprocessingShape">
                    <wps:wsp>
                      <wps:cNvPr id="227" name="Graphic 22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58077pt;width:144.050pt;height:.71997pt;mso-position-horizontal-relative:page;mso-position-vertical-relative:paragraph;z-index:-15625216;mso-wrap-distance-left:0;mso-wrap-distance-right:0" id="docshape182" filled="true" fillcolor="#000000" stroked="false">
                <v:fill type="solid"/>
                <w10:wrap type="topAndBottom"/>
              </v:rect>
            </w:pict>
          </mc:Fallback>
        </mc:AlternateContent>
      </w:r>
    </w:p>
    <w:p>
      <w:pPr>
        <w:spacing w:line="242" w:lineRule="exact" w:before="102"/>
        <w:ind w:left="308" w:right="0" w:firstLine="0"/>
        <w:jc w:val="both"/>
        <w:rPr>
          <w:rFonts w:ascii="Calibri"/>
          <w:sz w:val="20"/>
        </w:rPr>
      </w:pPr>
      <w:r>
        <w:rPr>
          <w:rFonts w:ascii="Calibri"/>
          <w:sz w:val="20"/>
          <w:vertAlign w:val="superscript"/>
        </w:rPr>
        <w:t>179</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ss.</w:t>
      </w:r>
      <w:r>
        <w:rPr>
          <w:rFonts w:ascii="Calibri"/>
          <w:spacing w:val="-1"/>
          <w:sz w:val="20"/>
          <w:vertAlign w:val="baseline"/>
        </w:rPr>
        <w:t> </w:t>
      </w:r>
      <w:r>
        <w:rPr>
          <w:rFonts w:ascii="Calibri"/>
          <w:sz w:val="20"/>
          <w:vertAlign w:val="baseline"/>
        </w:rPr>
        <w:t>6</w:t>
      </w:r>
      <w:r>
        <w:rPr>
          <w:rFonts w:ascii="Calibri"/>
          <w:spacing w:val="-7"/>
          <w:sz w:val="20"/>
          <w:vertAlign w:val="baseline"/>
        </w:rPr>
        <w:t> </w:t>
      </w:r>
      <w:r>
        <w:rPr>
          <w:rFonts w:ascii="Calibri"/>
          <w:sz w:val="20"/>
          <w:vertAlign w:val="baseline"/>
        </w:rPr>
        <w:t>and</w:t>
      </w:r>
      <w:r>
        <w:rPr>
          <w:rFonts w:ascii="Calibri"/>
          <w:spacing w:val="-1"/>
          <w:sz w:val="20"/>
          <w:vertAlign w:val="baseline"/>
        </w:rPr>
        <w:t> </w:t>
      </w:r>
      <w:r>
        <w:rPr>
          <w:rFonts w:ascii="Calibri"/>
          <w:sz w:val="20"/>
          <w:vertAlign w:val="baseline"/>
        </w:rPr>
        <w:t>11</w:t>
      </w:r>
      <w:r>
        <w:rPr>
          <w:rFonts w:ascii="Calibri"/>
          <w:spacing w:val="-8"/>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Company</w:t>
      </w:r>
      <w:r>
        <w:rPr>
          <w:rFonts w:ascii="Calibri"/>
          <w:spacing w:val="-6"/>
          <w:sz w:val="20"/>
          <w:vertAlign w:val="baseline"/>
        </w:rPr>
        <w:t> </w:t>
      </w:r>
      <w:r>
        <w:rPr>
          <w:rFonts w:ascii="Calibri"/>
          <w:sz w:val="20"/>
          <w:vertAlign w:val="baseline"/>
        </w:rPr>
        <w:t>Directors</w:t>
      </w:r>
      <w:r>
        <w:rPr>
          <w:rFonts w:ascii="Calibri"/>
          <w:spacing w:val="-4"/>
          <w:sz w:val="20"/>
          <w:vertAlign w:val="baseline"/>
        </w:rPr>
        <w:t> </w:t>
      </w:r>
      <w:r>
        <w:rPr>
          <w:rFonts w:ascii="Calibri"/>
          <w:sz w:val="20"/>
          <w:vertAlign w:val="baseline"/>
        </w:rPr>
        <w:t>Disqualification</w:t>
      </w:r>
      <w:r>
        <w:rPr>
          <w:rFonts w:ascii="Calibri"/>
          <w:spacing w:val="-8"/>
          <w:sz w:val="20"/>
          <w:vertAlign w:val="baseline"/>
        </w:rPr>
        <w:t> </w:t>
      </w:r>
      <w:r>
        <w:rPr>
          <w:rFonts w:ascii="Calibri"/>
          <w:spacing w:val="-4"/>
          <w:sz w:val="20"/>
          <w:vertAlign w:val="baseline"/>
        </w:rPr>
        <w:t>Act.</w:t>
      </w:r>
    </w:p>
    <w:p>
      <w:pPr>
        <w:spacing w:line="240" w:lineRule="auto" w:before="0"/>
        <w:ind w:left="308" w:right="234" w:firstLine="0"/>
        <w:jc w:val="both"/>
        <w:rPr>
          <w:rFonts w:ascii="Calibri"/>
          <w:sz w:val="20"/>
        </w:rPr>
      </w:pPr>
      <w:r>
        <w:rPr>
          <w:rFonts w:ascii="Calibri"/>
          <w:sz w:val="20"/>
          <w:vertAlign w:val="superscript"/>
        </w:rPr>
        <w:t>180</w:t>
      </w:r>
      <w:r>
        <w:rPr>
          <w:rFonts w:ascii="Calibri"/>
          <w:sz w:val="20"/>
          <w:vertAlign w:val="baseline"/>
        </w:rPr>
        <w:t> Such a disqualification order was made in relation to some senior executive directors following the collapse of Barings Bank. See </w:t>
      </w:r>
      <w:r>
        <w:rPr>
          <w:rFonts w:ascii="Calibri"/>
          <w:i/>
          <w:sz w:val="20"/>
          <w:vertAlign w:val="baseline"/>
        </w:rPr>
        <w:t>Baker vs. Secretary of State for Trade and Industry </w:t>
      </w:r>
      <w:r>
        <w:rPr>
          <w:rFonts w:ascii="Calibri"/>
          <w:sz w:val="20"/>
          <w:vertAlign w:val="baseline"/>
        </w:rPr>
        <w:t>(2001) BCC 273.</w:t>
      </w:r>
    </w:p>
    <w:p>
      <w:pPr>
        <w:spacing w:before="0"/>
        <w:ind w:left="308" w:right="227" w:firstLine="0"/>
        <w:jc w:val="both"/>
        <w:rPr>
          <w:rFonts w:ascii="Calibri" w:hAnsi="Calibri"/>
          <w:sz w:val="20"/>
        </w:rPr>
      </w:pPr>
      <w:r>
        <w:rPr>
          <w:rFonts w:ascii="Calibri" w:hAnsi="Calibri"/>
          <w:sz w:val="20"/>
          <w:vertAlign w:val="superscript"/>
        </w:rPr>
        <w:t>181</w:t>
      </w:r>
      <w:r>
        <w:rPr>
          <w:rFonts w:ascii="Calibri" w:hAnsi="Calibri"/>
          <w:sz w:val="20"/>
          <w:vertAlign w:val="baseline"/>
        </w:rPr>
        <w:t> Roach, L. op.cit., at p. 3. According to this author, “it is surely a better state of affairs to attract qualified, educated professionals and risk a minority of them not bringing their expertise to bear, than</w:t>
      </w:r>
      <w:r>
        <w:rPr>
          <w:rFonts w:ascii="Calibri" w:hAnsi="Calibri"/>
          <w:spacing w:val="80"/>
          <w:sz w:val="20"/>
          <w:vertAlign w:val="baseline"/>
        </w:rPr>
        <w:t> </w:t>
      </w:r>
      <w:r>
        <w:rPr>
          <w:rFonts w:ascii="Calibri" w:hAnsi="Calibri"/>
          <w:sz w:val="20"/>
          <w:vertAlign w:val="baseline"/>
        </w:rPr>
        <w:t>to deter such people to such an extent that our boardrooms are devoid of solicitors, accountants and other professionals.” A similar worry was expressed by Lockhart J. in </w:t>
      </w:r>
      <w:r>
        <w:rPr>
          <w:rFonts w:ascii="Calibri" w:hAnsi="Calibri"/>
          <w:i/>
          <w:sz w:val="20"/>
          <w:vertAlign w:val="baseline"/>
        </w:rPr>
        <w:t>Australian Innovation Ltd. vs. Paul Andre Petrovsky </w:t>
      </w:r>
      <w:r>
        <w:rPr>
          <w:rFonts w:ascii="Calibri" w:hAnsi="Calibri"/>
          <w:sz w:val="20"/>
          <w:vertAlign w:val="baseline"/>
        </w:rPr>
        <w:t>(1996) 14 ACLC 1357.</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70"/>
        <w:ind w:right="238"/>
        <w:jc w:val="both"/>
      </w:pPr>
      <w:r>
        <w:rPr/>
        <w:t>commitment he knows he is prepared to put in. The English court has observed, rightly in this writer‘s view, that</w:t>
      </w:r>
    </w:p>
    <w:p>
      <w:pPr>
        <w:spacing w:line="240" w:lineRule="auto" w:before="0"/>
        <w:ind w:left="2007" w:right="1890" w:firstLine="0"/>
        <w:jc w:val="both"/>
        <w:rPr>
          <w:i/>
          <w:sz w:val="24"/>
        </w:rPr>
      </w:pPr>
      <w:r>
        <w:rPr>
          <w:i/>
          <w:sz w:val="24"/>
        </w:rPr>
        <w:t>Anyone accepting the office of director was required to understand the nature of the duty which he/she</w:t>
      </w:r>
      <w:r>
        <w:rPr>
          <w:i/>
          <w:spacing w:val="40"/>
          <w:sz w:val="24"/>
        </w:rPr>
        <w:t> </w:t>
      </w:r>
      <w:r>
        <w:rPr>
          <w:i/>
          <w:sz w:val="24"/>
        </w:rPr>
        <w:t>was called upon to perform. The nature of that duty would depend on the size and business of that company and the experience the director held</w:t>
      </w:r>
      <w:r>
        <w:rPr>
          <w:i/>
          <w:spacing w:val="80"/>
          <w:sz w:val="24"/>
        </w:rPr>
        <w:t> </w:t>
      </w:r>
      <w:r>
        <w:rPr>
          <w:i/>
          <w:sz w:val="24"/>
        </w:rPr>
        <w:t>himself out as having.</w:t>
      </w:r>
      <w:r>
        <w:rPr>
          <w:i/>
          <w:sz w:val="24"/>
          <w:vertAlign w:val="superscript"/>
        </w:rPr>
        <w:t>182</w:t>
      </w:r>
    </w:p>
    <w:p>
      <w:pPr>
        <w:pStyle w:val="BodyText"/>
        <w:spacing w:before="3"/>
        <w:ind w:left="0"/>
        <w:rPr>
          <w:i/>
        </w:rPr>
      </w:pPr>
    </w:p>
    <w:p>
      <w:pPr>
        <w:pStyle w:val="BodyText"/>
        <w:spacing w:line="480" w:lineRule="auto"/>
        <w:ind w:right="232" w:firstLine="720"/>
        <w:jc w:val="both"/>
      </w:pPr>
      <w:r>
        <w:rPr/>
        <w:t>It would seem, therefore, that the practice whereby prospective directors embellish their resumes in order to impress companies hiring them, will be greatly discouraged. After all, no director would want to be held to standards he is in fact incompetent to justify, considering the consequences.</w:t>
      </w:r>
    </w:p>
    <w:p>
      <w:pPr>
        <w:pStyle w:val="Heading2"/>
        <w:numPr>
          <w:ilvl w:val="2"/>
          <w:numId w:val="18"/>
        </w:numPr>
        <w:tabs>
          <w:tab w:pos="1027" w:val="left" w:leader="none"/>
        </w:tabs>
        <w:spacing w:line="240" w:lineRule="auto" w:before="203" w:after="0"/>
        <w:ind w:left="1027" w:right="0" w:hanging="719"/>
        <w:jc w:val="both"/>
      </w:pPr>
      <w:bookmarkStart w:name="_TOC_250016" w:id="36"/>
      <w:r>
        <w:rPr/>
        <w:t>Duty to</w:t>
      </w:r>
      <w:r>
        <w:rPr>
          <w:spacing w:val="-4"/>
        </w:rPr>
        <w:t> </w:t>
      </w:r>
      <w:r>
        <w:rPr/>
        <w:t>Avoid</w:t>
      </w:r>
      <w:r>
        <w:rPr>
          <w:spacing w:val="-3"/>
        </w:rPr>
        <w:t> </w:t>
      </w:r>
      <w:r>
        <w:rPr/>
        <w:t>Conflicts</w:t>
      </w:r>
      <w:r>
        <w:rPr>
          <w:spacing w:val="-1"/>
        </w:rPr>
        <w:t> </w:t>
      </w:r>
      <w:r>
        <w:rPr/>
        <w:t>of</w:t>
      </w:r>
      <w:bookmarkEnd w:id="36"/>
      <w:r>
        <w:rPr>
          <w:spacing w:val="-2"/>
        </w:rPr>
        <w:t> Interest</w:t>
      </w:r>
    </w:p>
    <w:p>
      <w:pPr>
        <w:pStyle w:val="BodyText"/>
        <w:spacing w:line="480" w:lineRule="auto" w:before="137"/>
        <w:ind w:right="235"/>
        <w:jc w:val="both"/>
      </w:pPr>
      <w:r>
        <w:rPr/>
        <w:t>Directors are the mind and limbs of the corporation.</w:t>
      </w:r>
      <w:r>
        <w:rPr>
          <w:vertAlign w:val="superscript"/>
        </w:rPr>
        <w:t>183</w:t>
      </w:r>
      <w:r>
        <w:rPr>
          <w:vertAlign w:val="baseline"/>
        </w:rPr>
        <w:t> But they are also the mind and limbs of their individual, natural selves. Clearly, when two ―bodies‖ are controlled by one mind, there is bound to be a clash of interests. The director‘s office is a fiduciary one: the law</w:t>
      </w:r>
      <w:r>
        <w:rPr>
          <w:spacing w:val="-1"/>
          <w:vertAlign w:val="baseline"/>
        </w:rPr>
        <w:t> </w:t>
      </w:r>
      <w:r>
        <w:rPr>
          <w:vertAlign w:val="baseline"/>
        </w:rPr>
        <w:t>expects</w:t>
      </w:r>
      <w:r>
        <w:rPr>
          <w:spacing w:val="-2"/>
          <w:vertAlign w:val="baseline"/>
        </w:rPr>
        <w:t> </w:t>
      </w:r>
      <w:r>
        <w:rPr>
          <w:vertAlign w:val="baseline"/>
        </w:rPr>
        <w:t>the</w:t>
      </w:r>
      <w:r>
        <w:rPr>
          <w:spacing w:val="-1"/>
          <w:vertAlign w:val="baseline"/>
        </w:rPr>
        <w:t> </w:t>
      </w:r>
      <w:r>
        <w:rPr>
          <w:vertAlign w:val="baseline"/>
        </w:rPr>
        <w:t>director</w:t>
      </w:r>
      <w:r>
        <w:rPr>
          <w:spacing w:val="-3"/>
          <w:vertAlign w:val="baseline"/>
        </w:rPr>
        <w:t> </w:t>
      </w:r>
      <w:r>
        <w:rPr>
          <w:vertAlign w:val="baseline"/>
        </w:rPr>
        <w:t>to act always in good faith for the</w:t>
      </w:r>
      <w:r>
        <w:rPr>
          <w:spacing w:val="-1"/>
          <w:vertAlign w:val="baseline"/>
        </w:rPr>
        <w:t> </w:t>
      </w:r>
      <w:r>
        <w:rPr>
          <w:vertAlign w:val="baseline"/>
        </w:rPr>
        <w:t>utmost benefit of</w:t>
      </w:r>
      <w:r>
        <w:rPr>
          <w:spacing w:val="-3"/>
          <w:vertAlign w:val="baseline"/>
        </w:rPr>
        <w:t> </w:t>
      </w:r>
      <w:r>
        <w:rPr>
          <w:vertAlign w:val="baseline"/>
        </w:rPr>
        <w:t>his </w:t>
      </w:r>
      <w:r>
        <w:rPr>
          <w:i/>
          <w:vertAlign w:val="baseline"/>
        </w:rPr>
        <w:t>cestuique trust</w:t>
      </w:r>
      <w:r>
        <w:rPr>
          <w:vertAlign w:val="baseline"/>
        </w:rPr>
        <w:t>, the company. While discharging his duties, the director is only to look</w:t>
      </w:r>
      <w:r>
        <w:rPr>
          <w:spacing w:val="40"/>
          <w:vertAlign w:val="baseline"/>
        </w:rPr>
        <w:t> </w:t>
      </w:r>
      <w:r>
        <w:rPr>
          <w:vertAlign w:val="baseline"/>
        </w:rPr>
        <w:t>to the interests of that entity and keep his own interests aside. Accordingly, s.175(1) states</w:t>
      </w:r>
      <w:r>
        <w:rPr>
          <w:spacing w:val="-7"/>
          <w:vertAlign w:val="baseline"/>
        </w:rPr>
        <w:t> </w:t>
      </w:r>
      <w:r>
        <w:rPr>
          <w:vertAlign w:val="baseline"/>
        </w:rPr>
        <w:t>that</w:t>
      </w:r>
      <w:r>
        <w:rPr>
          <w:spacing w:val="-4"/>
          <w:vertAlign w:val="baseline"/>
        </w:rPr>
        <w:t> </w:t>
      </w:r>
      <w:r>
        <w:rPr>
          <w:vertAlign w:val="baseline"/>
        </w:rPr>
        <w:t>―a</w:t>
      </w:r>
      <w:r>
        <w:rPr>
          <w:spacing w:val="-4"/>
          <w:vertAlign w:val="baseline"/>
        </w:rPr>
        <w:t> </w:t>
      </w:r>
      <w:r>
        <w:rPr>
          <w:vertAlign w:val="baseline"/>
        </w:rPr>
        <w:t>director</w:t>
      </w:r>
      <w:r>
        <w:rPr>
          <w:spacing w:val="-7"/>
          <w:vertAlign w:val="baseline"/>
        </w:rPr>
        <w:t> </w:t>
      </w:r>
      <w:r>
        <w:rPr>
          <w:vertAlign w:val="baseline"/>
        </w:rPr>
        <w:t>of</w:t>
      </w:r>
      <w:r>
        <w:rPr>
          <w:spacing w:val="-11"/>
          <w:vertAlign w:val="baseline"/>
        </w:rPr>
        <w:t> </w:t>
      </w:r>
      <w:r>
        <w:rPr>
          <w:vertAlign w:val="baseline"/>
        </w:rPr>
        <w:t>a</w:t>
      </w:r>
      <w:r>
        <w:rPr>
          <w:spacing w:val="-5"/>
          <w:vertAlign w:val="baseline"/>
        </w:rPr>
        <w:t> </w:t>
      </w:r>
      <w:r>
        <w:rPr>
          <w:vertAlign w:val="baseline"/>
        </w:rPr>
        <w:t>company</w:t>
      </w:r>
      <w:r>
        <w:rPr>
          <w:spacing w:val="-5"/>
          <w:vertAlign w:val="baseline"/>
        </w:rPr>
        <w:t> </w:t>
      </w:r>
      <w:r>
        <w:rPr>
          <w:vertAlign w:val="baseline"/>
        </w:rPr>
        <w:t>must avoid</w:t>
      </w:r>
      <w:r>
        <w:rPr>
          <w:spacing w:val="-5"/>
          <w:vertAlign w:val="baseline"/>
        </w:rPr>
        <w:t> </w:t>
      </w:r>
      <w:r>
        <w:rPr>
          <w:vertAlign w:val="baseline"/>
        </w:rPr>
        <w:t>a</w:t>
      </w:r>
      <w:r>
        <w:rPr>
          <w:spacing w:val="-5"/>
          <w:vertAlign w:val="baseline"/>
        </w:rPr>
        <w:t> </w:t>
      </w:r>
      <w:r>
        <w:rPr>
          <w:vertAlign w:val="baseline"/>
        </w:rPr>
        <w:t>situation</w:t>
      </w:r>
      <w:r>
        <w:rPr>
          <w:spacing w:val="-5"/>
          <w:vertAlign w:val="baseline"/>
        </w:rPr>
        <w:t> </w:t>
      </w:r>
      <w:r>
        <w:rPr>
          <w:vertAlign w:val="baseline"/>
        </w:rPr>
        <w:t>in</w:t>
      </w:r>
      <w:r>
        <w:rPr>
          <w:spacing w:val="-8"/>
          <w:vertAlign w:val="baseline"/>
        </w:rPr>
        <w:t> </w:t>
      </w:r>
      <w:r>
        <w:rPr>
          <w:vertAlign w:val="baseline"/>
        </w:rPr>
        <w:t>which</w:t>
      </w:r>
      <w:r>
        <w:rPr>
          <w:spacing w:val="-8"/>
          <w:vertAlign w:val="baseline"/>
        </w:rPr>
        <w:t> </w:t>
      </w:r>
      <w:r>
        <w:rPr>
          <w:vertAlign w:val="baseline"/>
        </w:rPr>
        <w:t>he</w:t>
      </w:r>
      <w:r>
        <w:rPr>
          <w:spacing w:val="-5"/>
          <w:vertAlign w:val="baseline"/>
        </w:rPr>
        <w:t> </w:t>
      </w:r>
      <w:r>
        <w:rPr>
          <w:vertAlign w:val="baseline"/>
        </w:rPr>
        <w:t>has,</w:t>
      </w:r>
      <w:r>
        <w:rPr>
          <w:spacing w:val="-2"/>
          <w:vertAlign w:val="baseline"/>
        </w:rPr>
        <w:t> </w:t>
      </w:r>
      <w:r>
        <w:rPr>
          <w:vertAlign w:val="baseline"/>
        </w:rPr>
        <w:t>or</w:t>
      </w:r>
      <w:r>
        <w:rPr>
          <w:spacing w:val="-3"/>
          <w:vertAlign w:val="baseline"/>
        </w:rPr>
        <w:t> </w:t>
      </w:r>
      <w:r>
        <w:rPr>
          <w:vertAlign w:val="baseline"/>
        </w:rPr>
        <w:t>can</w:t>
      </w:r>
      <w:r>
        <w:rPr>
          <w:spacing w:val="-8"/>
          <w:vertAlign w:val="baseline"/>
        </w:rPr>
        <w:t> </w:t>
      </w:r>
      <w:r>
        <w:rPr>
          <w:vertAlign w:val="baseline"/>
        </w:rPr>
        <w:t>have, a direct or indirect interest that conflicts, or possibly may conflict, with the interests of the company.‖ In other words, he must look to avoiding any conflict of interests. But where there is a clash—and the law realises that the director being human, there often will be</w:t>
      </w:r>
      <w:r>
        <w:rPr>
          <w:vertAlign w:val="superscript"/>
        </w:rPr>
        <w:t>184</w:t>
      </w:r>
      <w:r>
        <w:rPr>
          <w:vertAlign w:val="baseline"/>
        </w:rPr>
        <w:t>—there are rules that must be observed.</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56"/>
        <w:ind w:left="0"/>
        <w:rPr>
          <w:sz w:val="20"/>
        </w:rPr>
      </w:pPr>
      <w:r>
        <w:rPr/>
        <mc:AlternateContent>
          <mc:Choice Requires="wps">
            <w:drawing>
              <wp:anchor distT="0" distB="0" distL="0" distR="0" allowOverlap="1" layoutInCell="1" locked="0" behindDoc="1" simplePos="0" relativeHeight="487691776">
                <wp:simplePos x="0" y="0"/>
                <wp:positionH relativeFrom="page">
                  <wp:posOffset>1262481</wp:posOffset>
                </wp:positionH>
                <wp:positionV relativeFrom="paragraph">
                  <wp:posOffset>196890</wp:posOffset>
                </wp:positionV>
                <wp:extent cx="1829435" cy="9525"/>
                <wp:effectExtent l="0" t="0" r="0" b="0"/>
                <wp:wrapTopAndBottom/>
                <wp:docPr id="228" name="Graphic 228"/>
                <wp:cNvGraphicFramePr>
                  <a:graphicFrameLocks/>
                </wp:cNvGraphicFramePr>
                <a:graphic>
                  <a:graphicData uri="http://schemas.microsoft.com/office/word/2010/wordprocessingShape">
                    <wps:wsp>
                      <wps:cNvPr id="228" name="Graphic 22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5.503155pt;width:144.050pt;height:.71997pt;mso-position-horizontal-relative:page;mso-position-vertical-relative:paragraph;z-index:-15624704;mso-wrap-distance-left:0;mso-wrap-distance-right:0" id="docshape183"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182</w:t>
      </w:r>
      <w:r>
        <w:rPr>
          <w:rFonts w:ascii="Calibri"/>
          <w:i/>
          <w:sz w:val="20"/>
          <w:vertAlign w:val="baseline"/>
        </w:rPr>
        <w:t>Re</w:t>
      </w:r>
      <w:r>
        <w:rPr>
          <w:rFonts w:ascii="Calibri"/>
          <w:i/>
          <w:spacing w:val="-2"/>
          <w:sz w:val="20"/>
          <w:vertAlign w:val="baseline"/>
        </w:rPr>
        <w:t> </w:t>
      </w:r>
      <w:r>
        <w:rPr>
          <w:rFonts w:ascii="Calibri"/>
          <w:i/>
          <w:sz w:val="20"/>
          <w:vertAlign w:val="baseline"/>
        </w:rPr>
        <w:t>Barings</w:t>
      </w:r>
      <w:r>
        <w:rPr>
          <w:rFonts w:ascii="Calibri"/>
          <w:i/>
          <w:spacing w:val="-8"/>
          <w:sz w:val="20"/>
          <w:vertAlign w:val="baseline"/>
        </w:rPr>
        <w:t> </w:t>
      </w:r>
      <w:r>
        <w:rPr>
          <w:rFonts w:ascii="Calibri"/>
          <w:i/>
          <w:sz w:val="20"/>
          <w:vertAlign w:val="baseline"/>
        </w:rPr>
        <w:t>Plc</w:t>
      </w:r>
      <w:r>
        <w:rPr>
          <w:rFonts w:ascii="Calibri"/>
          <w:sz w:val="20"/>
          <w:vertAlign w:val="baseline"/>
        </w:rPr>
        <w:t>.</w:t>
      </w:r>
      <w:r>
        <w:rPr>
          <w:rFonts w:ascii="Calibri"/>
          <w:spacing w:val="-5"/>
          <w:sz w:val="20"/>
          <w:vertAlign w:val="baseline"/>
        </w:rPr>
        <w:t> </w:t>
      </w:r>
      <w:r>
        <w:rPr>
          <w:rFonts w:ascii="Calibri"/>
          <w:sz w:val="20"/>
          <w:vertAlign w:val="baseline"/>
        </w:rPr>
        <w:t>(No.</w:t>
      </w:r>
      <w:r>
        <w:rPr>
          <w:rFonts w:ascii="Calibri"/>
          <w:spacing w:val="-4"/>
          <w:sz w:val="20"/>
          <w:vertAlign w:val="baseline"/>
        </w:rPr>
        <w:t> </w:t>
      </w:r>
      <w:r>
        <w:rPr>
          <w:rFonts w:ascii="Calibri"/>
          <w:sz w:val="20"/>
          <w:vertAlign w:val="baseline"/>
        </w:rPr>
        <w:t>5)</w:t>
      </w:r>
      <w:r>
        <w:rPr>
          <w:rFonts w:ascii="Calibri"/>
          <w:spacing w:val="-5"/>
          <w:sz w:val="20"/>
          <w:vertAlign w:val="baseline"/>
        </w:rPr>
        <w:t> </w:t>
      </w:r>
      <w:r>
        <w:rPr>
          <w:rFonts w:ascii="Calibri"/>
          <w:sz w:val="20"/>
          <w:vertAlign w:val="baseline"/>
        </w:rPr>
        <w:t>(2000)</w:t>
      </w:r>
      <w:r>
        <w:rPr>
          <w:rFonts w:ascii="Calibri"/>
          <w:spacing w:val="-5"/>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B.C.L.C.</w:t>
      </w:r>
      <w:r>
        <w:rPr>
          <w:rFonts w:ascii="Calibri"/>
          <w:spacing w:val="-4"/>
          <w:sz w:val="20"/>
          <w:vertAlign w:val="baseline"/>
        </w:rPr>
        <w:t> 523.</w:t>
      </w:r>
    </w:p>
    <w:p>
      <w:pPr>
        <w:spacing w:before="1"/>
        <w:ind w:left="308" w:right="0" w:firstLine="0"/>
        <w:jc w:val="left"/>
        <w:rPr>
          <w:rFonts w:ascii="Calibri"/>
          <w:sz w:val="20"/>
        </w:rPr>
      </w:pPr>
      <w:r>
        <w:rPr>
          <w:rFonts w:ascii="Calibri"/>
          <w:sz w:val="20"/>
          <w:vertAlign w:val="superscript"/>
        </w:rPr>
        <w:t>183</w:t>
      </w:r>
      <w:r>
        <w:rPr>
          <w:rFonts w:ascii="Calibri"/>
          <w:i/>
          <w:sz w:val="20"/>
          <w:vertAlign w:val="baseline"/>
        </w:rPr>
        <w:t>Bolton</w:t>
      </w:r>
      <w:r>
        <w:rPr>
          <w:rFonts w:ascii="Calibri"/>
          <w:i/>
          <w:spacing w:val="-6"/>
          <w:sz w:val="20"/>
          <w:vertAlign w:val="baseline"/>
        </w:rPr>
        <w:t> </w:t>
      </w:r>
      <w:r>
        <w:rPr>
          <w:rFonts w:ascii="Calibri"/>
          <w:i/>
          <w:sz w:val="20"/>
          <w:vertAlign w:val="baseline"/>
        </w:rPr>
        <w:t>(Engineering)</w:t>
      </w:r>
      <w:r>
        <w:rPr>
          <w:rFonts w:ascii="Calibri"/>
          <w:i/>
          <w:spacing w:val="-6"/>
          <w:sz w:val="20"/>
          <w:vertAlign w:val="baseline"/>
        </w:rPr>
        <w:t> </w:t>
      </w:r>
      <w:r>
        <w:rPr>
          <w:rFonts w:ascii="Calibri"/>
          <w:i/>
          <w:sz w:val="20"/>
          <w:vertAlign w:val="baseline"/>
        </w:rPr>
        <w:t>Co.</w:t>
      </w:r>
      <w:r>
        <w:rPr>
          <w:rFonts w:ascii="Calibri"/>
          <w:i/>
          <w:spacing w:val="-6"/>
          <w:sz w:val="20"/>
          <w:vertAlign w:val="baseline"/>
        </w:rPr>
        <w:t> </w:t>
      </w:r>
      <w:r>
        <w:rPr>
          <w:rFonts w:ascii="Calibri"/>
          <w:i/>
          <w:sz w:val="20"/>
          <w:vertAlign w:val="baseline"/>
        </w:rPr>
        <w:t>Ltd.</w:t>
      </w:r>
      <w:r>
        <w:rPr>
          <w:rFonts w:ascii="Calibri"/>
          <w:i/>
          <w:spacing w:val="-5"/>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Graham</w:t>
      </w:r>
      <w:r>
        <w:rPr>
          <w:rFonts w:ascii="Calibri"/>
          <w:i/>
          <w:spacing w:val="-8"/>
          <w:sz w:val="20"/>
          <w:vertAlign w:val="baseline"/>
        </w:rPr>
        <w:t> </w:t>
      </w:r>
      <w:r>
        <w:rPr>
          <w:rFonts w:ascii="Calibri"/>
          <w:i/>
          <w:sz w:val="20"/>
          <w:vertAlign w:val="baseline"/>
        </w:rPr>
        <w:t>&amp;</w:t>
      </w:r>
      <w:r>
        <w:rPr>
          <w:rFonts w:ascii="Calibri"/>
          <w:i/>
          <w:spacing w:val="-2"/>
          <w:sz w:val="20"/>
          <w:vertAlign w:val="baseline"/>
        </w:rPr>
        <w:t> </w:t>
      </w:r>
      <w:r>
        <w:rPr>
          <w:rFonts w:ascii="Calibri"/>
          <w:i/>
          <w:sz w:val="20"/>
          <w:vertAlign w:val="baseline"/>
        </w:rPr>
        <w:t>Sons</w:t>
      </w:r>
      <w:r>
        <w:rPr>
          <w:rFonts w:ascii="Calibri"/>
          <w:i/>
          <w:spacing w:val="-3"/>
          <w:sz w:val="20"/>
          <w:vertAlign w:val="baseline"/>
        </w:rPr>
        <w:t> </w:t>
      </w:r>
      <w:r>
        <w:rPr>
          <w:rFonts w:ascii="Calibri"/>
          <w:sz w:val="20"/>
          <w:vertAlign w:val="baseline"/>
        </w:rPr>
        <w:t>(1957)</w:t>
      </w:r>
      <w:r>
        <w:rPr>
          <w:rFonts w:ascii="Calibri"/>
          <w:spacing w:val="-6"/>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QB</w:t>
      </w:r>
      <w:r>
        <w:rPr>
          <w:rFonts w:ascii="Calibri"/>
          <w:spacing w:val="-6"/>
          <w:sz w:val="20"/>
          <w:vertAlign w:val="baseline"/>
        </w:rPr>
        <w:t> </w:t>
      </w:r>
      <w:r>
        <w:rPr>
          <w:rFonts w:ascii="Calibri"/>
          <w:spacing w:val="-4"/>
          <w:sz w:val="20"/>
          <w:vertAlign w:val="baseline"/>
        </w:rPr>
        <w:t>159.</w:t>
      </w:r>
    </w:p>
    <w:p>
      <w:pPr>
        <w:spacing w:before="0"/>
        <w:ind w:left="308" w:right="0" w:firstLine="0"/>
        <w:jc w:val="left"/>
        <w:rPr>
          <w:rFonts w:ascii="Calibri" w:hAnsi="Calibri"/>
          <w:sz w:val="20"/>
        </w:rPr>
      </w:pPr>
      <w:r>
        <w:rPr>
          <w:rFonts w:ascii="Calibri" w:hAnsi="Calibri"/>
          <w:sz w:val="20"/>
          <w:vertAlign w:val="superscript"/>
        </w:rPr>
        <w:t>184</w:t>
      </w:r>
      <w:r>
        <w:rPr>
          <w:rFonts w:ascii="Calibri" w:hAnsi="Calibri"/>
          <w:sz w:val="20"/>
          <w:vertAlign w:val="baseline"/>
        </w:rPr>
        <w:t>Consider</w:t>
      </w:r>
      <w:r>
        <w:rPr>
          <w:rFonts w:ascii="Calibri" w:hAnsi="Calibri"/>
          <w:spacing w:val="-7"/>
          <w:sz w:val="20"/>
          <w:vertAlign w:val="baseline"/>
        </w:rPr>
        <w:t> </w:t>
      </w:r>
      <w:r>
        <w:rPr>
          <w:rFonts w:ascii="Calibri" w:hAnsi="Calibri"/>
          <w:sz w:val="20"/>
          <w:vertAlign w:val="baseline"/>
        </w:rPr>
        <w:t>Lord</w:t>
      </w:r>
      <w:r>
        <w:rPr>
          <w:rFonts w:ascii="Calibri" w:hAnsi="Calibri"/>
          <w:spacing w:val="-3"/>
          <w:sz w:val="20"/>
          <w:vertAlign w:val="baseline"/>
        </w:rPr>
        <w:t> </w:t>
      </w:r>
      <w:r>
        <w:rPr>
          <w:rFonts w:ascii="Calibri" w:hAnsi="Calibri"/>
          <w:sz w:val="20"/>
          <w:vertAlign w:val="baseline"/>
        </w:rPr>
        <w:t>Herschell’s</w:t>
      </w:r>
      <w:r>
        <w:rPr>
          <w:rFonts w:ascii="Calibri" w:hAnsi="Calibri"/>
          <w:spacing w:val="-10"/>
          <w:sz w:val="20"/>
          <w:vertAlign w:val="baseline"/>
        </w:rPr>
        <w:t> </w:t>
      </w:r>
      <w:r>
        <w:rPr>
          <w:rFonts w:ascii="Calibri" w:hAnsi="Calibri"/>
          <w:sz w:val="20"/>
          <w:vertAlign w:val="baseline"/>
        </w:rPr>
        <w:t>remark</w:t>
      </w:r>
      <w:r>
        <w:rPr>
          <w:rFonts w:ascii="Calibri" w:hAnsi="Calibri"/>
          <w:spacing w:val="-8"/>
          <w:sz w:val="20"/>
          <w:vertAlign w:val="baseline"/>
        </w:rPr>
        <w:t> </w:t>
      </w:r>
      <w:r>
        <w:rPr>
          <w:rFonts w:ascii="Calibri" w:hAnsi="Calibri"/>
          <w:sz w:val="20"/>
          <w:vertAlign w:val="baseline"/>
        </w:rPr>
        <w:t>in</w:t>
      </w:r>
      <w:r>
        <w:rPr>
          <w:rFonts w:ascii="Calibri" w:hAnsi="Calibri"/>
          <w:spacing w:val="-5"/>
          <w:sz w:val="20"/>
          <w:vertAlign w:val="baseline"/>
        </w:rPr>
        <w:t> </w:t>
      </w:r>
      <w:r>
        <w:rPr>
          <w:rFonts w:ascii="Calibri" w:hAnsi="Calibri"/>
          <w:i/>
          <w:sz w:val="20"/>
          <w:vertAlign w:val="baseline"/>
        </w:rPr>
        <w:t>Bray</w:t>
      </w:r>
      <w:r>
        <w:rPr>
          <w:rFonts w:ascii="Calibri" w:hAnsi="Calibri"/>
          <w:i/>
          <w:spacing w:val="-7"/>
          <w:sz w:val="20"/>
          <w:vertAlign w:val="baseline"/>
        </w:rPr>
        <w:t> </w:t>
      </w:r>
      <w:r>
        <w:rPr>
          <w:rFonts w:ascii="Calibri" w:hAnsi="Calibri"/>
          <w:i/>
          <w:sz w:val="20"/>
          <w:vertAlign w:val="baseline"/>
        </w:rPr>
        <w:t>vs.</w:t>
      </w:r>
      <w:r>
        <w:rPr>
          <w:rFonts w:ascii="Calibri" w:hAnsi="Calibri"/>
          <w:i/>
          <w:spacing w:val="-6"/>
          <w:sz w:val="20"/>
          <w:vertAlign w:val="baseline"/>
        </w:rPr>
        <w:t> </w:t>
      </w:r>
      <w:r>
        <w:rPr>
          <w:rFonts w:ascii="Calibri" w:hAnsi="Calibri"/>
          <w:i/>
          <w:sz w:val="20"/>
          <w:vertAlign w:val="baseline"/>
        </w:rPr>
        <w:t>Ford</w:t>
      </w:r>
      <w:r>
        <w:rPr>
          <w:rFonts w:ascii="Calibri" w:hAnsi="Calibri"/>
          <w:i/>
          <w:spacing w:val="-6"/>
          <w:sz w:val="20"/>
          <w:vertAlign w:val="baseline"/>
        </w:rPr>
        <w:t> </w:t>
      </w:r>
      <w:r>
        <w:rPr>
          <w:rFonts w:ascii="Calibri" w:hAnsi="Calibri"/>
          <w:sz w:val="20"/>
          <w:vertAlign w:val="baseline"/>
        </w:rPr>
        <w:t>(1896)</w:t>
      </w:r>
      <w:r>
        <w:rPr>
          <w:rFonts w:ascii="Calibri" w:hAnsi="Calibri"/>
          <w:spacing w:val="-2"/>
          <w:sz w:val="20"/>
          <w:vertAlign w:val="baseline"/>
        </w:rPr>
        <w:t> </w:t>
      </w:r>
      <w:r>
        <w:rPr>
          <w:rFonts w:ascii="Calibri" w:hAnsi="Calibri"/>
          <w:sz w:val="20"/>
          <w:vertAlign w:val="baseline"/>
        </w:rPr>
        <w:t>A.C.</w:t>
      </w:r>
      <w:r>
        <w:rPr>
          <w:rFonts w:ascii="Calibri" w:hAnsi="Calibri"/>
          <w:spacing w:val="-7"/>
          <w:sz w:val="20"/>
          <w:vertAlign w:val="baseline"/>
        </w:rPr>
        <w:t> </w:t>
      </w:r>
      <w:r>
        <w:rPr>
          <w:rFonts w:ascii="Calibri" w:hAnsi="Calibri"/>
          <w:sz w:val="20"/>
          <w:vertAlign w:val="baseline"/>
        </w:rPr>
        <w:t>44,</w:t>
      </w:r>
      <w:r>
        <w:rPr>
          <w:rFonts w:ascii="Calibri" w:hAnsi="Calibri"/>
          <w:spacing w:val="-5"/>
          <w:sz w:val="20"/>
          <w:vertAlign w:val="baseline"/>
        </w:rPr>
        <w:t> </w:t>
      </w:r>
      <w:r>
        <w:rPr>
          <w:rFonts w:ascii="Calibri" w:hAnsi="Calibri"/>
          <w:sz w:val="20"/>
          <w:vertAlign w:val="baseline"/>
        </w:rPr>
        <w:t>HL,</w:t>
      </w:r>
      <w:r>
        <w:rPr>
          <w:rFonts w:ascii="Calibri" w:hAnsi="Calibri"/>
          <w:spacing w:val="-5"/>
          <w:sz w:val="20"/>
          <w:vertAlign w:val="baseline"/>
        </w:rPr>
        <w:t> </w:t>
      </w:r>
      <w:r>
        <w:rPr>
          <w:rFonts w:ascii="Calibri" w:hAnsi="Calibri"/>
          <w:sz w:val="20"/>
          <w:vertAlign w:val="baseline"/>
        </w:rPr>
        <w:t>51-52,</w:t>
      </w:r>
      <w:r>
        <w:rPr>
          <w:rFonts w:ascii="Calibri" w:hAnsi="Calibri"/>
          <w:spacing w:val="-6"/>
          <w:sz w:val="20"/>
          <w:vertAlign w:val="baseline"/>
        </w:rPr>
        <w:t> </w:t>
      </w:r>
      <w:r>
        <w:rPr>
          <w:rFonts w:ascii="Calibri" w:hAnsi="Calibri"/>
          <w:sz w:val="20"/>
          <w:vertAlign w:val="baseline"/>
        </w:rPr>
        <w:t>quoted</w:t>
      </w:r>
      <w:r>
        <w:rPr>
          <w:rFonts w:ascii="Calibri" w:hAnsi="Calibri"/>
          <w:spacing w:val="-7"/>
          <w:sz w:val="20"/>
          <w:vertAlign w:val="baseline"/>
        </w:rPr>
        <w:t> </w:t>
      </w:r>
      <w:r>
        <w:rPr>
          <w:rFonts w:ascii="Calibri" w:hAnsi="Calibri"/>
          <w:spacing w:val="-2"/>
          <w:sz w:val="20"/>
          <w:vertAlign w:val="baseline"/>
        </w:rPr>
        <w:t>infra.</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227" w:firstLine="720"/>
        <w:jc w:val="both"/>
      </w:pPr>
      <w:r>
        <w:rPr/>
        <w:t>The rule that the fiduciary must avoid conflicts of interest generally has two consequences in equity.</w:t>
      </w:r>
      <w:r>
        <w:rPr>
          <w:vertAlign w:val="superscript"/>
        </w:rPr>
        <w:t>185</w:t>
      </w:r>
      <w:r>
        <w:rPr>
          <w:vertAlign w:val="baseline"/>
        </w:rPr>
        <w:t>In the first place, the fiduciary must prevent any possibility that there has been a conflict of interest.</w:t>
      </w:r>
      <w:r>
        <w:rPr>
          <w:vertAlign w:val="superscript"/>
        </w:rPr>
        <w:t>186</w:t>
      </w:r>
      <w:r>
        <w:rPr>
          <w:vertAlign w:val="baseline"/>
        </w:rPr>
        <w:t>Secondly, the fiduciary will also be required to account for—or disgorge—any unauthorised profit acquired as a result of a conflict</w:t>
      </w:r>
      <w:r>
        <w:rPr>
          <w:spacing w:val="40"/>
          <w:vertAlign w:val="baseline"/>
        </w:rPr>
        <w:t> </w:t>
      </w:r>
      <w:r>
        <w:rPr>
          <w:vertAlign w:val="baseline"/>
        </w:rPr>
        <w:t>of interest.</w:t>
      </w:r>
      <w:r>
        <w:rPr>
          <w:vertAlign w:val="superscript"/>
        </w:rPr>
        <w:t>187</w:t>
      </w:r>
      <w:r>
        <w:rPr>
          <w:vertAlign w:val="baseline"/>
        </w:rPr>
        <w:t>These equitable principles are sometimes broadly referred to as the ‗no- conflict/no-profit rule‘ and include rules as to disclosure regarding self-dealing transactions</w:t>
      </w:r>
      <w:r>
        <w:rPr>
          <w:vertAlign w:val="superscript"/>
        </w:rPr>
        <w:t>188</w:t>
      </w:r>
      <w:r>
        <w:rPr>
          <w:vertAlign w:val="baseline"/>
        </w:rPr>
        <w:t> as well as prohibition of bribes and other secret profit.</w:t>
      </w:r>
      <w:r>
        <w:rPr>
          <w:vertAlign w:val="superscript"/>
        </w:rPr>
        <w:t>189</w:t>
      </w:r>
    </w:p>
    <w:p>
      <w:pPr>
        <w:pStyle w:val="BodyText"/>
        <w:spacing w:line="480" w:lineRule="auto" w:before="1"/>
        <w:ind w:right="223" w:firstLine="720"/>
        <w:jc w:val="both"/>
      </w:pPr>
      <w:r>
        <w:rPr/>
        <w:t>The earliest decision of the House of Lords reported on the point of conflicts between the interests of fiduciaries and their duties to their beneficiaries, is </w:t>
      </w:r>
      <w:r>
        <w:rPr>
          <w:b/>
        </w:rPr>
        <w:t>Keech vs. Sandford</w:t>
      </w:r>
      <w:r>
        <w:rPr/>
        <w:t>,</w:t>
      </w:r>
      <w:r>
        <w:rPr>
          <w:vertAlign w:val="superscript"/>
        </w:rPr>
        <w:t>190</w:t>
      </w:r>
      <w:r>
        <w:rPr>
          <w:vertAlign w:val="baseline"/>
        </w:rPr>
        <w:t> which held that a fiduciary may not take unauthorized profits from his office.The courts have sinceconsidered this core principle of equity</w:t>
      </w:r>
      <w:r>
        <w:rPr>
          <w:vertAlign w:val="superscript"/>
        </w:rPr>
        <w:t>191</w:t>
      </w:r>
      <w:r>
        <w:rPr>
          <w:vertAlign w:val="baseline"/>
        </w:rPr>
        <w:t>and pillar of fiduciary law</w:t>
      </w:r>
      <w:r>
        <w:rPr>
          <w:vertAlign w:val="superscript"/>
        </w:rPr>
        <w:t>192</w:t>
      </w:r>
      <w:r>
        <w:rPr>
          <w:vertAlign w:val="baseline"/>
        </w:rPr>
        <w:t>as also extending to the company director so that he is under strict obligation to avoid any conflict situations arising between his fiduciary duties to the company and his own personal interests. This may manifest where, for example, the director of</w:t>
      </w:r>
      <w:r>
        <w:rPr>
          <w:spacing w:val="-2"/>
          <w:vertAlign w:val="baseline"/>
        </w:rPr>
        <w:t> </w:t>
      </w:r>
      <w:r>
        <w:rPr>
          <w:vertAlign w:val="baseline"/>
        </w:rPr>
        <w:t>Company A becomes a majority</w:t>
      </w:r>
      <w:r>
        <w:rPr>
          <w:spacing w:val="-4"/>
          <w:vertAlign w:val="baseline"/>
        </w:rPr>
        <w:t> </w:t>
      </w:r>
      <w:r>
        <w:rPr>
          <w:vertAlign w:val="baseline"/>
        </w:rPr>
        <w:t>shareholder in Company B and Company B happens to be a supplier to Company A, or the director of Company A personally decides to bid for the same contract for which Company A is also bidding. Where a situation of multiple directorships arises, the rule becomes clearer, especially where the companies are engaged in the same</w:t>
      </w:r>
      <w:r>
        <w:rPr>
          <w:spacing w:val="17"/>
          <w:vertAlign w:val="baseline"/>
        </w:rPr>
        <w:t> </w:t>
      </w:r>
      <w:r>
        <w:rPr>
          <w:vertAlign w:val="baseline"/>
        </w:rPr>
        <w:t>line of business. Here, the director who happens to</w:t>
      </w:r>
    </w:p>
    <w:p>
      <w:pPr>
        <w:pStyle w:val="BodyText"/>
        <w:spacing w:line="20" w:lineRule="exact"/>
        <w:rPr>
          <w:sz w:val="2"/>
        </w:rPr>
      </w:pPr>
      <w:r>
        <w:rPr>
          <w:sz w:val="2"/>
        </w:rPr>
        <mc:AlternateContent>
          <mc:Choice Requires="wps">
            <w:drawing>
              <wp:inline distT="0" distB="0" distL="0" distR="0">
                <wp:extent cx="1829435" cy="9525"/>
                <wp:effectExtent l="0" t="0" r="0" b="0"/>
                <wp:docPr id="229" name="Group 229"/>
                <wp:cNvGraphicFramePr>
                  <a:graphicFrameLocks/>
                </wp:cNvGraphicFramePr>
                <a:graphic>
                  <a:graphicData uri="http://schemas.microsoft.com/office/word/2010/wordprocessingGroup">
                    <wpg:wgp>
                      <wpg:cNvPr id="229" name="Group 229"/>
                      <wpg:cNvGrpSpPr/>
                      <wpg:grpSpPr>
                        <a:xfrm>
                          <a:off x="0" y="0"/>
                          <a:ext cx="1829435" cy="9525"/>
                          <a:chExt cx="1829435" cy="9525"/>
                        </a:xfrm>
                      </wpg:grpSpPr>
                      <wps:wsp>
                        <wps:cNvPr id="230" name="Graphic 23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184" coordorigin="0,0" coordsize="2881,15">
                <v:rect style="position:absolute;left:0;top:0;width:2881;height:15" id="docshape185" filled="true" fillcolor="#000000" stroked="false">
                  <v:fill type="solid"/>
                </v:rect>
              </v:group>
            </w:pict>
          </mc:Fallback>
        </mc:AlternateContent>
      </w:r>
      <w:r>
        <w:rPr>
          <w:sz w:val="2"/>
        </w:rPr>
      </w:r>
    </w:p>
    <w:p>
      <w:pPr>
        <w:spacing w:before="83"/>
        <w:ind w:left="308" w:right="0" w:firstLine="0"/>
        <w:jc w:val="left"/>
        <w:rPr>
          <w:rFonts w:ascii="Calibri"/>
          <w:sz w:val="20"/>
        </w:rPr>
      </w:pPr>
      <w:r>
        <w:rPr>
          <w:rFonts w:ascii="Calibri"/>
          <w:sz w:val="20"/>
          <w:vertAlign w:val="superscript"/>
        </w:rPr>
        <w:t>185</w:t>
      </w:r>
      <w:r>
        <w:rPr>
          <w:rFonts w:ascii="Calibri"/>
          <w:spacing w:val="-2"/>
          <w:sz w:val="20"/>
          <w:vertAlign w:val="baseline"/>
        </w:rPr>
        <w:t> </w:t>
      </w:r>
      <w:r>
        <w:rPr>
          <w:rFonts w:ascii="Calibri"/>
          <w:sz w:val="20"/>
          <w:vertAlign w:val="baseline"/>
        </w:rPr>
        <w:t>Hudson,</w:t>
      </w:r>
      <w:r>
        <w:rPr>
          <w:rFonts w:ascii="Calibri"/>
          <w:spacing w:val="-4"/>
          <w:sz w:val="20"/>
          <w:vertAlign w:val="baseline"/>
        </w:rPr>
        <w:t> </w:t>
      </w:r>
      <w:r>
        <w:rPr>
          <w:rFonts w:ascii="Calibri"/>
          <w:sz w:val="20"/>
          <w:vertAlign w:val="baseline"/>
        </w:rPr>
        <w:t>A.</w:t>
      </w:r>
      <w:r>
        <w:rPr>
          <w:rFonts w:ascii="Calibri"/>
          <w:spacing w:val="-6"/>
          <w:sz w:val="20"/>
          <w:vertAlign w:val="baseline"/>
        </w:rPr>
        <w:t> </w:t>
      </w:r>
      <w:r>
        <w:rPr>
          <w:rFonts w:ascii="Calibri"/>
          <w:sz w:val="20"/>
          <w:vertAlign w:val="baseline"/>
        </w:rPr>
        <w:t>op.cit.,</w:t>
      </w:r>
      <w:r>
        <w:rPr>
          <w:rFonts w:ascii="Calibri"/>
          <w:spacing w:val="-4"/>
          <w:sz w:val="20"/>
          <w:vertAlign w:val="baseline"/>
        </w:rPr>
        <w:t> </w:t>
      </w:r>
      <w:r>
        <w:rPr>
          <w:rFonts w:ascii="Calibri"/>
          <w:sz w:val="20"/>
          <w:vertAlign w:val="baseline"/>
        </w:rPr>
        <w:t>p.</w:t>
      </w:r>
      <w:r>
        <w:rPr>
          <w:rFonts w:ascii="Calibri"/>
          <w:spacing w:val="-1"/>
          <w:sz w:val="20"/>
          <w:vertAlign w:val="baseline"/>
        </w:rPr>
        <w:t> </w:t>
      </w:r>
      <w:r>
        <w:rPr>
          <w:rFonts w:ascii="Calibri"/>
          <w:spacing w:val="-5"/>
          <w:sz w:val="20"/>
          <w:vertAlign w:val="baseline"/>
        </w:rPr>
        <w:t>25.</w:t>
      </w:r>
    </w:p>
    <w:p>
      <w:pPr>
        <w:spacing w:before="1"/>
        <w:ind w:left="308" w:right="0" w:firstLine="0"/>
        <w:jc w:val="left"/>
        <w:rPr>
          <w:rFonts w:ascii="Calibri"/>
          <w:i/>
          <w:sz w:val="20"/>
        </w:rPr>
      </w:pPr>
      <w:r>
        <w:rPr>
          <w:rFonts w:ascii="Calibri"/>
          <w:sz w:val="20"/>
          <w:vertAlign w:val="superscript"/>
        </w:rPr>
        <w:t>186</w:t>
      </w:r>
      <w:r>
        <w:rPr>
          <w:rFonts w:ascii="Calibri"/>
          <w:spacing w:val="9"/>
          <w:sz w:val="20"/>
          <w:vertAlign w:val="baseline"/>
        </w:rPr>
        <w:t> </w:t>
      </w:r>
      <w:r>
        <w:rPr>
          <w:rFonts w:ascii="Calibri"/>
          <w:sz w:val="20"/>
          <w:vertAlign w:val="baseline"/>
        </w:rPr>
        <w:t>See</w:t>
      </w:r>
      <w:r>
        <w:rPr>
          <w:rFonts w:ascii="Calibri"/>
          <w:spacing w:val="8"/>
          <w:sz w:val="20"/>
          <w:vertAlign w:val="baseline"/>
        </w:rPr>
        <w:t> </w:t>
      </w:r>
      <w:r>
        <w:rPr>
          <w:rFonts w:ascii="Calibri"/>
          <w:sz w:val="20"/>
          <w:vertAlign w:val="baseline"/>
        </w:rPr>
        <w:t>their</w:t>
      </w:r>
      <w:r>
        <w:rPr>
          <w:rFonts w:ascii="Calibri"/>
          <w:spacing w:val="9"/>
          <w:sz w:val="20"/>
          <w:vertAlign w:val="baseline"/>
        </w:rPr>
        <w:t> </w:t>
      </w:r>
      <w:r>
        <w:rPr>
          <w:rFonts w:ascii="Calibri"/>
          <w:sz w:val="20"/>
          <w:vertAlign w:val="baseline"/>
        </w:rPr>
        <w:t>Lordships</w:t>
      </w:r>
      <w:r>
        <w:rPr>
          <w:rFonts w:ascii="Calibri"/>
          <w:spacing w:val="7"/>
          <w:sz w:val="20"/>
          <w:vertAlign w:val="baseline"/>
        </w:rPr>
        <w:t> </w:t>
      </w:r>
      <w:r>
        <w:rPr>
          <w:rFonts w:ascii="Calibri"/>
          <w:sz w:val="20"/>
          <w:vertAlign w:val="baseline"/>
        </w:rPr>
        <w:t>of</w:t>
      </w:r>
      <w:r>
        <w:rPr>
          <w:rFonts w:ascii="Calibri"/>
          <w:spacing w:val="9"/>
          <w:sz w:val="20"/>
          <w:vertAlign w:val="baseline"/>
        </w:rPr>
        <w:t> </w:t>
      </w:r>
      <w:r>
        <w:rPr>
          <w:rFonts w:ascii="Calibri"/>
          <w:sz w:val="20"/>
          <w:vertAlign w:val="baseline"/>
        </w:rPr>
        <w:t>the</w:t>
      </w:r>
      <w:r>
        <w:rPr>
          <w:rFonts w:ascii="Calibri"/>
          <w:spacing w:val="9"/>
          <w:sz w:val="20"/>
          <w:vertAlign w:val="baseline"/>
        </w:rPr>
        <w:t> </w:t>
      </w:r>
      <w:r>
        <w:rPr>
          <w:rFonts w:ascii="Calibri"/>
          <w:sz w:val="20"/>
          <w:vertAlign w:val="baseline"/>
        </w:rPr>
        <w:t>House</w:t>
      </w:r>
      <w:r>
        <w:rPr>
          <w:rFonts w:ascii="Calibri"/>
          <w:spacing w:val="8"/>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Lords</w:t>
      </w:r>
      <w:r>
        <w:rPr>
          <w:rFonts w:ascii="Calibri"/>
          <w:spacing w:val="6"/>
          <w:sz w:val="20"/>
          <w:vertAlign w:val="baseline"/>
        </w:rPr>
        <w:t> </w:t>
      </w:r>
      <w:r>
        <w:rPr>
          <w:rFonts w:ascii="Calibri"/>
          <w:sz w:val="20"/>
          <w:vertAlign w:val="baseline"/>
        </w:rPr>
        <w:t>dicta</w:t>
      </w:r>
      <w:r>
        <w:rPr>
          <w:rFonts w:ascii="Calibri"/>
          <w:spacing w:val="8"/>
          <w:sz w:val="20"/>
          <w:vertAlign w:val="baseline"/>
        </w:rPr>
        <w:t> </w:t>
      </w:r>
      <w:r>
        <w:rPr>
          <w:rFonts w:ascii="Calibri"/>
          <w:sz w:val="20"/>
          <w:vertAlign w:val="baseline"/>
        </w:rPr>
        <w:t>on</w:t>
      </w:r>
      <w:r>
        <w:rPr>
          <w:rFonts w:ascii="Calibri"/>
          <w:spacing w:val="7"/>
          <w:sz w:val="20"/>
          <w:vertAlign w:val="baseline"/>
        </w:rPr>
        <w:t> </w:t>
      </w:r>
      <w:r>
        <w:rPr>
          <w:rFonts w:ascii="Calibri"/>
          <w:sz w:val="20"/>
          <w:vertAlign w:val="baseline"/>
        </w:rPr>
        <w:t>the</w:t>
      </w:r>
      <w:r>
        <w:rPr>
          <w:rFonts w:ascii="Calibri"/>
          <w:spacing w:val="8"/>
          <w:sz w:val="20"/>
          <w:vertAlign w:val="baseline"/>
        </w:rPr>
        <w:t> </w:t>
      </w:r>
      <w:r>
        <w:rPr>
          <w:rFonts w:ascii="Calibri"/>
          <w:sz w:val="20"/>
          <w:vertAlign w:val="baseline"/>
        </w:rPr>
        <w:t>point</w:t>
      </w:r>
      <w:r>
        <w:rPr>
          <w:rFonts w:ascii="Calibri"/>
          <w:spacing w:val="8"/>
          <w:sz w:val="20"/>
          <w:vertAlign w:val="baseline"/>
        </w:rPr>
        <w:t> </w:t>
      </w:r>
      <w:r>
        <w:rPr>
          <w:rFonts w:ascii="Calibri"/>
          <w:sz w:val="20"/>
          <w:vertAlign w:val="baseline"/>
        </w:rPr>
        <w:t>in</w:t>
      </w:r>
      <w:r>
        <w:rPr>
          <w:rFonts w:ascii="Calibri"/>
          <w:spacing w:val="12"/>
          <w:sz w:val="20"/>
          <w:vertAlign w:val="baseline"/>
        </w:rPr>
        <w:t> </w:t>
      </w:r>
      <w:r>
        <w:rPr>
          <w:rFonts w:ascii="Calibri"/>
          <w:i/>
          <w:sz w:val="20"/>
          <w:vertAlign w:val="baseline"/>
        </w:rPr>
        <w:t>Aberdeen</w:t>
      </w:r>
      <w:r>
        <w:rPr>
          <w:rFonts w:ascii="Calibri"/>
          <w:i/>
          <w:spacing w:val="5"/>
          <w:sz w:val="20"/>
          <w:vertAlign w:val="baseline"/>
        </w:rPr>
        <w:t> </w:t>
      </w:r>
      <w:r>
        <w:rPr>
          <w:rFonts w:ascii="Calibri"/>
          <w:i/>
          <w:sz w:val="20"/>
          <w:vertAlign w:val="baseline"/>
        </w:rPr>
        <w:t>Railway</w:t>
      </w:r>
      <w:r>
        <w:rPr>
          <w:rFonts w:ascii="Calibri"/>
          <w:i/>
          <w:spacing w:val="5"/>
          <w:sz w:val="20"/>
          <w:vertAlign w:val="baseline"/>
        </w:rPr>
        <w:t> </w:t>
      </w:r>
      <w:r>
        <w:rPr>
          <w:rFonts w:ascii="Calibri"/>
          <w:i/>
          <w:sz w:val="20"/>
          <w:vertAlign w:val="baseline"/>
        </w:rPr>
        <w:t>Co</w:t>
      </w:r>
      <w:r>
        <w:rPr>
          <w:rFonts w:ascii="Calibri"/>
          <w:i/>
          <w:spacing w:val="6"/>
          <w:sz w:val="20"/>
          <w:vertAlign w:val="baseline"/>
        </w:rPr>
        <w:t> </w:t>
      </w:r>
      <w:r>
        <w:rPr>
          <w:rFonts w:ascii="Calibri"/>
          <w:i/>
          <w:sz w:val="20"/>
          <w:vertAlign w:val="baseline"/>
        </w:rPr>
        <w:t>vs.</w:t>
      </w:r>
      <w:r>
        <w:rPr>
          <w:rFonts w:ascii="Calibri"/>
          <w:i/>
          <w:spacing w:val="9"/>
          <w:sz w:val="20"/>
          <w:vertAlign w:val="baseline"/>
        </w:rPr>
        <w:t> </w:t>
      </w:r>
      <w:r>
        <w:rPr>
          <w:rFonts w:ascii="Calibri"/>
          <w:i/>
          <w:sz w:val="20"/>
          <w:vertAlign w:val="baseline"/>
        </w:rPr>
        <w:t>Blaikie</w:t>
      </w:r>
      <w:r>
        <w:rPr>
          <w:rFonts w:ascii="Calibri"/>
          <w:i/>
          <w:spacing w:val="4"/>
          <w:sz w:val="20"/>
          <w:vertAlign w:val="baseline"/>
        </w:rPr>
        <w:t> </w:t>
      </w:r>
      <w:r>
        <w:rPr>
          <w:rFonts w:ascii="Calibri"/>
          <w:i/>
          <w:spacing w:val="-4"/>
          <w:sz w:val="20"/>
          <w:vertAlign w:val="baseline"/>
        </w:rPr>
        <w:t>Bros</w:t>
      </w:r>
    </w:p>
    <w:p>
      <w:pPr>
        <w:spacing w:before="1"/>
        <w:ind w:left="308" w:right="0" w:firstLine="0"/>
        <w:jc w:val="left"/>
        <w:rPr>
          <w:rFonts w:ascii="Calibri"/>
          <w:sz w:val="20"/>
        </w:rPr>
      </w:pPr>
      <w:r>
        <w:rPr>
          <w:rFonts w:ascii="Calibri"/>
          <w:sz w:val="20"/>
        </w:rPr>
        <w:t>(1854)</w:t>
      </w:r>
      <w:r>
        <w:rPr>
          <w:rFonts w:ascii="Calibri"/>
          <w:spacing w:val="1"/>
          <w:sz w:val="20"/>
        </w:rPr>
        <w:t> </w:t>
      </w:r>
      <w:r>
        <w:rPr>
          <w:rFonts w:ascii="Calibri"/>
          <w:sz w:val="20"/>
        </w:rPr>
        <w:t>1</w:t>
      </w:r>
      <w:r>
        <w:rPr>
          <w:rFonts w:ascii="Calibri"/>
          <w:spacing w:val="1"/>
          <w:sz w:val="20"/>
        </w:rPr>
        <w:t> </w:t>
      </w:r>
      <w:r>
        <w:rPr>
          <w:rFonts w:ascii="Calibri"/>
          <w:sz w:val="20"/>
        </w:rPr>
        <w:t>Macq</w:t>
      </w:r>
      <w:r>
        <w:rPr>
          <w:rFonts w:ascii="Calibri"/>
          <w:spacing w:val="2"/>
          <w:sz w:val="20"/>
        </w:rPr>
        <w:t> </w:t>
      </w:r>
      <w:r>
        <w:rPr>
          <w:rFonts w:ascii="Calibri"/>
          <w:sz w:val="20"/>
        </w:rPr>
        <w:t>461,</w:t>
      </w:r>
      <w:r>
        <w:rPr>
          <w:rFonts w:ascii="Calibri"/>
          <w:spacing w:val="1"/>
          <w:sz w:val="20"/>
        </w:rPr>
        <w:t> </w:t>
      </w:r>
      <w:r>
        <w:rPr>
          <w:rFonts w:ascii="Calibri"/>
          <w:sz w:val="20"/>
        </w:rPr>
        <w:t>471, [1843-60]</w:t>
      </w:r>
      <w:r>
        <w:rPr>
          <w:rFonts w:ascii="Calibri"/>
          <w:spacing w:val="2"/>
          <w:sz w:val="20"/>
        </w:rPr>
        <w:t> </w:t>
      </w:r>
      <w:r>
        <w:rPr>
          <w:rFonts w:ascii="Calibri"/>
          <w:sz w:val="20"/>
        </w:rPr>
        <w:t>All ER</w:t>
      </w:r>
      <w:r>
        <w:rPr>
          <w:rFonts w:ascii="Calibri"/>
          <w:spacing w:val="3"/>
          <w:sz w:val="20"/>
        </w:rPr>
        <w:t> </w:t>
      </w:r>
      <w:r>
        <w:rPr>
          <w:rFonts w:ascii="Calibri"/>
          <w:sz w:val="20"/>
        </w:rPr>
        <w:t>Rep</w:t>
      </w:r>
      <w:r>
        <w:rPr>
          <w:rFonts w:ascii="Calibri"/>
          <w:spacing w:val="2"/>
          <w:sz w:val="20"/>
        </w:rPr>
        <w:t> </w:t>
      </w:r>
      <w:r>
        <w:rPr>
          <w:rFonts w:ascii="Calibri"/>
          <w:sz w:val="20"/>
        </w:rPr>
        <w:t>249, 252,</w:t>
      </w:r>
      <w:r>
        <w:rPr>
          <w:rFonts w:ascii="Calibri"/>
          <w:spacing w:val="3"/>
          <w:sz w:val="20"/>
        </w:rPr>
        <w:t> </w:t>
      </w:r>
      <w:r>
        <w:rPr>
          <w:rFonts w:ascii="Calibri"/>
          <w:i/>
          <w:sz w:val="20"/>
        </w:rPr>
        <w:t>per</w:t>
      </w:r>
      <w:r>
        <w:rPr>
          <w:rFonts w:ascii="Calibri"/>
          <w:i/>
          <w:spacing w:val="-4"/>
          <w:sz w:val="20"/>
        </w:rPr>
        <w:t> </w:t>
      </w:r>
      <w:r>
        <w:rPr>
          <w:rFonts w:ascii="Calibri"/>
          <w:sz w:val="20"/>
        </w:rPr>
        <w:t>Lord</w:t>
      </w:r>
      <w:r>
        <w:rPr>
          <w:rFonts w:ascii="Calibri"/>
          <w:spacing w:val="3"/>
          <w:sz w:val="20"/>
        </w:rPr>
        <w:t> </w:t>
      </w:r>
      <w:r>
        <w:rPr>
          <w:rFonts w:ascii="Calibri"/>
          <w:sz w:val="20"/>
        </w:rPr>
        <w:t>Cranworth;</w:t>
      </w:r>
      <w:r>
        <w:rPr>
          <w:rFonts w:ascii="Calibri"/>
          <w:spacing w:val="2"/>
          <w:sz w:val="20"/>
        </w:rPr>
        <w:t> </w:t>
      </w:r>
      <w:r>
        <w:rPr>
          <w:rFonts w:ascii="Calibri"/>
          <w:i/>
          <w:sz w:val="20"/>
        </w:rPr>
        <w:t>Bray</w:t>
      </w:r>
      <w:r>
        <w:rPr>
          <w:rFonts w:ascii="Calibri"/>
          <w:i/>
          <w:spacing w:val="-1"/>
          <w:sz w:val="20"/>
        </w:rPr>
        <w:t> </w:t>
      </w:r>
      <w:r>
        <w:rPr>
          <w:rFonts w:ascii="Calibri"/>
          <w:i/>
          <w:sz w:val="20"/>
        </w:rPr>
        <w:t>vs.</w:t>
      </w:r>
      <w:r>
        <w:rPr>
          <w:rFonts w:ascii="Calibri"/>
          <w:i/>
          <w:spacing w:val="4"/>
          <w:sz w:val="20"/>
        </w:rPr>
        <w:t> </w:t>
      </w:r>
      <w:r>
        <w:rPr>
          <w:rFonts w:ascii="Calibri"/>
          <w:i/>
          <w:sz w:val="20"/>
        </w:rPr>
        <w:t>Ford</w:t>
      </w:r>
      <w:r>
        <w:rPr>
          <w:rFonts w:ascii="Calibri"/>
          <w:i/>
          <w:spacing w:val="1"/>
          <w:sz w:val="20"/>
        </w:rPr>
        <w:t> </w:t>
      </w:r>
      <w:r>
        <w:rPr>
          <w:rFonts w:ascii="Calibri"/>
          <w:sz w:val="20"/>
        </w:rPr>
        <w:t>[1896]</w:t>
      </w:r>
      <w:r>
        <w:rPr>
          <w:rFonts w:ascii="Calibri"/>
          <w:spacing w:val="2"/>
          <w:sz w:val="20"/>
        </w:rPr>
        <w:t> </w:t>
      </w:r>
      <w:r>
        <w:rPr>
          <w:rFonts w:ascii="Calibri"/>
          <w:sz w:val="20"/>
        </w:rPr>
        <w:t>AC</w:t>
      </w:r>
      <w:r>
        <w:rPr>
          <w:rFonts w:ascii="Calibri"/>
          <w:spacing w:val="1"/>
          <w:sz w:val="20"/>
        </w:rPr>
        <w:t> </w:t>
      </w:r>
      <w:r>
        <w:rPr>
          <w:rFonts w:ascii="Calibri"/>
          <w:spacing w:val="-5"/>
          <w:sz w:val="20"/>
        </w:rPr>
        <w:t>44,</w:t>
      </w:r>
    </w:p>
    <w:p>
      <w:pPr>
        <w:spacing w:before="1"/>
        <w:ind w:left="308" w:right="0" w:firstLine="0"/>
        <w:jc w:val="left"/>
        <w:rPr>
          <w:rFonts w:ascii="Calibri"/>
          <w:sz w:val="20"/>
        </w:rPr>
      </w:pPr>
      <w:r>
        <w:rPr>
          <w:rFonts w:ascii="Calibri"/>
          <w:sz w:val="20"/>
        </w:rPr>
        <w:t>at</w:t>
      </w:r>
      <w:r>
        <w:rPr>
          <w:rFonts w:ascii="Calibri"/>
          <w:spacing w:val="21"/>
          <w:sz w:val="20"/>
        </w:rPr>
        <w:t> </w:t>
      </w:r>
      <w:r>
        <w:rPr>
          <w:rFonts w:ascii="Calibri"/>
          <w:sz w:val="20"/>
        </w:rPr>
        <w:t>51;</w:t>
      </w:r>
      <w:r>
        <w:rPr>
          <w:rFonts w:ascii="Calibri"/>
          <w:spacing w:val="22"/>
          <w:sz w:val="20"/>
        </w:rPr>
        <w:t> </w:t>
      </w:r>
      <w:r>
        <w:rPr>
          <w:rFonts w:ascii="Calibri"/>
          <w:sz w:val="20"/>
        </w:rPr>
        <w:t>[1895-99]</w:t>
      </w:r>
      <w:r>
        <w:rPr>
          <w:rFonts w:ascii="Calibri"/>
          <w:spacing w:val="24"/>
          <w:sz w:val="20"/>
        </w:rPr>
        <w:t> </w:t>
      </w:r>
      <w:r>
        <w:rPr>
          <w:rFonts w:ascii="Calibri"/>
          <w:sz w:val="20"/>
        </w:rPr>
        <w:t>All</w:t>
      </w:r>
      <w:r>
        <w:rPr>
          <w:rFonts w:ascii="Calibri"/>
          <w:spacing w:val="20"/>
          <w:sz w:val="20"/>
        </w:rPr>
        <w:t> </w:t>
      </w:r>
      <w:r>
        <w:rPr>
          <w:rFonts w:ascii="Calibri"/>
          <w:sz w:val="20"/>
        </w:rPr>
        <w:t>ER</w:t>
      </w:r>
      <w:r>
        <w:rPr>
          <w:rFonts w:ascii="Calibri"/>
          <w:spacing w:val="23"/>
          <w:sz w:val="20"/>
        </w:rPr>
        <w:t> </w:t>
      </w:r>
      <w:r>
        <w:rPr>
          <w:rFonts w:ascii="Calibri"/>
          <w:sz w:val="20"/>
        </w:rPr>
        <w:t>Rep</w:t>
      </w:r>
      <w:r>
        <w:rPr>
          <w:rFonts w:ascii="Calibri"/>
          <w:spacing w:val="23"/>
          <w:sz w:val="20"/>
        </w:rPr>
        <w:t> </w:t>
      </w:r>
      <w:r>
        <w:rPr>
          <w:rFonts w:ascii="Calibri"/>
          <w:sz w:val="20"/>
        </w:rPr>
        <w:t>1009,</w:t>
      </w:r>
      <w:r>
        <w:rPr>
          <w:rFonts w:ascii="Calibri"/>
          <w:spacing w:val="21"/>
          <w:sz w:val="20"/>
        </w:rPr>
        <w:t> </w:t>
      </w:r>
      <w:r>
        <w:rPr>
          <w:rFonts w:ascii="Calibri"/>
          <w:sz w:val="20"/>
        </w:rPr>
        <w:t>at</w:t>
      </w:r>
      <w:r>
        <w:rPr>
          <w:rFonts w:ascii="Calibri"/>
          <w:spacing w:val="22"/>
          <w:sz w:val="20"/>
        </w:rPr>
        <w:t> </w:t>
      </w:r>
      <w:r>
        <w:rPr>
          <w:rFonts w:ascii="Calibri"/>
          <w:sz w:val="20"/>
        </w:rPr>
        <w:t>1011,</w:t>
      </w:r>
      <w:r>
        <w:rPr>
          <w:rFonts w:ascii="Calibri"/>
          <w:spacing w:val="23"/>
          <w:sz w:val="20"/>
        </w:rPr>
        <w:t> </w:t>
      </w:r>
      <w:r>
        <w:rPr>
          <w:rFonts w:ascii="Calibri"/>
          <w:i/>
          <w:sz w:val="20"/>
        </w:rPr>
        <w:t>per</w:t>
      </w:r>
      <w:r>
        <w:rPr>
          <w:rFonts w:ascii="Calibri"/>
          <w:i/>
          <w:spacing w:val="21"/>
          <w:sz w:val="20"/>
        </w:rPr>
        <w:t> </w:t>
      </w:r>
      <w:r>
        <w:rPr>
          <w:rFonts w:ascii="Calibri"/>
          <w:sz w:val="20"/>
        </w:rPr>
        <w:t>Lord</w:t>
      </w:r>
      <w:r>
        <w:rPr>
          <w:rFonts w:ascii="Calibri"/>
          <w:spacing w:val="23"/>
          <w:sz w:val="20"/>
        </w:rPr>
        <w:t> </w:t>
      </w:r>
      <w:r>
        <w:rPr>
          <w:rFonts w:ascii="Calibri"/>
          <w:sz w:val="20"/>
        </w:rPr>
        <w:t>Herschell;</w:t>
      </w:r>
      <w:r>
        <w:rPr>
          <w:rFonts w:ascii="Calibri"/>
          <w:spacing w:val="19"/>
          <w:sz w:val="20"/>
        </w:rPr>
        <w:t> </w:t>
      </w:r>
      <w:r>
        <w:rPr>
          <w:rFonts w:ascii="Calibri"/>
          <w:i/>
          <w:sz w:val="20"/>
        </w:rPr>
        <w:t>Regal</w:t>
      </w:r>
      <w:r>
        <w:rPr>
          <w:rFonts w:ascii="Calibri"/>
          <w:i/>
          <w:spacing w:val="20"/>
          <w:sz w:val="20"/>
        </w:rPr>
        <w:t> </w:t>
      </w:r>
      <w:r>
        <w:rPr>
          <w:rFonts w:ascii="Calibri"/>
          <w:i/>
          <w:sz w:val="20"/>
        </w:rPr>
        <w:t>vs.</w:t>
      </w:r>
      <w:r>
        <w:rPr>
          <w:rFonts w:ascii="Calibri"/>
          <w:i/>
          <w:spacing w:val="20"/>
          <w:sz w:val="20"/>
        </w:rPr>
        <w:t> </w:t>
      </w:r>
      <w:r>
        <w:rPr>
          <w:rFonts w:ascii="Calibri"/>
          <w:i/>
          <w:sz w:val="20"/>
        </w:rPr>
        <w:t>Gulliver</w:t>
      </w:r>
      <w:r>
        <w:rPr>
          <w:rFonts w:ascii="Calibri"/>
          <w:i/>
          <w:spacing w:val="23"/>
          <w:sz w:val="20"/>
        </w:rPr>
        <w:t> </w:t>
      </w:r>
      <w:r>
        <w:rPr>
          <w:rFonts w:ascii="Calibri"/>
          <w:sz w:val="20"/>
        </w:rPr>
        <w:t>[1942]</w:t>
      </w:r>
      <w:r>
        <w:rPr>
          <w:rFonts w:ascii="Calibri"/>
          <w:spacing w:val="24"/>
          <w:sz w:val="20"/>
        </w:rPr>
        <w:t> </w:t>
      </w:r>
      <w:r>
        <w:rPr>
          <w:rFonts w:ascii="Calibri"/>
          <w:sz w:val="20"/>
        </w:rPr>
        <w:t>1</w:t>
      </w:r>
      <w:r>
        <w:rPr>
          <w:rFonts w:ascii="Calibri"/>
          <w:spacing w:val="21"/>
          <w:sz w:val="20"/>
        </w:rPr>
        <w:t> </w:t>
      </w:r>
      <w:r>
        <w:rPr>
          <w:rFonts w:ascii="Calibri"/>
          <w:sz w:val="20"/>
        </w:rPr>
        <w:t>All</w:t>
      </w:r>
      <w:r>
        <w:rPr>
          <w:rFonts w:ascii="Calibri"/>
          <w:spacing w:val="20"/>
          <w:sz w:val="20"/>
        </w:rPr>
        <w:t> </w:t>
      </w:r>
      <w:r>
        <w:rPr>
          <w:rFonts w:ascii="Calibri"/>
          <w:sz w:val="20"/>
        </w:rPr>
        <w:t>ER</w:t>
      </w:r>
      <w:r>
        <w:rPr>
          <w:rFonts w:ascii="Calibri"/>
          <w:spacing w:val="24"/>
          <w:sz w:val="20"/>
        </w:rPr>
        <w:t> </w:t>
      </w:r>
      <w:r>
        <w:rPr>
          <w:rFonts w:ascii="Calibri"/>
          <w:spacing w:val="-4"/>
          <w:sz w:val="20"/>
        </w:rPr>
        <w:t>378;</w:t>
      </w:r>
    </w:p>
    <w:p>
      <w:pPr>
        <w:spacing w:before="0"/>
        <w:ind w:left="308" w:right="0" w:firstLine="0"/>
        <w:jc w:val="left"/>
        <w:rPr>
          <w:rFonts w:ascii="Calibri"/>
          <w:sz w:val="20"/>
        </w:rPr>
      </w:pPr>
      <w:r>
        <w:rPr>
          <w:rFonts w:ascii="Calibri"/>
          <w:i/>
          <w:sz w:val="20"/>
        </w:rPr>
        <w:t>Boardman</w:t>
      </w:r>
      <w:r>
        <w:rPr>
          <w:rFonts w:ascii="Calibri"/>
          <w:i/>
          <w:spacing w:val="-6"/>
          <w:sz w:val="20"/>
        </w:rPr>
        <w:t> </w:t>
      </w:r>
      <w:r>
        <w:rPr>
          <w:rFonts w:ascii="Calibri"/>
          <w:i/>
          <w:sz w:val="20"/>
        </w:rPr>
        <w:t>vs.</w:t>
      </w:r>
      <w:r>
        <w:rPr>
          <w:rFonts w:ascii="Calibri"/>
          <w:i/>
          <w:spacing w:val="-5"/>
          <w:sz w:val="20"/>
        </w:rPr>
        <w:t> </w:t>
      </w:r>
      <w:r>
        <w:rPr>
          <w:rFonts w:ascii="Calibri"/>
          <w:i/>
          <w:sz w:val="20"/>
        </w:rPr>
        <w:t>Phipps</w:t>
      </w:r>
      <w:r>
        <w:rPr>
          <w:rFonts w:ascii="Calibri"/>
          <w:i/>
          <w:spacing w:val="-1"/>
          <w:sz w:val="20"/>
        </w:rPr>
        <w:t> </w:t>
      </w:r>
      <w:r>
        <w:rPr>
          <w:rFonts w:ascii="Calibri"/>
          <w:sz w:val="20"/>
        </w:rPr>
        <w:t>[1967]</w:t>
      </w:r>
      <w:r>
        <w:rPr>
          <w:rFonts w:ascii="Calibri"/>
          <w:spacing w:val="-6"/>
          <w:sz w:val="20"/>
        </w:rPr>
        <w:t> </w:t>
      </w:r>
      <w:r>
        <w:rPr>
          <w:rFonts w:ascii="Calibri"/>
          <w:sz w:val="20"/>
        </w:rPr>
        <w:t>2</w:t>
      </w:r>
      <w:r>
        <w:rPr>
          <w:rFonts w:ascii="Calibri"/>
          <w:spacing w:val="-3"/>
          <w:sz w:val="20"/>
        </w:rPr>
        <w:t> </w:t>
      </w:r>
      <w:r>
        <w:rPr>
          <w:rFonts w:ascii="Calibri"/>
          <w:sz w:val="20"/>
        </w:rPr>
        <w:t>AC</w:t>
      </w:r>
      <w:r>
        <w:rPr>
          <w:rFonts w:ascii="Calibri"/>
          <w:spacing w:val="-5"/>
          <w:sz w:val="20"/>
        </w:rPr>
        <w:t> </w:t>
      </w:r>
      <w:r>
        <w:rPr>
          <w:rFonts w:ascii="Calibri"/>
          <w:sz w:val="20"/>
        </w:rPr>
        <w:t>47.</w:t>
      </w:r>
      <w:r>
        <w:rPr>
          <w:rFonts w:ascii="Calibri"/>
          <w:spacing w:val="-5"/>
          <w:sz w:val="20"/>
        </w:rPr>
        <w:t> </w:t>
      </w:r>
      <w:r>
        <w:rPr>
          <w:rFonts w:ascii="Calibri"/>
          <w:sz w:val="20"/>
        </w:rPr>
        <w:t>This</w:t>
      </w:r>
      <w:r>
        <w:rPr>
          <w:rFonts w:ascii="Calibri"/>
          <w:spacing w:val="-8"/>
          <w:sz w:val="20"/>
        </w:rPr>
        <w:t> </w:t>
      </w:r>
      <w:r>
        <w:rPr>
          <w:rFonts w:ascii="Calibri"/>
          <w:sz w:val="20"/>
        </w:rPr>
        <w:t>principle</w:t>
      </w:r>
      <w:r>
        <w:rPr>
          <w:rFonts w:ascii="Calibri"/>
          <w:spacing w:val="-6"/>
          <w:sz w:val="20"/>
        </w:rPr>
        <w:t> </w:t>
      </w:r>
      <w:r>
        <w:rPr>
          <w:rFonts w:ascii="Calibri"/>
          <w:sz w:val="20"/>
        </w:rPr>
        <w:t>is</w:t>
      </w:r>
      <w:r>
        <w:rPr>
          <w:rFonts w:ascii="Calibri"/>
          <w:spacing w:val="-9"/>
          <w:sz w:val="20"/>
        </w:rPr>
        <w:t> </w:t>
      </w:r>
      <w:r>
        <w:rPr>
          <w:rFonts w:ascii="Calibri"/>
          <w:sz w:val="20"/>
        </w:rPr>
        <w:t>now</w:t>
      </w:r>
      <w:r>
        <w:rPr>
          <w:rFonts w:ascii="Calibri"/>
          <w:spacing w:val="-7"/>
          <w:sz w:val="20"/>
        </w:rPr>
        <w:t> </w:t>
      </w:r>
      <w:r>
        <w:rPr>
          <w:rFonts w:ascii="Calibri"/>
          <w:sz w:val="20"/>
        </w:rPr>
        <w:t>codified</w:t>
      </w:r>
      <w:r>
        <w:rPr>
          <w:rFonts w:ascii="Calibri"/>
          <w:spacing w:val="-2"/>
          <w:sz w:val="20"/>
        </w:rPr>
        <w:t> </w:t>
      </w:r>
      <w:r>
        <w:rPr>
          <w:rFonts w:ascii="Calibri"/>
          <w:sz w:val="20"/>
        </w:rPr>
        <w:t>under</w:t>
      </w:r>
      <w:r>
        <w:rPr>
          <w:rFonts w:ascii="Calibri"/>
          <w:spacing w:val="-5"/>
          <w:sz w:val="20"/>
        </w:rPr>
        <w:t> </w:t>
      </w:r>
      <w:r>
        <w:rPr>
          <w:rFonts w:ascii="Calibri"/>
          <w:spacing w:val="-2"/>
          <w:sz w:val="20"/>
        </w:rPr>
        <w:t>s.175(1).</w:t>
      </w:r>
    </w:p>
    <w:p>
      <w:pPr>
        <w:spacing w:line="237" w:lineRule="auto" w:before="3"/>
        <w:ind w:left="308" w:right="226" w:firstLine="0"/>
        <w:jc w:val="both"/>
        <w:rPr>
          <w:rFonts w:ascii="Calibri"/>
          <w:sz w:val="20"/>
        </w:rPr>
      </w:pPr>
      <w:r>
        <w:rPr>
          <w:rFonts w:ascii="Calibri"/>
          <w:sz w:val="20"/>
          <w:vertAlign w:val="superscript"/>
        </w:rPr>
        <w:t>187</w:t>
      </w:r>
      <w:r>
        <w:rPr>
          <w:rFonts w:ascii="Calibri"/>
          <w:i/>
          <w:sz w:val="20"/>
          <w:vertAlign w:val="baseline"/>
        </w:rPr>
        <w:t>Regal vs. Gulliver </w:t>
      </w:r>
      <w:r>
        <w:rPr>
          <w:rFonts w:ascii="Calibri"/>
          <w:sz w:val="20"/>
          <w:vertAlign w:val="baseline"/>
        </w:rPr>
        <w:t>[1942] 1 All ER 378; </w:t>
      </w:r>
      <w:r>
        <w:rPr>
          <w:rFonts w:ascii="Calibri"/>
          <w:i/>
          <w:sz w:val="20"/>
          <w:vertAlign w:val="baseline"/>
        </w:rPr>
        <w:t>Boardman vs. Phipps </w:t>
      </w:r>
      <w:r>
        <w:rPr>
          <w:rFonts w:ascii="Calibri"/>
          <w:sz w:val="20"/>
          <w:vertAlign w:val="baseline"/>
        </w:rPr>
        <w:t>[1967] 2 AC 47; CMS Dolphin Ltd. vs. Simonet (2001) 2 BCLC 704; </w:t>
      </w:r>
      <w:r>
        <w:rPr>
          <w:rFonts w:ascii="Calibri"/>
          <w:i/>
          <w:sz w:val="20"/>
          <w:vertAlign w:val="baseline"/>
        </w:rPr>
        <w:t>Sinclair Investment Holdings SA vs. Versailles Trade Finance Ltd. </w:t>
      </w:r>
      <w:r>
        <w:rPr>
          <w:rFonts w:ascii="Calibri"/>
          <w:sz w:val="20"/>
          <w:vertAlign w:val="baseline"/>
        </w:rPr>
        <w:t>(N0.3) (2007) EWHC 915, 10 ITELR 58.</w:t>
      </w:r>
    </w:p>
    <w:p>
      <w:pPr>
        <w:spacing w:before="3"/>
        <w:ind w:left="308" w:right="0" w:firstLine="0"/>
        <w:jc w:val="left"/>
        <w:rPr>
          <w:rFonts w:ascii="Calibri"/>
          <w:sz w:val="20"/>
        </w:rPr>
      </w:pPr>
      <w:r>
        <w:rPr>
          <w:rFonts w:ascii="Calibri"/>
          <w:sz w:val="20"/>
          <w:vertAlign w:val="superscript"/>
        </w:rPr>
        <w:t>188</w:t>
      </w:r>
      <w:r>
        <w:rPr>
          <w:rFonts w:ascii="Calibri"/>
          <w:sz w:val="20"/>
          <w:vertAlign w:val="baseline"/>
        </w:rPr>
        <w:t>Expressly</w:t>
      </w:r>
      <w:r>
        <w:rPr>
          <w:rFonts w:ascii="Calibri"/>
          <w:spacing w:val="-7"/>
          <w:sz w:val="20"/>
          <w:vertAlign w:val="baseline"/>
        </w:rPr>
        <w:t> </w:t>
      </w:r>
      <w:r>
        <w:rPr>
          <w:rFonts w:ascii="Calibri"/>
          <w:sz w:val="20"/>
          <w:vertAlign w:val="baseline"/>
        </w:rPr>
        <w:t>excluded</w:t>
      </w:r>
      <w:r>
        <w:rPr>
          <w:rFonts w:ascii="Calibri"/>
          <w:spacing w:val="-6"/>
          <w:sz w:val="20"/>
          <w:vertAlign w:val="baseline"/>
        </w:rPr>
        <w:t> </w:t>
      </w:r>
      <w:r>
        <w:rPr>
          <w:rFonts w:ascii="Calibri"/>
          <w:sz w:val="20"/>
          <w:vertAlign w:val="baseline"/>
        </w:rPr>
        <w:t>from</w:t>
      </w:r>
      <w:r>
        <w:rPr>
          <w:rFonts w:ascii="Calibri"/>
          <w:spacing w:val="-1"/>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purview</w:t>
      </w:r>
      <w:r>
        <w:rPr>
          <w:rFonts w:ascii="Calibri"/>
          <w:spacing w:val="-7"/>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175</w:t>
      </w:r>
      <w:r>
        <w:rPr>
          <w:rFonts w:ascii="Calibri"/>
          <w:spacing w:val="-7"/>
          <w:sz w:val="20"/>
          <w:vertAlign w:val="baseline"/>
        </w:rPr>
        <w:t> </w:t>
      </w:r>
      <w:r>
        <w:rPr>
          <w:rFonts w:ascii="Calibri"/>
          <w:sz w:val="20"/>
          <w:vertAlign w:val="baseline"/>
        </w:rPr>
        <w:t>by</w:t>
      </w:r>
      <w:r>
        <w:rPr>
          <w:rFonts w:ascii="Calibri"/>
          <w:spacing w:val="-7"/>
          <w:sz w:val="20"/>
          <w:vertAlign w:val="baseline"/>
        </w:rPr>
        <w:t> </w:t>
      </w:r>
      <w:r>
        <w:rPr>
          <w:rFonts w:ascii="Calibri"/>
          <w:sz w:val="20"/>
          <w:vertAlign w:val="baseline"/>
        </w:rPr>
        <w:t>s. </w:t>
      </w:r>
      <w:r>
        <w:rPr>
          <w:rFonts w:ascii="Calibri"/>
          <w:spacing w:val="-2"/>
          <w:sz w:val="20"/>
          <w:vertAlign w:val="baseline"/>
        </w:rPr>
        <w:t>175(3).</w:t>
      </w:r>
    </w:p>
    <w:p>
      <w:pPr>
        <w:spacing w:before="1"/>
        <w:ind w:left="308" w:right="0" w:firstLine="0"/>
        <w:jc w:val="left"/>
        <w:rPr>
          <w:rFonts w:ascii="Calibri"/>
          <w:sz w:val="20"/>
        </w:rPr>
      </w:pPr>
      <w:r>
        <w:rPr>
          <w:rFonts w:ascii="Calibri"/>
          <w:sz w:val="20"/>
          <w:vertAlign w:val="superscript"/>
        </w:rPr>
        <w:t>189</w:t>
      </w:r>
      <w:r>
        <w:rPr>
          <w:rFonts w:ascii="Calibri"/>
          <w:spacing w:val="-4"/>
          <w:sz w:val="20"/>
          <w:vertAlign w:val="baseline"/>
        </w:rPr>
        <w:t> </w:t>
      </w:r>
      <w:r>
        <w:rPr>
          <w:rFonts w:ascii="Calibri"/>
          <w:sz w:val="20"/>
          <w:vertAlign w:val="baseline"/>
        </w:rPr>
        <w:t>All</w:t>
      </w:r>
      <w:r>
        <w:rPr>
          <w:rFonts w:ascii="Calibri"/>
          <w:spacing w:val="-8"/>
          <w:sz w:val="20"/>
          <w:vertAlign w:val="baseline"/>
        </w:rPr>
        <w:t> </w:t>
      </w:r>
      <w:r>
        <w:rPr>
          <w:rFonts w:ascii="Calibri"/>
          <w:sz w:val="20"/>
          <w:vertAlign w:val="baseline"/>
        </w:rPr>
        <w:t>discussed</w:t>
      </w:r>
      <w:r>
        <w:rPr>
          <w:rFonts w:ascii="Calibri"/>
          <w:spacing w:val="-5"/>
          <w:sz w:val="20"/>
          <w:vertAlign w:val="baseline"/>
        </w:rPr>
        <w:t> </w:t>
      </w:r>
      <w:r>
        <w:rPr>
          <w:rFonts w:ascii="Calibri"/>
          <w:sz w:val="20"/>
          <w:vertAlign w:val="baseline"/>
        </w:rPr>
        <w:t>separately</w:t>
      </w:r>
      <w:r>
        <w:rPr>
          <w:rFonts w:ascii="Calibri"/>
          <w:spacing w:val="-9"/>
          <w:sz w:val="20"/>
          <w:vertAlign w:val="baseline"/>
        </w:rPr>
        <w:t> </w:t>
      </w:r>
      <w:r>
        <w:rPr>
          <w:rFonts w:ascii="Calibri"/>
          <w:sz w:val="20"/>
          <w:vertAlign w:val="baseline"/>
        </w:rPr>
        <w:t>in</w:t>
      </w:r>
      <w:r>
        <w:rPr>
          <w:rFonts w:ascii="Calibri"/>
          <w:spacing w:val="-5"/>
          <w:sz w:val="20"/>
          <w:vertAlign w:val="baseline"/>
        </w:rPr>
        <w:t> </w:t>
      </w:r>
      <w:r>
        <w:rPr>
          <w:rFonts w:ascii="Calibri"/>
          <w:sz w:val="20"/>
          <w:vertAlign w:val="baseline"/>
        </w:rPr>
        <w:t>succeeding</w:t>
      </w:r>
      <w:r>
        <w:rPr>
          <w:rFonts w:ascii="Calibri"/>
          <w:spacing w:val="-4"/>
          <w:sz w:val="20"/>
          <w:vertAlign w:val="baseline"/>
        </w:rPr>
        <w:t> </w:t>
      </w:r>
      <w:r>
        <w:rPr>
          <w:rFonts w:ascii="Calibri"/>
          <w:sz w:val="20"/>
          <w:vertAlign w:val="baseline"/>
        </w:rPr>
        <w:t>sub-headings</w:t>
      </w:r>
      <w:r>
        <w:rPr>
          <w:rFonts w:ascii="Calibri"/>
          <w:spacing w:val="-7"/>
          <w:sz w:val="20"/>
          <w:vertAlign w:val="baseline"/>
        </w:rPr>
        <w:t> </w:t>
      </w:r>
      <w:r>
        <w:rPr>
          <w:rFonts w:ascii="Calibri"/>
          <w:sz w:val="20"/>
          <w:vertAlign w:val="baseline"/>
        </w:rPr>
        <w:t>in</w:t>
      </w:r>
      <w:r>
        <w:rPr>
          <w:rFonts w:ascii="Calibri"/>
          <w:spacing w:val="-5"/>
          <w:sz w:val="20"/>
          <w:vertAlign w:val="baseline"/>
        </w:rPr>
        <w:t> </w:t>
      </w:r>
      <w:r>
        <w:rPr>
          <w:rFonts w:ascii="Calibri"/>
          <w:sz w:val="20"/>
          <w:vertAlign w:val="baseline"/>
        </w:rPr>
        <w:t>this</w:t>
      </w:r>
      <w:r>
        <w:rPr>
          <w:rFonts w:ascii="Calibri"/>
          <w:spacing w:val="-11"/>
          <w:sz w:val="20"/>
          <w:vertAlign w:val="baseline"/>
        </w:rPr>
        <w:t> </w:t>
      </w:r>
      <w:r>
        <w:rPr>
          <w:rFonts w:ascii="Calibri"/>
          <w:spacing w:val="-2"/>
          <w:sz w:val="20"/>
          <w:vertAlign w:val="baseline"/>
        </w:rPr>
        <w:t>work.</w:t>
      </w:r>
    </w:p>
    <w:p>
      <w:pPr>
        <w:spacing w:before="0"/>
        <w:ind w:left="308" w:right="0" w:firstLine="0"/>
        <w:jc w:val="left"/>
        <w:rPr>
          <w:rFonts w:ascii="Calibri"/>
          <w:sz w:val="20"/>
        </w:rPr>
      </w:pPr>
      <w:r>
        <w:rPr>
          <w:rFonts w:ascii="Calibri"/>
          <w:sz w:val="20"/>
          <w:vertAlign w:val="superscript"/>
        </w:rPr>
        <w:t>190</w:t>
      </w:r>
      <w:r>
        <w:rPr>
          <w:rFonts w:ascii="Calibri"/>
          <w:sz w:val="20"/>
          <w:vertAlign w:val="baseline"/>
        </w:rPr>
        <w:t> (1726)</w:t>
      </w:r>
      <w:r>
        <w:rPr>
          <w:rFonts w:ascii="Calibri"/>
          <w:spacing w:val="-1"/>
          <w:sz w:val="20"/>
          <w:vertAlign w:val="baseline"/>
        </w:rPr>
        <w:t> </w:t>
      </w:r>
      <w:r>
        <w:rPr>
          <w:rFonts w:ascii="Calibri"/>
          <w:sz w:val="20"/>
          <w:vertAlign w:val="baseline"/>
        </w:rPr>
        <w:t>2</w:t>
      </w:r>
      <w:r>
        <w:rPr>
          <w:rFonts w:ascii="Calibri"/>
          <w:spacing w:val="-11"/>
          <w:sz w:val="20"/>
          <w:vertAlign w:val="baseline"/>
        </w:rPr>
        <w:t> </w:t>
      </w:r>
      <w:r>
        <w:rPr>
          <w:rFonts w:ascii="Calibri"/>
          <w:sz w:val="20"/>
          <w:vertAlign w:val="baseline"/>
        </w:rPr>
        <w:t>Eq.</w:t>
      </w:r>
      <w:r>
        <w:rPr>
          <w:rFonts w:ascii="Calibri"/>
          <w:spacing w:val="-4"/>
          <w:sz w:val="20"/>
          <w:vertAlign w:val="baseline"/>
        </w:rPr>
        <w:t> </w:t>
      </w:r>
      <w:r>
        <w:rPr>
          <w:rFonts w:ascii="Calibri"/>
          <w:sz w:val="20"/>
          <w:vertAlign w:val="baseline"/>
        </w:rPr>
        <w:t>Cas.</w:t>
      </w:r>
      <w:r>
        <w:rPr>
          <w:rFonts w:ascii="Calibri"/>
          <w:spacing w:val="1"/>
          <w:sz w:val="20"/>
          <w:vertAlign w:val="baseline"/>
        </w:rPr>
        <w:t> </w:t>
      </w:r>
      <w:r>
        <w:rPr>
          <w:rFonts w:ascii="Calibri"/>
          <w:sz w:val="20"/>
          <w:vertAlign w:val="baseline"/>
        </w:rPr>
        <w:t>Abr.</w:t>
      </w:r>
      <w:r>
        <w:rPr>
          <w:rFonts w:ascii="Calibri"/>
          <w:spacing w:val="-4"/>
          <w:sz w:val="20"/>
          <w:vertAlign w:val="baseline"/>
        </w:rPr>
        <w:t> 741.</w:t>
      </w:r>
    </w:p>
    <w:p>
      <w:pPr>
        <w:spacing w:before="1"/>
        <w:ind w:left="308" w:right="0" w:firstLine="0"/>
        <w:jc w:val="left"/>
        <w:rPr>
          <w:rFonts w:ascii="Calibri"/>
          <w:sz w:val="20"/>
        </w:rPr>
      </w:pPr>
      <w:r>
        <w:rPr>
          <w:rFonts w:ascii="Calibri"/>
          <w:sz w:val="20"/>
          <w:vertAlign w:val="superscript"/>
        </w:rPr>
        <w:t>191</w:t>
      </w:r>
      <w:r>
        <w:rPr>
          <w:rFonts w:ascii="Calibri"/>
          <w:spacing w:val="-3"/>
          <w:sz w:val="20"/>
          <w:vertAlign w:val="baseline"/>
        </w:rPr>
        <w:t> </w:t>
      </w:r>
      <w:r>
        <w:rPr>
          <w:rFonts w:ascii="Calibri"/>
          <w:sz w:val="20"/>
          <w:vertAlign w:val="baseline"/>
        </w:rPr>
        <w:t>Davies,</w:t>
      </w:r>
      <w:r>
        <w:rPr>
          <w:rFonts w:ascii="Calibri"/>
          <w:spacing w:val="-7"/>
          <w:sz w:val="20"/>
          <w:vertAlign w:val="baseline"/>
        </w:rPr>
        <w:t> </w:t>
      </w:r>
      <w:r>
        <w:rPr>
          <w:rFonts w:ascii="Calibri"/>
          <w:sz w:val="20"/>
          <w:vertAlign w:val="baseline"/>
        </w:rPr>
        <w:t>L.P.</w:t>
      </w:r>
      <w:r>
        <w:rPr>
          <w:rFonts w:ascii="Calibri"/>
          <w:spacing w:val="-2"/>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8"/>
          <w:sz w:val="20"/>
          <w:vertAlign w:val="baseline"/>
        </w:rPr>
        <w:t> </w:t>
      </w:r>
      <w:r>
        <w:rPr>
          <w:rFonts w:ascii="Calibri"/>
          <w:sz w:val="20"/>
          <w:vertAlign w:val="baseline"/>
        </w:rPr>
        <w:t>(2012).</w:t>
      </w:r>
      <w:r>
        <w:rPr>
          <w:rFonts w:ascii="Calibri"/>
          <w:spacing w:val="-7"/>
          <w:sz w:val="20"/>
          <w:vertAlign w:val="baseline"/>
        </w:rPr>
        <w:t> </w:t>
      </w:r>
      <w:r>
        <w:rPr>
          <w:rFonts w:ascii="Calibri"/>
          <w:sz w:val="20"/>
          <w:vertAlign w:val="baseline"/>
        </w:rPr>
        <w:t>Op.cit.</w:t>
      </w:r>
      <w:r>
        <w:rPr>
          <w:rFonts w:ascii="Calibri"/>
          <w:spacing w:val="-3"/>
          <w:sz w:val="20"/>
          <w:vertAlign w:val="baseline"/>
        </w:rPr>
        <w:t> </w:t>
      </w:r>
      <w:r>
        <w:rPr>
          <w:rFonts w:ascii="Calibri"/>
          <w:sz w:val="20"/>
          <w:vertAlign w:val="baseline"/>
        </w:rPr>
        <w:t>at</w:t>
      </w:r>
      <w:r>
        <w:rPr>
          <w:rFonts w:ascii="Calibri"/>
          <w:spacing w:val="-9"/>
          <w:sz w:val="20"/>
          <w:vertAlign w:val="baseline"/>
        </w:rPr>
        <w:t> </w:t>
      </w:r>
      <w:r>
        <w:rPr>
          <w:rFonts w:ascii="Calibri"/>
          <w:sz w:val="20"/>
          <w:vertAlign w:val="baseline"/>
        </w:rPr>
        <w:t>p.</w:t>
      </w:r>
      <w:r>
        <w:rPr>
          <w:rFonts w:ascii="Calibri"/>
          <w:spacing w:val="-3"/>
          <w:sz w:val="20"/>
          <w:vertAlign w:val="baseline"/>
        </w:rPr>
        <w:t> </w:t>
      </w:r>
      <w:r>
        <w:rPr>
          <w:rFonts w:ascii="Calibri"/>
          <w:sz w:val="20"/>
          <w:vertAlign w:val="baseline"/>
        </w:rPr>
        <w:t>560;</w:t>
      </w:r>
      <w:r>
        <w:rPr>
          <w:rFonts w:ascii="Calibri"/>
          <w:spacing w:val="-6"/>
          <w:sz w:val="20"/>
          <w:vertAlign w:val="baseline"/>
        </w:rPr>
        <w:t> </w:t>
      </w:r>
      <w:r>
        <w:rPr>
          <w:rFonts w:ascii="Calibri"/>
          <w:sz w:val="20"/>
          <w:vertAlign w:val="baseline"/>
        </w:rPr>
        <w:t>Hudson,</w:t>
      </w:r>
      <w:r>
        <w:rPr>
          <w:rFonts w:ascii="Calibri"/>
          <w:spacing w:val="-6"/>
          <w:sz w:val="20"/>
          <w:vertAlign w:val="baseline"/>
        </w:rPr>
        <w:t> </w:t>
      </w:r>
      <w:r>
        <w:rPr>
          <w:rFonts w:ascii="Calibri"/>
          <w:sz w:val="20"/>
          <w:vertAlign w:val="baseline"/>
        </w:rPr>
        <w:t>A.</w:t>
      </w:r>
      <w:r>
        <w:rPr>
          <w:rFonts w:ascii="Calibri"/>
          <w:spacing w:val="-3"/>
          <w:sz w:val="20"/>
          <w:vertAlign w:val="baseline"/>
        </w:rPr>
        <w:t> </w:t>
      </w:r>
      <w:r>
        <w:rPr>
          <w:rFonts w:ascii="Calibri"/>
          <w:sz w:val="20"/>
          <w:vertAlign w:val="baseline"/>
        </w:rPr>
        <w:t>op.cit.at</w:t>
      </w:r>
      <w:r>
        <w:rPr>
          <w:rFonts w:ascii="Calibri"/>
          <w:spacing w:val="-9"/>
          <w:sz w:val="20"/>
          <w:vertAlign w:val="baseline"/>
        </w:rPr>
        <w:t> </w:t>
      </w:r>
      <w:r>
        <w:rPr>
          <w:rFonts w:ascii="Calibri"/>
          <w:spacing w:val="-2"/>
          <w:sz w:val="20"/>
          <w:vertAlign w:val="baseline"/>
        </w:rPr>
        <w:t>p.25.</w:t>
      </w:r>
    </w:p>
    <w:p>
      <w:pPr>
        <w:spacing w:before="1"/>
        <w:ind w:left="308" w:right="255" w:firstLine="0"/>
        <w:jc w:val="left"/>
        <w:rPr>
          <w:rFonts w:ascii="Calibri" w:hAnsi="Calibri"/>
          <w:sz w:val="20"/>
        </w:rPr>
      </w:pPr>
      <w:r>
        <w:rPr>
          <w:rFonts w:ascii="Calibri" w:hAnsi="Calibri"/>
          <w:sz w:val="20"/>
          <w:vertAlign w:val="superscript"/>
        </w:rPr>
        <w:t>192</w:t>
      </w:r>
      <w:r>
        <w:rPr>
          <w:rFonts w:ascii="Calibri" w:hAnsi="Calibri"/>
          <w:sz w:val="20"/>
          <w:vertAlign w:val="baseline"/>
        </w:rPr>
        <w:t>Christie, M. (1992). The Director’s Fiduciary Duty Not to Compete. </w:t>
      </w:r>
      <w:r>
        <w:rPr>
          <w:rFonts w:ascii="Calibri" w:hAnsi="Calibri"/>
          <w:i/>
          <w:sz w:val="20"/>
          <w:vertAlign w:val="baseline"/>
        </w:rPr>
        <w:t>Modern Law Review, </w:t>
      </w:r>
      <w:r>
        <w:rPr>
          <w:rFonts w:ascii="Calibri" w:hAnsi="Calibri"/>
          <w:sz w:val="20"/>
          <w:vertAlign w:val="baseline"/>
        </w:rPr>
        <w:t>55(4): 506-</w:t>
      </w:r>
      <w:r>
        <w:rPr>
          <w:rFonts w:ascii="Calibri" w:hAnsi="Calibri"/>
          <w:spacing w:val="80"/>
          <w:sz w:val="20"/>
          <w:vertAlign w:val="baseline"/>
        </w:rPr>
        <w:t> </w:t>
      </w:r>
      <w:r>
        <w:rPr>
          <w:rFonts w:ascii="Calibri" w:hAnsi="Calibri"/>
          <w:sz w:val="20"/>
          <w:vertAlign w:val="baseline"/>
        </w:rPr>
        <w:t>520, at 507.</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230"/>
        <w:jc w:val="both"/>
      </w:pPr>
      <w:r>
        <w:rPr/>
        <w:t>hold offices in both companies will find that he owes each a separate duty to avoid any conflicts between his duties to the company and any ‗outside‘ duty he may owe </w:t>
      </w:r>
      <w:r>
        <w:rPr>
          <w:spacing w:val="-2"/>
        </w:rPr>
        <w:t>others.</w:t>
      </w:r>
      <w:r>
        <w:rPr>
          <w:spacing w:val="-2"/>
          <w:vertAlign w:val="superscript"/>
        </w:rPr>
        <w:t>193</w:t>
      </w:r>
    </w:p>
    <w:p>
      <w:pPr>
        <w:pStyle w:val="BodyText"/>
        <w:spacing w:line="480" w:lineRule="auto"/>
        <w:ind w:right="225" w:firstLine="720"/>
        <w:jc w:val="both"/>
      </w:pPr>
      <w:r>
        <w:rPr/>
        <w:t>To be sure, self-dealing transactions as well as the obtaining of secret benefits, are also manifestations of conflict situations which are prohibited under the law. But these two aspects of the broader no-conflict rule are not contemplated by s.175, having been addressed separately under subsequent sections.</w:t>
      </w:r>
      <w:r>
        <w:rPr>
          <w:vertAlign w:val="superscript"/>
        </w:rPr>
        <w:t>194</w:t>
      </w:r>
      <w:r>
        <w:rPr>
          <w:vertAlign w:val="baseline"/>
        </w:rPr>
        <w:t> However, the prohibition in all cases, even before the codification of the law</w:t>
      </w:r>
      <w:r>
        <w:rPr>
          <w:spacing w:val="38"/>
          <w:vertAlign w:val="baseline"/>
        </w:rPr>
        <w:t> </w:t>
      </w:r>
      <w:r>
        <w:rPr>
          <w:vertAlign w:val="baseline"/>
        </w:rPr>
        <w:t>in the Act, has always been strict. The only</w:t>
      </w:r>
      <w:r>
        <w:rPr>
          <w:spacing w:val="-5"/>
          <w:vertAlign w:val="baseline"/>
        </w:rPr>
        <w:t> </w:t>
      </w:r>
      <w:r>
        <w:rPr>
          <w:vertAlign w:val="baseline"/>
        </w:rPr>
        <w:t>exception is</w:t>
      </w:r>
      <w:r>
        <w:rPr>
          <w:spacing w:val="-2"/>
          <w:vertAlign w:val="baseline"/>
        </w:rPr>
        <w:t> </w:t>
      </w:r>
      <w:r>
        <w:rPr>
          <w:vertAlign w:val="baseline"/>
        </w:rPr>
        <w:t>where</w:t>
      </w:r>
      <w:r>
        <w:rPr>
          <w:spacing w:val="-1"/>
          <w:vertAlign w:val="baseline"/>
        </w:rPr>
        <w:t> </w:t>
      </w:r>
      <w:r>
        <w:rPr>
          <w:vertAlign w:val="baseline"/>
        </w:rPr>
        <w:t>the</w:t>
      </w:r>
      <w:r>
        <w:rPr>
          <w:spacing w:val="-1"/>
          <w:vertAlign w:val="baseline"/>
        </w:rPr>
        <w:t> </w:t>
      </w:r>
      <w:r>
        <w:rPr>
          <w:vertAlign w:val="baseline"/>
        </w:rPr>
        <w:t>director had made</w:t>
      </w:r>
      <w:r>
        <w:rPr>
          <w:spacing w:val="-1"/>
          <w:vertAlign w:val="baseline"/>
        </w:rPr>
        <w:t> </w:t>
      </w:r>
      <w:r>
        <w:rPr>
          <w:vertAlign w:val="baseline"/>
        </w:rPr>
        <w:t>a</w:t>
      </w:r>
      <w:r>
        <w:rPr>
          <w:spacing w:val="-1"/>
          <w:vertAlign w:val="baseline"/>
        </w:rPr>
        <w:t> </w:t>
      </w:r>
      <w:r>
        <w:rPr>
          <w:vertAlign w:val="baseline"/>
        </w:rPr>
        <w:t>disclosure</w:t>
      </w:r>
      <w:r>
        <w:rPr>
          <w:spacing w:val="-1"/>
          <w:vertAlign w:val="baseline"/>
        </w:rPr>
        <w:t> </w:t>
      </w:r>
      <w:r>
        <w:rPr>
          <w:vertAlign w:val="baseline"/>
        </w:rPr>
        <w:t>of</w:t>
      </w:r>
      <w:r>
        <w:rPr>
          <w:spacing w:val="-3"/>
          <w:vertAlign w:val="baseline"/>
        </w:rPr>
        <w:t> </w:t>
      </w:r>
      <w:r>
        <w:rPr>
          <w:vertAlign w:val="baseline"/>
        </w:rPr>
        <w:t>his</w:t>
      </w:r>
      <w:r>
        <w:rPr>
          <w:spacing w:val="-2"/>
          <w:vertAlign w:val="baseline"/>
        </w:rPr>
        <w:t> </w:t>
      </w:r>
      <w:r>
        <w:rPr>
          <w:vertAlign w:val="baseline"/>
        </w:rPr>
        <w:t>personal</w:t>
      </w:r>
      <w:r>
        <w:rPr>
          <w:spacing w:val="-5"/>
          <w:vertAlign w:val="baseline"/>
        </w:rPr>
        <w:t> </w:t>
      </w:r>
      <w:r>
        <w:rPr>
          <w:vertAlign w:val="baseline"/>
        </w:rPr>
        <w:t>interest or</w:t>
      </w:r>
      <w:r>
        <w:rPr>
          <w:spacing w:val="-3"/>
          <w:vertAlign w:val="baseline"/>
        </w:rPr>
        <w:t> </w:t>
      </w:r>
      <w:r>
        <w:rPr>
          <w:vertAlign w:val="baseline"/>
        </w:rPr>
        <w:t>the secret profit to the company in general meeting, and his pursuance of it had been sanctioned accordingly, or unless he was protected by an appropriately worded</w:t>
      </w:r>
      <w:r>
        <w:rPr>
          <w:spacing w:val="40"/>
          <w:vertAlign w:val="baseline"/>
        </w:rPr>
        <w:t> </w:t>
      </w:r>
      <w:r>
        <w:rPr>
          <w:vertAlign w:val="baseline"/>
        </w:rPr>
        <w:t>provision of the articles.</w:t>
      </w:r>
      <w:r>
        <w:rPr>
          <w:vertAlign w:val="superscript"/>
        </w:rPr>
        <w:t>195</w:t>
      </w:r>
    </w:p>
    <w:p>
      <w:pPr>
        <w:pStyle w:val="BodyText"/>
        <w:spacing w:line="480" w:lineRule="auto" w:before="2"/>
        <w:ind w:right="240" w:firstLine="720"/>
        <w:jc w:val="both"/>
      </w:pPr>
      <w:r>
        <w:rPr/>
        <w:t>Even though the Act does not state anywhere that the director is a trustee with regards</w:t>
      </w:r>
      <w:r>
        <w:rPr>
          <w:spacing w:val="-1"/>
        </w:rPr>
        <w:t> </w:t>
      </w:r>
      <w:r>
        <w:rPr/>
        <w:t>to the company, clearly, the law regards</w:t>
      </w:r>
      <w:r>
        <w:rPr>
          <w:spacing w:val="-1"/>
        </w:rPr>
        <w:t> </w:t>
      </w:r>
      <w:r>
        <w:rPr/>
        <w:t>the company</w:t>
      </w:r>
      <w:r>
        <w:rPr>
          <w:spacing w:val="-4"/>
        </w:rPr>
        <w:t> </w:t>
      </w:r>
      <w:r>
        <w:rPr/>
        <w:t>director as</w:t>
      </w:r>
      <w:r>
        <w:rPr>
          <w:spacing w:val="-1"/>
        </w:rPr>
        <w:t> </w:t>
      </w:r>
      <w:r>
        <w:rPr/>
        <w:t>a trustee of</w:t>
      </w:r>
      <w:r>
        <w:rPr>
          <w:spacing w:val="-7"/>
        </w:rPr>
        <w:t> </w:t>
      </w:r>
      <w:r>
        <w:rPr/>
        <w:t>the company‘s</w:t>
      </w:r>
      <w:r>
        <w:rPr>
          <w:spacing w:val="4"/>
        </w:rPr>
        <w:t> </w:t>
      </w:r>
      <w:r>
        <w:rPr/>
        <w:t>property,</w:t>
      </w:r>
      <w:r>
        <w:rPr>
          <w:spacing w:val="8"/>
        </w:rPr>
        <w:t> </w:t>
      </w:r>
      <w:r>
        <w:rPr/>
        <w:t>information,</w:t>
      </w:r>
      <w:r>
        <w:rPr>
          <w:spacing w:val="4"/>
        </w:rPr>
        <w:t> </w:t>
      </w:r>
      <w:r>
        <w:rPr/>
        <w:t>and</w:t>
      </w:r>
      <w:r>
        <w:rPr>
          <w:spacing w:val="2"/>
        </w:rPr>
        <w:t> </w:t>
      </w:r>
      <w:r>
        <w:rPr/>
        <w:t>opportunity.</w:t>
      </w:r>
      <w:r>
        <w:rPr>
          <w:spacing w:val="4"/>
        </w:rPr>
        <w:t> </w:t>
      </w:r>
      <w:r>
        <w:rPr/>
        <w:t>Accordingly,</w:t>
      </w:r>
      <w:r>
        <w:rPr>
          <w:spacing w:val="8"/>
        </w:rPr>
        <w:t> </w:t>
      </w:r>
      <w:r>
        <w:rPr/>
        <w:t>s.</w:t>
      </w:r>
      <w:r>
        <w:rPr>
          <w:spacing w:val="5"/>
        </w:rPr>
        <w:t> </w:t>
      </w:r>
      <w:r>
        <w:rPr/>
        <w:t>175(1)</w:t>
      </w:r>
      <w:r>
        <w:rPr>
          <w:spacing w:val="3"/>
        </w:rPr>
        <w:t> </w:t>
      </w:r>
      <w:r>
        <w:rPr/>
        <w:t>provides</w:t>
      </w:r>
      <w:r>
        <w:rPr>
          <w:spacing w:val="5"/>
        </w:rPr>
        <w:t> </w:t>
      </w:r>
      <w:r>
        <w:rPr>
          <w:spacing w:val="-4"/>
        </w:rPr>
        <w:t>that</w:t>
      </w:r>
    </w:p>
    <w:p>
      <w:pPr>
        <w:pStyle w:val="BodyText"/>
        <w:spacing w:line="480" w:lineRule="auto" w:before="1"/>
        <w:ind w:right="225"/>
        <w:jc w:val="both"/>
      </w:pPr>
      <w:r>
        <w:rPr/>
        <w:t>―a</w:t>
      </w:r>
      <w:r>
        <w:rPr>
          <w:spacing w:val="-4"/>
        </w:rPr>
        <w:t> </w:t>
      </w:r>
      <w:r>
        <w:rPr/>
        <w:t>director</w:t>
      </w:r>
      <w:r>
        <w:rPr>
          <w:spacing w:val="-9"/>
        </w:rPr>
        <w:t> </w:t>
      </w:r>
      <w:r>
        <w:rPr/>
        <w:t>of</w:t>
      </w:r>
      <w:r>
        <w:rPr>
          <w:spacing w:val="-14"/>
        </w:rPr>
        <w:t> </w:t>
      </w:r>
      <w:r>
        <w:rPr/>
        <w:t>a</w:t>
      </w:r>
      <w:r>
        <w:rPr>
          <w:spacing w:val="-4"/>
        </w:rPr>
        <w:t> </w:t>
      </w:r>
      <w:r>
        <w:rPr/>
        <w:t>company</w:t>
      </w:r>
      <w:r>
        <w:rPr>
          <w:spacing w:val="-7"/>
        </w:rPr>
        <w:t> </w:t>
      </w:r>
      <w:r>
        <w:rPr/>
        <w:t>must</w:t>
      </w:r>
      <w:r>
        <w:rPr>
          <w:spacing w:val="-2"/>
        </w:rPr>
        <w:t> </w:t>
      </w:r>
      <w:r>
        <w:rPr/>
        <w:t>avoid</w:t>
      </w:r>
      <w:r>
        <w:rPr>
          <w:spacing w:val="-7"/>
        </w:rPr>
        <w:t> </w:t>
      </w:r>
      <w:r>
        <w:rPr/>
        <w:t>a</w:t>
      </w:r>
      <w:r>
        <w:rPr>
          <w:spacing w:val="-3"/>
        </w:rPr>
        <w:t> </w:t>
      </w:r>
      <w:r>
        <w:rPr/>
        <w:t>situation</w:t>
      </w:r>
      <w:r>
        <w:rPr>
          <w:spacing w:val="-7"/>
        </w:rPr>
        <w:t> </w:t>
      </w:r>
      <w:r>
        <w:rPr/>
        <w:t>in</w:t>
      </w:r>
      <w:r>
        <w:rPr>
          <w:spacing w:val="-3"/>
        </w:rPr>
        <w:t> </w:t>
      </w:r>
      <w:r>
        <w:rPr/>
        <w:t>which</w:t>
      </w:r>
      <w:r>
        <w:rPr>
          <w:spacing w:val="-7"/>
        </w:rPr>
        <w:t> </w:t>
      </w:r>
      <w:r>
        <w:rPr/>
        <w:t>he</w:t>
      </w:r>
      <w:r>
        <w:rPr>
          <w:spacing w:val="-3"/>
        </w:rPr>
        <w:t> </w:t>
      </w:r>
      <w:r>
        <w:rPr/>
        <w:t>has,</w:t>
      </w:r>
      <w:r>
        <w:rPr>
          <w:spacing w:val="-5"/>
        </w:rPr>
        <w:t> </w:t>
      </w:r>
      <w:r>
        <w:rPr/>
        <w:t>or</w:t>
      </w:r>
      <w:r>
        <w:rPr>
          <w:spacing w:val="-6"/>
        </w:rPr>
        <w:t> </w:t>
      </w:r>
      <w:r>
        <w:rPr/>
        <w:t>can</w:t>
      </w:r>
      <w:r>
        <w:rPr>
          <w:spacing w:val="-7"/>
        </w:rPr>
        <w:t> </w:t>
      </w:r>
      <w:r>
        <w:rPr/>
        <w:t>have,</w:t>
      </w:r>
      <w:r>
        <w:rPr>
          <w:spacing w:val="-5"/>
        </w:rPr>
        <w:t> </w:t>
      </w:r>
      <w:r>
        <w:rPr/>
        <w:t>a</w:t>
      </w:r>
      <w:r>
        <w:rPr>
          <w:spacing w:val="-8"/>
        </w:rPr>
        <w:t> </w:t>
      </w:r>
      <w:r>
        <w:rPr/>
        <w:t>direct</w:t>
      </w:r>
      <w:r>
        <w:rPr>
          <w:spacing w:val="-2"/>
        </w:rPr>
        <w:t> </w:t>
      </w:r>
      <w:r>
        <w:rPr/>
        <w:t>or indirect interest</w:t>
      </w:r>
      <w:r>
        <w:rPr>
          <w:vertAlign w:val="superscript"/>
        </w:rPr>
        <w:t>196</w:t>
      </w:r>
      <w:r>
        <w:rPr>
          <w:vertAlign w:val="baseline"/>
        </w:rPr>
        <w:t> that conflicts, or possibly may conflict, with the interests of the company.‖ What can be regarded as ―interests‖ in relation to the company in this context has not been defined. However, the next subsection helpfully provides: ―this applies in</w:t>
      </w:r>
      <w:r>
        <w:rPr>
          <w:spacing w:val="-1"/>
          <w:vertAlign w:val="baseline"/>
        </w:rPr>
        <w:t> </w:t>
      </w:r>
      <w:r>
        <w:rPr>
          <w:vertAlign w:val="baseline"/>
        </w:rPr>
        <w:t>particular to the exploitation</w:t>
      </w:r>
      <w:r>
        <w:rPr>
          <w:spacing w:val="-1"/>
          <w:vertAlign w:val="baseline"/>
        </w:rPr>
        <w:t> </w:t>
      </w:r>
      <w:r>
        <w:rPr>
          <w:vertAlign w:val="baseline"/>
        </w:rPr>
        <w:t>of</w:t>
      </w:r>
      <w:r>
        <w:rPr>
          <w:spacing w:val="-4"/>
          <w:vertAlign w:val="baseline"/>
        </w:rPr>
        <w:t> </w:t>
      </w:r>
      <w:r>
        <w:rPr>
          <w:vertAlign w:val="baseline"/>
        </w:rPr>
        <w:t>any</w:t>
      </w:r>
      <w:r>
        <w:rPr>
          <w:spacing w:val="-6"/>
          <w:vertAlign w:val="baseline"/>
        </w:rPr>
        <w:t> </w:t>
      </w:r>
      <w:r>
        <w:rPr>
          <w:vertAlign w:val="baseline"/>
        </w:rPr>
        <w:t>property, information</w:t>
      </w:r>
      <w:r>
        <w:rPr>
          <w:spacing w:val="-1"/>
          <w:vertAlign w:val="baseline"/>
        </w:rPr>
        <w:t> </w:t>
      </w:r>
      <w:r>
        <w:rPr>
          <w:vertAlign w:val="baseline"/>
        </w:rPr>
        <w:t>or opportunity...‖ In other words, these belong to the company and therefore, only the company is rightfully entitled</w:t>
      </w:r>
      <w:r>
        <w:rPr>
          <w:spacing w:val="41"/>
          <w:vertAlign w:val="baseline"/>
        </w:rPr>
        <w:t> </w:t>
      </w:r>
      <w:r>
        <w:rPr>
          <w:vertAlign w:val="baseline"/>
        </w:rPr>
        <w:t>to</w:t>
      </w:r>
      <w:r>
        <w:rPr>
          <w:spacing w:val="48"/>
          <w:vertAlign w:val="baseline"/>
        </w:rPr>
        <w:t> </w:t>
      </w:r>
      <w:r>
        <w:rPr>
          <w:vertAlign w:val="baseline"/>
        </w:rPr>
        <w:t>enjoy</w:t>
      </w:r>
      <w:r>
        <w:rPr>
          <w:spacing w:val="34"/>
          <w:vertAlign w:val="baseline"/>
        </w:rPr>
        <w:t> </w:t>
      </w:r>
      <w:r>
        <w:rPr>
          <w:vertAlign w:val="baseline"/>
        </w:rPr>
        <w:t>them,</w:t>
      </w:r>
      <w:r>
        <w:rPr>
          <w:spacing w:val="46"/>
          <w:vertAlign w:val="baseline"/>
        </w:rPr>
        <w:t> </w:t>
      </w:r>
      <w:r>
        <w:rPr>
          <w:vertAlign w:val="baseline"/>
        </w:rPr>
        <w:t>especially</w:t>
      </w:r>
      <w:r>
        <w:rPr>
          <w:spacing w:val="38"/>
          <w:vertAlign w:val="baseline"/>
        </w:rPr>
        <w:t> </w:t>
      </w:r>
      <w:r>
        <w:rPr>
          <w:vertAlign w:val="baseline"/>
        </w:rPr>
        <w:t>considering</w:t>
      </w:r>
      <w:r>
        <w:rPr>
          <w:spacing w:val="44"/>
          <w:vertAlign w:val="baseline"/>
        </w:rPr>
        <w:t> </w:t>
      </w:r>
      <w:r>
        <w:rPr>
          <w:vertAlign w:val="baseline"/>
        </w:rPr>
        <w:t>the</w:t>
      </w:r>
      <w:r>
        <w:rPr>
          <w:spacing w:val="48"/>
          <w:vertAlign w:val="baseline"/>
        </w:rPr>
        <w:t> </w:t>
      </w:r>
      <w:r>
        <w:rPr>
          <w:vertAlign w:val="baseline"/>
        </w:rPr>
        <w:t>fact</w:t>
      </w:r>
      <w:r>
        <w:rPr>
          <w:spacing w:val="49"/>
          <w:vertAlign w:val="baseline"/>
        </w:rPr>
        <w:t> </w:t>
      </w:r>
      <w:r>
        <w:rPr>
          <w:vertAlign w:val="baseline"/>
        </w:rPr>
        <w:t>that</w:t>
      </w:r>
      <w:r>
        <w:rPr>
          <w:spacing w:val="43"/>
          <w:vertAlign w:val="baseline"/>
        </w:rPr>
        <w:t> </w:t>
      </w:r>
      <w:r>
        <w:rPr>
          <w:vertAlign w:val="baseline"/>
        </w:rPr>
        <w:t>they</w:t>
      </w:r>
      <w:r>
        <w:rPr>
          <w:spacing w:val="39"/>
          <w:vertAlign w:val="baseline"/>
        </w:rPr>
        <w:t> </w:t>
      </w:r>
      <w:r>
        <w:rPr>
          <w:vertAlign w:val="baseline"/>
        </w:rPr>
        <w:t>are</w:t>
      </w:r>
      <w:r>
        <w:rPr>
          <w:spacing w:val="43"/>
          <w:vertAlign w:val="baseline"/>
        </w:rPr>
        <w:t> </w:t>
      </w:r>
      <w:r>
        <w:rPr>
          <w:vertAlign w:val="baseline"/>
        </w:rPr>
        <w:t>available</w:t>
      </w:r>
      <w:r>
        <w:rPr>
          <w:spacing w:val="43"/>
          <w:vertAlign w:val="baseline"/>
        </w:rPr>
        <w:t> </w:t>
      </w:r>
      <w:r>
        <w:rPr>
          <w:vertAlign w:val="baseline"/>
        </w:rPr>
        <w:t>to</w:t>
      </w:r>
      <w:r>
        <w:rPr>
          <w:spacing w:val="44"/>
          <w:vertAlign w:val="baseline"/>
        </w:rPr>
        <w:t> </w:t>
      </w:r>
      <w:r>
        <w:rPr>
          <w:spacing w:val="-5"/>
          <w:vertAlign w:val="baseline"/>
        </w:rPr>
        <w:t>the</w:t>
      </w:r>
    </w:p>
    <w:p>
      <w:pPr>
        <w:pStyle w:val="BodyText"/>
        <w:spacing w:before="29"/>
        <w:ind w:left="0"/>
        <w:rPr>
          <w:sz w:val="20"/>
        </w:rPr>
      </w:pPr>
      <w:r>
        <w:rPr/>
        <mc:AlternateContent>
          <mc:Choice Requires="wps">
            <w:drawing>
              <wp:anchor distT="0" distB="0" distL="0" distR="0" allowOverlap="1" layoutInCell="1" locked="0" behindDoc="1" simplePos="0" relativeHeight="487692800">
                <wp:simplePos x="0" y="0"/>
                <wp:positionH relativeFrom="page">
                  <wp:posOffset>1262481</wp:posOffset>
                </wp:positionH>
                <wp:positionV relativeFrom="paragraph">
                  <wp:posOffset>179725</wp:posOffset>
                </wp:positionV>
                <wp:extent cx="1829435" cy="9525"/>
                <wp:effectExtent l="0" t="0" r="0" b="0"/>
                <wp:wrapTopAndBottom/>
                <wp:docPr id="231" name="Graphic 231"/>
                <wp:cNvGraphicFramePr>
                  <a:graphicFrameLocks/>
                </wp:cNvGraphicFramePr>
                <a:graphic>
                  <a:graphicData uri="http://schemas.microsoft.com/office/word/2010/wordprocessingShape">
                    <wps:wsp>
                      <wps:cNvPr id="231" name="Graphic 23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51592pt;width:144.050pt;height:.71997pt;mso-position-horizontal-relative:page;mso-position-vertical-relative:paragraph;z-index:-15623680;mso-wrap-distance-left:0;mso-wrap-distance-right:0" id="docshape18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193</w:t>
      </w:r>
      <w:r>
        <w:rPr>
          <w:rFonts w:ascii="Calibri"/>
          <w:i/>
          <w:sz w:val="20"/>
          <w:vertAlign w:val="baseline"/>
        </w:rPr>
        <w:t>Transvaal</w:t>
      </w:r>
      <w:r>
        <w:rPr>
          <w:rFonts w:ascii="Calibri"/>
          <w:i/>
          <w:spacing w:val="40"/>
          <w:sz w:val="20"/>
          <w:vertAlign w:val="baseline"/>
        </w:rPr>
        <w:t> </w:t>
      </w:r>
      <w:r>
        <w:rPr>
          <w:rFonts w:ascii="Calibri"/>
          <w:i/>
          <w:sz w:val="20"/>
          <w:vertAlign w:val="baseline"/>
        </w:rPr>
        <w:t>Lands</w:t>
      </w:r>
      <w:r>
        <w:rPr>
          <w:rFonts w:ascii="Calibri"/>
          <w:i/>
          <w:spacing w:val="40"/>
          <w:sz w:val="20"/>
          <w:vertAlign w:val="baseline"/>
        </w:rPr>
        <w:t> </w:t>
      </w:r>
      <w:r>
        <w:rPr>
          <w:rFonts w:ascii="Calibri"/>
          <w:i/>
          <w:sz w:val="20"/>
          <w:vertAlign w:val="baseline"/>
        </w:rPr>
        <w:t>Co.</w:t>
      </w:r>
      <w:r>
        <w:rPr>
          <w:rFonts w:ascii="Calibri"/>
          <w:i/>
          <w:spacing w:val="40"/>
          <w:sz w:val="20"/>
          <w:vertAlign w:val="baseline"/>
        </w:rPr>
        <w:t> </w:t>
      </w:r>
      <w:r>
        <w:rPr>
          <w:rFonts w:ascii="Calibri"/>
          <w:i/>
          <w:sz w:val="20"/>
          <w:vertAlign w:val="baseline"/>
        </w:rPr>
        <w:t>vs.</w:t>
      </w:r>
      <w:r>
        <w:rPr>
          <w:rFonts w:ascii="Calibri"/>
          <w:i/>
          <w:spacing w:val="40"/>
          <w:sz w:val="20"/>
          <w:vertAlign w:val="baseline"/>
        </w:rPr>
        <w:t> </w:t>
      </w:r>
      <w:r>
        <w:rPr>
          <w:rFonts w:ascii="Calibri"/>
          <w:i/>
          <w:sz w:val="20"/>
          <w:vertAlign w:val="baseline"/>
        </w:rPr>
        <w:t>New</w:t>
      </w:r>
      <w:r>
        <w:rPr>
          <w:rFonts w:ascii="Calibri"/>
          <w:i/>
          <w:spacing w:val="40"/>
          <w:sz w:val="20"/>
          <w:vertAlign w:val="baseline"/>
        </w:rPr>
        <w:t> </w:t>
      </w:r>
      <w:r>
        <w:rPr>
          <w:rFonts w:ascii="Calibri"/>
          <w:i/>
          <w:sz w:val="20"/>
          <w:vertAlign w:val="baseline"/>
        </w:rPr>
        <w:t>Belgium</w:t>
      </w:r>
      <w:r>
        <w:rPr>
          <w:rFonts w:ascii="Calibri"/>
          <w:i/>
          <w:spacing w:val="40"/>
          <w:sz w:val="20"/>
          <w:vertAlign w:val="baseline"/>
        </w:rPr>
        <w:t> </w:t>
      </w:r>
      <w:r>
        <w:rPr>
          <w:rFonts w:ascii="Calibri"/>
          <w:i/>
          <w:sz w:val="20"/>
          <w:vertAlign w:val="baseline"/>
        </w:rPr>
        <w:t>(Transvaal)</w:t>
      </w:r>
      <w:r>
        <w:rPr>
          <w:rFonts w:ascii="Calibri"/>
          <w:i/>
          <w:spacing w:val="40"/>
          <w:sz w:val="20"/>
          <w:vertAlign w:val="baseline"/>
        </w:rPr>
        <w:t> </w:t>
      </w:r>
      <w:r>
        <w:rPr>
          <w:rFonts w:ascii="Calibri"/>
          <w:i/>
          <w:sz w:val="20"/>
          <w:vertAlign w:val="baseline"/>
        </w:rPr>
        <w:t>Land</w:t>
      </w:r>
      <w:r>
        <w:rPr>
          <w:rFonts w:ascii="Calibri"/>
          <w:i/>
          <w:spacing w:val="40"/>
          <w:sz w:val="20"/>
          <w:vertAlign w:val="baseline"/>
        </w:rPr>
        <w:t> </w:t>
      </w:r>
      <w:r>
        <w:rPr>
          <w:rFonts w:ascii="Calibri"/>
          <w:i/>
          <w:sz w:val="20"/>
          <w:vertAlign w:val="baseline"/>
        </w:rPr>
        <w:t>and</w:t>
      </w:r>
      <w:r>
        <w:rPr>
          <w:rFonts w:ascii="Calibri"/>
          <w:i/>
          <w:spacing w:val="40"/>
          <w:sz w:val="20"/>
          <w:vertAlign w:val="baseline"/>
        </w:rPr>
        <w:t> </w:t>
      </w:r>
      <w:r>
        <w:rPr>
          <w:rFonts w:ascii="Calibri"/>
          <w:i/>
          <w:sz w:val="20"/>
          <w:vertAlign w:val="baseline"/>
        </w:rPr>
        <w:t>Development</w:t>
      </w:r>
      <w:r>
        <w:rPr>
          <w:rFonts w:ascii="Calibri"/>
          <w:i/>
          <w:spacing w:val="40"/>
          <w:sz w:val="20"/>
          <w:vertAlign w:val="baseline"/>
        </w:rPr>
        <w:t> </w:t>
      </w:r>
      <w:r>
        <w:rPr>
          <w:rFonts w:ascii="Calibri"/>
          <w:i/>
          <w:sz w:val="20"/>
          <w:vertAlign w:val="baseline"/>
        </w:rPr>
        <w:t>Co.</w:t>
      </w:r>
      <w:r>
        <w:rPr>
          <w:rFonts w:ascii="Calibri"/>
          <w:i/>
          <w:spacing w:val="40"/>
          <w:sz w:val="20"/>
          <w:vertAlign w:val="baseline"/>
        </w:rPr>
        <w:t> </w:t>
      </w:r>
      <w:r>
        <w:rPr>
          <w:rFonts w:ascii="Calibri"/>
          <w:sz w:val="20"/>
          <w:vertAlign w:val="baseline"/>
        </w:rPr>
        <w:t>(1914)</w:t>
      </w:r>
      <w:r>
        <w:rPr>
          <w:rFonts w:ascii="Calibri"/>
          <w:spacing w:val="40"/>
          <w:sz w:val="20"/>
          <w:vertAlign w:val="baseline"/>
        </w:rPr>
        <w:t> </w:t>
      </w:r>
      <w:r>
        <w:rPr>
          <w:rFonts w:ascii="Calibri"/>
          <w:sz w:val="20"/>
          <w:vertAlign w:val="baseline"/>
        </w:rPr>
        <w:t>2</w:t>
      </w:r>
      <w:r>
        <w:rPr>
          <w:rFonts w:ascii="Calibri"/>
          <w:spacing w:val="40"/>
          <w:sz w:val="20"/>
          <w:vertAlign w:val="baseline"/>
        </w:rPr>
        <w:t> </w:t>
      </w:r>
      <w:r>
        <w:rPr>
          <w:rFonts w:ascii="Calibri"/>
          <w:sz w:val="20"/>
          <w:vertAlign w:val="baseline"/>
        </w:rPr>
        <w:t>Ch.</w:t>
      </w:r>
      <w:r>
        <w:rPr>
          <w:rFonts w:ascii="Calibri"/>
          <w:spacing w:val="40"/>
          <w:sz w:val="20"/>
          <w:vertAlign w:val="baseline"/>
        </w:rPr>
        <w:t> </w:t>
      </w:r>
      <w:r>
        <w:rPr>
          <w:rFonts w:ascii="Calibri"/>
          <w:sz w:val="20"/>
          <w:vertAlign w:val="baseline"/>
        </w:rPr>
        <w:t>488 (CA).S.175(7) now codifies this principle.</w:t>
      </w:r>
    </w:p>
    <w:p>
      <w:pPr>
        <w:spacing w:before="2"/>
        <w:ind w:left="308" w:right="0" w:firstLine="0"/>
        <w:jc w:val="left"/>
        <w:rPr>
          <w:rFonts w:ascii="Calibri"/>
          <w:sz w:val="20"/>
        </w:rPr>
      </w:pPr>
      <w:r>
        <w:rPr>
          <w:rFonts w:ascii="Calibri"/>
          <w:sz w:val="20"/>
          <w:vertAlign w:val="superscript"/>
        </w:rPr>
        <w:t>194</w:t>
      </w:r>
      <w:r>
        <w:rPr>
          <w:rFonts w:ascii="Calibri"/>
          <w:spacing w:val="-2"/>
          <w:sz w:val="20"/>
          <w:vertAlign w:val="baseline"/>
        </w:rPr>
        <w:t> </w:t>
      </w:r>
      <w:r>
        <w:rPr>
          <w:rFonts w:ascii="Calibri"/>
          <w:sz w:val="20"/>
          <w:vertAlign w:val="baseline"/>
        </w:rPr>
        <w:t>In</w:t>
      </w:r>
      <w:r>
        <w:rPr>
          <w:rFonts w:ascii="Calibri"/>
          <w:spacing w:val="-7"/>
          <w:sz w:val="20"/>
          <w:vertAlign w:val="baseline"/>
        </w:rPr>
        <w:t> </w:t>
      </w:r>
      <w:r>
        <w:rPr>
          <w:rFonts w:ascii="Calibri"/>
          <w:sz w:val="20"/>
          <w:vertAlign w:val="baseline"/>
        </w:rPr>
        <w:t>fact,</w:t>
      </w:r>
      <w:r>
        <w:rPr>
          <w:rFonts w:ascii="Calibri"/>
          <w:spacing w:val="-6"/>
          <w:sz w:val="20"/>
          <w:vertAlign w:val="baseline"/>
        </w:rPr>
        <w:t> </w:t>
      </w:r>
      <w:r>
        <w:rPr>
          <w:rFonts w:ascii="Calibri"/>
          <w:sz w:val="20"/>
          <w:vertAlign w:val="baseline"/>
        </w:rPr>
        <w:t>s.175(3)</w:t>
      </w:r>
      <w:r>
        <w:rPr>
          <w:rFonts w:ascii="Calibri"/>
          <w:spacing w:val="-6"/>
          <w:sz w:val="20"/>
          <w:vertAlign w:val="baseline"/>
        </w:rPr>
        <w:t> </w:t>
      </w:r>
      <w:r>
        <w:rPr>
          <w:rFonts w:ascii="Calibri"/>
          <w:sz w:val="20"/>
          <w:vertAlign w:val="baseline"/>
        </w:rPr>
        <w:t>expressly</w:t>
      </w:r>
      <w:r>
        <w:rPr>
          <w:rFonts w:ascii="Calibri"/>
          <w:spacing w:val="-6"/>
          <w:sz w:val="20"/>
          <w:vertAlign w:val="baseline"/>
        </w:rPr>
        <w:t> </w:t>
      </w:r>
      <w:r>
        <w:rPr>
          <w:rFonts w:ascii="Calibri"/>
          <w:sz w:val="20"/>
          <w:vertAlign w:val="baseline"/>
        </w:rPr>
        <w:t>removes</w:t>
      </w:r>
      <w:r>
        <w:rPr>
          <w:rFonts w:ascii="Calibri"/>
          <w:spacing w:val="-8"/>
          <w:sz w:val="20"/>
          <w:vertAlign w:val="baseline"/>
        </w:rPr>
        <w:t> </w:t>
      </w:r>
      <w:r>
        <w:rPr>
          <w:rFonts w:ascii="Calibri"/>
          <w:sz w:val="20"/>
          <w:vertAlign w:val="baseline"/>
        </w:rPr>
        <w:t>self-dealing</w:t>
      </w:r>
      <w:r>
        <w:rPr>
          <w:rFonts w:ascii="Calibri"/>
          <w:spacing w:val="-7"/>
          <w:sz w:val="20"/>
          <w:vertAlign w:val="baseline"/>
        </w:rPr>
        <w:t> </w:t>
      </w:r>
      <w:r>
        <w:rPr>
          <w:rFonts w:ascii="Calibri"/>
          <w:sz w:val="20"/>
          <w:vertAlign w:val="baseline"/>
        </w:rPr>
        <w:t>transactions</w:t>
      </w:r>
      <w:r>
        <w:rPr>
          <w:rFonts w:ascii="Calibri"/>
          <w:spacing w:val="-9"/>
          <w:sz w:val="20"/>
          <w:vertAlign w:val="baseline"/>
        </w:rPr>
        <w:t> </w:t>
      </w:r>
      <w:r>
        <w:rPr>
          <w:rFonts w:ascii="Calibri"/>
          <w:sz w:val="20"/>
          <w:vertAlign w:val="baseline"/>
        </w:rPr>
        <w:t>from</w:t>
      </w:r>
      <w:r>
        <w:rPr>
          <w:rFonts w:ascii="Calibri"/>
          <w:spacing w:val="-6"/>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ambit</w:t>
      </w:r>
      <w:r>
        <w:rPr>
          <w:rFonts w:ascii="Calibri"/>
          <w:spacing w:val="-8"/>
          <w:sz w:val="20"/>
          <w:vertAlign w:val="baseline"/>
        </w:rPr>
        <w:t> </w:t>
      </w:r>
      <w:r>
        <w:rPr>
          <w:rFonts w:ascii="Calibri"/>
          <w:sz w:val="20"/>
          <w:vertAlign w:val="baseline"/>
        </w:rPr>
        <w:t>of</w:t>
      </w:r>
      <w:r>
        <w:rPr>
          <w:rFonts w:ascii="Calibri"/>
          <w:spacing w:val="-6"/>
          <w:sz w:val="20"/>
          <w:vertAlign w:val="baseline"/>
        </w:rPr>
        <w:t> </w:t>
      </w:r>
      <w:r>
        <w:rPr>
          <w:rFonts w:ascii="Calibri"/>
          <w:spacing w:val="-2"/>
          <w:sz w:val="20"/>
          <w:vertAlign w:val="baseline"/>
        </w:rPr>
        <w:t>s.175.</w:t>
      </w:r>
    </w:p>
    <w:p>
      <w:pPr>
        <w:spacing w:before="1"/>
        <w:ind w:left="308" w:right="0" w:firstLine="0"/>
        <w:jc w:val="left"/>
        <w:rPr>
          <w:rFonts w:ascii="Calibri"/>
          <w:sz w:val="20"/>
        </w:rPr>
      </w:pPr>
      <w:r>
        <w:rPr>
          <w:rFonts w:ascii="Calibri"/>
          <w:sz w:val="20"/>
          <w:vertAlign w:val="superscript"/>
        </w:rPr>
        <w:t>195</w:t>
      </w:r>
      <w:r>
        <w:rPr>
          <w:rFonts w:ascii="Calibri"/>
          <w:i/>
          <w:sz w:val="20"/>
          <w:vertAlign w:val="baseline"/>
        </w:rPr>
        <w:t>Aberdeen</w:t>
      </w:r>
      <w:r>
        <w:rPr>
          <w:rFonts w:ascii="Calibri"/>
          <w:i/>
          <w:spacing w:val="-7"/>
          <w:sz w:val="20"/>
          <w:vertAlign w:val="baseline"/>
        </w:rPr>
        <w:t> </w:t>
      </w:r>
      <w:r>
        <w:rPr>
          <w:rFonts w:ascii="Calibri"/>
          <w:i/>
          <w:sz w:val="20"/>
          <w:vertAlign w:val="baseline"/>
        </w:rPr>
        <w:t>Rly.Co.</w:t>
      </w:r>
      <w:r>
        <w:rPr>
          <w:rFonts w:ascii="Calibri"/>
          <w:i/>
          <w:spacing w:val="-7"/>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Blaikie</w:t>
      </w:r>
      <w:r>
        <w:rPr>
          <w:rFonts w:ascii="Calibri"/>
          <w:i/>
          <w:spacing w:val="-4"/>
          <w:sz w:val="20"/>
          <w:vertAlign w:val="baseline"/>
        </w:rPr>
        <w:t> </w:t>
      </w:r>
      <w:r>
        <w:rPr>
          <w:rFonts w:ascii="Calibri"/>
          <w:i/>
          <w:sz w:val="20"/>
          <w:vertAlign w:val="baseline"/>
        </w:rPr>
        <w:t>Bros</w:t>
      </w:r>
      <w:r>
        <w:rPr>
          <w:rFonts w:ascii="Calibri"/>
          <w:i/>
          <w:spacing w:val="-5"/>
          <w:sz w:val="20"/>
          <w:vertAlign w:val="baseline"/>
        </w:rPr>
        <w:t> </w:t>
      </w:r>
      <w:r>
        <w:rPr>
          <w:rFonts w:ascii="Calibri"/>
          <w:sz w:val="20"/>
          <w:vertAlign w:val="baseline"/>
        </w:rPr>
        <w:t>(1854)</w:t>
      </w:r>
      <w:r>
        <w:rPr>
          <w:rFonts w:ascii="Calibri"/>
          <w:spacing w:val="-4"/>
          <w:sz w:val="20"/>
          <w:vertAlign w:val="baseline"/>
        </w:rPr>
        <w:t> </w:t>
      </w:r>
      <w:r>
        <w:rPr>
          <w:rFonts w:ascii="Calibri"/>
          <w:sz w:val="20"/>
          <w:vertAlign w:val="baseline"/>
        </w:rPr>
        <w:t>1</w:t>
      </w:r>
      <w:r>
        <w:rPr>
          <w:rFonts w:ascii="Calibri"/>
          <w:spacing w:val="-9"/>
          <w:sz w:val="20"/>
          <w:vertAlign w:val="baseline"/>
        </w:rPr>
        <w:t> </w:t>
      </w:r>
      <w:r>
        <w:rPr>
          <w:rFonts w:ascii="Calibri"/>
          <w:sz w:val="20"/>
          <w:vertAlign w:val="baseline"/>
        </w:rPr>
        <w:t>Macq.</w:t>
      </w:r>
      <w:r>
        <w:rPr>
          <w:rFonts w:ascii="Calibri"/>
          <w:spacing w:val="-2"/>
          <w:sz w:val="20"/>
          <w:vertAlign w:val="baseline"/>
        </w:rPr>
        <w:t> </w:t>
      </w:r>
      <w:r>
        <w:rPr>
          <w:rFonts w:ascii="Calibri"/>
          <w:sz w:val="20"/>
          <w:vertAlign w:val="baseline"/>
        </w:rPr>
        <w:t>461.</w:t>
      </w:r>
      <w:r>
        <w:rPr>
          <w:rFonts w:ascii="Calibri"/>
          <w:spacing w:val="-2"/>
          <w:sz w:val="20"/>
          <w:vertAlign w:val="baseline"/>
        </w:rPr>
        <w:t> </w:t>
      </w:r>
      <w:r>
        <w:rPr>
          <w:rFonts w:ascii="Calibri"/>
          <w:sz w:val="20"/>
          <w:vertAlign w:val="baseline"/>
        </w:rPr>
        <w:t>See</w:t>
      </w:r>
      <w:r>
        <w:rPr>
          <w:rFonts w:ascii="Calibri"/>
          <w:spacing w:val="-3"/>
          <w:sz w:val="20"/>
          <w:vertAlign w:val="baseline"/>
        </w:rPr>
        <w:t> </w:t>
      </w:r>
      <w:r>
        <w:rPr>
          <w:rFonts w:ascii="Calibri"/>
          <w:sz w:val="20"/>
          <w:vertAlign w:val="baseline"/>
        </w:rPr>
        <w:t>further</w:t>
      </w:r>
      <w:r>
        <w:rPr>
          <w:rFonts w:ascii="Calibri"/>
          <w:spacing w:val="-5"/>
          <w:sz w:val="20"/>
          <w:vertAlign w:val="baseline"/>
        </w:rPr>
        <w:t> </w:t>
      </w:r>
      <w:r>
        <w:rPr>
          <w:rFonts w:ascii="Calibri"/>
          <w:sz w:val="20"/>
          <w:vertAlign w:val="baseline"/>
        </w:rPr>
        <w:t>Birds,</w:t>
      </w:r>
      <w:r>
        <w:rPr>
          <w:rFonts w:ascii="Calibri"/>
          <w:spacing w:val="-6"/>
          <w:sz w:val="20"/>
          <w:vertAlign w:val="baseline"/>
        </w:rPr>
        <w:t> </w:t>
      </w:r>
      <w:r>
        <w:rPr>
          <w:rFonts w:ascii="Calibri"/>
          <w:sz w:val="20"/>
          <w:vertAlign w:val="baseline"/>
        </w:rPr>
        <w:t>J.</w:t>
      </w:r>
      <w:r>
        <w:rPr>
          <w:rFonts w:ascii="Calibri"/>
          <w:spacing w:val="-6"/>
          <w:sz w:val="20"/>
          <w:vertAlign w:val="baseline"/>
        </w:rPr>
        <w:t> </w:t>
      </w:r>
      <w:r>
        <w:rPr>
          <w:rFonts w:ascii="Calibri"/>
          <w:sz w:val="20"/>
          <w:vertAlign w:val="baseline"/>
        </w:rPr>
        <w:t>et</w:t>
      </w:r>
      <w:r>
        <w:rPr>
          <w:rFonts w:ascii="Calibri"/>
          <w:spacing w:val="-4"/>
          <w:sz w:val="20"/>
          <w:vertAlign w:val="baseline"/>
        </w:rPr>
        <w:t> </w:t>
      </w:r>
      <w:r>
        <w:rPr>
          <w:rFonts w:ascii="Calibri"/>
          <w:sz w:val="20"/>
          <w:vertAlign w:val="baseline"/>
        </w:rPr>
        <w:t>al.</w:t>
      </w:r>
      <w:r>
        <w:rPr>
          <w:rFonts w:ascii="Calibri"/>
          <w:spacing w:val="-7"/>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5"/>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647.</w:t>
      </w:r>
    </w:p>
    <w:p>
      <w:pPr>
        <w:spacing w:before="0"/>
        <w:ind w:left="308" w:right="255" w:firstLine="0"/>
        <w:jc w:val="left"/>
        <w:rPr>
          <w:rFonts w:ascii="Calibri"/>
          <w:sz w:val="20"/>
        </w:rPr>
      </w:pPr>
      <w:r>
        <w:rPr>
          <w:rFonts w:ascii="Calibri"/>
          <w:sz w:val="20"/>
          <w:vertAlign w:val="superscript"/>
        </w:rPr>
        <w:t>196</w:t>
      </w:r>
      <w:r>
        <w:rPr>
          <w:rFonts w:ascii="Calibri"/>
          <w:sz w:val="20"/>
          <w:vertAlign w:val="baseline"/>
        </w:rPr>
        <w:t> A good example of an indirect interest could be where a director represents a major shareholder in the company whose interests conflict with those of the company.</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32"/>
        <w:jc w:val="both"/>
      </w:pPr>
      <w:r>
        <w:rPr/>
        <w:t>director only by virtue of the office he holds in the company.</w:t>
      </w:r>
      <w:r>
        <w:rPr>
          <w:vertAlign w:val="superscript"/>
        </w:rPr>
        <w:t>197</w:t>
      </w:r>
      <w:r>
        <w:rPr>
          <w:vertAlign w:val="baseline"/>
        </w:rPr>
        <w:t> The uncompromising application of this principle has sometimes been questioned.</w:t>
      </w:r>
      <w:r>
        <w:rPr>
          <w:vertAlign w:val="superscript"/>
        </w:rPr>
        <w:t>198</w:t>
      </w:r>
      <w:r>
        <w:rPr>
          <w:vertAlign w:val="baseline"/>
        </w:rPr>
        <w:t> Yet, the courts have</w:t>
      </w:r>
      <w:r>
        <w:rPr>
          <w:spacing w:val="40"/>
          <w:vertAlign w:val="baseline"/>
        </w:rPr>
        <w:t> </w:t>
      </w:r>
      <w:r>
        <w:rPr>
          <w:vertAlign w:val="baseline"/>
        </w:rPr>
        <w:t>from the onset maintained that the principle is as it should be. Lord King once</w:t>
      </w:r>
      <w:r>
        <w:rPr>
          <w:spacing w:val="80"/>
          <w:vertAlign w:val="baseline"/>
        </w:rPr>
        <w:t> </w:t>
      </w:r>
      <w:r>
        <w:rPr>
          <w:vertAlign w:val="baseline"/>
        </w:rPr>
        <w:t>attempted a defence:</w:t>
      </w:r>
    </w:p>
    <w:p>
      <w:pPr>
        <w:spacing w:line="240" w:lineRule="auto" w:before="0"/>
        <w:ind w:left="2007" w:right="1890" w:firstLine="0"/>
        <w:jc w:val="both"/>
        <w:rPr>
          <w:sz w:val="24"/>
        </w:rPr>
      </w:pPr>
      <w:r>
        <w:rPr>
          <w:i/>
          <w:sz w:val="24"/>
        </w:rPr>
        <w:t>This may seem hard, that the trustee is the only person of all mankind who might not have [the property]: but it is very proper that rule should be strictly pursued, and not in the least relaxed; for it is very obvious what would be the consequence of letting trustees have the [property]…‖</w:t>
      </w:r>
      <w:r>
        <w:rPr>
          <w:sz w:val="24"/>
          <w:vertAlign w:val="superscript"/>
        </w:rPr>
        <w:t>199</w:t>
      </w:r>
    </w:p>
    <w:p>
      <w:pPr>
        <w:pStyle w:val="BodyText"/>
        <w:spacing w:before="3"/>
        <w:ind w:left="0"/>
      </w:pPr>
    </w:p>
    <w:p>
      <w:pPr>
        <w:pStyle w:val="BodyText"/>
        <w:spacing w:line="480" w:lineRule="auto"/>
        <w:ind w:right="229" w:firstLine="720"/>
        <w:jc w:val="both"/>
      </w:pPr>
      <w:r>
        <w:rPr/>
        <w:t>Thus, the rule is often applied strictly,</w:t>
      </w:r>
      <w:r>
        <w:rPr>
          <w:vertAlign w:val="superscript"/>
        </w:rPr>
        <w:t>200</w:t>
      </w:r>
      <w:r>
        <w:rPr>
          <w:vertAlign w:val="baseline"/>
        </w:rPr>
        <w:t>so that no defence was furnished by establishing,</w:t>
      </w:r>
      <w:r>
        <w:rPr>
          <w:vertAlign w:val="superscript"/>
        </w:rPr>
        <w:t>201</w:t>
      </w:r>
      <w:r>
        <w:rPr>
          <w:vertAlign w:val="baseline"/>
        </w:rPr>
        <w:t> for example,</w:t>
      </w:r>
      <w:r>
        <w:rPr>
          <w:spacing w:val="40"/>
          <w:vertAlign w:val="baseline"/>
        </w:rPr>
        <w:t> </w:t>
      </w:r>
      <w:r>
        <w:rPr>
          <w:vertAlign w:val="baseline"/>
        </w:rPr>
        <w:t>that the director acted honestly and in good faith throughout;</w:t>
      </w:r>
      <w:r>
        <w:rPr>
          <w:vertAlign w:val="superscript"/>
        </w:rPr>
        <w:t>202</w:t>
      </w:r>
      <w:r>
        <w:rPr>
          <w:vertAlign w:val="baseline"/>
        </w:rPr>
        <w:t> that the profit was acquired through the use of the director‘s own</w:t>
      </w:r>
      <w:r>
        <w:rPr>
          <w:spacing w:val="40"/>
          <w:vertAlign w:val="baseline"/>
        </w:rPr>
        <w:t> </w:t>
      </w:r>
      <w:r>
        <w:rPr>
          <w:vertAlign w:val="baseline"/>
        </w:rPr>
        <w:t>property and/or skill as well as through his directorship;</w:t>
      </w:r>
      <w:r>
        <w:rPr>
          <w:vertAlign w:val="superscript"/>
        </w:rPr>
        <w:t>203</w:t>
      </w:r>
      <w:r>
        <w:rPr>
          <w:vertAlign w:val="baseline"/>
        </w:rPr>
        <w:t> that the disclosure to the general meeting would have been a mere formality because at a general meeting the director had</w:t>
      </w:r>
      <w:r>
        <w:rPr>
          <w:spacing w:val="-1"/>
          <w:vertAlign w:val="baseline"/>
        </w:rPr>
        <w:t> </w:t>
      </w:r>
      <w:r>
        <w:rPr>
          <w:vertAlign w:val="baseline"/>
        </w:rPr>
        <w:t>or could have summoned sufficient votes</w:t>
      </w:r>
      <w:r>
        <w:rPr>
          <w:spacing w:val="-3"/>
          <w:vertAlign w:val="baseline"/>
        </w:rPr>
        <w:t> </w:t>
      </w:r>
      <w:r>
        <w:rPr>
          <w:vertAlign w:val="baseline"/>
        </w:rPr>
        <w:t>to pass</w:t>
      </w:r>
      <w:r>
        <w:rPr>
          <w:spacing w:val="-3"/>
          <w:vertAlign w:val="baseline"/>
        </w:rPr>
        <w:t> </w:t>
      </w:r>
      <w:r>
        <w:rPr>
          <w:vertAlign w:val="baseline"/>
        </w:rPr>
        <w:t>a</w:t>
      </w:r>
      <w:r>
        <w:rPr>
          <w:spacing w:val="-2"/>
          <w:vertAlign w:val="baseline"/>
        </w:rPr>
        <w:t> </w:t>
      </w:r>
      <w:r>
        <w:rPr>
          <w:vertAlign w:val="baseline"/>
        </w:rPr>
        <w:t>resolution</w:t>
      </w:r>
      <w:r>
        <w:rPr>
          <w:spacing w:val="-1"/>
          <w:vertAlign w:val="baseline"/>
        </w:rPr>
        <w:t> </w:t>
      </w:r>
      <w:r>
        <w:rPr>
          <w:vertAlign w:val="baseline"/>
        </w:rPr>
        <w:t>approving his retention of the profit;</w:t>
      </w:r>
      <w:r>
        <w:rPr>
          <w:vertAlign w:val="superscript"/>
        </w:rPr>
        <w:t>204</w:t>
      </w:r>
      <w:r>
        <w:rPr>
          <w:vertAlign w:val="baseline"/>
        </w:rPr>
        <w:t> or that none of the shareholders at the time of the proceedings for an account was a shareholder at the time when the profit was made.</w:t>
      </w:r>
      <w:r>
        <w:rPr>
          <w:vertAlign w:val="superscript"/>
        </w:rPr>
        <w:t>205</w:t>
      </w:r>
    </w:p>
    <w:p>
      <w:pPr>
        <w:pStyle w:val="BodyText"/>
        <w:spacing w:line="480" w:lineRule="auto" w:before="2"/>
        <w:ind w:right="237" w:firstLine="720"/>
        <w:jc w:val="both"/>
      </w:pPr>
      <w:r>
        <w:rPr/>
        <w:t>The idea is that investors having advanced their money</w:t>
      </w:r>
      <w:r>
        <w:rPr>
          <w:spacing w:val="-7"/>
        </w:rPr>
        <w:t> </w:t>
      </w:r>
      <w:r>
        <w:rPr/>
        <w:t>and placed their trusts in the</w:t>
      </w:r>
      <w:r>
        <w:rPr>
          <w:spacing w:val="39"/>
        </w:rPr>
        <w:t> </w:t>
      </w:r>
      <w:r>
        <w:rPr/>
        <w:t>management</w:t>
      </w:r>
      <w:r>
        <w:rPr>
          <w:spacing w:val="41"/>
        </w:rPr>
        <w:t> </w:t>
      </w:r>
      <w:r>
        <w:rPr/>
        <w:t>of</w:t>
      </w:r>
      <w:r>
        <w:rPr>
          <w:spacing w:val="30"/>
        </w:rPr>
        <w:t> </w:t>
      </w:r>
      <w:r>
        <w:rPr/>
        <w:t>the</w:t>
      </w:r>
      <w:r>
        <w:rPr>
          <w:spacing w:val="36"/>
        </w:rPr>
        <w:t> </w:t>
      </w:r>
      <w:r>
        <w:rPr/>
        <w:t>company,</w:t>
      </w:r>
      <w:r>
        <w:rPr>
          <w:spacing w:val="39"/>
        </w:rPr>
        <w:t> </w:t>
      </w:r>
      <w:r>
        <w:rPr/>
        <w:t>are</w:t>
      </w:r>
      <w:r>
        <w:rPr>
          <w:spacing w:val="36"/>
        </w:rPr>
        <w:t> </w:t>
      </w:r>
      <w:r>
        <w:rPr/>
        <w:t>entitled</w:t>
      </w:r>
      <w:r>
        <w:rPr>
          <w:spacing w:val="44"/>
        </w:rPr>
        <w:t> </w:t>
      </w:r>
      <w:r>
        <w:rPr/>
        <w:t>to</w:t>
      </w:r>
      <w:r>
        <w:rPr>
          <w:spacing w:val="37"/>
        </w:rPr>
        <w:t> </w:t>
      </w:r>
      <w:r>
        <w:rPr/>
        <w:t>some</w:t>
      </w:r>
      <w:r>
        <w:rPr>
          <w:spacing w:val="41"/>
        </w:rPr>
        <w:t> </w:t>
      </w:r>
      <w:r>
        <w:rPr/>
        <w:t>assurance</w:t>
      </w:r>
      <w:r>
        <w:rPr>
          <w:spacing w:val="36"/>
        </w:rPr>
        <w:t> </w:t>
      </w:r>
      <w:r>
        <w:rPr/>
        <w:t>that</w:t>
      </w:r>
      <w:r>
        <w:rPr>
          <w:spacing w:val="37"/>
        </w:rPr>
        <w:t> </w:t>
      </w:r>
      <w:r>
        <w:rPr/>
        <w:t>the</w:t>
      </w:r>
      <w:r>
        <w:rPr>
          <w:spacing w:val="37"/>
        </w:rPr>
        <w:t> </w:t>
      </w:r>
      <w:r>
        <w:rPr>
          <w:spacing w:val="-2"/>
        </w:rPr>
        <w:t>company‘s</w:t>
      </w:r>
    </w:p>
    <w:p>
      <w:pPr>
        <w:pStyle w:val="BodyText"/>
        <w:spacing w:before="72"/>
        <w:ind w:left="0"/>
        <w:rPr>
          <w:sz w:val="20"/>
        </w:rPr>
      </w:pPr>
      <w:r>
        <w:rPr/>
        <mc:AlternateContent>
          <mc:Choice Requires="wps">
            <w:drawing>
              <wp:anchor distT="0" distB="0" distL="0" distR="0" allowOverlap="1" layoutInCell="1" locked="0" behindDoc="1" simplePos="0" relativeHeight="487693312">
                <wp:simplePos x="0" y="0"/>
                <wp:positionH relativeFrom="page">
                  <wp:posOffset>1262481</wp:posOffset>
                </wp:positionH>
                <wp:positionV relativeFrom="paragraph">
                  <wp:posOffset>207022</wp:posOffset>
                </wp:positionV>
                <wp:extent cx="1829435" cy="9525"/>
                <wp:effectExtent l="0" t="0" r="0" b="0"/>
                <wp:wrapTopAndBottom/>
                <wp:docPr id="232" name="Graphic 232"/>
                <wp:cNvGraphicFramePr>
                  <a:graphicFrameLocks/>
                </wp:cNvGraphicFramePr>
                <a:graphic>
                  <a:graphicData uri="http://schemas.microsoft.com/office/word/2010/wordprocessingShape">
                    <wps:wsp>
                      <wps:cNvPr id="232" name="Graphic 232"/>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300985pt;width:144.050pt;height:.72003pt;mso-position-horizontal-relative:page;mso-position-vertical-relative:paragraph;z-index:-15623168;mso-wrap-distance-left:0;mso-wrap-distance-right:0" id="docshape187"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197</w:t>
      </w:r>
      <w:r>
        <w:rPr>
          <w:rFonts w:ascii="Calibri"/>
          <w:i/>
          <w:sz w:val="20"/>
          <w:vertAlign w:val="baseline"/>
        </w:rPr>
        <w:t>Green</w:t>
      </w:r>
      <w:r>
        <w:rPr>
          <w:rFonts w:ascii="Calibri"/>
          <w:i/>
          <w:spacing w:val="-6"/>
          <w:sz w:val="20"/>
          <w:vertAlign w:val="baseline"/>
        </w:rPr>
        <w:t> </w:t>
      </w:r>
      <w:r>
        <w:rPr>
          <w:rFonts w:ascii="Calibri"/>
          <w:i/>
          <w:sz w:val="20"/>
          <w:vertAlign w:val="baseline"/>
        </w:rPr>
        <w:t>&amp;</w:t>
      </w:r>
      <w:r>
        <w:rPr>
          <w:rFonts w:ascii="Calibri"/>
          <w:i/>
          <w:spacing w:val="-5"/>
          <w:sz w:val="20"/>
          <w:vertAlign w:val="baseline"/>
        </w:rPr>
        <w:t> </w:t>
      </w:r>
      <w:r>
        <w:rPr>
          <w:rFonts w:ascii="Calibri"/>
          <w:i/>
          <w:sz w:val="20"/>
          <w:vertAlign w:val="baseline"/>
        </w:rPr>
        <w:t>Clara</w:t>
      </w:r>
      <w:r>
        <w:rPr>
          <w:rFonts w:ascii="Calibri"/>
          <w:i/>
          <w:spacing w:val="-6"/>
          <w:sz w:val="20"/>
          <w:vertAlign w:val="baseline"/>
        </w:rPr>
        <w:t> </w:t>
      </w:r>
      <w:r>
        <w:rPr>
          <w:rFonts w:ascii="Calibri"/>
          <w:i/>
          <w:sz w:val="20"/>
          <w:vertAlign w:val="baseline"/>
        </w:rPr>
        <w:t>Pty.</w:t>
      </w:r>
      <w:r>
        <w:rPr>
          <w:rFonts w:ascii="Calibri"/>
          <w:i/>
          <w:spacing w:val="-9"/>
          <w:sz w:val="20"/>
          <w:vertAlign w:val="baseline"/>
        </w:rPr>
        <w:t> </w:t>
      </w:r>
      <w:r>
        <w:rPr>
          <w:rFonts w:ascii="Calibri"/>
          <w:i/>
          <w:sz w:val="20"/>
          <w:vertAlign w:val="baseline"/>
        </w:rPr>
        <w:t>Ltd.</w:t>
      </w:r>
      <w:r>
        <w:rPr>
          <w:rFonts w:ascii="Calibri"/>
          <w:i/>
          <w:spacing w:val="-5"/>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Bestobell</w:t>
      </w:r>
      <w:r>
        <w:rPr>
          <w:rFonts w:ascii="Calibri"/>
          <w:i/>
          <w:spacing w:val="-5"/>
          <w:sz w:val="20"/>
          <w:vertAlign w:val="baseline"/>
        </w:rPr>
        <w:t> </w:t>
      </w:r>
      <w:r>
        <w:rPr>
          <w:rFonts w:ascii="Calibri"/>
          <w:i/>
          <w:sz w:val="20"/>
          <w:vertAlign w:val="baseline"/>
        </w:rPr>
        <w:t>Industries</w:t>
      </w:r>
      <w:r>
        <w:rPr>
          <w:rFonts w:ascii="Calibri"/>
          <w:i/>
          <w:spacing w:val="-9"/>
          <w:sz w:val="20"/>
          <w:vertAlign w:val="baseline"/>
        </w:rPr>
        <w:t> </w:t>
      </w:r>
      <w:r>
        <w:rPr>
          <w:rFonts w:ascii="Calibri"/>
          <w:i/>
          <w:sz w:val="20"/>
          <w:vertAlign w:val="baseline"/>
        </w:rPr>
        <w:t>Pty.</w:t>
      </w:r>
      <w:r>
        <w:rPr>
          <w:rFonts w:ascii="Calibri"/>
          <w:i/>
          <w:spacing w:val="-5"/>
          <w:sz w:val="20"/>
          <w:vertAlign w:val="baseline"/>
        </w:rPr>
        <w:t> </w:t>
      </w:r>
      <w:r>
        <w:rPr>
          <w:rFonts w:ascii="Calibri"/>
          <w:i/>
          <w:sz w:val="20"/>
          <w:vertAlign w:val="baseline"/>
        </w:rPr>
        <w:t>Ltd.</w:t>
      </w:r>
      <w:r>
        <w:rPr>
          <w:rFonts w:ascii="Calibri"/>
          <w:i/>
          <w:spacing w:val="-2"/>
          <w:sz w:val="20"/>
          <w:vertAlign w:val="baseline"/>
        </w:rPr>
        <w:t> </w:t>
      </w:r>
      <w:r>
        <w:rPr>
          <w:rFonts w:ascii="Calibri"/>
          <w:sz w:val="20"/>
          <w:vertAlign w:val="baseline"/>
        </w:rPr>
        <w:t>(1982)</w:t>
      </w:r>
      <w:r>
        <w:rPr>
          <w:rFonts w:ascii="Calibri"/>
          <w:spacing w:val="-2"/>
          <w:sz w:val="20"/>
          <w:vertAlign w:val="baseline"/>
        </w:rPr>
        <w:t> </w:t>
      </w:r>
      <w:r>
        <w:rPr>
          <w:rFonts w:ascii="Calibri"/>
          <w:sz w:val="20"/>
          <w:vertAlign w:val="baseline"/>
        </w:rPr>
        <w:t>WAR</w:t>
      </w:r>
      <w:r>
        <w:rPr>
          <w:rFonts w:ascii="Calibri"/>
          <w:spacing w:val="-6"/>
          <w:sz w:val="20"/>
          <w:vertAlign w:val="baseline"/>
        </w:rPr>
        <w:t> </w:t>
      </w:r>
      <w:r>
        <w:rPr>
          <w:rFonts w:ascii="Calibri"/>
          <w:sz w:val="20"/>
          <w:vertAlign w:val="baseline"/>
        </w:rPr>
        <w:t>1,</w:t>
      </w:r>
      <w:r>
        <w:rPr>
          <w:rFonts w:ascii="Calibri"/>
          <w:spacing w:val="-5"/>
          <w:sz w:val="20"/>
          <w:vertAlign w:val="baseline"/>
        </w:rPr>
        <w:t> </w:t>
      </w:r>
      <w:r>
        <w:rPr>
          <w:rFonts w:ascii="Calibri"/>
          <w:sz w:val="20"/>
          <w:vertAlign w:val="baseline"/>
        </w:rPr>
        <w:t>at</w:t>
      </w:r>
      <w:r>
        <w:rPr>
          <w:rFonts w:ascii="Calibri"/>
          <w:spacing w:val="-3"/>
          <w:sz w:val="20"/>
          <w:vertAlign w:val="baseline"/>
        </w:rPr>
        <w:t> </w:t>
      </w:r>
      <w:r>
        <w:rPr>
          <w:rFonts w:ascii="Calibri"/>
          <w:sz w:val="20"/>
          <w:vertAlign w:val="baseline"/>
        </w:rPr>
        <w:t>5-</w:t>
      </w:r>
      <w:r>
        <w:rPr>
          <w:rFonts w:ascii="Calibri"/>
          <w:spacing w:val="-5"/>
          <w:sz w:val="20"/>
          <w:vertAlign w:val="baseline"/>
        </w:rPr>
        <w:t>6.</w:t>
      </w:r>
    </w:p>
    <w:p>
      <w:pPr>
        <w:spacing w:line="237" w:lineRule="auto" w:before="3"/>
        <w:ind w:left="308" w:right="224" w:firstLine="0"/>
        <w:jc w:val="both"/>
        <w:rPr>
          <w:rFonts w:ascii="Calibri"/>
          <w:sz w:val="20"/>
        </w:rPr>
      </w:pPr>
      <w:r>
        <w:rPr>
          <w:rFonts w:ascii="Calibri"/>
          <w:sz w:val="20"/>
          <w:vertAlign w:val="superscript"/>
        </w:rPr>
        <w:t>198</w:t>
      </w:r>
      <w:r>
        <w:rPr>
          <w:rFonts w:ascii="Calibri"/>
          <w:sz w:val="20"/>
          <w:vertAlign w:val="baseline"/>
        </w:rPr>
        <w:t> For example, there have been criticisms of its application</w:t>
      </w:r>
      <w:r>
        <w:rPr>
          <w:rFonts w:ascii="Calibri"/>
          <w:spacing w:val="-3"/>
          <w:sz w:val="20"/>
          <w:vertAlign w:val="baseline"/>
        </w:rPr>
        <w:t> </w:t>
      </w:r>
      <w:r>
        <w:rPr>
          <w:rFonts w:ascii="Calibri"/>
          <w:sz w:val="20"/>
          <w:vertAlign w:val="baseline"/>
        </w:rPr>
        <w:t>in </w:t>
      </w:r>
      <w:r>
        <w:rPr>
          <w:rFonts w:ascii="Calibri"/>
          <w:i/>
          <w:sz w:val="20"/>
          <w:vertAlign w:val="baseline"/>
        </w:rPr>
        <w:t>Regal (Hastings) Ltd. vs. Gulliver </w:t>
      </w:r>
      <w:r>
        <w:rPr>
          <w:rFonts w:ascii="Calibri"/>
          <w:sz w:val="20"/>
          <w:vertAlign w:val="baseline"/>
        </w:rPr>
        <w:t>(1942) 1 All ER 378. See Wild, C. and Weinstein, S.op.cit. at 335; Davies, L.P. and Worthington, S. op.cit. at 593; Birds, J. et al. op.cit. at pp. 647-648.</w:t>
      </w:r>
    </w:p>
    <w:p>
      <w:pPr>
        <w:spacing w:before="3"/>
        <w:ind w:left="308" w:right="0" w:firstLine="0"/>
        <w:jc w:val="both"/>
        <w:rPr>
          <w:rFonts w:ascii="Calibri"/>
          <w:sz w:val="20"/>
        </w:rPr>
      </w:pPr>
      <w:r>
        <w:rPr>
          <w:rFonts w:ascii="Calibri"/>
          <w:sz w:val="20"/>
          <w:vertAlign w:val="superscript"/>
        </w:rPr>
        <w:t>199</w:t>
      </w:r>
      <w:r>
        <w:rPr>
          <w:rFonts w:ascii="Calibri"/>
          <w:i/>
          <w:sz w:val="20"/>
          <w:vertAlign w:val="baseline"/>
        </w:rPr>
        <w:t>Keech</w:t>
      </w:r>
      <w:r>
        <w:rPr>
          <w:rFonts w:ascii="Calibri"/>
          <w:i/>
          <w:spacing w:val="-8"/>
          <w:sz w:val="20"/>
          <w:vertAlign w:val="baseline"/>
        </w:rPr>
        <w:t> </w:t>
      </w:r>
      <w:r>
        <w:rPr>
          <w:rFonts w:ascii="Calibri"/>
          <w:i/>
          <w:sz w:val="20"/>
          <w:vertAlign w:val="baseline"/>
        </w:rPr>
        <w:t>vs.</w:t>
      </w:r>
      <w:r>
        <w:rPr>
          <w:rFonts w:ascii="Calibri"/>
          <w:i/>
          <w:spacing w:val="-7"/>
          <w:sz w:val="20"/>
          <w:vertAlign w:val="baseline"/>
        </w:rPr>
        <w:t> </w:t>
      </w:r>
      <w:r>
        <w:rPr>
          <w:rFonts w:ascii="Calibri"/>
          <w:i/>
          <w:sz w:val="20"/>
          <w:vertAlign w:val="baseline"/>
        </w:rPr>
        <w:t>Sandford</w:t>
      </w:r>
      <w:r>
        <w:rPr>
          <w:rFonts w:ascii="Calibri"/>
          <w:i/>
          <w:spacing w:val="-5"/>
          <w:sz w:val="20"/>
          <w:vertAlign w:val="baseline"/>
        </w:rPr>
        <w:t> </w:t>
      </w:r>
      <w:r>
        <w:rPr>
          <w:rFonts w:ascii="Calibri"/>
          <w:sz w:val="20"/>
          <w:vertAlign w:val="baseline"/>
        </w:rPr>
        <w:t>(1726)</w:t>
      </w:r>
      <w:r>
        <w:rPr>
          <w:rFonts w:ascii="Calibri"/>
          <w:spacing w:val="-4"/>
          <w:sz w:val="20"/>
          <w:vertAlign w:val="baseline"/>
        </w:rPr>
        <w:t> </w:t>
      </w:r>
      <w:r>
        <w:rPr>
          <w:rFonts w:ascii="Calibri"/>
          <w:sz w:val="20"/>
          <w:vertAlign w:val="baseline"/>
        </w:rPr>
        <w:t>Sen.</w:t>
      </w:r>
      <w:r>
        <w:rPr>
          <w:rFonts w:ascii="Calibri"/>
          <w:spacing w:val="-7"/>
          <w:sz w:val="20"/>
          <w:vertAlign w:val="baseline"/>
        </w:rPr>
        <w:t> </w:t>
      </w:r>
      <w:r>
        <w:rPr>
          <w:rFonts w:ascii="Calibri"/>
          <w:sz w:val="20"/>
          <w:vertAlign w:val="baseline"/>
        </w:rPr>
        <w:t>Cas.</w:t>
      </w:r>
      <w:r>
        <w:rPr>
          <w:rFonts w:ascii="Calibri"/>
          <w:spacing w:val="-3"/>
          <w:sz w:val="20"/>
          <w:vertAlign w:val="baseline"/>
        </w:rPr>
        <w:t> </w:t>
      </w:r>
      <w:r>
        <w:rPr>
          <w:rFonts w:ascii="Calibri"/>
          <w:sz w:val="20"/>
          <w:vertAlign w:val="baseline"/>
        </w:rPr>
        <w:t>Ch.</w:t>
      </w:r>
      <w:r>
        <w:rPr>
          <w:rFonts w:ascii="Calibri"/>
          <w:spacing w:val="-2"/>
          <w:sz w:val="20"/>
          <w:vertAlign w:val="baseline"/>
        </w:rPr>
        <w:t> </w:t>
      </w:r>
      <w:r>
        <w:rPr>
          <w:rFonts w:ascii="Calibri"/>
          <w:spacing w:val="-5"/>
          <w:sz w:val="20"/>
          <w:vertAlign w:val="baseline"/>
        </w:rPr>
        <w:t>61.</w:t>
      </w:r>
    </w:p>
    <w:p>
      <w:pPr>
        <w:spacing w:before="0"/>
        <w:ind w:left="308" w:right="224" w:firstLine="0"/>
        <w:jc w:val="both"/>
        <w:rPr>
          <w:rFonts w:ascii="Calibri" w:hAnsi="Calibri"/>
          <w:sz w:val="20"/>
        </w:rPr>
      </w:pPr>
      <w:r>
        <w:rPr>
          <w:rFonts w:ascii="Calibri" w:hAnsi="Calibri"/>
          <w:sz w:val="20"/>
          <w:vertAlign w:val="superscript"/>
        </w:rPr>
        <w:t>200</w:t>
      </w:r>
      <w:r>
        <w:rPr>
          <w:rFonts w:ascii="Calibri" w:hAnsi="Calibri"/>
          <w:sz w:val="20"/>
          <w:vertAlign w:val="baseline"/>
        </w:rPr>
        <w:t> Hudson, A. op.cit., p. 32; Corkery, F.J. (1987).</w:t>
      </w:r>
      <w:r>
        <w:rPr>
          <w:rFonts w:ascii="Calibri" w:hAnsi="Calibri"/>
          <w:i/>
          <w:sz w:val="20"/>
          <w:vertAlign w:val="baseline"/>
        </w:rPr>
        <w:t>Directors’ Powers and Duties</w:t>
      </w:r>
      <w:r>
        <w:rPr>
          <w:rFonts w:ascii="Calibri" w:hAnsi="Calibri"/>
          <w:sz w:val="20"/>
          <w:vertAlign w:val="baseline"/>
        </w:rPr>
        <w:t>, Longman Cheshire, Melbourne Australia, p. 83; Christie, M. op.cit., at p. 509. See also the cases of </w:t>
      </w:r>
      <w:r>
        <w:rPr>
          <w:rFonts w:ascii="Calibri" w:hAnsi="Calibri"/>
          <w:i/>
          <w:sz w:val="20"/>
          <w:vertAlign w:val="baseline"/>
        </w:rPr>
        <w:t>Regal (Hastings) Ltd. vs. Gulliver </w:t>
      </w:r>
      <w:r>
        <w:rPr>
          <w:rFonts w:ascii="Calibri" w:hAnsi="Calibri"/>
          <w:sz w:val="20"/>
          <w:vertAlign w:val="baseline"/>
        </w:rPr>
        <w:t>(1942) 1 All ER 378;</w:t>
      </w:r>
      <w:r>
        <w:rPr>
          <w:rFonts w:ascii="Calibri" w:hAnsi="Calibri"/>
          <w:i/>
          <w:sz w:val="20"/>
          <w:vertAlign w:val="baseline"/>
        </w:rPr>
        <w:t>Boardman vs. Phipps </w:t>
      </w:r>
      <w:r>
        <w:rPr>
          <w:rFonts w:ascii="Calibri" w:hAnsi="Calibri"/>
          <w:sz w:val="20"/>
          <w:vertAlign w:val="baseline"/>
        </w:rPr>
        <w:t>[1967] 2 AC 47 and </w:t>
      </w:r>
      <w:r>
        <w:rPr>
          <w:rFonts w:ascii="Calibri" w:hAnsi="Calibri"/>
          <w:i/>
          <w:sz w:val="20"/>
          <w:vertAlign w:val="baseline"/>
        </w:rPr>
        <w:t>Keech vs. Sandford </w:t>
      </w:r>
      <w:r>
        <w:rPr>
          <w:rFonts w:ascii="Calibri" w:hAnsi="Calibri"/>
          <w:sz w:val="20"/>
          <w:vertAlign w:val="baseline"/>
        </w:rPr>
        <w:t>(1726) Sel. Cas.</w:t>
      </w:r>
    </w:p>
    <w:p>
      <w:pPr>
        <w:spacing w:line="242" w:lineRule="exact" w:before="2"/>
        <w:ind w:left="308" w:right="0" w:firstLine="0"/>
        <w:jc w:val="both"/>
        <w:rPr>
          <w:rFonts w:ascii="Calibri"/>
          <w:sz w:val="20"/>
        </w:rPr>
      </w:pPr>
      <w:r>
        <w:rPr>
          <w:rFonts w:ascii="Calibri"/>
          <w:sz w:val="20"/>
        </w:rPr>
        <w:t>Ch.</w:t>
      </w:r>
      <w:r>
        <w:rPr>
          <w:rFonts w:ascii="Calibri"/>
          <w:spacing w:val="1"/>
          <w:sz w:val="20"/>
        </w:rPr>
        <w:t> </w:t>
      </w:r>
      <w:r>
        <w:rPr>
          <w:rFonts w:ascii="Calibri"/>
          <w:spacing w:val="-5"/>
          <w:sz w:val="20"/>
        </w:rPr>
        <w:t>61.</w:t>
      </w:r>
    </w:p>
    <w:p>
      <w:pPr>
        <w:spacing w:line="242" w:lineRule="exact" w:before="0"/>
        <w:ind w:left="308" w:right="0" w:firstLine="0"/>
        <w:jc w:val="both"/>
        <w:rPr>
          <w:rFonts w:ascii="Calibri"/>
          <w:sz w:val="20"/>
        </w:rPr>
      </w:pPr>
      <w:r>
        <w:rPr>
          <w:rFonts w:ascii="Calibri"/>
          <w:sz w:val="20"/>
          <w:vertAlign w:val="superscript"/>
        </w:rPr>
        <w:t>201</w:t>
      </w:r>
      <w:r>
        <w:rPr>
          <w:rFonts w:ascii="Calibri"/>
          <w:sz w:val="20"/>
          <w:vertAlign w:val="baseline"/>
        </w:rPr>
        <w:t> See</w:t>
      </w:r>
      <w:r>
        <w:rPr>
          <w:rFonts w:ascii="Calibri"/>
          <w:spacing w:val="-6"/>
          <w:sz w:val="20"/>
          <w:vertAlign w:val="baseline"/>
        </w:rPr>
        <w:t> </w:t>
      </w:r>
      <w:r>
        <w:rPr>
          <w:rFonts w:ascii="Calibri"/>
          <w:sz w:val="20"/>
          <w:vertAlign w:val="baseline"/>
        </w:rPr>
        <w:t>Birds,</w:t>
      </w:r>
      <w:r>
        <w:rPr>
          <w:rFonts w:ascii="Calibri"/>
          <w:spacing w:val="-3"/>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et</w:t>
      </w:r>
      <w:r>
        <w:rPr>
          <w:rFonts w:ascii="Calibri"/>
          <w:spacing w:val="-7"/>
          <w:sz w:val="20"/>
          <w:vertAlign w:val="baseline"/>
        </w:rPr>
        <w:t> </w:t>
      </w:r>
      <w:r>
        <w:rPr>
          <w:rFonts w:ascii="Calibri"/>
          <w:sz w:val="20"/>
          <w:vertAlign w:val="baseline"/>
        </w:rPr>
        <w:t>al.</w:t>
      </w:r>
      <w:r>
        <w:rPr>
          <w:rFonts w:ascii="Calibri"/>
          <w:spacing w:val="-4"/>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pp.</w:t>
      </w:r>
      <w:r>
        <w:rPr>
          <w:rFonts w:ascii="Calibri"/>
          <w:spacing w:val="-4"/>
          <w:sz w:val="20"/>
          <w:vertAlign w:val="baseline"/>
        </w:rPr>
        <w:t> </w:t>
      </w:r>
      <w:r>
        <w:rPr>
          <w:rFonts w:ascii="Calibri"/>
          <w:sz w:val="20"/>
          <w:vertAlign w:val="baseline"/>
        </w:rPr>
        <w:t>648-</w:t>
      </w:r>
      <w:r>
        <w:rPr>
          <w:rFonts w:ascii="Calibri"/>
          <w:spacing w:val="-4"/>
          <w:sz w:val="20"/>
          <w:vertAlign w:val="baseline"/>
        </w:rPr>
        <w:t>649.</w:t>
      </w:r>
    </w:p>
    <w:p>
      <w:pPr>
        <w:spacing w:before="1"/>
        <w:ind w:left="308" w:right="0" w:firstLine="0"/>
        <w:jc w:val="left"/>
        <w:rPr>
          <w:rFonts w:ascii="Calibri"/>
          <w:sz w:val="20"/>
        </w:rPr>
      </w:pPr>
      <w:r>
        <w:rPr>
          <w:rFonts w:ascii="Calibri"/>
          <w:sz w:val="20"/>
          <w:vertAlign w:val="superscript"/>
        </w:rPr>
        <w:t>202</w:t>
      </w:r>
      <w:r>
        <w:rPr>
          <w:rFonts w:ascii="Calibri"/>
          <w:i/>
          <w:sz w:val="20"/>
          <w:vertAlign w:val="baseline"/>
        </w:rPr>
        <w:t>Parker</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McKenna</w:t>
      </w:r>
      <w:r>
        <w:rPr>
          <w:rFonts w:ascii="Calibri"/>
          <w:i/>
          <w:spacing w:val="8"/>
          <w:sz w:val="20"/>
          <w:vertAlign w:val="baseline"/>
        </w:rPr>
        <w:t> </w:t>
      </w:r>
      <w:r>
        <w:rPr>
          <w:rFonts w:ascii="Calibri"/>
          <w:sz w:val="20"/>
          <w:vertAlign w:val="baseline"/>
        </w:rPr>
        <w:t>(1874)</w:t>
      </w:r>
      <w:r>
        <w:rPr>
          <w:rFonts w:ascii="Calibri"/>
          <w:spacing w:val="9"/>
          <w:sz w:val="20"/>
          <w:vertAlign w:val="baseline"/>
        </w:rPr>
        <w:t> </w:t>
      </w:r>
      <w:r>
        <w:rPr>
          <w:rFonts w:ascii="Calibri"/>
          <w:sz w:val="20"/>
          <w:vertAlign w:val="baseline"/>
        </w:rPr>
        <w:t>10</w:t>
      </w:r>
      <w:r>
        <w:rPr>
          <w:rFonts w:ascii="Calibri"/>
          <w:spacing w:val="7"/>
          <w:sz w:val="20"/>
          <w:vertAlign w:val="baseline"/>
        </w:rPr>
        <w:t> </w:t>
      </w:r>
      <w:r>
        <w:rPr>
          <w:rFonts w:ascii="Calibri"/>
          <w:sz w:val="20"/>
          <w:vertAlign w:val="baseline"/>
        </w:rPr>
        <w:t>Ch</w:t>
      </w:r>
      <w:r>
        <w:rPr>
          <w:rFonts w:ascii="Calibri"/>
          <w:spacing w:val="7"/>
          <w:sz w:val="20"/>
          <w:vertAlign w:val="baseline"/>
        </w:rPr>
        <w:t> </w:t>
      </w:r>
      <w:r>
        <w:rPr>
          <w:rFonts w:ascii="Calibri"/>
          <w:sz w:val="20"/>
          <w:vertAlign w:val="baseline"/>
        </w:rPr>
        <w:t>App</w:t>
      </w:r>
      <w:r>
        <w:rPr>
          <w:rFonts w:ascii="Calibri"/>
          <w:spacing w:val="7"/>
          <w:sz w:val="20"/>
          <w:vertAlign w:val="baseline"/>
        </w:rPr>
        <w:t> </w:t>
      </w:r>
      <w:r>
        <w:rPr>
          <w:rFonts w:ascii="Calibri"/>
          <w:sz w:val="20"/>
          <w:vertAlign w:val="baseline"/>
        </w:rPr>
        <w:t>96;</w:t>
      </w:r>
      <w:r>
        <w:rPr>
          <w:rFonts w:ascii="Calibri"/>
          <w:spacing w:val="10"/>
          <w:sz w:val="20"/>
          <w:vertAlign w:val="baseline"/>
        </w:rPr>
        <w:t> </w:t>
      </w:r>
      <w:r>
        <w:rPr>
          <w:rFonts w:ascii="Calibri"/>
          <w:i/>
          <w:sz w:val="20"/>
          <w:vertAlign w:val="baseline"/>
        </w:rPr>
        <w:t>Costa</w:t>
      </w:r>
      <w:r>
        <w:rPr>
          <w:rFonts w:ascii="Calibri"/>
          <w:i/>
          <w:spacing w:val="9"/>
          <w:sz w:val="20"/>
          <w:vertAlign w:val="baseline"/>
        </w:rPr>
        <w:t> </w:t>
      </w:r>
      <w:r>
        <w:rPr>
          <w:rFonts w:ascii="Calibri"/>
          <w:i/>
          <w:sz w:val="20"/>
          <w:vertAlign w:val="baseline"/>
        </w:rPr>
        <w:t>Rica</w:t>
      </w:r>
      <w:r>
        <w:rPr>
          <w:rFonts w:ascii="Calibri"/>
          <w:i/>
          <w:spacing w:val="10"/>
          <w:sz w:val="20"/>
          <w:vertAlign w:val="baseline"/>
        </w:rPr>
        <w:t> </w:t>
      </w:r>
      <w:r>
        <w:rPr>
          <w:rFonts w:ascii="Calibri"/>
          <w:i/>
          <w:sz w:val="20"/>
          <w:vertAlign w:val="baseline"/>
        </w:rPr>
        <w:t>Ry</w:t>
      </w:r>
      <w:r>
        <w:rPr>
          <w:rFonts w:ascii="Calibri"/>
          <w:i/>
          <w:spacing w:val="9"/>
          <w:sz w:val="20"/>
          <w:vertAlign w:val="baseline"/>
        </w:rPr>
        <w:t> </w:t>
      </w:r>
      <w:r>
        <w:rPr>
          <w:rFonts w:ascii="Calibri"/>
          <w:i/>
          <w:sz w:val="20"/>
          <w:vertAlign w:val="baseline"/>
        </w:rPr>
        <w:t>Co.</w:t>
      </w:r>
      <w:r>
        <w:rPr>
          <w:rFonts w:ascii="Calibri"/>
          <w:i/>
          <w:spacing w:val="10"/>
          <w:sz w:val="20"/>
          <w:vertAlign w:val="baseline"/>
        </w:rPr>
        <w:t> </w:t>
      </w:r>
      <w:r>
        <w:rPr>
          <w:rFonts w:ascii="Calibri"/>
          <w:i/>
          <w:sz w:val="20"/>
          <w:vertAlign w:val="baseline"/>
        </w:rPr>
        <w:t>vs.</w:t>
      </w:r>
      <w:r>
        <w:rPr>
          <w:rFonts w:ascii="Calibri"/>
          <w:i/>
          <w:spacing w:val="9"/>
          <w:sz w:val="20"/>
          <w:vertAlign w:val="baseline"/>
        </w:rPr>
        <w:t> </w:t>
      </w:r>
      <w:r>
        <w:rPr>
          <w:rFonts w:ascii="Calibri"/>
          <w:i/>
          <w:sz w:val="20"/>
          <w:vertAlign w:val="baseline"/>
        </w:rPr>
        <w:t>Forwood</w:t>
      </w:r>
      <w:r>
        <w:rPr>
          <w:rFonts w:ascii="Calibri"/>
          <w:i/>
          <w:spacing w:val="11"/>
          <w:sz w:val="20"/>
          <w:vertAlign w:val="baseline"/>
        </w:rPr>
        <w:t> </w:t>
      </w:r>
      <w:r>
        <w:rPr>
          <w:rFonts w:ascii="Calibri"/>
          <w:sz w:val="20"/>
          <w:vertAlign w:val="baseline"/>
        </w:rPr>
        <w:t>(1901)</w:t>
      </w:r>
      <w:r>
        <w:rPr>
          <w:rFonts w:ascii="Calibri"/>
          <w:spacing w:val="9"/>
          <w:sz w:val="20"/>
          <w:vertAlign w:val="baseline"/>
        </w:rPr>
        <w:t> </w:t>
      </w:r>
      <w:r>
        <w:rPr>
          <w:rFonts w:ascii="Calibri"/>
          <w:sz w:val="20"/>
          <w:vertAlign w:val="baseline"/>
        </w:rPr>
        <w:t>1</w:t>
      </w:r>
      <w:r>
        <w:rPr>
          <w:rFonts w:ascii="Calibri"/>
          <w:spacing w:val="7"/>
          <w:sz w:val="20"/>
          <w:vertAlign w:val="baseline"/>
        </w:rPr>
        <w:t> </w:t>
      </w:r>
      <w:r>
        <w:rPr>
          <w:rFonts w:ascii="Calibri"/>
          <w:sz w:val="20"/>
          <w:vertAlign w:val="baseline"/>
        </w:rPr>
        <w:t>Ch</w:t>
      </w:r>
      <w:r>
        <w:rPr>
          <w:rFonts w:ascii="Calibri"/>
          <w:spacing w:val="7"/>
          <w:sz w:val="20"/>
          <w:vertAlign w:val="baseline"/>
        </w:rPr>
        <w:t> </w:t>
      </w:r>
      <w:r>
        <w:rPr>
          <w:rFonts w:ascii="Calibri"/>
          <w:sz w:val="20"/>
          <w:vertAlign w:val="baseline"/>
        </w:rPr>
        <w:t>746;</w:t>
      </w:r>
      <w:r>
        <w:rPr>
          <w:rFonts w:ascii="Calibri"/>
          <w:spacing w:val="8"/>
          <w:sz w:val="20"/>
          <w:vertAlign w:val="baseline"/>
        </w:rPr>
        <w:t> </w:t>
      </w:r>
      <w:r>
        <w:rPr>
          <w:rFonts w:ascii="Calibri"/>
          <w:spacing w:val="-2"/>
          <w:sz w:val="20"/>
          <w:vertAlign w:val="baseline"/>
        </w:rPr>
        <w:t>Boardman</w:t>
      </w:r>
    </w:p>
    <w:p>
      <w:pPr>
        <w:spacing w:before="1"/>
        <w:ind w:left="308" w:right="0" w:firstLine="0"/>
        <w:jc w:val="both"/>
        <w:rPr>
          <w:rFonts w:ascii="Calibri"/>
          <w:sz w:val="20"/>
        </w:rPr>
      </w:pPr>
      <w:r>
        <w:rPr>
          <w:rFonts w:ascii="Calibri"/>
          <w:sz w:val="20"/>
        </w:rPr>
        <w:t>vs.</w:t>
      </w:r>
      <w:r>
        <w:rPr>
          <w:rFonts w:ascii="Calibri"/>
          <w:spacing w:val="-1"/>
          <w:sz w:val="20"/>
        </w:rPr>
        <w:t> </w:t>
      </w:r>
      <w:r>
        <w:rPr>
          <w:rFonts w:ascii="Calibri"/>
          <w:sz w:val="20"/>
        </w:rPr>
        <w:t>Phipps</w:t>
      </w:r>
      <w:r>
        <w:rPr>
          <w:rFonts w:ascii="Calibri"/>
          <w:spacing w:val="-8"/>
          <w:sz w:val="20"/>
        </w:rPr>
        <w:t> </w:t>
      </w:r>
      <w:r>
        <w:rPr>
          <w:rFonts w:ascii="Calibri"/>
          <w:sz w:val="20"/>
        </w:rPr>
        <w:t>(1967)</w:t>
      </w:r>
      <w:r>
        <w:rPr>
          <w:rFonts w:ascii="Calibri"/>
          <w:spacing w:val="-1"/>
          <w:sz w:val="20"/>
        </w:rPr>
        <w:t> </w:t>
      </w:r>
      <w:r>
        <w:rPr>
          <w:rFonts w:ascii="Calibri"/>
          <w:sz w:val="20"/>
        </w:rPr>
        <w:t>2</w:t>
      </w:r>
      <w:r>
        <w:rPr>
          <w:rFonts w:ascii="Calibri"/>
          <w:spacing w:val="-7"/>
          <w:sz w:val="20"/>
        </w:rPr>
        <w:t> </w:t>
      </w:r>
      <w:r>
        <w:rPr>
          <w:rFonts w:ascii="Calibri"/>
          <w:sz w:val="20"/>
        </w:rPr>
        <w:t>AC</w:t>
      </w:r>
      <w:r>
        <w:rPr>
          <w:rFonts w:ascii="Calibri"/>
          <w:spacing w:val="-4"/>
          <w:sz w:val="20"/>
        </w:rPr>
        <w:t> </w:t>
      </w:r>
      <w:r>
        <w:rPr>
          <w:rFonts w:ascii="Calibri"/>
          <w:sz w:val="20"/>
        </w:rPr>
        <w:t>46,</w:t>
      </w:r>
      <w:r>
        <w:rPr>
          <w:rFonts w:ascii="Calibri"/>
          <w:spacing w:val="-3"/>
          <w:sz w:val="20"/>
        </w:rPr>
        <w:t> </w:t>
      </w:r>
      <w:r>
        <w:rPr>
          <w:rFonts w:ascii="Calibri"/>
          <w:spacing w:val="-5"/>
          <w:sz w:val="20"/>
        </w:rPr>
        <w:t>HL.</w:t>
      </w:r>
    </w:p>
    <w:p>
      <w:pPr>
        <w:spacing w:before="1"/>
        <w:ind w:left="308" w:right="0" w:firstLine="0"/>
        <w:jc w:val="left"/>
        <w:rPr>
          <w:rFonts w:ascii="Calibri"/>
          <w:sz w:val="20"/>
        </w:rPr>
      </w:pPr>
      <w:r>
        <w:rPr>
          <w:rFonts w:ascii="Calibri"/>
          <w:sz w:val="20"/>
          <w:vertAlign w:val="superscript"/>
        </w:rPr>
        <w:t>203</w:t>
      </w:r>
      <w:r>
        <w:rPr>
          <w:rFonts w:ascii="Calibri"/>
          <w:i/>
          <w:sz w:val="20"/>
          <w:vertAlign w:val="baseline"/>
        </w:rPr>
        <w:t>Parker</w:t>
      </w:r>
      <w:r>
        <w:rPr>
          <w:rFonts w:ascii="Calibri"/>
          <w:i/>
          <w:spacing w:val="33"/>
          <w:sz w:val="20"/>
          <w:vertAlign w:val="baseline"/>
        </w:rPr>
        <w:t> </w:t>
      </w:r>
      <w:r>
        <w:rPr>
          <w:rFonts w:ascii="Calibri"/>
          <w:i/>
          <w:sz w:val="20"/>
          <w:vertAlign w:val="baseline"/>
        </w:rPr>
        <w:t>vs.</w:t>
      </w:r>
      <w:r>
        <w:rPr>
          <w:rFonts w:ascii="Calibri"/>
          <w:i/>
          <w:spacing w:val="37"/>
          <w:sz w:val="20"/>
          <w:vertAlign w:val="baseline"/>
        </w:rPr>
        <w:t> </w:t>
      </w:r>
      <w:r>
        <w:rPr>
          <w:rFonts w:ascii="Calibri"/>
          <w:i/>
          <w:sz w:val="20"/>
          <w:vertAlign w:val="baseline"/>
        </w:rPr>
        <w:t>McKenna</w:t>
      </w:r>
      <w:r>
        <w:rPr>
          <w:rFonts w:ascii="Calibri"/>
          <w:i/>
          <w:spacing w:val="35"/>
          <w:sz w:val="20"/>
          <w:vertAlign w:val="baseline"/>
        </w:rPr>
        <w:t> </w:t>
      </w:r>
      <w:r>
        <w:rPr>
          <w:rFonts w:ascii="Calibri"/>
          <w:sz w:val="20"/>
          <w:vertAlign w:val="baseline"/>
        </w:rPr>
        <w:t>(1874)</w:t>
      </w:r>
      <w:r>
        <w:rPr>
          <w:rFonts w:ascii="Calibri"/>
          <w:spacing w:val="37"/>
          <w:sz w:val="20"/>
          <w:vertAlign w:val="baseline"/>
        </w:rPr>
        <w:t> </w:t>
      </w:r>
      <w:r>
        <w:rPr>
          <w:rFonts w:ascii="Calibri"/>
          <w:sz w:val="20"/>
          <w:vertAlign w:val="baseline"/>
        </w:rPr>
        <w:t>10</w:t>
      </w:r>
      <w:r>
        <w:rPr>
          <w:rFonts w:ascii="Calibri"/>
          <w:spacing w:val="34"/>
          <w:sz w:val="20"/>
          <w:vertAlign w:val="baseline"/>
        </w:rPr>
        <w:t> </w:t>
      </w:r>
      <w:r>
        <w:rPr>
          <w:rFonts w:ascii="Calibri"/>
          <w:sz w:val="20"/>
          <w:vertAlign w:val="baseline"/>
        </w:rPr>
        <w:t>Ch</w:t>
      </w:r>
      <w:r>
        <w:rPr>
          <w:rFonts w:ascii="Calibri"/>
          <w:spacing w:val="36"/>
          <w:sz w:val="20"/>
          <w:vertAlign w:val="baseline"/>
        </w:rPr>
        <w:t> </w:t>
      </w:r>
      <w:r>
        <w:rPr>
          <w:rFonts w:ascii="Calibri"/>
          <w:sz w:val="20"/>
          <w:vertAlign w:val="baseline"/>
        </w:rPr>
        <w:t>App</w:t>
      </w:r>
      <w:r>
        <w:rPr>
          <w:rFonts w:ascii="Calibri"/>
          <w:spacing w:val="35"/>
          <w:sz w:val="20"/>
          <w:vertAlign w:val="baseline"/>
        </w:rPr>
        <w:t> </w:t>
      </w:r>
      <w:r>
        <w:rPr>
          <w:rFonts w:ascii="Calibri"/>
          <w:sz w:val="20"/>
          <w:vertAlign w:val="baseline"/>
        </w:rPr>
        <w:t>96;</w:t>
      </w:r>
      <w:r>
        <w:rPr>
          <w:rFonts w:ascii="Calibri"/>
          <w:spacing w:val="36"/>
          <w:sz w:val="20"/>
          <w:vertAlign w:val="baseline"/>
        </w:rPr>
        <w:t> </w:t>
      </w:r>
      <w:r>
        <w:rPr>
          <w:rFonts w:ascii="Calibri"/>
          <w:i/>
          <w:sz w:val="20"/>
          <w:vertAlign w:val="baseline"/>
        </w:rPr>
        <w:t>Regal</w:t>
      </w:r>
      <w:r>
        <w:rPr>
          <w:rFonts w:ascii="Calibri"/>
          <w:i/>
          <w:spacing w:val="33"/>
          <w:sz w:val="20"/>
          <w:vertAlign w:val="baseline"/>
        </w:rPr>
        <w:t> </w:t>
      </w:r>
      <w:r>
        <w:rPr>
          <w:rFonts w:ascii="Calibri"/>
          <w:i/>
          <w:sz w:val="20"/>
          <w:vertAlign w:val="baseline"/>
        </w:rPr>
        <w:t>(Hastings)</w:t>
      </w:r>
      <w:r>
        <w:rPr>
          <w:rFonts w:ascii="Calibri"/>
          <w:i/>
          <w:spacing w:val="38"/>
          <w:sz w:val="20"/>
          <w:vertAlign w:val="baseline"/>
        </w:rPr>
        <w:t> </w:t>
      </w:r>
      <w:r>
        <w:rPr>
          <w:rFonts w:ascii="Calibri"/>
          <w:i/>
          <w:sz w:val="20"/>
          <w:vertAlign w:val="baseline"/>
        </w:rPr>
        <w:t>Ltd.</w:t>
      </w:r>
      <w:r>
        <w:rPr>
          <w:rFonts w:ascii="Calibri"/>
          <w:i/>
          <w:spacing w:val="37"/>
          <w:sz w:val="20"/>
          <w:vertAlign w:val="baseline"/>
        </w:rPr>
        <w:t> </w:t>
      </w:r>
      <w:r>
        <w:rPr>
          <w:rFonts w:ascii="Calibri"/>
          <w:i/>
          <w:sz w:val="20"/>
          <w:vertAlign w:val="baseline"/>
        </w:rPr>
        <w:t>vs.</w:t>
      </w:r>
      <w:r>
        <w:rPr>
          <w:rFonts w:ascii="Calibri"/>
          <w:i/>
          <w:spacing w:val="33"/>
          <w:sz w:val="20"/>
          <w:vertAlign w:val="baseline"/>
        </w:rPr>
        <w:t> </w:t>
      </w:r>
      <w:r>
        <w:rPr>
          <w:rFonts w:ascii="Calibri"/>
          <w:i/>
          <w:sz w:val="20"/>
          <w:vertAlign w:val="baseline"/>
        </w:rPr>
        <w:t>Gulliver</w:t>
      </w:r>
      <w:r>
        <w:rPr>
          <w:rFonts w:ascii="Calibri"/>
          <w:i/>
          <w:spacing w:val="35"/>
          <w:sz w:val="20"/>
          <w:vertAlign w:val="baseline"/>
        </w:rPr>
        <w:t> </w:t>
      </w:r>
      <w:r>
        <w:rPr>
          <w:rFonts w:ascii="Calibri"/>
          <w:sz w:val="20"/>
          <w:vertAlign w:val="baseline"/>
        </w:rPr>
        <w:t>(1942)</w:t>
      </w:r>
      <w:r>
        <w:rPr>
          <w:rFonts w:ascii="Calibri"/>
          <w:spacing w:val="37"/>
          <w:sz w:val="20"/>
          <w:vertAlign w:val="baseline"/>
        </w:rPr>
        <w:t> </w:t>
      </w:r>
      <w:r>
        <w:rPr>
          <w:rFonts w:ascii="Calibri"/>
          <w:sz w:val="20"/>
          <w:vertAlign w:val="baseline"/>
        </w:rPr>
        <w:t>1</w:t>
      </w:r>
      <w:r>
        <w:rPr>
          <w:rFonts w:ascii="Calibri"/>
          <w:spacing w:val="35"/>
          <w:sz w:val="20"/>
          <w:vertAlign w:val="baseline"/>
        </w:rPr>
        <w:t> </w:t>
      </w:r>
      <w:r>
        <w:rPr>
          <w:rFonts w:ascii="Calibri"/>
          <w:sz w:val="20"/>
          <w:vertAlign w:val="baseline"/>
        </w:rPr>
        <w:t>All</w:t>
      </w:r>
      <w:r>
        <w:rPr>
          <w:rFonts w:ascii="Calibri"/>
          <w:spacing w:val="32"/>
          <w:sz w:val="20"/>
          <w:vertAlign w:val="baseline"/>
        </w:rPr>
        <w:t> </w:t>
      </w:r>
      <w:r>
        <w:rPr>
          <w:rFonts w:ascii="Calibri"/>
          <w:sz w:val="20"/>
          <w:vertAlign w:val="baseline"/>
        </w:rPr>
        <w:t>ER</w:t>
      </w:r>
      <w:r>
        <w:rPr>
          <w:rFonts w:ascii="Calibri"/>
          <w:spacing w:val="37"/>
          <w:sz w:val="20"/>
          <w:vertAlign w:val="baseline"/>
        </w:rPr>
        <w:t> </w:t>
      </w:r>
      <w:r>
        <w:rPr>
          <w:rFonts w:ascii="Calibri"/>
          <w:spacing w:val="-4"/>
          <w:sz w:val="20"/>
          <w:vertAlign w:val="baseline"/>
        </w:rPr>
        <w:t>378;</w:t>
      </w:r>
    </w:p>
    <w:p>
      <w:pPr>
        <w:spacing w:before="0"/>
        <w:ind w:left="308" w:right="0" w:firstLine="0"/>
        <w:jc w:val="left"/>
        <w:rPr>
          <w:rFonts w:ascii="Calibri"/>
          <w:sz w:val="20"/>
        </w:rPr>
      </w:pPr>
      <w:r>
        <w:rPr>
          <w:rFonts w:ascii="Calibri"/>
          <w:i/>
          <w:sz w:val="20"/>
        </w:rPr>
        <w:t>Industrial</w:t>
      </w:r>
      <w:r>
        <w:rPr>
          <w:rFonts w:ascii="Calibri"/>
          <w:i/>
          <w:spacing w:val="-9"/>
          <w:sz w:val="20"/>
        </w:rPr>
        <w:t> </w:t>
      </w:r>
      <w:r>
        <w:rPr>
          <w:rFonts w:ascii="Calibri"/>
          <w:i/>
          <w:sz w:val="20"/>
        </w:rPr>
        <w:t>Development</w:t>
      </w:r>
      <w:r>
        <w:rPr>
          <w:rFonts w:ascii="Calibri"/>
          <w:i/>
          <w:spacing w:val="-9"/>
          <w:sz w:val="20"/>
        </w:rPr>
        <w:t> </w:t>
      </w:r>
      <w:r>
        <w:rPr>
          <w:rFonts w:ascii="Calibri"/>
          <w:i/>
          <w:sz w:val="20"/>
        </w:rPr>
        <w:t>Consultants</w:t>
      </w:r>
      <w:r>
        <w:rPr>
          <w:rFonts w:ascii="Calibri"/>
          <w:i/>
          <w:spacing w:val="-11"/>
          <w:sz w:val="20"/>
        </w:rPr>
        <w:t> </w:t>
      </w:r>
      <w:r>
        <w:rPr>
          <w:rFonts w:ascii="Calibri"/>
          <w:i/>
          <w:sz w:val="20"/>
        </w:rPr>
        <w:t>vs.</w:t>
      </w:r>
      <w:r>
        <w:rPr>
          <w:rFonts w:ascii="Calibri"/>
          <w:i/>
          <w:spacing w:val="-7"/>
          <w:sz w:val="20"/>
        </w:rPr>
        <w:t> </w:t>
      </w:r>
      <w:r>
        <w:rPr>
          <w:rFonts w:ascii="Calibri"/>
          <w:i/>
          <w:sz w:val="20"/>
        </w:rPr>
        <w:t>Cooley</w:t>
      </w:r>
      <w:r>
        <w:rPr>
          <w:rFonts w:ascii="Calibri"/>
          <w:i/>
          <w:spacing w:val="-7"/>
          <w:sz w:val="20"/>
        </w:rPr>
        <w:t> </w:t>
      </w:r>
      <w:r>
        <w:rPr>
          <w:rFonts w:ascii="Calibri"/>
          <w:sz w:val="20"/>
        </w:rPr>
        <w:t>(1972)</w:t>
      </w:r>
      <w:r>
        <w:rPr>
          <w:rFonts w:ascii="Calibri"/>
          <w:spacing w:val="-7"/>
          <w:sz w:val="20"/>
        </w:rPr>
        <w:t> </w:t>
      </w:r>
      <w:r>
        <w:rPr>
          <w:rFonts w:ascii="Calibri"/>
          <w:sz w:val="20"/>
        </w:rPr>
        <w:t>2</w:t>
      </w:r>
      <w:r>
        <w:rPr>
          <w:rFonts w:ascii="Calibri"/>
          <w:spacing w:val="-5"/>
          <w:sz w:val="20"/>
        </w:rPr>
        <w:t> </w:t>
      </w:r>
      <w:r>
        <w:rPr>
          <w:rFonts w:ascii="Calibri"/>
          <w:sz w:val="20"/>
        </w:rPr>
        <w:t>All</w:t>
      </w:r>
      <w:r>
        <w:rPr>
          <w:rFonts w:ascii="Calibri"/>
          <w:spacing w:val="-7"/>
          <w:sz w:val="20"/>
        </w:rPr>
        <w:t> </w:t>
      </w:r>
      <w:r>
        <w:rPr>
          <w:rFonts w:ascii="Calibri"/>
          <w:sz w:val="20"/>
        </w:rPr>
        <w:t>ER</w:t>
      </w:r>
      <w:r>
        <w:rPr>
          <w:rFonts w:ascii="Calibri"/>
          <w:spacing w:val="-3"/>
          <w:sz w:val="20"/>
        </w:rPr>
        <w:t> </w:t>
      </w:r>
      <w:r>
        <w:rPr>
          <w:rFonts w:ascii="Calibri"/>
          <w:spacing w:val="-4"/>
          <w:sz w:val="20"/>
        </w:rPr>
        <w:t>162.</w:t>
      </w:r>
    </w:p>
    <w:p>
      <w:pPr>
        <w:spacing w:before="1"/>
        <w:ind w:left="308" w:right="0" w:firstLine="0"/>
        <w:jc w:val="left"/>
        <w:rPr>
          <w:rFonts w:ascii="Calibri"/>
          <w:sz w:val="20"/>
        </w:rPr>
      </w:pPr>
      <w:r>
        <w:rPr>
          <w:rFonts w:ascii="Calibri"/>
          <w:sz w:val="20"/>
          <w:vertAlign w:val="superscript"/>
        </w:rPr>
        <w:t>204</w:t>
      </w:r>
      <w:r>
        <w:rPr>
          <w:rFonts w:ascii="Calibri"/>
          <w:i/>
          <w:sz w:val="20"/>
          <w:vertAlign w:val="baseline"/>
        </w:rPr>
        <w:t>Regal</w:t>
      </w:r>
      <w:r>
        <w:rPr>
          <w:rFonts w:ascii="Calibri"/>
          <w:i/>
          <w:spacing w:val="-6"/>
          <w:sz w:val="20"/>
          <w:vertAlign w:val="baseline"/>
        </w:rPr>
        <w:t> </w:t>
      </w:r>
      <w:r>
        <w:rPr>
          <w:rFonts w:ascii="Calibri"/>
          <w:i/>
          <w:sz w:val="20"/>
          <w:vertAlign w:val="baseline"/>
        </w:rPr>
        <w:t>(Hastings)</w:t>
      </w:r>
      <w:r>
        <w:rPr>
          <w:rFonts w:ascii="Calibri"/>
          <w:i/>
          <w:spacing w:val="-6"/>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Gulliver</w:t>
      </w:r>
      <w:r>
        <w:rPr>
          <w:rFonts w:ascii="Calibri"/>
          <w:sz w:val="20"/>
          <w:vertAlign w:val="baseline"/>
        </w:rPr>
        <w:t>,</w:t>
      </w:r>
      <w:r>
        <w:rPr>
          <w:rFonts w:ascii="Calibri"/>
          <w:spacing w:val="-5"/>
          <w:sz w:val="20"/>
          <w:vertAlign w:val="baseline"/>
        </w:rPr>
        <w:t> </w:t>
      </w:r>
      <w:r>
        <w:rPr>
          <w:rFonts w:ascii="Calibri"/>
          <w:spacing w:val="-2"/>
          <w:sz w:val="20"/>
          <w:vertAlign w:val="baseline"/>
        </w:rPr>
        <w:t>supra.</w:t>
      </w:r>
    </w:p>
    <w:p>
      <w:pPr>
        <w:spacing w:before="1"/>
        <w:ind w:left="308" w:right="0" w:firstLine="0"/>
        <w:jc w:val="left"/>
        <w:rPr>
          <w:rFonts w:ascii="Calibri"/>
          <w:sz w:val="20"/>
        </w:rPr>
      </w:pPr>
      <w:r>
        <w:rPr>
          <w:rFonts w:ascii="Calibri"/>
          <w:sz w:val="20"/>
          <w:vertAlign w:val="superscript"/>
        </w:rPr>
        <w:t>205</w:t>
      </w:r>
      <w:r>
        <w:rPr>
          <w:rFonts w:ascii="Calibri"/>
          <w:sz w:val="20"/>
          <w:vertAlign w:val="baseline"/>
        </w:rPr>
        <w:t>As</w:t>
      </w:r>
      <w:r>
        <w:rPr>
          <w:rFonts w:ascii="Calibri"/>
          <w:spacing w:val="-4"/>
          <w:sz w:val="20"/>
          <w:vertAlign w:val="baseline"/>
        </w:rPr>
        <w:t> </w:t>
      </w:r>
      <w:r>
        <w:rPr>
          <w:rFonts w:ascii="Calibri"/>
          <w:sz w:val="20"/>
          <w:vertAlign w:val="baseline"/>
        </w:rPr>
        <w:t>was</w:t>
      </w:r>
      <w:r>
        <w:rPr>
          <w:rFonts w:ascii="Calibri"/>
          <w:spacing w:val="-3"/>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case</w:t>
      </w:r>
      <w:r>
        <w:rPr>
          <w:rFonts w:ascii="Calibri"/>
          <w:spacing w:val="-5"/>
          <w:sz w:val="20"/>
          <w:vertAlign w:val="baseline"/>
        </w:rPr>
        <w:t> </w:t>
      </w:r>
      <w:r>
        <w:rPr>
          <w:rFonts w:ascii="Calibri"/>
          <w:sz w:val="20"/>
          <w:vertAlign w:val="baseline"/>
        </w:rPr>
        <w:t>in</w:t>
      </w:r>
      <w:r>
        <w:rPr>
          <w:rFonts w:ascii="Calibri"/>
          <w:spacing w:val="-4"/>
          <w:sz w:val="20"/>
          <w:vertAlign w:val="baseline"/>
        </w:rPr>
        <w:t> </w:t>
      </w:r>
      <w:r>
        <w:rPr>
          <w:rFonts w:ascii="Calibri"/>
          <w:i/>
          <w:sz w:val="20"/>
          <w:vertAlign w:val="baseline"/>
        </w:rPr>
        <w:t>Regal</w:t>
      </w:r>
      <w:r>
        <w:rPr>
          <w:rFonts w:ascii="Calibri"/>
          <w:i/>
          <w:spacing w:val="-5"/>
          <w:sz w:val="20"/>
          <w:vertAlign w:val="baseline"/>
        </w:rPr>
        <w:t> </w:t>
      </w:r>
      <w:r>
        <w:rPr>
          <w:rFonts w:ascii="Calibri"/>
          <w:i/>
          <w:sz w:val="20"/>
          <w:vertAlign w:val="baseline"/>
        </w:rPr>
        <w:t>(Hastings)</w:t>
      </w:r>
      <w:r>
        <w:rPr>
          <w:rFonts w:ascii="Calibri"/>
          <w:i/>
          <w:spacing w:val="-4"/>
          <w:sz w:val="20"/>
          <w:vertAlign w:val="baseline"/>
        </w:rPr>
        <w:t> </w:t>
      </w:r>
      <w:r>
        <w:rPr>
          <w:rFonts w:ascii="Calibri"/>
          <w:i/>
          <w:sz w:val="20"/>
          <w:vertAlign w:val="baseline"/>
        </w:rPr>
        <w:t>Ltd.</w:t>
      </w:r>
      <w:r>
        <w:rPr>
          <w:rFonts w:ascii="Calibri"/>
          <w:i/>
          <w:spacing w:val="-4"/>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Gulliver,</w:t>
      </w:r>
      <w:r>
        <w:rPr>
          <w:rFonts w:ascii="Calibri"/>
          <w:i/>
          <w:spacing w:val="-1"/>
          <w:sz w:val="20"/>
          <w:vertAlign w:val="baseline"/>
        </w:rPr>
        <w:t> </w:t>
      </w:r>
      <w:r>
        <w:rPr>
          <w:rFonts w:ascii="Calibri"/>
          <w:spacing w:val="-2"/>
          <w:sz w:val="20"/>
          <w:vertAlign w:val="baseline"/>
        </w:rPr>
        <w:t>supra.</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29"/>
        <w:jc w:val="both"/>
      </w:pPr>
      <w:r>
        <w:rPr/>
        <w:t>assets</w:t>
      </w:r>
      <w:r>
        <w:rPr>
          <w:spacing w:val="-3"/>
        </w:rPr>
        <w:t> </w:t>
      </w:r>
      <w:r>
        <w:rPr/>
        <w:t>and other benefits</w:t>
      </w:r>
      <w:r>
        <w:rPr>
          <w:spacing w:val="-3"/>
        </w:rPr>
        <w:t> </w:t>
      </w:r>
      <w:r>
        <w:rPr/>
        <w:t>are</w:t>
      </w:r>
      <w:r>
        <w:rPr>
          <w:spacing w:val="-1"/>
        </w:rPr>
        <w:t> </w:t>
      </w:r>
      <w:r>
        <w:rPr/>
        <w:t>applied only</w:t>
      </w:r>
      <w:r>
        <w:rPr>
          <w:spacing w:val="-9"/>
        </w:rPr>
        <w:t> </w:t>
      </w:r>
      <w:r>
        <w:rPr/>
        <w:t>to the</w:t>
      </w:r>
      <w:r>
        <w:rPr>
          <w:spacing w:val="-1"/>
        </w:rPr>
        <w:t> </w:t>
      </w:r>
      <w:r>
        <w:rPr/>
        <w:t>company‘s</w:t>
      </w:r>
      <w:r>
        <w:rPr>
          <w:spacing w:val="-3"/>
        </w:rPr>
        <w:t> </w:t>
      </w:r>
      <w:r>
        <w:rPr/>
        <w:t>activities</w:t>
      </w:r>
      <w:r>
        <w:rPr>
          <w:spacing w:val="-3"/>
        </w:rPr>
        <w:t> </w:t>
      </w:r>
      <w:r>
        <w:rPr/>
        <w:t>and exclusively for it and that the directors advert their minds as well as skills only to the company‘s advancement, and not their own personal profit. Thus, the reason for this principle of law is evident. The company ought to be a beneficiary</w:t>
      </w:r>
      <w:r>
        <w:rPr>
          <w:spacing w:val="-5"/>
        </w:rPr>
        <w:t> </w:t>
      </w:r>
      <w:r>
        <w:rPr/>
        <w:t>of</w:t>
      </w:r>
      <w:r>
        <w:rPr>
          <w:spacing w:val="-3"/>
        </w:rPr>
        <w:t> </w:t>
      </w:r>
      <w:r>
        <w:rPr/>
        <w:t>directors‘ fiduciary</w:t>
      </w:r>
      <w:r>
        <w:rPr>
          <w:spacing w:val="-5"/>
        </w:rPr>
        <w:t> </w:t>
      </w:r>
      <w:r>
        <w:rPr/>
        <w:t>duties, yet affords directors great powers, and is thereby exposed to boardroom mischief.</w:t>
      </w:r>
      <w:r>
        <w:rPr>
          <w:vertAlign w:val="superscript"/>
        </w:rPr>
        <w:t>206</w:t>
      </w:r>
      <w:r>
        <w:rPr>
          <w:vertAlign w:val="baseline"/>
        </w:rPr>
        <w:t> These powers are reinforced when some or most of the directors also happen to be major shareholders of the company as well.</w:t>
      </w:r>
      <w:r>
        <w:rPr>
          <w:vertAlign w:val="superscript"/>
        </w:rPr>
        <w:t>207</w:t>
      </w:r>
      <w:r>
        <w:rPr>
          <w:vertAlign w:val="baseline"/>
        </w:rPr>
        <w:t> Where this is the case, the law particularly reinforces the status of the company as a single personality, distinct and separate from all those associated with it. The directors would even then be required to still set aside their</w:t>
      </w:r>
      <w:r>
        <w:rPr>
          <w:spacing w:val="-2"/>
          <w:vertAlign w:val="baseline"/>
        </w:rPr>
        <w:t> </w:t>
      </w:r>
      <w:r>
        <w:rPr>
          <w:vertAlign w:val="baseline"/>
        </w:rPr>
        <w:t>own</w:t>
      </w:r>
      <w:r>
        <w:rPr>
          <w:spacing w:val="-4"/>
          <w:vertAlign w:val="baseline"/>
        </w:rPr>
        <w:t> </w:t>
      </w:r>
      <w:r>
        <w:rPr>
          <w:vertAlign w:val="baseline"/>
        </w:rPr>
        <w:t>interests</w:t>
      </w:r>
      <w:r>
        <w:rPr>
          <w:spacing w:val="-6"/>
          <w:vertAlign w:val="baseline"/>
        </w:rPr>
        <w:t> </w:t>
      </w:r>
      <w:r>
        <w:rPr>
          <w:vertAlign w:val="baseline"/>
        </w:rPr>
        <w:t>as</w:t>
      </w:r>
      <w:r>
        <w:rPr>
          <w:spacing w:val="-6"/>
          <w:vertAlign w:val="baseline"/>
        </w:rPr>
        <w:t> </w:t>
      </w:r>
      <w:r>
        <w:rPr>
          <w:vertAlign w:val="baseline"/>
        </w:rPr>
        <w:t>members</w:t>
      </w:r>
      <w:r>
        <w:rPr>
          <w:spacing w:val="-6"/>
          <w:vertAlign w:val="baseline"/>
        </w:rPr>
        <w:t> </w:t>
      </w:r>
      <w:r>
        <w:rPr>
          <w:vertAlign w:val="baseline"/>
        </w:rPr>
        <w:t>and instead,</w:t>
      </w:r>
      <w:r>
        <w:rPr>
          <w:spacing w:val="-2"/>
          <w:vertAlign w:val="baseline"/>
        </w:rPr>
        <w:t> </w:t>
      </w:r>
      <w:r>
        <w:rPr>
          <w:vertAlign w:val="baseline"/>
        </w:rPr>
        <w:t>satisfy</w:t>
      </w:r>
      <w:r>
        <w:rPr>
          <w:spacing w:val="-4"/>
          <w:vertAlign w:val="baseline"/>
        </w:rPr>
        <w:t> </w:t>
      </w:r>
      <w:r>
        <w:rPr>
          <w:vertAlign w:val="baseline"/>
        </w:rPr>
        <w:t>the</w:t>
      </w:r>
      <w:r>
        <w:rPr>
          <w:spacing w:val="-4"/>
          <w:vertAlign w:val="baseline"/>
        </w:rPr>
        <w:t> </w:t>
      </w:r>
      <w:r>
        <w:rPr>
          <w:vertAlign w:val="baseline"/>
        </w:rPr>
        <w:t>interests</w:t>
      </w:r>
      <w:r>
        <w:rPr>
          <w:spacing w:val="-6"/>
          <w:vertAlign w:val="baseline"/>
        </w:rPr>
        <w:t> </w:t>
      </w:r>
      <w:r>
        <w:rPr>
          <w:vertAlign w:val="baseline"/>
        </w:rPr>
        <w:t>of</w:t>
      </w:r>
      <w:r>
        <w:rPr>
          <w:spacing w:val="-10"/>
          <w:vertAlign w:val="baseline"/>
        </w:rPr>
        <w:t> </w:t>
      </w:r>
      <w:r>
        <w:rPr>
          <w:vertAlign w:val="baseline"/>
        </w:rPr>
        <w:t>―the</w:t>
      </w:r>
      <w:r>
        <w:rPr>
          <w:spacing w:val="-4"/>
          <w:vertAlign w:val="baseline"/>
        </w:rPr>
        <w:t> </w:t>
      </w:r>
      <w:r>
        <w:rPr>
          <w:vertAlign w:val="baseline"/>
        </w:rPr>
        <w:t>company.‖</w:t>
      </w:r>
      <w:r>
        <w:rPr>
          <w:spacing w:val="-4"/>
          <w:vertAlign w:val="baseline"/>
        </w:rPr>
        <w:t> </w:t>
      </w:r>
      <w:r>
        <w:rPr>
          <w:vertAlign w:val="baseline"/>
        </w:rPr>
        <w:t>Lord Herschell once remarked that</w:t>
      </w:r>
    </w:p>
    <w:p>
      <w:pPr>
        <w:spacing w:line="240" w:lineRule="auto" w:before="2"/>
        <w:ind w:left="2007" w:right="1885" w:firstLine="0"/>
        <w:jc w:val="both"/>
        <w:rPr>
          <w:sz w:val="24"/>
        </w:rPr>
      </w:pPr>
      <w:r>
        <w:rPr>
          <w:i/>
          <w:sz w:val="24"/>
        </w:rPr>
        <w:t>A person in a fiduciary position...is not, unless otherwise expressly provided... entitled to make a profit... It does not appear to me that this rule is, as has been said, founded upon principles of morality. I regard it rather as based on the consideration that, human nature being what it is, there is a danger, in such</w:t>
      </w:r>
      <w:r>
        <w:rPr>
          <w:i/>
          <w:spacing w:val="-4"/>
          <w:sz w:val="24"/>
        </w:rPr>
        <w:t> </w:t>
      </w:r>
      <w:r>
        <w:rPr>
          <w:i/>
          <w:sz w:val="24"/>
        </w:rPr>
        <w:t>circumstances,</w:t>
      </w:r>
      <w:r>
        <w:rPr>
          <w:i/>
          <w:spacing w:val="-2"/>
          <w:sz w:val="24"/>
        </w:rPr>
        <w:t> </w:t>
      </w:r>
      <w:r>
        <w:rPr>
          <w:i/>
          <w:sz w:val="24"/>
        </w:rPr>
        <w:t>of</w:t>
      </w:r>
      <w:r>
        <w:rPr>
          <w:i/>
          <w:spacing w:val="-4"/>
          <w:sz w:val="24"/>
        </w:rPr>
        <w:t> </w:t>
      </w:r>
      <w:r>
        <w:rPr>
          <w:i/>
          <w:sz w:val="24"/>
        </w:rPr>
        <w:t>the</w:t>
      </w:r>
      <w:r>
        <w:rPr>
          <w:i/>
          <w:spacing w:val="-5"/>
          <w:sz w:val="24"/>
        </w:rPr>
        <w:t> </w:t>
      </w:r>
      <w:r>
        <w:rPr>
          <w:i/>
          <w:sz w:val="24"/>
        </w:rPr>
        <w:t>person</w:t>
      </w:r>
      <w:r>
        <w:rPr>
          <w:i/>
          <w:spacing w:val="-4"/>
          <w:sz w:val="24"/>
        </w:rPr>
        <w:t> </w:t>
      </w:r>
      <w:r>
        <w:rPr>
          <w:i/>
          <w:sz w:val="24"/>
        </w:rPr>
        <w:t>holding</w:t>
      </w:r>
      <w:r>
        <w:rPr>
          <w:i/>
          <w:spacing w:val="-4"/>
          <w:sz w:val="24"/>
        </w:rPr>
        <w:t> </w:t>
      </w:r>
      <w:r>
        <w:rPr>
          <w:i/>
          <w:sz w:val="24"/>
        </w:rPr>
        <w:t>a</w:t>
      </w:r>
      <w:r>
        <w:rPr>
          <w:i/>
          <w:spacing w:val="-9"/>
          <w:sz w:val="24"/>
        </w:rPr>
        <w:t> </w:t>
      </w:r>
      <w:r>
        <w:rPr>
          <w:i/>
          <w:sz w:val="24"/>
        </w:rPr>
        <w:t>fiduciary position being swayed by interest rather than by</w:t>
      </w:r>
      <w:r>
        <w:rPr>
          <w:i/>
          <w:spacing w:val="40"/>
          <w:sz w:val="24"/>
        </w:rPr>
        <w:t> </w:t>
      </w:r>
      <w:r>
        <w:rPr>
          <w:i/>
          <w:sz w:val="24"/>
        </w:rPr>
        <w:t>duty, and thus, prejudicing those he was bound to protect. It has, therefore, been deemed expedient to lay down this positive rule.</w:t>
      </w:r>
      <w:r>
        <w:rPr>
          <w:sz w:val="24"/>
          <w:vertAlign w:val="superscript"/>
        </w:rPr>
        <w:t>208</w:t>
      </w:r>
    </w:p>
    <w:p>
      <w:pPr>
        <w:pStyle w:val="BodyText"/>
        <w:spacing w:before="1"/>
        <w:ind w:left="0"/>
      </w:pPr>
    </w:p>
    <w:p>
      <w:pPr>
        <w:pStyle w:val="BodyText"/>
        <w:spacing w:line="480" w:lineRule="auto"/>
        <w:ind w:right="193"/>
        <w:jc w:val="both"/>
      </w:pPr>
      <w:r>
        <w:rPr/>
        <w:t>Along these lines, Wooten J. of the Australian Supreme Court once adopted the controversial position that</w:t>
      </w:r>
    </w:p>
    <w:p>
      <w:pPr>
        <w:spacing w:line="240" w:lineRule="auto" w:before="1"/>
        <w:ind w:left="2007" w:right="1891" w:firstLine="0"/>
        <w:jc w:val="both"/>
        <w:rPr>
          <w:i/>
          <w:sz w:val="24"/>
        </w:rPr>
      </w:pPr>
      <w:r>
        <w:rPr>
          <w:i/>
          <w:sz w:val="24"/>
        </w:rPr>
        <w:t>Courts will not burden themselves with the difficult and multitudinous enquiries as to whether a person</w:t>
      </w:r>
      <w:r>
        <w:rPr>
          <w:i/>
          <w:spacing w:val="40"/>
          <w:sz w:val="24"/>
        </w:rPr>
        <w:t> </w:t>
      </w:r>
      <w:r>
        <w:rPr>
          <w:i/>
          <w:sz w:val="24"/>
        </w:rPr>
        <w:t>in a fiduciary position has, in all the circumstances, succumbed to temptation. They simply insist that</w:t>
      </w:r>
      <w:r>
        <w:rPr>
          <w:i/>
          <w:spacing w:val="40"/>
          <w:sz w:val="24"/>
        </w:rPr>
        <w:t> </w:t>
      </w:r>
      <w:r>
        <w:rPr>
          <w:i/>
          <w:sz w:val="24"/>
        </w:rPr>
        <w:t>such a person does not act in a way in which he is exposed to temptation.</w:t>
      </w:r>
      <w:r>
        <w:rPr>
          <w:i/>
          <w:sz w:val="24"/>
          <w:vertAlign w:val="superscript"/>
        </w:rPr>
        <w:t>209</w:t>
      </w:r>
    </w:p>
    <w:p>
      <w:pPr>
        <w:pStyle w:val="BodyText"/>
        <w:ind w:left="0"/>
        <w:rPr>
          <w:i/>
          <w:sz w:val="20"/>
        </w:rPr>
      </w:pPr>
    </w:p>
    <w:p>
      <w:pPr>
        <w:pStyle w:val="BodyText"/>
        <w:ind w:left="0"/>
        <w:rPr>
          <w:i/>
          <w:sz w:val="20"/>
        </w:rPr>
      </w:pPr>
    </w:p>
    <w:p>
      <w:pPr>
        <w:pStyle w:val="BodyText"/>
        <w:spacing w:before="58"/>
        <w:ind w:left="0"/>
        <w:rPr>
          <w:i/>
          <w:sz w:val="20"/>
        </w:rPr>
      </w:pPr>
      <w:r>
        <w:rPr/>
        <mc:AlternateContent>
          <mc:Choice Requires="wps">
            <w:drawing>
              <wp:anchor distT="0" distB="0" distL="0" distR="0" allowOverlap="1" layoutInCell="1" locked="0" behindDoc="1" simplePos="0" relativeHeight="487693824">
                <wp:simplePos x="0" y="0"/>
                <wp:positionH relativeFrom="page">
                  <wp:posOffset>1262481</wp:posOffset>
                </wp:positionH>
                <wp:positionV relativeFrom="paragraph">
                  <wp:posOffset>198291</wp:posOffset>
                </wp:positionV>
                <wp:extent cx="1829435" cy="9525"/>
                <wp:effectExtent l="0" t="0" r="0" b="0"/>
                <wp:wrapTopAndBottom/>
                <wp:docPr id="233" name="Graphic 233"/>
                <wp:cNvGraphicFramePr>
                  <a:graphicFrameLocks/>
                </wp:cNvGraphicFramePr>
                <a:graphic>
                  <a:graphicData uri="http://schemas.microsoft.com/office/word/2010/wordprocessingShape">
                    <wps:wsp>
                      <wps:cNvPr id="233" name="Graphic 233"/>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5.613485pt;width:144.050pt;height:.72003pt;mso-position-horizontal-relative:page;mso-position-vertical-relative:paragraph;z-index:-15622656;mso-wrap-distance-left:0;mso-wrap-distance-right:0" id="docshape188"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206</w:t>
      </w:r>
      <w:r>
        <w:rPr>
          <w:rFonts w:ascii="Calibri"/>
          <w:sz w:val="20"/>
          <w:vertAlign w:val="baseline"/>
        </w:rPr>
        <w:t>Corkery,</w:t>
      </w:r>
      <w:r>
        <w:rPr>
          <w:rFonts w:ascii="Calibri"/>
          <w:spacing w:val="-7"/>
          <w:sz w:val="20"/>
          <w:vertAlign w:val="baseline"/>
        </w:rPr>
        <w:t> </w:t>
      </w:r>
      <w:r>
        <w:rPr>
          <w:rFonts w:ascii="Calibri"/>
          <w:sz w:val="20"/>
          <w:vertAlign w:val="baseline"/>
        </w:rPr>
        <w:t>F.J.</w:t>
      </w:r>
      <w:r>
        <w:rPr>
          <w:rFonts w:ascii="Calibri"/>
          <w:spacing w:val="-7"/>
          <w:sz w:val="20"/>
          <w:vertAlign w:val="baseline"/>
        </w:rPr>
        <w:t> </w:t>
      </w:r>
      <w:r>
        <w:rPr>
          <w:rFonts w:ascii="Calibri"/>
          <w:sz w:val="20"/>
          <w:vertAlign w:val="baseline"/>
        </w:rPr>
        <w:t>op.cit.p.</w:t>
      </w:r>
      <w:r>
        <w:rPr>
          <w:rFonts w:ascii="Calibri"/>
          <w:spacing w:val="-6"/>
          <w:sz w:val="20"/>
          <w:vertAlign w:val="baseline"/>
        </w:rPr>
        <w:t> </w:t>
      </w:r>
      <w:r>
        <w:rPr>
          <w:rFonts w:ascii="Calibri"/>
          <w:spacing w:val="-5"/>
          <w:sz w:val="20"/>
          <w:vertAlign w:val="baseline"/>
        </w:rPr>
        <w:t>77.</w:t>
      </w:r>
    </w:p>
    <w:p>
      <w:pPr>
        <w:spacing w:before="1"/>
        <w:ind w:left="308" w:right="0" w:firstLine="0"/>
        <w:jc w:val="left"/>
        <w:rPr>
          <w:rFonts w:ascii="Calibri"/>
          <w:sz w:val="20"/>
        </w:rPr>
      </w:pPr>
      <w:r>
        <w:rPr>
          <w:rFonts w:ascii="Calibri"/>
          <w:sz w:val="20"/>
          <w:vertAlign w:val="superscript"/>
        </w:rPr>
        <w:t>207</w:t>
      </w:r>
      <w:r>
        <w:rPr>
          <w:rFonts w:ascii="Calibri"/>
          <w:sz w:val="20"/>
          <w:vertAlign w:val="baseline"/>
        </w:rPr>
        <w:t>As</w:t>
      </w:r>
      <w:r>
        <w:rPr>
          <w:rFonts w:ascii="Calibri"/>
          <w:spacing w:val="-5"/>
          <w:sz w:val="20"/>
          <w:vertAlign w:val="baseline"/>
        </w:rPr>
        <w:t> </w:t>
      </w:r>
      <w:r>
        <w:rPr>
          <w:rFonts w:ascii="Calibri"/>
          <w:sz w:val="20"/>
          <w:vertAlign w:val="baseline"/>
        </w:rPr>
        <w:t>was</w:t>
      </w:r>
      <w:r>
        <w:rPr>
          <w:rFonts w:ascii="Calibri"/>
          <w:spacing w:val="-3"/>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case</w:t>
      </w:r>
      <w:r>
        <w:rPr>
          <w:rFonts w:ascii="Calibri"/>
          <w:spacing w:val="-5"/>
          <w:sz w:val="20"/>
          <w:vertAlign w:val="baseline"/>
        </w:rPr>
        <w:t> </w:t>
      </w:r>
      <w:r>
        <w:rPr>
          <w:rFonts w:ascii="Calibri"/>
          <w:sz w:val="20"/>
          <w:vertAlign w:val="baseline"/>
        </w:rPr>
        <w:t>in</w:t>
      </w:r>
      <w:r>
        <w:rPr>
          <w:rFonts w:ascii="Calibri"/>
          <w:spacing w:val="-6"/>
          <w:sz w:val="20"/>
          <w:vertAlign w:val="baseline"/>
        </w:rPr>
        <w:t> </w:t>
      </w:r>
      <w:r>
        <w:rPr>
          <w:rFonts w:ascii="Calibri"/>
          <w:i/>
          <w:sz w:val="20"/>
          <w:vertAlign w:val="baseline"/>
        </w:rPr>
        <w:t>Regal</w:t>
      </w:r>
      <w:r>
        <w:rPr>
          <w:rFonts w:ascii="Calibri"/>
          <w:i/>
          <w:spacing w:val="-4"/>
          <w:sz w:val="20"/>
          <w:vertAlign w:val="baseline"/>
        </w:rPr>
        <w:t> </w:t>
      </w:r>
      <w:r>
        <w:rPr>
          <w:rFonts w:ascii="Calibri"/>
          <w:i/>
          <w:sz w:val="20"/>
          <w:vertAlign w:val="baseline"/>
        </w:rPr>
        <w:t>(Hastings)</w:t>
      </w:r>
      <w:r>
        <w:rPr>
          <w:rFonts w:ascii="Calibri"/>
          <w:i/>
          <w:spacing w:val="-5"/>
          <w:sz w:val="20"/>
          <w:vertAlign w:val="baseline"/>
        </w:rPr>
        <w:t> </w:t>
      </w:r>
      <w:r>
        <w:rPr>
          <w:rFonts w:ascii="Calibri"/>
          <w:i/>
          <w:sz w:val="20"/>
          <w:vertAlign w:val="baseline"/>
        </w:rPr>
        <w:t>Ltd.</w:t>
      </w:r>
      <w:r>
        <w:rPr>
          <w:rFonts w:ascii="Calibri"/>
          <w:i/>
          <w:spacing w:val="-4"/>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Gulliver</w:t>
      </w:r>
      <w:r>
        <w:rPr>
          <w:rFonts w:ascii="Calibri"/>
          <w:i/>
          <w:spacing w:val="-6"/>
          <w:sz w:val="20"/>
          <w:vertAlign w:val="baseline"/>
        </w:rPr>
        <w:t> </w:t>
      </w:r>
      <w:r>
        <w:rPr>
          <w:rFonts w:ascii="Calibri"/>
          <w:sz w:val="20"/>
          <w:vertAlign w:val="baseline"/>
        </w:rPr>
        <w:t>(1942)</w:t>
      </w:r>
      <w:r>
        <w:rPr>
          <w:rFonts w:ascii="Calibri"/>
          <w:spacing w:val="-1"/>
          <w:sz w:val="20"/>
          <w:vertAlign w:val="baseline"/>
        </w:rPr>
        <w:t> </w:t>
      </w:r>
      <w:r>
        <w:rPr>
          <w:rFonts w:ascii="Calibri"/>
          <w:sz w:val="20"/>
          <w:vertAlign w:val="baseline"/>
        </w:rPr>
        <w:t>1</w:t>
      </w:r>
      <w:r>
        <w:rPr>
          <w:rFonts w:ascii="Calibri"/>
          <w:spacing w:val="-11"/>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w:t>
      </w:r>
      <w:r>
        <w:rPr>
          <w:rFonts w:ascii="Calibri"/>
          <w:spacing w:val="-5"/>
          <w:sz w:val="20"/>
          <w:vertAlign w:val="baseline"/>
        </w:rPr>
        <w:t> </w:t>
      </w:r>
      <w:r>
        <w:rPr>
          <w:rFonts w:ascii="Calibri"/>
          <w:sz w:val="20"/>
          <w:vertAlign w:val="baseline"/>
        </w:rPr>
        <w:t>378,</w:t>
      </w:r>
      <w:r>
        <w:rPr>
          <w:rFonts w:ascii="Calibri"/>
          <w:spacing w:val="-4"/>
          <w:sz w:val="20"/>
          <w:vertAlign w:val="baseline"/>
        </w:rPr>
        <w:t> </w:t>
      </w:r>
      <w:r>
        <w:rPr>
          <w:rFonts w:ascii="Calibri"/>
          <w:sz w:val="20"/>
          <w:vertAlign w:val="baseline"/>
        </w:rPr>
        <w:t>discussed</w:t>
      </w:r>
      <w:r>
        <w:rPr>
          <w:rFonts w:ascii="Calibri"/>
          <w:spacing w:val="-1"/>
          <w:sz w:val="20"/>
          <w:vertAlign w:val="baseline"/>
        </w:rPr>
        <w:t> </w:t>
      </w:r>
      <w:r>
        <w:rPr>
          <w:rFonts w:ascii="Calibri"/>
          <w:spacing w:val="-2"/>
          <w:sz w:val="20"/>
          <w:vertAlign w:val="baseline"/>
        </w:rPr>
        <w:t>infra.</w:t>
      </w:r>
    </w:p>
    <w:p>
      <w:pPr>
        <w:spacing w:before="0"/>
        <w:ind w:left="308" w:right="0" w:firstLine="0"/>
        <w:jc w:val="left"/>
        <w:rPr>
          <w:rFonts w:ascii="Calibri"/>
          <w:sz w:val="20"/>
        </w:rPr>
      </w:pPr>
      <w:r>
        <w:rPr>
          <w:rFonts w:ascii="Calibri"/>
          <w:sz w:val="20"/>
          <w:vertAlign w:val="superscript"/>
        </w:rPr>
        <w:t>208</w:t>
      </w:r>
      <w:r>
        <w:rPr>
          <w:rFonts w:ascii="Calibri"/>
          <w:i/>
          <w:sz w:val="20"/>
          <w:vertAlign w:val="baseline"/>
        </w:rPr>
        <w:t>Bray</w:t>
      </w:r>
      <w:r>
        <w:rPr>
          <w:rFonts w:ascii="Calibri"/>
          <w:i/>
          <w:spacing w:val="-7"/>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Ford</w:t>
      </w:r>
      <w:r>
        <w:rPr>
          <w:rFonts w:ascii="Calibri"/>
          <w:i/>
          <w:spacing w:val="-5"/>
          <w:sz w:val="20"/>
          <w:vertAlign w:val="baseline"/>
        </w:rPr>
        <w:t> </w:t>
      </w:r>
      <w:r>
        <w:rPr>
          <w:rFonts w:ascii="Calibri"/>
          <w:sz w:val="20"/>
          <w:vertAlign w:val="baseline"/>
        </w:rPr>
        <w:t>(1896)</w:t>
      </w:r>
      <w:r>
        <w:rPr>
          <w:rFonts w:ascii="Calibri"/>
          <w:spacing w:val="-2"/>
          <w:sz w:val="20"/>
          <w:vertAlign w:val="baseline"/>
        </w:rPr>
        <w:t> </w:t>
      </w:r>
      <w:r>
        <w:rPr>
          <w:rFonts w:ascii="Calibri"/>
          <w:sz w:val="20"/>
          <w:vertAlign w:val="baseline"/>
        </w:rPr>
        <w:t>A.C.</w:t>
      </w:r>
      <w:r>
        <w:rPr>
          <w:rFonts w:ascii="Calibri"/>
          <w:spacing w:val="-2"/>
          <w:sz w:val="20"/>
          <w:vertAlign w:val="baseline"/>
        </w:rPr>
        <w:t> </w:t>
      </w:r>
      <w:r>
        <w:rPr>
          <w:rFonts w:ascii="Calibri"/>
          <w:sz w:val="20"/>
          <w:vertAlign w:val="baseline"/>
        </w:rPr>
        <w:t>44,</w:t>
      </w:r>
      <w:r>
        <w:rPr>
          <w:rFonts w:ascii="Calibri"/>
          <w:spacing w:val="-5"/>
          <w:sz w:val="20"/>
          <w:vertAlign w:val="baseline"/>
        </w:rPr>
        <w:t> </w:t>
      </w:r>
      <w:r>
        <w:rPr>
          <w:rFonts w:ascii="Calibri"/>
          <w:sz w:val="20"/>
          <w:vertAlign w:val="baseline"/>
        </w:rPr>
        <w:t>HL,</w:t>
      </w:r>
      <w:r>
        <w:rPr>
          <w:rFonts w:ascii="Calibri"/>
          <w:spacing w:val="-4"/>
          <w:sz w:val="20"/>
          <w:vertAlign w:val="baseline"/>
        </w:rPr>
        <w:t> </w:t>
      </w:r>
      <w:r>
        <w:rPr>
          <w:rFonts w:ascii="Calibri"/>
          <w:sz w:val="20"/>
          <w:vertAlign w:val="baseline"/>
        </w:rPr>
        <w:t>51-</w:t>
      </w:r>
      <w:r>
        <w:rPr>
          <w:rFonts w:ascii="Calibri"/>
          <w:spacing w:val="-5"/>
          <w:sz w:val="20"/>
          <w:vertAlign w:val="baseline"/>
        </w:rPr>
        <w:t>2.</w:t>
      </w:r>
    </w:p>
    <w:p>
      <w:pPr>
        <w:spacing w:before="1"/>
        <w:ind w:left="308" w:right="0" w:firstLine="0"/>
        <w:jc w:val="left"/>
        <w:rPr>
          <w:rFonts w:ascii="Calibri"/>
          <w:sz w:val="20"/>
        </w:rPr>
      </w:pPr>
      <w:r>
        <w:rPr>
          <w:rFonts w:ascii="Calibri"/>
          <w:sz w:val="20"/>
          <w:vertAlign w:val="superscript"/>
        </w:rPr>
        <w:t>209</w:t>
      </w:r>
      <w:r>
        <w:rPr>
          <w:rFonts w:ascii="Calibri"/>
          <w:i/>
          <w:sz w:val="20"/>
          <w:vertAlign w:val="baseline"/>
        </w:rPr>
        <w:t>Queensland</w:t>
      </w:r>
      <w:r>
        <w:rPr>
          <w:rFonts w:ascii="Calibri"/>
          <w:i/>
          <w:spacing w:val="-8"/>
          <w:sz w:val="20"/>
          <w:vertAlign w:val="baseline"/>
        </w:rPr>
        <w:t> </w:t>
      </w:r>
      <w:r>
        <w:rPr>
          <w:rFonts w:ascii="Calibri"/>
          <w:i/>
          <w:sz w:val="20"/>
          <w:vertAlign w:val="baseline"/>
        </w:rPr>
        <w:t>Mines</w:t>
      </w:r>
      <w:r>
        <w:rPr>
          <w:rFonts w:ascii="Calibri"/>
          <w:i/>
          <w:spacing w:val="-10"/>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7"/>
          <w:sz w:val="20"/>
          <w:vertAlign w:val="baseline"/>
        </w:rPr>
        <w:t> </w:t>
      </w:r>
      <w:r>
        <w:rPr>
          <w:rFonts w:ascii="Calibri"/>
          <w:i/>
          <w:sz w:val="20"/>
          <w:vertAlign w:val="baseline"/>
        </w:rPr>
        <w:t>Hudson</w:t>
      </w:r>
      <w:r>
        <w:rPr>
          <w:rFonts w:ascii="Calibri"/>
          <w:sz w:val="20"/>
          <w:vertAlign w:val="baseline"/>
        </w:rPr>
        <w:t>[1976]</w:t>
      </w:r>
      <w:r>
        <w:rPr>
          <w:rFonts w:ascii="Calibri"/>
          <w:spacing w:val="-4"/>
          <w:sz w:val="20"/>
          <w:vertAlign w:val="baseline"/>
        </w:rPr>
        <w:t> </w:t>
      </w:r>
      <w:r>
        <w:rPr>
          <w:rFonts w:ascii="Calibri"/>
          <w:sz w:val="20"/>
          <w:vertAlign w:val="baseline"/>
        </w:rPr>
        <w:t>ACLC</w:t>
      </w:r>
      <w:r>
        <w:rPr>
          <w:rFonts w:ascii="Calibri"/>
          <w:spacing w:val="-6"/>
          <w:sz w:val="20"/>
          <w:vertAlign w:val="baseline"/>
        </w:rPr>
        <w:t> </w:t>
      </w:r>
      <w:r>
        <w:rPr>
          <w:rFonts w:ascii="Calibri"/>
          <w:sz w:val="20"/>
          <w:vertAlign w:val="baseline"/>
        </w:rPr>
        <w:t>28,658</w:t>
      </w:r>
      <w:r>
        <w:rPr>
          <w:rFonts w:ascii="Calibri"/>
          <w:spacing w:val="-5"/>
          <w:sz w:val="20"/>
          <w:vertAlign w:val="baseline"/>
        </w:rPr>
        <w:t> </w:t>
      </w:r>
      <w:r>
        <w:rPr>
          <w:rFonts w:ascii="Calibri"/>
          <w:sz w:val="20"/>
          <w:vertAlign w:val="baseline"/>
        </w:rPr>
        <w:t>at</w:t>
      </w:r>
      <w:r>
        <w:rPr>
          <w:rFonts w:ascii="Calibri"/>
          <w:spacing w:val="-5"/>
          <w:sz w:val="20"/>
          <w:vertAlign w:val="baseline"/>
        </w:rPr>
        <w:t> </w:t>
      </w:r>
      <w:r>
        <w:rPr>
          <w:rFonts w:ascii="Calibri"/>
          <w:spacing w:val="-2"/>
          <w:sz w:val="20"/>
          <w:vertAlign w:val="baseline"/>
        </w:rPr>
        <w:t>28,685.</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1"/>
        <w:jc w:val="both"/>
      </w:pPr>
      <w:r>
        <w:rPr/>
        <w:t>But the Privy Council rejected this viewpoint on appeal, stating that there always had to be a real, sensible possibility of conflict of interest. As provided in s. 175(1), and observed by Lord Upjohn,</w:t>
      </w:r>
      <w:r>
        <w:rPr>
          <w:vertAlign w:val="superscript"/>
        </w:rPr>
        <w:t>210</w:t>
      </w:r>
      <w:r>
        <w:rPr>
          <w:vertAlign w:val="baseline"/>
        </w:rPr>
        <w:t> this rule applies where there is an </w:t>
      </w:r>
      <w:r>
        <w:rPr>
          <w:i/>
          <w:vertAlign w:val="baseline"/>
        </w:rPr>
        <w:t>actual </w:t>
      </w:r>
      <w:r>
        <w:rPr>
          <w:vertAlign w:val="baseline"/>
        </w:rPr>
        <w:t>as well as </w:t>
      </w:r>
      <w:r>
        <w:rPr>
          <w:i/>
          <w:vertAlign w:val="baseline"/>
        </w:rPr>
        <w:t>possible</w:t>
      </w:r>
      <w:r>
        <w:rPr>
          <w:vertAlign w:val="baseline"/>
        </w:rPr>
        <w:t>, conflict situation. Thus, unlike the common law, the main idea in s.175 is a duty to avoid possible conflict of interest situations, rather than duty to refrain from benefitting from them.</w:t>
      </w:r>
      <w:r>
        <w:rPr>
          <w:vertAlign w:val="superscript"/>
        </w:rPr>
        <w:t>211</w:t>
      </w:r>
      <w:r>
        <w:rPr>
          <w:vertAlign w:val="baseline"/>
        </w:rPr>
        <w:t> However, the question whether an actual or potential conflict</w:t>
      </w:r>
      <w:r>
        <w:rPr>
          <w:spacing w:val="40"/>
          <w:vertAlign w:val="baseline"/>
        </w:rPr>
        <w:t> </w:t>
      </w:r>
      <w:r>
        <w:rPr>
          <w:vertAlign w:val="baseline"/>
        </w:rPr>
        <w:t>of interest has arisen, is one for the courts.</w:t>
      </w:r>
      <w:r>
        <w:rPr>
          <w:vertAlign w:val="superscript"/>
        </w:rPr>
        <w:t>212</w:t>
      </w:r>
      <w:r>
        <w:rPr>
          <w:vertAlign w:val="baseline"/>
        </w:rPr>
        <w:t>In</w:t>
      </w:r>
      <w:r>
        <w:rPr>
          <w:spacing w:val="-1"/>
          <w:vertAlign w:val="baseline"/>
        </w:rPr>
        <w:t> </w:t>
      </w:r>
      <w:r>
        <w:rPr>
          <w:b/>
          <w:vertAlign w:val="baseline"/>
        </w:rPr>
        <w:t>Boardman vs. Phipps</w:t>
      </w:r>
      <w:r>
        <w:rPr>
          <w:vertAlign w:val="superscript"/>
        </w:rPr>
        <w:t>213</w:t>
      </w:r>
      <w:r>
        <w:rPr>
          <w:vertAlign w:val="baseline"/>
        </w:rPr>
        <w:t>it was held that the term ‗possibly may</w:t>
      </w:r>
      <w:r>
        <w:rPr>
          <w:spacing w:val="-1"/>
          <w:vertAlign w:val="baseline"/>
        </w:rPr>
        <w:t> </w:t>
      </w:r>
      <w:r>
        <w:rPr>
          <w:vertAlign w:val="baseline"/>
        </w:rPr>
        <w:t>conflict‘ means ‗that the reasonable man looking at the relevant facts and circumstances of the particular case would think that there was a </w:t>
      </w:r>
      <w:r>
        <w:rPr>
          <w:i/>
          <w:vertAlign w:val="baseline"/>
        </w:rPr>
        <w:t>real sensible possibility </w:t>
      </w:r>
      <w:r>
        <w:rPr>
          <w:vertAlign w:val="baseline"/>
        </w:rPr>
        <w:t>of conflict. The test is therefore one of ‗reasonability‘.</w:t>
      </w:r>
    </w:p>
    <w:p>
      <w:pPr>
        <w:pStyle w:val="BodyText"/>
        <w:spacing w:line="480" w:lineRule="auto" w:before="2"/>
        <w:ind w:right="181" w:firstLine="720"/>
        <w:jc w:val="both"/>
      </w:pPr>
      <w:r>
        <w:rPr/>
        <w:t>Further, s. 175(4)(a) confirms, as suggested by case-law,</w:t>
      </w:r>
      <w:r>
        <w:rPr>
          <w:vertAlign w:val="superscript"/>
        </w:rPr>
        <w:t>214</w:t>
      </w:r>
      <w:r>
        <w:rPr>
          <w:vertAlign w:val="baseline"/>
        </w:rPr>
        <w:t> that there is a situation of conflict only where that can </w:t>
      </w:r>
      <w:r>
        <w:rPr>
          <w:i/>
          <w:vertAlign w:val="baseline"/>
        </w:rPr>
        <w:t>reasonably be regarded as likely to arise</w:t>
      </w:r>
      <w:r>
        <w:rPr>
          <w:vertAlign w:val="baseline"/>
        </w:rPr>
        <w:t>.</w:t>
      </w:r>
      <w:r>
        <w:rPr>
          <w:vertAlign w:val="superscript"/>
        </w:rPr>
        <w:t>215</w:t>
      </w:r>
      <w:r>
        <w:rPr>
          <w:vertAlign w:val="baseline"/>
        </w:rPr>
        <w:t> Thus, for example, where a non executive director of a company in a business focussed upon the provision of loans, mortgages and financial advice, is offered a position in a company involved in food processing, the situation cannot reasonably be regarded as </w:t>
      </w:r>
      <w:r>
        <w:rPr>
          <w:i/>
          <w:vertAlign w:val="baseline"/>
        </w:rPr>
        <w:t>likely</w:t>
      </w:r>
      <w:r>
        <w:rPr>
          <w:i/>
          <w:spacing w:val="34"/>
          <w:vertAlign w:val="baseline"/>
        </w:rPr>
        <w:t> </w:t>
      </w:r>
      <w:r>
        <w:rPr>
          <w:i/>
          <w:vertAlign w:val="baseline"/>
        </w:rPr>
        <w:t>to</w:t>
      </w:r>
      <w:r>
        <w:rPr>
          <w:i/>
          <w:spacing w:val="36"/>
          <w:vertAlign w:val="baseline"/>
        </w:rPr>
        <w:t> </w:t>
      </w:r>
      <w:r>
        <w:rPr>
          <w:i/>
          <w:vertAlign w:val="baseline"/>
        </w:rPr>
        <w:t>give</w:t>
      </w:r>
      <w:r>
        <w:rPr>
          <w:i/>
          <w:spacing w:val="34"/>
          <w:vertAlign w:val="baseline"/>
        </w:rPr>
        <w:t> </w:t>
      </w:r>
      <w:r>
        <w:rPr>
          <w:i/>
          <w:vertAlign w:val="baseline"/>
        </w:rPr>
        <w:t>rise</w:t>
      </w:r>
      <w:r>
        <w:rPr>
          <w:i/>
          <w:spacing w:val="34"/>
          <w:vertAlign w:val="baseline"/>
        </w:rPr>
        <w:t> </w:t>
      </w:r>
      <w:r>
        <w:rPr>
          <w:i/>
          <w:vertAlign w:val="baseline"/>
        </w:rPr>
        <w:t>to</w:t>
      </w:r>
      <w:r>
        <w:rPr>
          <w:i/>
          <w:spacing w:val="36"/>
          <w:vertAlign w:val="baseline"/>
        </w:rPr>
        <w:t> </w:t>
      </w:r>
      <w:r>
        <w:rPr>
          <w:i/>
          <w:vertAlign w:val="baseline"/>
        </w:rPr>
        <w:t>a</w:t>
      </w:r>
      <w:r>
        <w:rPr>
          <w:i/>
          <w:spacing w:val="34"/>
          <w:vertAlign w:val="baseline"/>
        </w:rPr>
        <w:t> </w:t>
      </w:r>
      <w:r>
        <w:rPr>
          <w:i/>
          <w:vertAlign w:val="baseline"/>
        </w:rPr>
        <w:t>conflict</w:t>
      </w:r>
      <w:r>
        <w:rPr>
          <w:i/>
          <w:spacing w:val="40"/>
          <w:vertAlign w:val="baseline"/>
        </w:rPr>
        <w:t> </w:t>
      </w:r>
      <w:r>
        <w:rPr>
          <w:vertAlign w:val="baseline"/>
        </w:rPr>
        <w:t>of</w:t>
      </w:r>
      <w:r>
        <w:rPr>
          <w:spacing w:val="32"/>
          <w:vertAlign w:val="baseline"/>
        </w:rPr>
        <w:t> </w:t>
      </w:r>
      <w:r>
        <w:rPr>
          <w:vertAlign w:val="baseline"/>
        </w:rPr>
        <w:t>interest,</w:t>
      </w:r>
      <w:r>
        <w:rPr>
          <w:spacing w:val="37"/>
          <w:vertAlign w:val="baseline"/>
        </w:rPr>
        <w:t> </w:t>
      </w:r>
      <w:r>
        <w:rPr>
          <w:vertAlign w:val="baseline"/>
        </w:rPr>
        <w:t>nor</w:t>
      </w:r>
      <w:r>
        <w:rPr>
          <w:spacing w:val="37"/>
          <w:vertAlign w:val="baseline"/>
        </w:rPr>
        <w:t> </w:t>
      </w:r>
      <w:r>
        <w:rPr>
          <w:vertAlign w:val="baseline"/>
        </w:rPr>
        <w:t>even</w:t>
      </w:r>
      <w:r>
        <w:rPr>
          <w:spacing w:val="29"/>
          <w:vertAlign w:val="baseline"/>
        </w:rPr>
        <w:t> </w:t>
      </w:r>
      <w:r>
        <w:rPr>
          <w:vertAlign w:val="baseline"/>
        </w:rPr>
        <w:t>of</w:t>
      </w:r>
      <w:r>
        <w:rPr>
          <w:spacing w:val="27"/>
          <w:vertAlign w:val="baseline"/>
        </w:rPr>
        <w:t> </w:t>
      </w:r>
      <w:r>
        <w:rPr>
          <w:vertAlign w:val="baseline"/>
        </w:rPr>
        <w:t>duties.</w:t>
      </w:r>
      <w:r>
        <w:rPr>
          <w:vertAlign w:val="superscript"/>
        </w:rPr>
        <w:t>216</w:t>
      </w:r>
      <w:r>
        <w:rPr>
          <w:spacing w:val="38"/>
          <w:vertAlign w:val="baseline"/>
        </w:rPr>
        <w:t> </w:t>
      </w:r>
      <w:r>
        <w:rPr>
          <w:vertAlign w:val="baseline"/>
        </w:rPr>
        <w:t>Lord</w:t>
      </w:r>
      <w:r>
        <w:rPr>
          <w:spacing w:val="35"/>
          <w:vertAlign w:val="baseline"/>
        </w:rPr>
        <w:t> </w:t>
      </w:r>
      <w:r>
        <w:rPr>
          <w:vertAlign w:val="baseline"/>
        </w:rPr>
        <w:t>Goldsmith</w:t>
      </w:r>
      <w:r>
        <w:rPr>
          <w:spacing w:val="35"/>
          <w:vertAlign w:val="baseline"/>
        </w:rPr>
        <w:t> </w:t>
      </w:r>
      <w:r>
        <w:rPr>
          <w:spacing w:val="-5"/>
          <w:vertAlign w:val="baseline"/>
        </w:rPr>
        <w:t>has</w:t>
      </w:r>
    </w:p>
    <w:p>
      <w:pPr>
        <w:pStyle w:val="BodyText"/>
        <w:spacing w:before="3"/>
        <w:ind w:left="0"/>
        <w:rPr>
          <w:sz w:val="13"/>
        </w:rPr>
      </w:pPr>
      <w:r>
        <w:rPr/>
        <mc:AlternateContent>
          <mc:Choice Requires="wps">
            <w:drawing>
              <wp:anchor distT="0" distB="0" distL="0" distR="0" allowOverlap="1" layoutInCell="1" locked="0" behindDoc="1" simplePos="0" relativeHeight="487694336">
                <wp:simplePos x="0" y="0"/>
                <wp:positionH relativeFrom="page">
                  <wp:posOffset>1262481</wp:posOffset>
                </wp:positionH>
                <wp:positionV relativeFrom="paragraph">
                  <wp:posOffset>112490</wp:posOffset>
                </wp:positionV>
                <wp:extent cx="1829435" cy="9525"/>
                <wp:effectExtent l="0" t="0" r="0" b="0"/>
                <wp:wrapTopAndBottom/>
                <wp:docPr id="234" name="Graphic 234"/>
                <wp:cNvGraphicFramePr>
                  <a:graphicFrameLocks/>
                </wp:cNvGraphicFramePr>
                <a:graphic>
                  <a:graphicData uri="http://schemas.microsoft.com/office/word/2010/wordprocessingShape">
                    <wps:wsp>
                      <wps:cNvPr id="234" name="Graphic 23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85753pt;width:144.050pt;height:.71997pt;mso-position-horizontal-relative:page;mso-position-vertical-relative:paragraph;z-index:-15622144;mso-wrap-distance-left:0;mso-wrap-distance-right:0" id="docshape18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210</w:t>
      </w:r>
      <w:r>
        <w:rPr>
          <w:rFonts w:ascii="Calibri"/>
          <w:i/>
          <w:sz w:val="20"/>
          <w:vertAlign w:val="baseline"/>
        </w:rPr>
        <w:t>Boardman</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Phipps</w:t>
      </w:r>
      <w:r>
        <w:rPr>
          <w:rFonts w:ascii="Calibri"/>
          <w:i/>
          <w:spacing w:val="-2"/>
          <w:sz w:val="20"/>
          <w:vertAlign w:val="baseline"/>
        </w:rPr>
        <w:t> </w:t>
      </w:r>
      <w:r>
        <w:rPr>
          <w:rFonts w:ascii="Calibri"/>
          <w:sz w:val="20"/>
          <w:vertAlign w:val="baseline"/>
        </w:rPr>
        <w:t>[1967]</w:t>
      </w:r>
      <w:r>
        <w:rPr>
          <w:rFonts w:ascii="Calibri"/>
          <w:spacing w:val="-6"/>
          <w:sz w:val="20"/>
          <w:vertAlign w:val="baseline"/>
        </w:rPr>
        <w:t> </w:t>
      </w:r>
      <w:r>
        <w:rPr>
          <w:rFonts w:ascii="Calibri"/>
          <w:sz w:val="20"/>
          <w:vertAlign w:val="baseline"/>
        </w:rPr>
        <w:t>2</w:t>
      </w:r>
      <w:r>
        <w:rPr>
          <w:rFonts w:ascii="Calibri"/>
          <w:spacing w:val="-3"/>
          <w:sz w:val="20"/>
          <w:vertAlign w:val="baseline"/>
        </w:rPr>
        <w:t> </w:t>
      </w:r>
      <w:r>
        <w:rPr>
          <w:rFonts w:ascii="Calibri"/>
          <w:sz w:val="20"/>
          <w:vertAlign w:val="baseline"/>
        </w:rPr>
        <w:t>AC</w:t>
      </w:r>
      <w:r>
        <w:rPr>
          <w:rFonts w:ascii="Calibri"/>
          <w:spacing w:val="-4"/>
          <w:sz w:val="20"/>
          <w:vertAlign w:val="baseline"/>
        </w:rPr>
        <w:t> </w:t>
      </w:r>
      <w:r>
        <w:rPr>
          <w:rFonts w:ascii="Calibri"/>
          <w:spacing w:val="-5"/>
          <w:sz w:val="20"/>
          <w:vertAlign w:val="baseline"/>
        </w:rPr>
        <w:t>47.</w:t>
      </w:r>
    </w:p>
    <w:p>
      <w:pPr>
        <w:spacing w:before="1"/>
        <w:ind w:left="308" w:right="0" w:firstLine="0"/>
        <w:jc w:val="left"/>
        <w:rPr>
          <w:rFonts w:ascii="Calibri"/>
          <w:sz w:val="20"/>
        </w:rPr>
      </w:pPr>
      <w:r>
        <w:rPr>
          <w:rFonts w:ascii="Calibri"/>
          <w:sz w:val="20"/>
          <w:vertAlign w:val="superscript"/>
        </w:rPr>
        <w:t>211</w:t>
      </w:r>
      <w:r>
        <w:rPr>
          <w:rFonts w:ascii="Calibri"/>
          <w:sz w:val="20"/>
          <w:vertAlign w:val="baseline"/>
        </w:rPr>
        <w:t>Hudson,</w:t>
      </w:r>
      <w:r>
        <w:rPr>
          <w:rFonts w:ascii="Calibri"/>
          <w:spacing w:val="-6"/>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3"/>
          <w:sz w:val="20"/>
          <w:vertAlign w:val="baseline"/>
        </w:rPr>
        <w:t> </w:t>
      </w:r>
      <w:r>
        <w:rPr>
          <w:rFonts w:ascii="Calibri"/>
          <w:spacing w:val="-4"/>
          <w:sz w:val="20"/>
          <w:vertAlign w:val="baseline"/>
        </w:rPr>
        <w:t>p.26.</w:t>
      </w:r>
    </w:p>
    <w:p>
      <w:pPr>
        <w:spacing w:before="1"/>
        <w:ind w:left="308" w:right="0" w:firstLine="0"/>
        <w:jc w:val="left"/>
        <w:rPr>
          <w:rFonts w:ascii="Calibri"/>
          <w:sz w:val="20"/>
        </w:rPr>
      </w:pPr>
      <w:r>
        <w:rPr>
          <w:rFonts w:ascii="Calibri"/>
          <w:sz w:val="20"/>
          <w:vertAlign w:val="superscript"/>
        </w:rPr>
        <w:t>212</w:t>
      </w:r>
      <w:r>
        <w:rPr>
          <w:rFonts w:ascii="Calibri"/>
          <w:spacing w:val="-3"/>
          <w:sz w:val="20"/>
          <w:vertAlign w:val="baseline"/>
        </w:rPr>
        <w:t> </w:t>
      </w:r>
      <w:r>
        <w:rPr>
          <w:rFonts w:ascii="Calibri"/>
          <w:sz w:val="20"/>
          <w:vertAlign w:val="baseline"/>
        </w:rPr>
        <w:t>Davies,</w:t>
      </w:r>
      <w:r>
        <w:rPr>
          <w:rFonts w:ascii="Calibri"/>
          <w:spacing w:val="-6"/>
          <w:sz w:val="20"/>
          <w:vertAlign w:val="baseline"/>
        </w:rPr>
        <w:t> </w:t>
      </w:r>
      <w:r>
        <w:rPr>
          <w:rFonts w:ascii="Calibri"/>
          <w:sz w:val="20"/>
          <w:vertAlign w:val="baseline"/>
        </w:rPr>
        <w:t>P.</w:t>
      </w:r>
      <w:r>
        <w:rPr>
          <w:rFonts w:ascii="Calibri"/>
          <w:spacing w:val="-3"/>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7"/>
          <w:sz w:val="20"/>
          <w:vertAlign w:val="baseline"/>
        </w:rPr>
        <w:t> </w:t>
      </w:r>
      <w:r>
        <w:rPr>
          <w:rFonts w:ascii="Calibri"/>
          <w:sz w:val="20"/>
          <w:vertAlign w:val="baseline"/>
        </w:rPr>
        <w:t>(2012).</w:t>
      </w:r>
      <w:r>
        <w:rPr>
          <w:rFonts w:ascii="Calibri"/>
          <w:spacing w:val="-7"/>
          <w:sz w:val="20"/>
          <w:vertAlign w:val="baseline"/>
        </w:rPr>
        <w:t> </w:t>
      </w:r>
      <w:r>
        <w:rPr>
          <w:rFonts w:ascii="Calibri"/>
          <w:sz w:val="20"/>
          <w:vertAlign w:val="baseline"/>
        </w:rPr>
        <w:t>Op.cit.</w:t>
      </w:r>
      <w:r>
        <w:rPr>
          <w:rFonts w:ascii="Calibri"/>
          <w:spacing w:val="-3"/>
          <w:sz w:val="20"/>
          <w:vertAlign w:val="baseline"/>
        </w:rPr>
        <w:t> </w:t>
      </w:r>
      <w:r>
        <w:rPr>
          <w:rFonts w:ascii="Calibri"/>
          <w:sz w:val="20"/>
          <w:vertAlign w:val="baseline"/>
        </w:rPr>
        <w:t>at</w:t>
      </w:r>
      <w:r>
        <w:rPr>
          <w:rFonts w:ascii="Calibri"/>
          <w:spacing w:val="-9"/>
          <w:sz w:val="20"/>
          <w:vertAlign w:val="baseline"/>
        </w:rPr>
        <w:t> </w:t>
      </w:r>
      <w:r>
        <w:rPr>
          <w:rFonts w:ascii="Calibri"/>
          <w:spacing w:val="-4"/>
          <w:sz w:val="20"/>
          <w:vertAlign w:val="baseline"/>
        </w:rPr>
        <w:t>591.</w:t>
      </w:r>
    </w:p>
    <w:p>
      <w:pPr>
        <w:spacing w:before="1"/>
        <w:ind w:left="308" w:right="0" w:firstLine="0"/>
        <w:jc w:val="left"/>
        <w:rPr>
          <w:rFonts w:ascii="Calibri"/>
          <w:sz w:val="20"/>
        </w:rPr>
      </w:pPr>
      <w:r>
        <w:rPr>
          <w:rFonts w:ascii="Calibri"/>
          <w:sz w:val="20"/>
          <w:vertAlign w:val="superscript"/>
        </w:rPr>
        <w:t>213</w:t>
      </w:r>
      <w:r>
        <w:rPr>
          <w:rFonts w:ascii="Calibri"/>
          <w:sz w:val="20"/>
          <w:vertAlign w:val="baseline"/>
        </w:rPr>
        <w:t>(1967)</w:t>
      </w:r>
      <w:r>
        <w:rPr>
          <w:rFonts w:ascii="Calibri"/>
          <w:spacing w:val="1"/>
          <w:sz w:val="20"/>
          <w:vertAlign w:val="baseline"/>
        </w:rPr>
        <w:t> </w:t>
      </w:r>
      <w:r>
        <w:rPr>
          <w:rFonts w:ascii="Calibri"/>
          <w:sz w:val="20"/>
          <w:vertAlign w:val="baseline"/>
        </w:rPr>
        <w:t>2</w:t>
      </w:r>
      <w:r>
        <w:rPr>
          <w:rFonts w:ascii="Calibri"/>
          <w:spacing w:val="-2"/>
          <w:sz w:val="20"/>
          <w:vertAlign w:val="baseline"/>
        </w:rPr>
        <w:t> </w:t>
      </w:r>
      <w:r>
        <w:rPr>
          <w:rFonts w:ascii="Calibri"/>
          <w:sz w:val="20"/>
          <w:vertAlign w:val="baseline"/>
        </w:rPr>
        <w:t>AC</w:t>
      </w:r>
      <w:r>
        <w:rPr>
          <w:rFonts w:ascii="Calibri"/>
          <w:spacing w:val="-7"/>
          <w:sz w:val="20"/>
          <w:vertAlign w:val="baseline"/>
        </w:rPr>
        <w:t> </w:t>
      </w:r>
      <w:r>
        <w:rPr>
          <w:rFonts w:ascii="Calibri"/>
          <w:spacing w:val="-5"/>
          <w:sz w:val="20"/>
          <w:vertAlign w:val="baseline"/>
        </w:rPr>
        <w:t>46</w:t>
      </w:r>
    </w:p>
    <w:p>
      <w:pPr>
        <w:spacing w:before="0"/>
        <w:ind w:left="308" w:right="0" w:firstLine="0"/>
        <w:jc w:val="left"/>
        <w:rPr>
          <w:rFonts w:ascii="Calibri"/>
          <w:sz w:val="20"/>
        </w:rPr>
      </w:pPr>
      <w:r>
        <w:rPr>
          <w:rFonts w:ascii="Calibri"/>
          <w:sz w:val="20"/>
          <w:vertAlign w:val="superscript"/>
        </w:rPr>
        <w:t>214</w:t>
      </w:r>
      <w:r>
        <w:rPr>
          <w:rFonts w:ascii="Calibri"/>
          <w:sz w:val="20"/>
          <w:vertAlign w:val="baseline"/>
        </w:rPr>
        <w:t>Such</w:t>
      </w:r>
      <w:r>
        <w:rPr>
          <w:rFonts w:ascii="Calibri"/>
          <w:spacing w:val="-3"/>
          <w:sz w:val="20"/>
          <w:vertAlign w:val="baseline"/>
        </w:rPr>
        <w:t> </w:t>
      </w:r>
      <w:r>
        <w:rPr>
          <w:rFonts w:ascii="Calibri"/>
          <w:sz w:val="20"/>
          <w:vertAlign w:val="baseline"/>
        </w:rPr>
        <w:t>as</w:t>
      </w:r>
      <w:r>
        <w:rPr>
          <w:rFonts w:ascii="Calibri"/>
          <w:spacing w:val="-9"/>
          <w:sz w:val="20"/>
          <w:vertAlign w:val="baseline"/>
        </w:rPr>
        <w:t> </w:t>
      </w:r>
      <w:r>
        <w:rPr>
          <w:rFonts w:ascii="Calibri"/>
          <w:i/>
          <w:sz w:val="20"/>
          <w:vertAlign w:val="baseline"/>
        </w:rPr>
        <w:t>Bhullar</w:t>
      </w:r>
      <w:r>
        <w:rPr>
          <w:rFonts w:ascii="Calibri"/>
          <w:i/>
          <w:spacing w:val="-8"/>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Bhullar</w:t>
      </w:r>
      <w:r>
        <w:rPr>
          <w:rFonts w:ascii="Calibri"/>
          <w:i/>
          <w:spacing w:val="-8"/>
          <w:sz w:val="20"/>
          <w:vertAlign w:val="baseline"/>
        </w:rPr>
        <w:t> </w:t>
      </w:r>
      <w:r>
        <w:rPr>
          <w:rFonts w:ascii="Calibri"/>
          <w:sz w:val="20"/>
          <w:vertAlign w:val="baseline"/>
        </w:rPr>
        <w:t>(2003)</w:t>
      </w:r>
      <w:r>
        <w:rPr>
          <w:rFonts w:ascii="Calibri"/>
          <w:spacing w:val="-5"/>
          <w:sz w:val="20"/>
          <w:vertAlign w:val="baseline"/>
        </w:rPr>
        <w:t> </w:t>
      </w:r>
      <w:r>
        <w:rPr>
          <w:rFonts w:ascii="Calibri"/>
          <w:sz w:val="20"/>
          <w:vertAlign w:val="baseline"/>
        </w:rPr>
        <w:t>EWCA</w:t>
      </w:r>
      <w:r>
        <w:rPr>
          <w:rFonts w:ascii="Calibri"/>
          <w:spacing w:val="-4"/>
          <w:sz w:val="20"/>
          <w:vertAlign w:val="baseline"/>
        </w:rPr>
        <w:t> </w:t>
      </w:r>
      <w:r>
        <w:rPr>
          <w:rFonts w:ascii="Calibri"/>
          <w:sz w:val="20"/>
          <w:vertAlign w:val="baseline"/>
        </w:rPr>
        <w:t>Civ. 424;</w:t>
      </w:r>
      <w:r>
        <w:rPr>
          <w:rFonts w:ascii="Calibri"/>
          <w:spacing w:val="-8"/>
          <w:sz w:val="20"/>
          <w:vertAlign w:val="baseline"/>
        </w:rPr>
        <w:t> </w:t>
      </w:r>
      <w:r>
        <w:rPr>
          <w:rFonts w:ascii="Calibri"/>
          <w:sz w:val="20"/>
          <w:vertAlign w:val="baseline"/>
        </w:rPr>
        <w:t>(2003)</w:t>
      </w:r>
      <w:r>
        <w:rPr>
          <w:rFonts w:ascii="Calibri"/>
          <w:spacing w:val="-1"/>
          <w:sz w:val="20"/>
          <w:vertAlign w:val="baseline"/>
        </w:rPr>
        <w:t> </w:t>
      </w:r>
      <w:r>
        <w:rPr>
          <w:rFonts w:ascii="Calibri"/>
          <w:sz w:val="20"/>
          <w:vertAlign w:val="baseline"/>
        </w:rPr>
        <w:t>2</w:t>
      </w:r>
      <w:r>
        <w:rPr>
          <w:rFonts w:ascii="Calibri"/>
          <w:spacing w:val="-8"/>
          <w:sz w:val="20"/>
          <w:vertAlign w:val="baseline"/>
        </w:rPr>
        <w:t> </w:t>
      </w:r>
      <w:r>
        <w:rPr>
          <w:rFonts w:ascii="Calibri"/>
          <w:sz w:val="20"/>
          <w:vertAlign w:val="baseline"/>
        </w:rPr>
        <w:t>BCLC</w:t>
      </w:r>
      <w:r>
        <w:rPr>
          <w:rFonts w:ascii="Calibri"/>
          <w:spacing w:val="-4"/>
          <w:sz w:val="20"/>
          <w:vertAlign w:val="baseline"/>
        </w:rPr>
        <w:t> 241.</w:t>
      </w:r>
    </w:p>
    <w:p>
      <w:pPr>
        <w:spacing w:line="240" w:lineRule="auto" w:before="1"/>
        <w:ind w:left="308" w:right="225" w:firstLine="0"/>
        <w:jc w:val="both"/>
        <w:rPr>
          <w:rFonts w:ascii="Calibri" w:hAnsi="Calibri"/>
          <w:sz w:val="20"/>
        </w:rPr>
      </w:pPr>
      <w:r>
        <w:rPr>
          <w:rFonts w:ascii="Calibri" w:hAnsi="Calibri"/>
          <w:sz w:val="20"/>
          <w:vertAlign w:val="superscript"/>
        </w:rPr>
        <w:t>215</w:t>
      </w:r>
      <w:r>
        <w:rPr>
          <w:rFonts w:ascii="Calibri" w:hAnsi="Calibri"/>
          <w:sz w:val="20"/>
          <w:vertAlign w:val="baseline"/>
        </w:rPr>
        <w:t> The government believes that this introduces the concept of “reasonableness” which makes the situation easier from the point of view of a director and avoids a very harsh test, although it is still a heavy duty and intended to be so. See </w:t>
      </w:r>
      <w:r>
        <w:rPr>
          <w:rFonts w:ascii="Calibri" w:hAnsi="Calibri"/>
          <w:i/>
          <w:sz w:val="20"/>
          <w:vertAlign w:val="baseline"/>
        </w:rPr>
        <w:t>Companies Act 2006: Duties of Company Directors</w:t>
      </w:r>
      <w:r>
        <w:rPr>
          <w:rFonts w:ascii="Calibri" w:hAnsi="Calibri"/>
          <w:sz w:val="20"/>
          <w:vertAlign w:val="baseline"/>
        </w:rPr>
        <w:t>, Ministerial Statements published by the Department of Trade and Industry (DTI), (June 2007) p. 12, quoting Lord Goldsmith of the Lords Grand Committee from the Hansard</w:t>
      </w:r>
      <w:r>
        <w:rPr>
          <w:rFonts w:ascii="Calibri" w:hAnsi="Calibri"/>
          <w:spacing w:val="-1"/>
          <w:sz w:val="20"/>
          <w:vertAlign w:val="baseline"/>
        </w:rPr>
        <w:t> </w:t>
      </w:r>
      <w:r>
        <w:rPr>
          <w:rFonts w:ascii="Calibri" w:hAnsi="Calibri"/>
          <w:sz w:val="20"/>
          <w:vertAlign w:val="baseline"/>
        </w:rPr>
        <w:t>of February 6, 2006, column 293, accessible at </w:t>
      </w:r>
      <w:hyperlink r:id="rId12">
        <w:r>
          <w:rPr>
            <w:rFonts w:ascii="Calibri" w:hAnsi="Calibri"/>
            <w:color w:val="0000FF"/>
            <w:sz w:val="20"/>
            <w:u w:val="single" w:color="0000FF"/>
            <w:vertAlign w:val="baseline"/>
          </w:rPr>
          <w:t>http://www.berr.gov.uk/files/file40139.pdf</w:t>
        </w:r>
      </w:hyperlink>
      <w:r>
        <w:rPr>
          <w:rFonts w:ascii="Calibri" w:hAnsi="Calibri"/>
          <w:sz w:val="20"/>
          <w:vertAlign w:val="baseline"/>
        </w:rPr>
        <w:t>.</w:t>
      </w:r>
    </w:p>
    <w:p>
      <w:pPr>
        <w:spacing w:line="240" w:lineRule="auto" w:before="0"/>
        <w:ind w:left="308" w:right="228" w:firstLine="0"/>
        <w:jc w:val="both"/>
        <w:rPr>
          <w:rFonts w:ascii="Calibri" w:hAnsi="Calibri"/>
          <w:sz w:val="20"/>
        </w:rPr>
      </w:pPr>
      <w:r>
        <w:rPr>
          <w:rFonts w:ascii="Calibri" w:hAnsi="Calibri"/>
          <w:sz w:val="20"/>
          <w:vertAlign w:val="superscript"/>
        </w:rPr>
        <w:t>216</w:t>
      </w:r>
      <w:r>
        <w:rPr>
          <w:rFonts w:ascii="Calibri" w:hAnsi="Calibri"/>
          <w:sz w:val="20"/>
          <w:vertAlign w:val="baseline"/>
        </w:rPr>
        <w:t> However, in </w:t>
      </w:r>
      <w:r>
        <w:rPr>
          <w:rFonts w:ascii="Calibri" w:hAnsi="Calibri"/>
          <w:i/>
          <w:sz w:val="20"/>
          <w:vertAlign w:val="baseline"/>
        </w:rPr>
        <w:t>Allied Business and Financial Consultants Ltd.</w:t>
      </w:r>
      <w:r>
        <w:rPr>
          <w:rFonts w:ascii="Calibri" w:hAnsi="Calibri"/>
          <w:i/>
          <w:spacing w:val="-3"/>
          <w:sz w:val="20"/>
          <w:vertAlign w:val="baseline"/>
        </w:rPr>
        <w:t> </w:t>
      </w:r>
      <w:r>
        <w:rPr>
          <w:rFonts w:ascii="Calibri" w:hAnsi="Calibri"/>
          <w:i/>
          <w:sz w:val="20"/>
          <w:vertAlign w:val="baseline"/>
        </w:rPr>
        <w:t>vs. Shanahan </w:t>
      </w:r>
      <w:r>
        <w:rPr>
          <w:rFonts w:ascii="Calibri" w:hAnsi="Calibri"/>
          <w:sz w:val="20"/>
          <w:vertAlign w:val="baseline"/>
        </w:rPr>
        <w:t>(also known as </w:t>
      </w:r>
      <w:r>
        <w:rPr>
          <w:rFonts w:ascii="Calibri" w:hAnsi="Calibri"/>
          <w:i/>
          <w:sz w:val="20"/>
          <w:vertAlign w:val="baseline"/>
        </w:rPr>
        <w:t>O’Donnell vs. Shanahan</w:t>
      </w:r>
      <w:r>
        <w:rPr>
          <w:rFonts w:ascii="Calibri" w:hAnsi="Calibri"/>
          <w:sz w:val="20"/>
          <w:vertAlign w:val="baseline"/>
        </w:rPr>
        <w:t>) (2008) EWHC 1973 (Ch), which decision was overturned in 2009, the appeal court took the view that where a company’s business was not restricted by its constitution, it was fully open to it to engage</w:t>
      </w:r>
      <w:r>
        <w:rPr>
          <w:rFonts w:ascii="Calibri" w:hAnsi="Calibri"/>
          <w:spacing w:val="-3"/>
          <w:sz w:val="20"/>
          <w:vertAlign w:val="baseline"/>
        </w:rPr>
        <w:t> </w:t>
      </w:r>
      <w:r>
        <w:rPr>
          <w:rFonts w:ascii="Calibri" w:hAnsi="Calibri"/>
          <w:sz w:val="20"/>
          <w:vertAlign w:val="baseline"/>
        </w:rPr>
        <w:t>in any</w:t>
      </w:r>
      <w:r>
        <w:rPr>
          <w:rFonts w:ascii="Calibri" w:hAnsi="Calibri"/>
          <w:spacing w:val="-4"/>
          <w:sz w:val="20"/>
          <w:vertAlign w:val="baseline"/>
        </w:rPr>
        <w:t> </w:t>
      </w:r>
      <w:r>
        <w:rPr>
          <w:rFonts w:ascii="Calibri" w:hAnsi="Calibri"/>
          <w:sz w:val="20"/>
          <w:vertAlign w:val="baseline"/>
        </w:rPr>
        <w:t>kind</w:t>
      </w:r>
      <w:r>
        <w:rPr>
          <w:rFonts w:ascii="Calibri" w:hAnsi="Calibri"/>
          <w:spacing w:val="-4"/>
          <w:sz w:val="20"/>
          <w:vertAlign w:val="baseline"/>
        </w:rPr>
        <w:t> </w:t>
      </w:r>
      <w:r>
        <w:rPr>
          <w:rFonts w:ascii="Calibri" w:hAnsi="Calibri"/>
          <w:sz w:val="20"/>
          <w:vertAlign w:val="baseline"/>
        </w:rPr>
        <w:t>of</w:t>
      </w:r>
      <w:r>
        <w:rPr>
          <w:rFonts w:ascii="Calibri" w:hAnsi="Calibri"/>
          <w:spacing w:val="-3"/>
          <w:sz w:val="20"/>
          <w:vertAlign w:val="baseline"/>
        </w:rPr>
        <w:t> </w:t>
      </w:r>
      <w:r>
        <w:rPr>
          <w:rFonts w:ascii="Calibri" w:hAnsi="Calibri"/>
          <w:sz w:val="20"/>
          <w:vertAlign w:val="baseline"/>
        </w:rPr>
        <w:t>business.</w:t>
      </w:r>
      <w:r>
        <w:rPr>
          <w:rFonts w:ascii="Calibri" w:hAnsi="Calibri"/>
          <w:spacing w:val="-2"/>
          <w:sz w:val="20"/>
          <w:vertAlign w:val="baseline"/>
        </w:rPr>
        <w:t> </w:t>
      </w:r>
      <w:r>
        <w:rPr>
          <w:rFonts w:ascii="Calibri" w:hAnsi="Calibri"/>
          <w:sz w:val="20"/>
          <w:vertAlign w:val="baseline"/>
        </w:rPr>
        <w:t>In</w:t>
      </w:r>
      <w:r>
        <w:rPr>
          <w:rFonts w:ascii="Calibri" w:hAnsi="Calibri"/>
          <w:spacing w:val="-1"/>
          <w:sz w:val="20"/>
          <w:vertAlign w:val="baseline"/>
        </w:rPr>
        <w:t> </w:t>
      </w:r>
      <w:r>
        <w:rPr>
          <w:rFonts w:ascii="Calibri" w:hAnsi="Calibri"/>
          <w:i/>
          <w:sz w:val="20"/>
          <w:vertAlign w:val="baseline"/>
        </w:rPr>
        <w:t>Bhullar</w:t>
      </w:r>
      <w:r>
        <w:rPr>
          <w:rFonts w:ascii="Calibri" w:hAnsi="Calibri"/>
          <w:i/>
          <w:spacing w:val="-6"/>
          <w:sz w:val="20"/>
          <w:vertAlign w:val="baseline"/>
        </w:rPr>
        <w:t> </w:t>
      </w:r>
      <w:r>
        <w:rPr>
          <w:rFonts w:ascii="Calibri" w:hAnsi="Calibri"/>
          <w:i/>
          <w:sz w:val="20"/>
          <w:vertAlign w:val="baseline"/>
        </w:rPr>
        <w:t>vs.</w:t>
      </w:r>
      <w:r>
        <w:rPr>
          <w:rFonts w:ascii="Calibri" w:hAnsi="Calibri"/>
          <w:i/>
          <w:spacing w:val="-2"/>
          <w:sz w:val="20"/>
          <w:vertAlign w:val="baseline"/>
        </w:rPr>
        <w:t> </w:t>
      </w:r>
      <w:r>
        <w:rPr>
          <w:rFonts w:ascii="Calibri" w:hAnsi="Calibri"/>
          <w:i/>
          <w:sz w:val="20"/>
          <w:vertAlign w:val="baseline"/>
        </w:rPr>
        <w:t>Bhullar</w:t>
      </w:r>
      <w:r>
        <w:rPr>
          <w:rFonts w:ascii="Calibri" w:hAnsi="Calibri"/>
          <w:i/>
          <w:spacing w:val="-4"/>
          <w:sz w:val="20"/>
          <w:vertAlign w:val="baseline"/>
        </w:rPr>
        <w:t> </w:t>
      </w:r>
      <w:r>
        <w:rPr>
          <w:rFonts w:ascii="Calibri" w:hAnsi="Calibri"/>
          <w:sz w:val="20"/>
          <w:vertAlign w:val="baseline"/>
        </w:rPr>
        <w:t>(2003)</w:t>
      </w:r>
      <w:r>
        <w:rPr>
          <w:rFonts w:ascii="Calibri" w:hAnsi="Calibri"/>
          <w:spacing w:val="-2"/>
          <w:sz w:val="20"/>
          <w:vertAlign w:val="baseline"/>
        </w:rPr>
        <w:t> </w:t>
      </w:r>
      <w:r>
        <w:rPr>
          <w:rFonts w:ascii="Calibri" w:hAnsi="Calibri"/>
          <w:sz w:val="20"/>
          <w:vertAlign w:val="baseline"/>
        </w:rPr>
        <w:t>2 B.C.L.C. 241,</w:t>
      </w:r>
      <w:r>
        <w:rPr>
          <w:rFonts w:ascii="Calibri" w:hAnsi="Calibri"/>
          <w:spacing w:val="-1"/>
          <w:sz w:val="20"/>
          <w:vertAlign w:val="baseline"/>
        </w:rPr>
        <w:t> </w:t>
      </w:r>
      <w:r>
        <w:rPr>
          <w:rFonts w:ascii="Calibri" w:hAnsi="Calibri"/>
          <w:sz w:val="20"/>
          <w:vertAlign w:val="baseline"/>
        </w:rPr>
        <w:t>C.A. as</w:t>
      </w:r>
      <w:r>
        <w:rPr>
          <w:rFonts w:ascii="Calibri" w:hAnsi="Calibri"/>
          <w:spacing w:val="-2"/>
          <w:sz w:val="20"/>
          <w:vertAlign w:val="baseline"/>
        </w:rPr>
        <w:t> </w:t>
      </w:r>
      <w:r>
        <w:rPr>
          <w:rFonts w:ascii="Calibri" w:hAnsi="Calibri"/>
          <w:sz w:val="20"/>
          <w:vertAlign w:val="baseline"/>
        </w:rPr>
        <w:t>well,</w:t>
      </w:r>
      <w:r>
        <w:rPr>
          <w:rFonts w:ascii="Calibri" w:hAnsi="Calibri"/>
          <w:spacing w:val="-1"/>
          <w:sz w:val="20"/>
          <w:vertAlign w:val="baseline"/>
        </w:rPr>
        <w:t> </w:t>
      </w:r>
      <w:r>
        <w:rPr>
          <w:rFonts w:ascii="Calibri" w:hAnsi="Calibri"/>
          <w:sz w:val="20"/>
          <w:vertAlign w:val="baseline"/>
        </w:rPr>
        <w:t>the</w:t>
      </w:r>
      <w:r>
        <w:rPr>
          <w:rFonts w:ascii="Calibri" w:hAnsi="Calibri"/>
          <w:spacing w:val="-4"/>
          <w:sz w:val="20"/>
          <w:vertAlign w:val="baseline"/>
        </w:rPr>
        <w:t> </w:t>
      </w:r>
      <w:r>
        <w:rPr>
          <w:rFonts w:ascii="Calibri" w:hAnsi="Calibri"/>
          <w:sz w:val="20"/>
          <w:vertAlign w:val="baseline"/>
        </w:rPr>
        <w:t>court allowed the company stake a claim on an opportunity in a line of business it had, albeit informally, previously decided not to continue. These views have been criticised as having the potential to “raise the risks for directors and increase the chances of pure windfall gains to the company and its shareholders,” since a director would then be bound to present </w:t>
      </w:r>
      <w:r>
        <w:rPr>
          <w:rFonts w:ascii="Calibri" w:hAnsi="Calibri"/>
          <w:i/>
          <w:sz w:val="20"/>
          <w:vertAlign w:val="baseline"/>
        </w:rPr>
        <w:t>every </w:t>
      </w:r>
      <w:r>
        <w:rPr>
          <w:rFonts w:ascii="Calibri" w:hAnsi="Calibri"/>
          <w:sz w:val="20"/>
          <w:vertAlign w:val="baseline"/>
        </w:rPr>
        <w:t>entrepreneurial idea to the board before pursuing it individually. SeeDavies, P. and Worthington, S. (2012).Op.cit. at 601.</w:t>
      </w:r>
    </w:p>
    <w:p>
      <w:pPr>
        <w:spacing w:after="0" w:line="240" w:lineRule="auto"/>
        <w:jc w:val="both"/>
        <w:rPr>
          <w:rFonts w:ascii="Calibri" w:hAnsi="Calibri"/>
          <w:sz w:val="20"/>
        </w:rPr>
        <w:sectPr>
          <w:pgSz w:w="11910" w:h="16840"/>
          <w:pgMar w:header="0" w:footer="1003" w:top="1320" w:bottom="1200" w:left="1680" w:right="1180"/>
        </w:sectPr>
      </w:pPr>
    </w:p>
    <w:p>
      <w:pPr>
        <w:pStyle w:val="BodyText"/>
        <w:spacing w:line="480" w:lineRule="auto" w:before="70"/>
        <w:ind w:right="190"/>
        <w:jc w:val="both"/>
      </w:pPr>
      <w:r>
        <w:rPr/>
        <w:t>clarified that if the matter fell outside the ambit of the company‘s business, a real</w:t>
      </w:r>
      <w:r>
        <w:rPr>
          <w:spacing w:val="40"/>
        </w:rPr>
        <w:t> </w:t>
      </w:r>
      <w:r>
        <w:rPr/>
        <w:t>conflict of interest is </w:t>
      </w:r>
      <w:r>
        <w:rPr>
          <w:i/>
        </w:rPr>
        <w:t>unlikely</w:t>
      </w:r>
      <w:r>
        <w:rPr/>
        <w:t>.</w:t>
      </w:r>
      <w:r>
        <w:rPr>
          <w:vertAlign w:val="superscript"/>
        </w:rPr>
        <w:t>217</w:t>
      </w:r>
      <w:r>
        <w:rPr>
          <w:vertAlign w:val="baseline"/>
        </w:rPr>
        <w:t> But where, for example, a director of a fishing</w:t>
      </w:r>
      <w:r>
        <w:rPr>
          <w:spacing w:val="80"/>
          <w:vertAlign w:val="baseline"/>
        </w:rPr>
        <w:t> </w:t>
      </w:r>
      <w:r>
        <w:rPr>
          <w:vertAlign w:val="baseline"/>
        </w:rPr>
        <w:t>company at the same time sets up and runs another company engaged in seafood processing, this situation of ‗interlocking directorships‘ may reasonably be regarded as likely</w:t>
      </w:r>
      <w:r>
        <w:rPr>
          <w:spacing w:val="-5"/>
          <w:vertAlign w:val="baseline"/>
        </w:rPr>
        <w:t> </w:t>
      </w:r>
      <w:r>
        <w:rPr>
          <w:vertAlign w:val="baseline"/>
        </w:rPr>
        <w:t>to give</w:t>
      </w:r>
      <w:r>
        <w:rPr>
          <w:spacing w:val="-1"/>
          <w:vertAlign w:val="baseline"/>
        </w:rPr>
        <w:t> </w:t>
      </w:r>
      <w:r>
        <w:rPr>
          <w:vertAlign w:val="baseline"/>
        </w:rPr>
        <w:t>rise</w:t>
      </w:r>
      <w:r>
        <w:rPr>
          <w:spacing w:val="-1"/>
          <w:vertAlign w:val="baseline"/>
        </w:rPr>
        <w:t> </w:t>
      </w:r>
      <w:r>
        <w:rPr>
          <w:vertAlign w:val="baseline"/>
        </w:rPr>
        <w:t>to both</w:t>
      </w:r>
      <w:r>
        <w:rPr>
          <w:spacing w:val="-5"/>
          <w:vertAlign w:val="baseline"/>
        </w:rPr>
        <w:t> </w:t>
      </w:r>
      <w:r>
        <w:rPr>
          <w:vertAlign w:val="baseline"/>
        </w:rPr>
        <w:t>a</w:t>
      </w:r>
      <w:r>
        <w:rPr>
          <w:spacing w:val="-1"/>
          <w:vertAlign w:val="baseline"/>
        </w:rPr>
        <w:t> </w:t>
      </w:r>
      <w:r>
        <w:rPr>
          <w:vertAlign w:val="baseline"/>
        </w:rPr>
        <w:t>conflict of interest as</w:t>
      </w:r>
      <w:r>
        <w:rPr>
          <w:spacing w:val="-2"/>
          <w:vertAlign w:val="baseline"/>
        </w:rPr>
        <w:t> </w:t>
      </w:r>
      <w:r>
        <w:rPr>
          <w:vertAlign w:val="baseline"/>
        </w:rPr>
        <w:t>well</w:t>
      </w:r>
      <w:r>
        <w:rPr>
          <w:spacing w:val="-5"/>
          <w:vertAlign w:val="baseline"/>
        </w:rPr>
        <w:t> </w:t>
      </w:r>
      <w:r>
        <w:rPr>
          <w:vertAlign w:val="baseline"/>
        </w:rPr>
        <w:t>as</w:t>
      </w:r>
      <w:r>
        <w:rPr>
          <w:spacing w:val="-2"/>
          <w:vertAlign w:val="baseline"/>
        </w:rPr>
        <w:t> </w:t>
      </w:r>
      <w:r>
        <w:rPr>
          <w:vertAlign w:val="baseline"/>
        </w:rPr>
        <w:t>duties, since</w:t>
      </w:r>
      <w:r>
        <w:rPr>
          <w:spacing w:val="-1"/>
          <w:vertAlign w:val="baseline"/>
        </w:rPr>
        <w:t> </w:t>
      </w:r>
      <w:r>
        <w:rPr>
          <w:vertAlign w:val="baseline"/>
        </w:rPr>
        <w:t>the</w:t>
      </w:r>
      <w:r>
        <w:rPr>
          <w:spacing w:val="-1"/>
          <w:vertAlign w:val="baseline"/>
        </w:rPr>
        <w:t> </w:t>
      </w:r>
      <w:r>
        <w:rPr>
          <w:vertAlign w:val="baseline"/>
        </w:rPr>
        <w:t>director would, quite clearly, seem to be ‗competing with the company.‘</w:t>
      </w:r>
    </w:p>
    <w:p>
      <w:pPr>
        <w:pStyle w:val="BodyText"/>
        <w:spacing w:line="480" w:lineRule="auto" w:before="1"/>
        <w:ind w:right="180" w:firstLine="720"/>
        <w:jc w:val="both"/>
      </w:pPr>
      <w:r>
        <w:rPr/>
        <w:t>Generally, serving on the boards of two competing companies has been frowned at.</w:t>
      </w:r>
      <w:r>
        <w:rPr>
          <w:vertAlign w:val="superscript"/>
        </w:rPr>
        <w:t>218</w:t>
      </w:r>
      <w:r>
        <w:rPr>
          <w:vertAlign w:val="baseline"/>
        </w:rPr>
        <w:t> At least, Louis Brandeis, a one-time justice of the U.S. Supreme court, certainly condemned the practice in very strong terms thus:</w:t>
      </w:r>
    </w:p>
    <w:p>
      <w:pPr>
        <w:spacing w:line="240" w:lineRule="auto" w:before="1"/>
        <w:ind w:left="2007" w:right="1881" w:firstLine="0"/>
        <w:jc w:val="both"/>
        <w:rPr>
          <w:i/>
          <w:sz w:val="24"/>
        </w:rPr>
      </w:pPr>
      <w:r>
        <w:rPr>
          <w:i/>
          <w:sz w:val="24"/>
        </w:rPr>
        <w:t>The practice of interlocking directorates is the root</w:t>
      </w:r>
      <w:r>
        <w:rPr>
          <w:i/>
          <w:spacing w:val="40"/>
          <w:sz w:val="24"/>
        </w:rPr>
        <w:t> </w:t>
      </w:r>
      <w:r>
        <w:rPr>
          <w:i/>
          <w:sz w:val="24"/>
        </w:rPr>
        <w:t>of many evils. It offends laws human and divine. Applied to rival corporations, it tends to the suppression of competition . . . Applied to corporations which deal with each other, it tends to disloyalty and to violation of the fundamental </w:t>
      </w:r>
      <w:r>
        <w:rPr>
          <w:i/>
          <w:sz w:val="24"/>
        </w:rPr>
        <w:t>law that no man can serve two masters. In either event, it tends to inefficiency; for it removes incentive and destroys soundness of judgment.</w:t>
      </w:r>
      <w:r>
        <w:rPr>
          <w:i/>
          <w:sz w:val="24"/>
          <w:vertAlign w:val="superscript"/>
        </w:rPr>
        <w:t>219</w:t>
      </w:r>
    </w:p>
    <w:p>
      <w:pPr>
        <w:pStyle w:val="BodyText"/>
        <w:spacing w:before="1"/>
        <w:ind w:left="0"/>
        <w:rPr>
          <w:i/>
        </w:rPr>
      </w:pPr>
    </w:p>
    <w:p>
      <w:pPr>
        <w:spacing w:line="480" w:lineRule="auto" w:before="0"/>
        <w:ind w:left="308" w:right="179" w:firstLine="720"/>
        <w:jc w:val="both"/>
        <w:rPr>
          <w:b/>
          <w:sz w:val="24"/>
        </w:rPr>
      </w:pPr>
      <w:r>
        <w:rPr>
          <w:sz w:val="24"/>
        </w:rPr>
        <w:t>However, for a long time, dicta in decisions such as </w:t>
      </w:r>
      <w:r>
        <w:rPr>
          <w:b/>
          <w:sz w:val="24"/>
        </w:rPr>
        <w:t>London &amp;Mashonaland Exploration Co. vs. New Mashonaland Exploration Co</w:t>
      </w:r>
      <w:r>
        <w:rPr>
          <w:sz w:val="24"/>
          <w:vertAlign w:val="superscript"/>
        </w:rPr>
        <w:t>220</w:t>
      </w:r>
      <w:r>
        <w:rPr>
          <w:sz w:val="24"/>
          <w:vertAlign w:val="baseline"/>
        </w:rPr>
        <w:t> and </w:t>
      </w:r>
      <w:r>
        <w:rPr>
          <w:b/>
          <w:sz w:val="24"/>
          <w:vertAlign w:val="baseline"/>
        </w:rPr>
        <w:t>Bell vs. Lever</w:t>
      </w:r>
      <w:r>
        <w:rPr>
          <w:b/>
          <w:spacing w:val="-1"/>
          <w:sz w:val="24"/>
          <w:vertAlign w:val="baseline"/>
        </w:rPr>
        <w:t> </w:t>
      </w:r>
      <w:r>
        <w:rPr>
          <w:b/>
          <w:sz w:val="24"/>
          <w:vertAlign w:val="baseline"/>
        </w:rPr>
        <w:t>Bros</w:t>
      </w:r>
      <w:r>
        <w:rPr>
          <w:sz w:val="24"/>
          <w:vertAlign w:val="superscript"/>
        </w:rPr>
        <w:t>221</w:t>
      </w:r>
      <w:r>
        <w:rPr>
          <w:sz w:val="24"/>
          <w:vertAlign w:val="baseline"/>
        </w:rPr>
        <w:t> gave the oft-disputed impression</w:t>
      </w:r>
      <w:r>
        <w:rPr>
          <w:sz w:val="24"/>
          <w:vertAlign w:val="superscript"/>
        </w:rPr>
        <w:t>222</w:t>
      </w:r>
      <w:r>
        <w:rPr>
          <w:sz w:val="24"/>
          <w:vertAlign w:val="baseline"/>
        </w:rPr>
        <w:t> that competing directorships were not automatically</w:t>
      </w:r>
      <w:r>
        <w:rPr>
          <w:spacing w:val="40"/>
          <w:sz w:val="24"/>
          <w:vertAlign w:val="baseline"/>
        </w:rPr>
        <w:t> </w:t>
      </w:r>
      <w:r>
        <w:rPr>
          <w:sz w:val="24"/>
          <w:vertAlign w:val="baseline"/>
        </w:rPr>
        <w:t>a</w:t>
      </w:r>
      <w:r>
        <w:rPr>
          <w:spacing w:val="4"/>
          <w:sz w:val="24"/>
          <w:vertAlign w:val="baseline"/>
        </w:rPr>
        <w:t> </w:t>
      </w:r>
      <w:r>
        <w:rPr>
          <w:sz w:val="24"/>
          <w:vertAlign w:val="baseline"/>
        </w:rPr>
        <w:t>breach of</w:t>
      </w:r>
      <w:r>
        <w:rPr>
          <w:spacing w:val="2"/>
          <w:sz w:val="24"/>
          <w:vertAlign w:val="baseline"/>
        </w:rPr>
        <w:t> </w:t>
      </w:r>
      <w:r>
        <w:rPr>
          <w:sz w:val="24"/>
          <w:vertAlign w:val="baseline"/>
        </w:rPr>
        <w:t>fiduciary</w:t>
      </w:r>
      <w:r>
        <w:rPr>
          <w:spacing w:val="1"/>
          <w:sz w:val="24"/>
          <w:vertAlign w:val="baseline"/>
        </w:rPr>
        <w:t> </w:t>
      </w:r>
      <w:r>
        <w:rPr>
          <w:sz w:val="24"/>
          <w:vertAlign w:val="baseline"/>
        </w:rPr>
        <w:t>duties.</w:t>
      </w:r>
      <w:r>
        <w:rPr>
          <w:sz w:val="24"/>
          <w:vertAlign w:val="superscript"/>
        </w:rPr>
        <w:t>223</w:t>
      </w:r>
      <w:r>
        <w:rPr>
          <w:spacing w:val="7"/>
          <w:sz w:val="24"/>
          <w:vertAlign w:val="baseline"/>
        </w:rPr>
        <w:t> </w:t>
      </w:r>
      <w:r>
        <w:rPr>
          <w:sz w:val="24"/>
          <w:vertAlign w:val="baseline"/>
        </w:rPr>
        <w:t>But</w:t>
      </w:r>
      <w:r>
        <w:rPr>
          <w:spacing w:val="5"/>
          <w:sz w:val="24"/>
          <w:vertAlign w:val="baseline"/>
        </w:rPr>
        <w:t> </w:t>
      </w:r>
      <w:r>
        <w:rPr>
          <w:sz w:val="24"/>
          <w:vertAlign w:val="baseline"/>
        </w:rPr>
        <w:t>the</w:t>
      </w:r>
      <w:r>
        <w:rPr>
          <w:spacing w:val="9"/>
          <w:sz w:val="24"/>
          <w:vertAlign w:val="baseline"/>
        </w:rPr>
        <w:t> </w:t>
      </w:r>
      <w:r>
        <w:rPr>
          <w:sz w:val="24"/>
          <w:vertAlign w:val="baseline"/>
        </w:rPr>
        <w:t>more</w:t>
      </w:r>
      <w:r>
        <w:rPr>
          <w:spacing w:val="4"/>
          <w:sz w:val="24"/>
          <w:vertAlign w:val="baseline"/>
        </w:rPr>
        <w:t> </w:t>
      </w:r>
      <w:r>
        <w:rPr>
          <w:sz w:val="24"/>
          <w:vertAlign w:val="baseline"/>
        </w:rPr>
        <w:t>recent</w:t>
      </w:r>
      <w:r>
        <w:rPr>
          <w:spacing w:val="10"/>
          <w:sz w:val="24"/>
          <w:vertAlign w:val="baseline"/>
        </w:rPr>
        <w:t> </w:t>
      </w:r>
      <w:r>
        <w:rPr>
          <w:sz w:val="24"/>
          <w:vertAlign w:val="baseline"/>
        </w:rPr>
        <w:t>decisions</w:t>
      </w:r>
      <w:r>
        <w:rPr>
          <w:spacing w:val="8"/>
          <w:sz w:val="24"/>
          <w:vertAlign w:val="baseline"/>
        </w:rPr>
        <w:t> </w:t>
      </w:r>
      <w:r>
        <w:rPr>
          <w:sz w:val="24"/>
          <w:vertAlign w:val="baseline"/>
        </w:rPr>
        <w:t>in</w:t>
      </w:r>
      <w:r>
        <w:rPr>
          <w:spacing w:val="10"/>
          <w:sz w:val="24"/>
          <w:vertAlign w:val="baseline"/>
        </w:rPr>
        <w:t> </w:t>
      </w:r>
      <w:r>
        <w:rPr>
          <w:b/>
          <w:sz w:val="24"/>
          <w:vertAlign w:val="baseline"/>
        </w:rPr>
        <w:t>In</w:t>
      </w:r>
      <w:r>
        <w:rPr>
          <w:b/>
          <w:spacing w:val="10"/>
          <w:sz w:val="24"/>
          <w:vertAlign w:val="baseline"/>
        </w:rPr>
        <w:t> </w:t>
      </w:r>
      <w:r>
        <w:rPr>
          <w:b/>
          <w:sz w:val="24"/>
          <w:vertAlign w:val="baseline"/>
        </w:rPr>
        <w:t>Plus</w:t>
      </w:r>
      <w:r>
        <w:rPr>
          <w:b/>
          <w:spacing w:val="3"/>
          <w:sz w:val="24"/>
          <w:vertAlign w:val="baseline"/>
        </w:rPr>
        <w:t> </w:t>
      </w:r>
      <w:r>
        <w:rPr>
          <w:b/>
          <w:sz w:val="24"/>
          <w:vertAlign w:val="baseline"/>
        </w:rPr>
        <w:t>Group</w:t>
      </w:r>
      <w:r>
        <w:rPr>
          <w:b/>
          <w:spacing w:val="5"/>
          <w:sz w:val="24"/>
          <w:vertAlign w:val="baseline"/>
        </w:rPr>
        <w:t> </w:t>
      </w:r>
      <w:r>
        <w:rPr>
          <w:b/>
          <w:sz w:val="24"/>
          <w:vertAlign w:val="baseline"/>
        </w:rPr>
        <w:t>Ltd.</w:t>
      </w:r>
      <w:r>
        <w:rPr>
          <w:b/>
          <w:spacing w:val="8"/>
          <w:sz w:val="24"/>
          <w:vertAlign w:val="baseline"/>
        </w:rPr>
        <w:t> </w:t>
      </w:r>
      <w:r>
        <w:rPr>
          <w:b/>
          <w:spacing w:val="-5"/>
          <w:sz w:val="24"/>
          <w:vertAlign w:val="baseline"/>
        </w:rPr>
        <w:t>vs.</w:t>
      </w:r>
    </w:p>
    <w:p>
      <w:pPr>
        <w:pStyle w:val="BodyText"/>
        <w:ind w:left="0"/>
        <w:rPr>
          <w:b/>
          <w:sz w:val="20"/>
        </w:rPr>
      </w:pPr>
    </w:p>
    <w:p>
      <w:pPr>
        <w:pStyle w:val="BodyText"/>
        <w:spacing w:before="4"/>
        <w:ind w:left="0"/>
        <w:rPr>
          <w:b/>
          <w:sz w:val="20"/>
        </w:rPr>
      </w:pPr>
      <w:r>
        <w:rPr/>
        <mc:AlternateContent>
          <mc:Choice Requires="wps">
            <w:drawing>
              <wp:anchor distT="0" distB="0" distL="0" distR="0" allowOverlap="1" layoutInCell="1" locked="0" behindDoc="1" simplePos="0" relativeHeight="487694848">
                <wp:simplePos x="0" y="0"/>
                <wp:positionH relativeFrom="page">
                  <wp:posOffset>1262481</wp:posOffset>
                </wp:positionH>
                <wp:positionV relativeFrom="paragraph">
                  <wp:posOffset>164378</wp:posOffset>
                </wp:positionV>
                <wp:extent cx="1829435" cy="9525"/>
                <wp:effectExtent l="0" t="0" r="0" b="0"/>
                <wp:wrapTopAndBottom/>
                <wp:docPr id="235" name="Graphic 235"/>
                <wp:cNvGraphicFramePr>
                  <a:graphicFrameLocks/>
                </wp:cNvGraphicFramePr>
                <a:graphic>
                  <a:graphicData uri="http://schemas.microsoft.com/office/word/2010/wordprocessingShape">
                    <wps:wsp>
                      <wps:cNvPr id="235" name="Graphic 23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943194pt;width:144.050pt;height:.71997pt;mso-position-horizontal-relative:page;mso-position-vertical-relative:paragraph;z-index:-15621632;mso-wrap-distance-left:0;mso-wrap-distance-right:0" id="docshape190" filled="true" fillcolor="#000000" stroked="false">
                <v:fill type="solid"/>
                <w10:wrap type="topAndBottom"/>
              </v:rect>
            </w:pict>
          </mc:Fallback>
        </mc:AlternateContent>
      </w:r>
    </w:p>
    <w:p>
      <w:pPr>
        <w:spacing w:before="102"/>
        <w:ind w:left="308" w:right="225" w:firstLine="0"/>
        <w:jc w:val="both"/>
        <w:rPr>
          <w:rFonts w:ascii="Calibri"/>
          <w:sz w:val="20"/>
        </w:rPr>
      </w:pPr>
      <w:r>
        <w:rPr>
          <w:rFonts w:ascii="Calibri"/>
          <w:sz w:val="20"/>
          <w:vertAlign w:val="superscript"/>
        </w:rPr>
        <w:t>217</w:t>
      </w:r>
      <w:r>
        <w:rPr>
          <w:rFonts w:ascii="Calibri"/>
          <w:sz w:val="20"/>
          <w:vertAlign w:val="baseline"/>
        </w:rPr>
        <w:t> Lord Goldsmith of the Lords Grand Committee, reported in the Hansard of May 9, 2006, column 864. Cited in: </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13, per,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before="22"/>
        <w:ind w:left="308" w:right="0" w:firstLine="0"/>
        <w:jc w:val="both"/>
        <w:rPr>
          <w:rFonts w:ascii="Calibri"/>
          <w:sz w:val="20"/>
        </w:rPr>
      </w:pPr>
      <w:r>
        <w:rPr>
          <w:rFonts w:ascii="Calibri"/>
          <w:sz w:val="20"/>
          <w:vertAlign w:val="superscript"/>
        </w:rPr>
        <w:t>218</w:t>
      </w:r>
      <w:r>
        <w:rPr>
          <w:rFonts w:ascii="Calibri"/>
          <w:i/>
          <w:sz w:val="20"/>
          <w:vertAlign w:val="baseline"/>
        </w:rPr>
        <w:t>Bristol</w:t>
      </w:r>
      <w:r>
        <w:rPr>
          <w:rFonts w:ascii="Calibri"/>
          <w:i/>
          <w:spacing w:val="-10"/>
          <w:sz w:val="20"/>
          <w:vertAlign w:val="baseline"/>
        </w:rPr>
        <w:t> </w:t>
      </w:r>
      <w:r>
        <w:rPr>
          <w:rFonts w:ascii="Calibri"/>
          <w:i/>
          <w:sz w:val="20"/>
          <w:vertAlign w:val="baseline"/>
        </w:rPr>
        <w:t>and West</w:t>
      </w:r>
      <w:r>
        <w:rPr>
          <w:rFonts w:ascii="Calibri"/>
          <w:i/>
          <w:spacing w:val="-7"/>
          <w:sz w:val="20"/>
          <w:vertAlign w:val="baseline"/>
        </w:rPr>
        <w:t> </w:t>
      </w:r>
      <w:r>
        <w:rPr>
          <w:rFonts w:ascii="Calibri"/>
          <w:i/>
          <w:sz w:val="20"/>
          <w:vertAlign w:val="baseline"/>
        </w:rPr>
        <w:t>Building Society</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Mothew</w:t>
      </w:r>
      <w:r>
        <w:rPr>
          <w:rFonts w:ascii="Calibri"/>
          <w:sz w:val="20"/>
          <w:vertAlign w:val="baseline"/>
        </w:rPr>
        <w:t>[1998]</w:t>
      </w:r>
      <w:r>
        <w:rPr>
          <w:rFonts w:ascii="Calibri"/>
          <w:spacing w:val="-1"/>
          <w:sz w:val="20"/>
          <w:vertAlign w:val="baseline"/>
        </w:rPr>
        <w:t> </w:t>
      </w:r>
      <w:r>
        <w:rPr>
          <w:rFonts w:ascii="Calibri"/>
          <w:sz w:val="20"/>
          <w:vertAlign w:val="baseline"/>
        </w:rPr>
        <w:t>Ch</w:t>
      </w:r>
      <w:r>
        <w:rPr>
          <w:rFonts w:ascii="Calibri"/>
          <w:spacing w:val="-7"/>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18,</w:t>
      </w:r>
      <w:r>
        <w:rPr>
          <w:rFonts w:ascii="Calibri"/>
          <w:spacing w:val="-4"/>
          <w:sz w:val="20"/>
          <w:vertAlign w:val="baseline"/>
        </w:rPr>
        <w:t> </w:t>
      </w:r>
      <w:r>
        <w:rPr>
          <w:rFonts w:ascii="Calibri"/>
          <w:spacing w:val="-5"/>
          <w:sz w:val="20"/>
          <w:vertAlign w:val="baseline"/>
        </w:rPr>
        <w:t>CA.</w:t>
      </w:r>
    </w:p>
    <w:p>
      <w:pPr>
        <w:spacing w:line="240" w:lineRule="auto" w:before="25"/>
        <w:ind w:left="308" w:right="227" w:firstLine="0"/>
        <w:jc w:val="both"/>
        <w:rPr>
          <w:rFonts w:ascii="Calibri"/>
          <w:sz w:val="20"/>
        </w:rPr>
      </w:pPr>
      <w:r>
        <w:rPr>
          <w:rFonts w:ascii="Calibri"/>
          <w:sz w:val="20"/>
          <w:vertAlign w:val="superscript"/>
        </w:rPr>
        <w:t>219</w:t>
      </w:r>
      <w:r>
        <w:rPr>
          <w:rFonts w:ascii="Calibri"/>
          <w:sz w:val="20"/>
          <w:vertAlign w:val="baseline"/>
        </w:rPr>
        <w:t>Breaking the Money Trusts.</w:t>
      </w:r>
      <w:r>
        <w:rPr>
          <w:rFonts w:ascii="Calibri"/>
          <w:i/>
          <w:sz w:val="20"/>
          <w:vertAlign w:val="baseline"/>
        </w:rPr>
        <w:t>Harper's Weekly. </w:t>
      </w:r>
      <w:r>
        <w:rPr>
          <w:rFonts w:ascii="Calibri"/>
          <w:sz w:val="20"/>
          <w:vertAlign w:val="baseline"/>
        </w:rPr>
        <w:t>December 6, 1913, at p. 13, quoted in Seplaki L. (1982). </w:t>
      </w:r>
      <w:r>
        <w:rPr>
          <w:rFonts w:ascii="Calibri"/>
          <w:i/>
          <w:sz w:val="20"/>
          <w:vertAlign w:val="baseline"/>
        </w:rPr>
        <w:t>Antitrust and the Economics of the Market.</w:t>
      </w:r>
      <w:r>
        <w:rPr>
          <w:rFonts w:ascii="Calibri"/>
          <w:sz w:val="20"/>
          <w:vertAlign w:val="baseline"/>
        </w:rPr>
        <w:t>Harcourt,New York,p. 594. Cited in Christie, M., op.cit.atp. </w:t>
      </w:r>
      <w:r>
        <w:rPr>
          <w:rFonts w:ascii="Calibri"/>
          <w:spacing w:val="-4"/>
          <w:sz w:val="20"/>
          <w:vertAlign w:val="baseline"/>
        </w:rPr>
        <w:t>506.</w:t>
      </w:r>
    </w:p>
    <w:p>
      <w:pPr>
        <w:spacing w:before="2"/>
        <w:ind w:left="308" w:right="0" w:firstLine="0"/>
        <w:jc w:val="left"/>
        <w:rPr>
          <w:rFonts w:ascii="Calibri"/>
          <w:sz w:val="20"/>
        </w:rPr>
      </w:pPr>
      <w:r>
        <w:rPr>
          <w:rFonts w:ascii="Calibri"/>
          <w:sz w:val="20"/>
          <w:vertAlign w:val="superscript"/>
        </w:rPr>
        <w:t>220</w:t>
      </w:r>
      <w:r>
        <w:rPr>
          <w:rFonts w:ascii="Calibri"/>
          <w:sz w:val="20"/>
          <w:vertAlign w:val="baseline"/>
        </w:rPr>
        <w:t>(1891)</w:t>
      </w:r>
      <w:r>
        <w:rPr>
          <w:rFonts w:ascii="Calibri"/>
          <w:spacing w:val="-2"/>
          <w:sz w:val="20"/>
          <w:vertAlign w:val="baseline"/>
        </w:rPr>
        <w:t> </w:t>
      </w:r>
      <w:r>
        <w:rPr>
          <w:rFonts w:ascii="Calibri"/>
          <w:sz w:val="20"/>
          <w:vertAlign w:val="baseline"/>
        </w:rPr>
        <w:t>WN</w:t>
      </w:r>
      <w:r>
        <w:rPr>
          <w:rFonts w:ascii="Calibri"/>
          <w:spacing w:val="-1"/>
          <w:sz w:val="20"/>
          <w:vertAlign w:val="baseline"/>
        </w:rPr>
        <w:t> </w:t>
      </w:r>
      <w:r>
        <w:rPr>
          <w:rFonts w:ascii="Calibri"/>
          <w:spacing w:val="-4"/>
          <w:sz w:val="20"/>
          <w:vertAlign w:val="baseline"/>
        </w:rPr>
        <w:t>165.</w:t>
      </w:r>
    </w:p>
    <w:p>
      <w:pPr>
        <w:spacing w:before="1"/>
        <w:ind w:left="308" w:right="0" w:firstLine="0"/>
        <w:jc w:val="left"/>
        <w:rPr>
          <w:rFonts w:ascii="Calibri"/>
          <w:sz w:val="20"/>
        </w:rPr>
      </w:pPr>
      <w:r>
        <w:rPr>
          <w:rFonts w:ascii="Calibri"/>
          <w:sz w:val="20"/>
          <w:vertAlign w:val="superscript"/>
        </w:rPr>
        <w:t>221</w:t>
      </w:r>
      <w:r>
        <w:rPr>
          <w:rFonts w:ascii="Calibri"/>
          <w:sz w:val="20"/>
          <w:vertAlign w:val="baseline"/>
        </w:rPr>
        <w:t>(1932) A.C. 161. The decision here is that a director is not accountable for the profits of a competing business which he may be running, unless the articles or his service contract expressly provide so.</w:t>
      </w:r>
    </w:p>
    <w:p>
      <w:pPr>
        <w:spacing w:before="1"/>
        <w:ind w:left="308" w:right="0" w:firstLine="0"/>
        <w:jc w:val="left"/>
        <w:rPr>
          <w:rFonts w:ascii="Calibri"/>
          <w:sz w:val="20"/>
        </w:rPr>
      </w:pPr>
      <w:r>
        <w:rPr>
          <w:rFonts w:ascii="Calibri"/>
          <w:sz w:val="20"/>
          <w:vertAlign w:val="superscript"/>
        </w:rPr>
        <w:t>222</w:t>
      </w:r>
      <w:r>
        <w:rPr>
          <w:rFonts w:ascii="Calibri"/>
          <w:sz w:val="20"/>
          <w:vertAlign w:val="baseline"/>
        </w:rPr>
        <w:t>See</w:t>
      </w:r>
      <w:r>
        <w:rPr>
          <w:rFonts w:ascii="Calibri"/>
          <w:spacing w:val="-2"/>
          <w:sz w:val="20"/>
          <w:vertAlign w:val="baseline"/>
        </w:rPr>
        <w:t> </w:t>
      </w:r>
      <w:r>
        <w:rPr>
          <w:rFonts w:ascii="Calibri"/>
          <w:sz w:val="20"/>
          <w:vertAlign w:val="baseline"/>
        </w:rPr>
        <w:t>Davies,</w:t>
      </w:r>
      <w:r>
        <w:rPr>
          <w:rFonts w:ascii="Calibri"/>
          <w:spacing w:val="-9"/>
          <w:sz w:val="20"/>
          <w:vertAlign w:val="baseline"/>
        </w:rPr>
        <w:t> </w:t>
      </w:r>
      <w:r>
        <w:rPr>
          <w:rFonts w:ascii="Calibri"/>
          <w:sz w:val="20"/>
          <w:vertAlign w:val="baseline"/>
        </w:rPr>
        <w:t>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4"/>
          <w:sz w:val="20"/>
          <w:vertAlign w:val="baseline"/>
        </w:rPr>
        <w:t> </w:t>
      </w:r>
      <w:r>
        <w:rPr>
          <w:rFonts w:ascii="Calibri"/>
          <w:sz w:val="20"/>
          <w:vertAlign w:val="baseline"/>
        </w:rPr>
        <w:t>S.</w:t>
      </w:r>
      <w:r>
        <w:rPr>
          <w:rFonts w:ascii="Calibri"/>
          <w:spacing w:val="-5"/>
          <w:sz w:val="20"/>
          <w:vertAlign w:val="baseline"/>
        </w:rPr>
        <w:t> </w:t>
      </w:r>
      <w:r>
        <w:rPr>
          <w:rFonts w:ascii="Calibri"/>
          <w:sz w:val="20"/>
          <w:vertAlign w:val="baseline"/>
        </w:rPr>
        <w:t>(2012).Op.cit.</w:t>
      </w:r>
      <w:r>
        <w:rPr>
          <w:rFonts w:ascii="Calibri"/>
          <w:spacing w:val="-1"/>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606</w:t>
      </w:r>
      <w:r>
        <w:rPr>
          <w:rFonts w:ascii="Calibri"/>
          <w:spacing w:val="-4"/>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Christie,</w:t>
      </w:r>
      <w:r>
        <w:rPr>
          <w:rFonts w:ascii="Calibri"/>
          <w:spacing w:val="-8"/>
          <w:sz w:val="20"/>
          <w:vertAlign w:val="baseline"/>
        </w:rPr>
        <w:t> </w:t>
      </w:r>
      <w:r>
        <w:rPr>
          <w:rFonts w:ascii="Calibri"/>
          <w:sz w:val="20"/>
          <w:vertAlign w:val="baseline"/>
        </w:rPr>
        <w:t>M.</w:t>
      </w:r>
      <w:r>
        <w:rPr>
          <w:rFonts w:ascii="Calibri"/>
          <w:spacing w:val="-5"/>
          <w:sz w:val="20"/>
          <w:vertAlign w:val="baseline"/>
        </w:rPr>
        <w:t> </w:t>
      </w:r>
      <w:r>
        <w:rPr>
          <w:rFonts w:ascii="Calibri"/>
          <w:sz w:val="20"/>
          <w:vertAlign w:val="baseline"/>
        </w:rPr>
        <w:t>op.cit.,</w:t>
      </w:r>
      <w:r>
        <w:rPr>
          <w:rFonts w:ascii="Calibri"/>
          <w:spacing w:val="-4"/>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506.</w:t>
      </w:r>
    </w:p>
    <w:p>
      <w:pPr>
        <w:spacing w:before="1"/>
        <w:ind w:left="308" w:right="0" w:firstLine="0"/>
        <w:jc w:val="left"/>
        <w:rPr>
          <w:rFonts w:ascii="Calibri"/>
          <w:sz w:val="20"/>
        </w:rPr>
      </w:pPr>
      <w:r>
        <w:rPr>
          <w:rFonts w:ascii="Calibri"/>
          <w:sz w:val="20"/>
          <w:vertAlign w:val="superscript"/>
        </w:rPr>
        <w:t>223</w:t>
      </w:r>
      <w:r>
        <w:rPr>
          <w:rFonts w:ascii="Calibri"/>
          <w:sz w:val="20"/>
          <w:vertAlign w:val="baseline"/>
        </w:rPr>
        <w:t> Although competing trust executors apparently were. See </w:t>
      </w:r>
      <w:r>
        <w:rPr>
          <w:rFonts w:ascii="Calibri"/>
          <w:i/>
          <w:sz w:val="20"/>
          <w:vertAlign w:val="baseline"/>
        </w:rPr>
        <w:t>Re Thomson </w:t>
      </w:r>
      <w:r>
        <w:rPr>
          <w:rFonts w:ascii="Calibri"/>
          <w:sz w:val="20"/>
          <w:vertAlign w:val="baseline"/>
        </w:rPr>
        <w:t>(1930) 1 Ch. 203. Some have questioned why</w:t>
      </w:r>
      <w:r>
        <w:rPr>
          <w:rFonts w:ascii="Calibri"/>
          <w:spacing w:val="3"/>
          <w:sz w:val="20"/>
          <w:vertAlign w:val="baseline"/>
        </w:rPr>
        <w:t> </w:t>
      </w:r>
      <w:r>
        <w:rPr>
          <w:rFonts w:ascii="Calibri"/>
          <w:sz w:val="20"/>
          <w:vertAlign w:val="baseline"/>
        </w:rPr>
        <w:t>this</w:t>
      </w:r>
      <w:r>
        <w:rPr>
          <w:rFonts w:ascii="Calibri"/>
          <w:spacing w:val="1"/>
          <w:sz w:val="20"/>
          <w:vertAlign w:val="baseline"/>
        </w:rPr>
        <w:t> </w:t>
      </w:r>
      <w:r>
        <w:rPr>
          <w:rFonts w:ascii="Calibri"/>
          <w:sz w:val="20"/>
          <w:vertAlign w:val="baseline"/>
        </w:rPr>
        <w:t>should</w:t>
      </w:r>
      <w:r>
        <w:rPr>
          <w:rFonts w:ascii="Calibri"/>
          <w:spacing w:val="3"/>
          <w:sz w:val="20"/>
          <w:vertAlign w:val="baseline"/>
        </w:rPr>
        <w:t> </w:t>
      </w:r>
      <w:r>
        <w:rPr>
          <w:rFonts w:ascii="Calibri"/>
          <w:sz w:val="20"/>
          <w:vertAlign w:val="baseline"/>
        </w:rPr>
        <w:t>be</w:t>
      </w:r>
      <w:r>
        <w:rPr>
          <w:rFonts w:ascii="Calibri"/>
          <w:spacing w:val="3"/>
          <w:sz w:val="20"/>
          <w:vertAlign w:val="baseline"/>
        </w:rPr>
        <w:t> </w:t>
      </w:r>
      <w:r>
        <w:rPr>
          <w:rFonts w:ascii="Calibri"/>
          <w:sz w:val="20"/>
          <w:vertAlign w:val="baseline"/>
        </w:rPr>
        <w:t>so,</w:t>
      </w:r>
      <w:r>
        <w:rPr>
          <w:rFonts w:ascii="Calibri"/>
          <w:spacing w:val="1"/>
          <w:sz w:val="20"/>
          <w:vertAlign w:val="baseline"/>
        </w:rPr>
        <w:t> </w:t>
      </w:r>
      <w:r>
        <w:rPr>
          <w:rFonts w:ascii="Calibri"/>
          <w:sz w:val="20"/>
          <w:vertAlign w:val="baseline"/>
        </w:rPr>
        <w:t>considering</w:t>
      </w:r>
      <w:r>
        <w:rPr>
          <w:rFonts w:ascii="Calibri"/>
          <w:spacing w:val="4"/>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job</w:t>
      </w:r>
      <w:r>
        <w:rPr>
          <w:rFonts w:ascii="Calibri"/>
          <w:spacing w:val="2"/>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director</w:t>
      </w:r>
      <w:r>
        <w:rPr>
          <w:rFonts w:ascii="Calibri"/>
          <w:spacing w:val="3"/>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that</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trustee</w:t>
      </w:r>
      <w:r>
        <w:rPr>
          <w:rFonts w:ascii="Calibri"/>
          <w:spacing w:val="3"/>
          <w:sz w:val="20"/>
          <w:vertAlign w:val="baseline"/>
        </w:rPr>
        <w:t> </w:t>
      </w:r>
      <w:r>
        <w:rPr>
          <w:rFonts w:ascii="Calibri"/>
          <w:sz w:val="20"/>
          <w:vertAlign w:val="baseline"/>
        </w:rPr>
        <w:t>require</w:t>
      </w:r>
      <w:r>
        <w:rPr>
          <w:rFonts w:ascii="Calibri"/>
          <w:spacing w:val="3"/>
          <w:sz w:val="20"/>
          <w:vertAlign w:val="baseline"/>
        </w:rPr>
        <w:t> </w:t>
      </w:r>
      <w:r>
        <w:rPr>
          <w:rFonts w:ascii="Calibri"/>
          <w:spacing w:val="-2"/>
          <w:sz w:val="20"/>
          <w:vertAlign w:val="baseline"/>
        </w:rPr>
        <w:t>almost</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180"/>
        <w:jc w:val="both"/>
      </w:pPr>
      <w:r>
        <w:rPr>
          <w:b/>
        </w:rPr>
        <w:t>Pyke</w:t>
      </w:r>
      <w:r>
        <w:rPr>
          <w:vertAlign w:val="superscript"/>
        </w:rPr>
        <w:t>224</w:t>
      </w:r>
      <w:r>
        <w:rPr>
          <w:spacing w:val="40"/>
          <w:vertAlign w:val="baseline"/>
        </w:rPr>
        <w:t> </w:t>
      </w:r>
      <w:r>
        <w:rPr>
          <w:vertAlign w:val="baseline"/>
        </w:rPr>
        <w:t>and </w:t>
      </w:r>
      <w:r>
        <w:rPr>
          <w:b/>
          <w:vertAlign w:val="baseline"/>
        </w:rPr>
        <w:t>Foster Bryant Surveying Ltd. vs. Bryant</w:t>
      </w:r>
      <w:r>
        <w:rPr>
          <w:vertAlign w:val="superscript"/>
        </w:rPr>
        <w:t>225</w:t>
      </w:r>
      <w:r>
        <w:rPr>
          <w:vertAlign w:val="baseline"/>
        </w:rPr>
        <w:t> suggest that there is no standard rule on the point as each case is to be decided based on the facts.</w:t>
      </w:r>
      <w:r>
        <w:rPr>
          <w:vertAlign w:val="superscript"/>
        </w:rPr>
        <w:t>226</w:t>
      </w:r>
      <w:r>
        <w:rPr>
          <w:vertAlign w:val="baseline"/>
        </w:rPr>
        <w:t>However, the court now tends to take the view that a fiduciary who acts for two principals with potentially competing interests without the informed consent of both is in breach of the obligation</w:t>
      </w:r>
      <w:r>
        <w:rPr>
          <w:spacing w:val="-3"/>
          <w:vertAlign w:val="baseline"/>
        </w:rPr>
        <w:t> </w:t>
      </w:r>
      <w:r>
        <w:rPr>
          <w:vertAlign w:val="baseline"/>
        </w:rPr>
        <w:t>of</w:t>
      </w:r>
      <w:r>
        <w:rPr>
          <w:spacing w:val="-6"/>
          <w:vertAlign w:val="baseline"/>
        </w:rPr>
        <w:t> </w:t>
      </w:r>
      <w:r>
        <w:rPr>
          <w:vertAlign w:val="baseline"/>
        </w:rPr>
        <w:t>undivided loyalty</w:t>
      </w:r>
      <w:r>
        <w:rPr>
          <w:spacing w:val="-3"/>
          <w:vertAlign w:val="baseline"/>
        </w:rPr>
        <w:t> </w:t>
      </w:r>
      <w:r>
        <w:rPr>
          <w:vertAlign w:val="baseline"/>
        </w:rPr>
        <w:t>as he thereby</w:t>
      </w:r>
      <w:r>
        <w:rPr>
          <w:spacing w:val="-3"/>
          <w:vertAlign w:val="baseline"/>
        </w:rPr>
        <w:t> </w:t>
      </w:r>
      <w:r>
        <w:rPr>
          <w:vertAlign w:val="baseline"/>
        </w:rPr>
        <w:t>puts himself in a position where his duty</w:t>
      </w:r>
      <w:r>
        <w:rPr>
          <w:spacing w:val="-8"/>
          <w:vertAlign w:val="baseline"/>
        </w:rPr>
        <w:t> </w:t>
      </w:r>
      <w:r>
        <w:rPr>
          <w:vertAlign w:val="baseline"/>
        </w:rPr>
        <w:t>to one </w:t>
      </w:r>
      <w:r>
        <w:rPr>
          <w:i/>
          <w:vertAlign w:val="baseline"/>
        </w:rPr>
        <w:t>may </w:t>
      </w:r>
      <w:r>
        <w:rPr>
          <w:vertAlign w:val="baseline"/>
        </w:rPr>
        <w:t>conflict with his duty to the other.</w:t>
      </w:r>
      <w:r>
        <w:rPr>
          <w:vertAlign w:val="superscript"/>
        </w:rPr>
        <w:t>227</w:t>
      </w:r>
    </w:p>
    <w:p>
      <w:pPr>
        <w:pStyle w:val="BodyText"/>
        <w:spacing w:line="480" w:lineRule="auto" w:before="1"/>
        <w:ind w:right="228" w:firstLine="720"/>
        <w:jc w:val="both"/>
      </w:pPr>
      <w:r>
        <w:rPr/>
        <w:t>Usually, the case of a director acting for competing companies arises in cases where the director forms a new company with the intention of resigning from the</w:t>
      </w:r>
      <w:r>
        <w:rPr>
          <w:spacing w:val="40"/>
        </w:rPr>
        <w:t> </w:t>
      </w:r>
      <w:r>
        <w:rPr/>
        <w:t>current company in order to go into the same line of business,</w:t>
      </w:r>
      <w:r>
        <w:rPr>
          <w:vertAlign w:val="superscript"/>
        </w:rPr>
        <w:t>228</w:t>
      </w:r>
      <w:r>
        <w:rPr>
          <w:vertAlign w:val="baseline"/>
        </w:rPr>
        <w:t> as was the situation in some cases discussed below. After resignation, the director is generally allowed to compete freely subject to any contractual</w:t>
      </w:r>
      <w:r>
        <w:rPr>
          <w:spacing w:val="-4"/>
          <w:vertAlign w:val="baseline"/>
        </w:rPr>
        <w:t> </w:t>
      </w:r>
      <w:r>
        <w:rPr>
          <w:vertAlign w:val="baseline"/>
        </w:rPr>
        <w:t>restraints, the law relating to trade secrets and the rules relating to corporate opportunities acquired </w:t>
      </w:r>
      <w:r>
        <w:rPr>
          <w:i/>
          <w:vertAlign w:val="baseline"/>
        </w:rPr>
        <w:t>before </w:t>
      </w:r>
      <w:r>
        <w:rPr>
          <w:vertAlign w:val="baseline"/>
        </w:rPr>
        <w:t>resignation.</w:t>
      </w:r>
      <w:r>
        <w:rPr>
          <w:vertAlign w:val="superscript"/>
        </w:rPr>
        <w:t>229</w:t>
      </w:r>
      <w:r>
        <w:rPr>
          <w:vertAlign w:val="baseline"/>
        </w:rPr>
        <w:t>Thus, it was decided in </w:t>
      </w:r>
      <w:r>
        <w:rPr>
          <w:b/>
          <w:vertAlign w:val="baseline"/>
        </w:rPr>
        <w:t>CMS Dolphin Ltd. vs. Simonet</w:t>
      </w:r>
      <w:r>
        <w:rPr>
          <w:vertAlign w:val="superscript"/>
        </w:rPr>
        <w:t>230</w:t>
      </w:r>
      <w:r>
        <w:rPr>
          <w:vertAlign w:val="baseline"/>
        </w:rPr>
        <w:t>that where a director forms a company in order to exploit a maturing business opportunity of another company to whom he is a director, that company he forms is accountable for the profits properly attributable to</w:t>
      </w:r>
      <w:r>
        <w:rPr>
          <w:spacing w:val="80"/>
          <w:vertAlign w:val="baseline"/>
        </w:rPr>
        <w:t> </w:t>
      </w:r>
      <w:r>
        <w:rPr>
          <w:vertAlign w:val="baseline"/>
        </w:rPr>
        <w:t>the breach of duty. As for multiple directorships of non-competing companies, these usually</w:t>
      </w:r>
      <w:r>
        <w:rPr>
          <w:spacing w:val="29"/>
          <w:vertAlign w:val="baseline"/>
        </w:rPr>
        <w:t> </w:t>
      </w:r>
      <w:r>
        <w:rPr>
          <w:vertAlign w:val="baseline"/>
        </w:rPr>
        <w:t>pose</w:t>
      </w:r>
      <w:r>
        <w:rPr>
          <w:spacing w:val="37"/>
          <w:vertAlign w:val="baseline"/>
        </w:rPr>
        <w:t> </w:t>
      </w:r>
      <w:r>
        <w:rPr>
          <w:vertAlign w:val="baseline"/>
        </w:rPr>
        <w:t>no</w:t>
      </w:r>
      <w:r>
        <w:rPr>
          <w:spacing w:val="38"/>
          <w:vertAlign w:val="baseline"/>
        </w:rPr>
        <w:t> </w:t>
      </w:r>
      <w:r>
        <w:rPr>
          <w:vertAlign w:val="baseline"/>
        </w:rPr>
        <w:t>problem</w:t>
      </w:r>
      <w:r>
        <w:rPr>
          <w:spacing w:val="29"/>
          <w:vertAlign w:val="baseline"/>
        </w:rPr>
        <w:t> </w:t>
      </w:r>
      <w:r>
        <w:rPr>
          <w:vertAlign w:val="baseline"/>
        </w:rPr>
        <w:t>although</w:t>
      </w:r>
      <w:r>
        <w:rPr>
          <w:spacing w:val="28"/>
          <w:vertAlign w:val="baseline"/>
        </w:rPr>
        <w:t> </w:t>
      </w:r>
      <w:r>
        <w:rPr>
          <w:vertAlign w:val="baseline"/>
        </w:rPr>
        <w:t>the</w:t>
      </w:r>
      <w:r>
        <w:rPr>
          <w:spacing w:val="32"/>
          <w:vertAlign w:val="baseline"/>
        </w:rPr>
        <w:t> </w:t>
      </w:r>
      <w:r>
        <w:rPr>
          <w:vertAlign w:val="baseline"/>
        </w:rPr>
        <w:t>court</w:t>
      </w:r>
      <w:r>
        <w:rPr>
          <w:spacing w:val="38"/>
          <w:vertAlign w:val="baseline"/>
        </w:rPr>
        <w:t> </w:t>
      </w:r>
      <w:r>
        <w:rPr>
          <w:vertAlign w:val="baseline"/>
        </w:rPr>
        <w:t>has</w:t>
      </w:r>
      <w:r>
        <w:rPr>
          <w:spacing w:val="31"/>
          <w:vertAlign w:val="baseline"/>
        </w:rPr>
        <w:t> </w:t>
      </w:r>
      <w:r>
        <w:rPr>
          <w:vertAlign w:val="baseline"/>
        </w:rPr>
        <w:t>ruled</w:t>
      </w:r>
      <w:r>
        <w:rPr>
          <w:spacing w:val="33"/>
          <w:vertAlign w:val="baseline"/>
        </w:rPr>
        <w:t> </w:t>
      </w:r>
      <w:r>
        <w:rPr>
          <w:vertAlign w:val="baseline"/>
        </w:rPr>
        <w:t>that</w:t>
      </w:r>
      <w:r>
        <w:rPr>
          <w:spacing w:val="38"/>
          <w:vertAlign w:val="baseline"/>
        </w:rPr>
        <w:t> </w:t>
      </w:r>
      <w:r>
        <w:rPr>
          <w:vertAlign w:val="baseline"/>
        </w:rPr>
        <w:t>a</w:t>
      </w:r>
      <w:r>
        <w:rPr>
          <w:spacing w:val="32"/>
          <w:vertAlign w:val="baseline"/>
        </w:rPr>
        <w:t> </w:t>
      </w:r>
      <w:r>
        <w:rPr>
          <w:vertAlign w:val="baseline"/>
        </w:rPr>
        <w:t>director</w:t>
      </w:r>
      <w:r>
        <w:rPr>
          <w:spacing w:val="25"/>
          <w:vertAlign w:val="baseline"/>
        </w:rPr>
        <w:t> </w:t>
      </w:r>
      <w:r>
        <w:rPr>
          <w:vertAlign w:val="baseline"/>
        </w:rPr>
        <w:t>of</w:t>
      </w:r>
      <w:r>
        <w:rPr>
          <w:spacing w:val="25"/>
          <w:vertAlign w:val="baseline"/>
        </w:rPr>
        <w:t> </w:t>
      </w:r>
      <w:r>
        <w:rPr>
          <w:vertAlign w:val="baseline"/>
        </w:rPr>
        <w:t>two</w:t>
      </w:r>
      <w:r>
        <w:rPr>
          <w:spacing w:val="33"/>
          <w:vertAlign w:val="baseline"/>
        </w:rPr>
        <w:t> </w:t>
      </w:r>
      <w:r>
        <w:rPr>
          <w:vertAlign w:val="baseline"/>
        </w:rPr>
        <w:t>or</w:t>
      </w:r>
      <w:r>
        <w:rPr>
          <w:spacing w:val="35"/>
          <w:vertAlign w:val="baseline"/>
        </w:rPr>
        <w:t> </w:t>
      </w:r>
      <w:r>
        <w:rPr>
          <w:vertAlign w:val="baseline"/>
        </w:rPr>
        <w:t>more</w:t>
      </w:r>
    </w:p>
    <w:p>
      <w:pPr>
        <w:pStyle w:val="BodyText"/>
        <w:spacing w:before="107"/>
        <w:ind w:left="0"/>
        <w:rPr>
          <w:sz w:val="20"/>
        </w:rPr>
      </w:pPr>
      <w:r>
        <w:rPr/>
        <mc:AlternateContent>
          <mc:Choice Requires="wps">
            <w:drawing>
              <wp:anchor distT="0" distB="0" distL="0" distR="0" allowOverlap="1" layoutInCell="1" locked="0" behindDoc="1" simplePos="0" relativeHeight="487695360">
                <wp:simplePos x="0" y="0"/>
                <wp:positionH relativeFrom="page">
                  <wp:posOffset>1262481</wp:posOffset>
                </wp:positionH>
                <wp:positionV relativeFrom="paragraph">
                  <wp:posOffset>229359</wp:posOffset>
                </wp:positionV>
                <wp:extent cx="5400040" cy="9525"/>
                <wp:effectExtent l="0" t="0" r="0" b="0"/>
                <wp:wrapTopAndBottom/>
                <wp:docPr id="236" name="Graphic 236"/>
                <wp:cNvGraphicFramePr>
                  <a:graphicFrameLocks/>
                </wp:cNvGraphicFramePr>
                <a:graphic>
                  <a:graphicData uri="http://schemas.microsoft.com/office/word/2010/wordprocessingShape">
                    <wps:wsp>
                      <wps:cNvPr id="236" name="Graphic 236"/>
                      <wps:cNvSpPr/>
                      <wps:spPr>
                        <a:xfrm>
                          <a:off x="0" y="0"/>
                          <a:ext cx="5400040" cy="9525"/>
                        </a:xfrm>
                        <a:custGeom>
                          <a:avLst/>
                          <a:gdLst/>
                          <a:ahLst/>
                          <a:cxnLst/>
                          <a:rect l="l" t="t" r="r" b="b"/>
                          <a:pathLst>
                            <a:path w="5400040" h="9525">
                              <a:moveTo>
                                <a:pt x="5399785" y="0"/>
                              </a:moveTo>
                              <a:lnTo>
                                <a:pt x="0" y="0"/>
                              </a:lnTo>
                              <a:lnTo>
                                <a:pt x="0" y="9144"/>
                              </a:lnTo>
                              <a:lnTo>
                                <a:pt x="5399785" y="9144"/>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059814pt;width:425.18pt;height:.72003pt;mso-position-horizontal-relative:page;mso-position-vertical-relative:paragraph;z-index:-15621120;mso-wrap-distance-left:0;mso-wrap-distance-right:0" id="docshape191" filled="true" fillcolor="#000000" stroked="false">
                <v:fill type="solid"/>
                <w10:wrap type="topAndBottom"/>
              </v:rect>
            </w:pict>
          </mc:Fallback>
        </mc:AlternateContent>
      </w:r>
    </w:p>
    <w:p>
      <w:pPr>
        <w:spacing w:before="102"/>
        <w:ind w:left="308" w:right="229" w:firstLine="0"/>
        <w:jc w:val="both"/>
        <w:rPr>
          <w:rFonts w:ascii="Calibri" w:hAnsi="Calibri"/>
          <w:sz w:val="20"/>
        </w:rPr>
      </w:pPr>
      <w:r>
        <w:rPr>
          <w:rFonts w:ascii="Calibri" w:hAnsi="Calibri"/>
          <w:sz w:val="20"/>
        </w:rPr>
        <w:t>an equal degree of loyalty to the “trust”. See for example Christie, M. op.cit., particularly at 512; and Sealey, L. (1967). The Director as Trustee.</w:t>
      </w:r>
      <w:r>
        <w:rPr>
          <w:rFonts w:ascii="Calibri" w:hAnsi="Calibri"/>
          <w:i/>
          <w:sz w:val="20"/>
        </w:rPr>
        <w:t>Cambridge Law Journal</w:t>
      </w:r>
      <w:r>
        <w:rPr>
          <w:rFonts w:ascii="Calibri" w:hAnsi="Calibri"/>
          <w:sz w:val="20"/>
        </w:rPr>
        <w:t>, 83 at 97.</w:t>
      </w:r>
    </w:p>
    <w:p>
      <w:pPr>
        <w:spacing w:line="237" w:lineRule="auto" w:before="3"/>
        <w:ind w:left="308" w:right="227" w:firstLine="0"/>
        <w:jc w:val="both"/>
        <w:rPr>
          <w:rFonts w:ascii="Calibri"/>
          <w:i/>
          <w:sz w:val="20"/>
        </w:rPr>
      </w:pPr>
      <w:r>
        <w:rPr>
          <w:rFonts w:ascii="Calibri"/>
          <w:sz w:val="20"/>
          <w:vertAlign w:val="superscript"/>
        </w:rPr>
        <w:t>224</w:t>
      </w:r>
      <w:r>
        <w:rPr>
          <w:rFonts w:ascii="Calibri"/>
          <w:sz w:val="20"/>
          <w:vertAlign w:val="baseline"/>
        </w:rPr>
        <w:t>(2002) EWCA Civ. 370; (2002) B.C.L.C. 201, CA. The majority of the Court of Appeal in this case supported the decision in </w:t>
      </w:r>
      <w:r>
        <w:rPr>
          <w:rFonts w:ascii="Calibri"/>
          <w:i/>
          <w:sz w:val="20"/>
          <w:vertAlign w:val="baseline"/>
        </w:rPr>
        <w:t>London and Mashonaland Exploration Co. vs. New Mashonaland Exploration Co. supra.</w:t>
      </w:r>
    </w:p>
    <w:p>
      <w:pPr>
        <w:spacing w:before="3"/>
        <w:ind w:left="308" w:right="0" w:firstLine="0"/>
        <w:jc w:val="both"/>
        <w:rPr>
          <w:rFonts w:ascii="Calibri"/>
          <w:sz w:val="20"/>
        </w:rPr>
      </w:pPr>
      <w:r>
        <w:rPr>
          <w:rFonts w:ascii="Calibri"/>
          <w:sz w:val="20"/>
          <w:vertAlign w:val="superscript"/>
        </w:rPr>
        <w:t>225</w:t>
      </w:r>
      <w:r>
        <w:rPr>
          <w:rFonts w:ascii="Calibri"/>
          <w:sz w:val="20"/>
          <w:vertAlign w:val="baseline"/>
        </w:rPr>
        <w:t>(2007)</w:t>
      </w:r>
      <w:r>
        <w:rPr>
          <w:rFonts w:ascii="Calibri"/>
          <w:spacing w:val="-5"/>
          <w:sz w:val="20"/>
          <w:vertAlign w:val="baseline"/>
        </w:rPr>
        <w:t> </w:t>
      </w:r>
      <w:r>
        <w:rPr>
          <w:rFonts w:ascii="Calibri"/>
          <w:sz w:val="20"/>
          <w:vertAlign w:val="baseline"/>
        </w:rPr>
        <w:t>EWCA</w:t>
      </w:r>
      <w:r>
        <w:rPr>
          <w:rFonts w:ascii="Calibri"/>
          <w:spacing w:val="-3"/>
          <w:sz w:val="20"/>
          <w:vertAlign w:val="baseline"/>
        </w:rPr>
        <w:t> </w:t>
      </w:r>
      <w:r>
        <w:rPr>
          <w:rFonts w:ascii="Calibri"/>
          <w:sz w:val="20"/>
          <w:vertAlign w:val="baseline"/>
        </w:rPr>
        <w:t>Civ. 239;</w:t>
      </w:r>
      <w:r>
        <w:rPr>
          <w:rFonts w:ascii="Calibri"/>
          <w:spacing w:val="-8"/>
          <w:sz w:val="20"/>
          <w:vertAlign w:val="baseline"/>
        </w:rPr>
        <w:t> </w:t>
      </w:r>
      <w:r>
        <w:rPr>
          <w:rFonts w:ascii="Calibri"/>
          <w:sz w:val="20"/>
          <w:vertAlign w:val="baseline"/>
        </w:rPr>
        <w:t>(2007)</w:t>
      </w:r>
      <w:r>
        <w:rPr>
          <w:rFonts w:ascii="Calibri"/>
          <w:spacing w:val="-1"/>
          <w:sz w:val="20"/>
          <w:vertAlign w:val="baseline"/>
        </w:rPr>
        <w:t> </w:t>
      </w:r>
      <w:r>
        <w:rPr>
          <w:rFonts w:ascii="Calibri"/>
          <w:sz w:val="20"/>
          <w:vertAlign w:val="baseline"/>
        </w:rPr>
        <w:t>2</w:t>
      </w:r>
      <w:r>
        <w:rPr>
          <w:rFonts w:ascii="Calibri"/>
          <w:spacing w:val="-7"/>
          <w:sz w:val="20"/>
          <w:vertAlign w:val="baseline"/>
        </w:rPr>
        <w:t> </w:t>
      </w:r>
      <w:r>
        <w:rPr>
          <w:rFonts w:ascii="Calibri"/>
          <w:sz w:val="20"/>
          <w:vertAlign w:val="baseline"/>
        </w:rPr>
        <w:t>All</w:t>
      </w:r>
      <w:r>
        <w:rPr>
          <w:rFonts w:ascii="Calibri"/>
          <w:spacing w:val="-9"/>
          <w:sz w:val="20"/>
          <w:vertAlign w:val="baseline"/>
        </w:rPr>
        <w:t> </w:t>
      </w:r>
      <w:r>
        <w:rPr>
          <w:rFonts w:ascii="Calibri"/>
          <w:sz w:val="20"/>
          <w:vertAlign w:val="baseline"/>
        </w:rPr>
        <w:t>ER</w:t>
      </w:r>
      <w:r>
        <w:rPr>
          <w:rFonts w:ascii="Calibri"/>
          <w:spacing w:val="-6"/>
          <w:sz w:val="20"/>
          <w:vertAlign w:val="baseline"/>
        </w:rPr>
        <w:t> </w:t>
      </w:r>
      <w:r>
        <w:rPr>
          <w:rFonts w:ascii="Calibri"/>
          <w:sz w:val="20"/>
          <w:vertAlign w:val="baseline"/>
        </w:rPr>
        <w:t>(Comm.)</w:t>
      </w:r>
      <w:r>
        <w:rPr>
          <w:rFonts w:ascii="Calibri"/>
          <w:spacing w:val="-4"/>
          <w:sz w:val="20"/>
          <w:vertAlign w:val="baseline"/>
        </w:rPr>
        <w:t> 285.</w:t>
      </w:r>
    </w:p>
    <w:p>
      <w:pPr>
        <w:spacing w:before="1"/>
        <w:ind w:left="308" w:right="224" w:firstLine="0"/>
        <w:jc w:val="both"/>
        <w:rPr>
          <w:rFonts w:ascii="Calibri" w:hAnsi="Calibri"/>
          <w:sz w:val="20"/>
        </w:rPr>
      </w:pPr>
      <w:r>
        <w:rPr>
          <w:rFonts w:ascii="Calibri" w:hAnsi="Calibri"/>
          <w:sz w:val="20"/>
          <w:vertAlign w:val="superscript"/>
        </w:rPr>
        <w:t>226</w:t>
      </w:r>
      <w:r>
        <w:rPr>
          <w:rFonts w:ascii="Calibri" w:hAnsi="Calibri"/>
          <w:sz w:val="20"/>
          <w:vertAlign w:val="baseline"/>
        </w:rPr>
        <w:t>As Lord Upjohn observed in</w:t>
      </w:r>
      <w:r>
        <w:rPr>
          <w:rFonts w:ascii="Calibri" w:hAnsi="Calibri"/>
          <w:i/>
          <w:sz w:val="20"/>
          <w:vertAlign w:val="baseline"/>
        </w:rPr>
        <w:t>Boardman vs. Phipps </w:t>
      </w:r>
      <w:r>
        <w:rPr>
          <w:rFonts w:ascii="Calibri" w:hAnsi="Calibri"/>
          <w:sz w:val="20"/>
          <w:vertAlign w:val="baseline"/>
        </w:rPr>
        <w:t>(1967) 2 A.C. 46 at 67, “Rules of equity have to be applied to such a</w:t>
      </w:r>
      <w:r>
        <w:rPr>
          <w:rFonts w:ascii="Calibri" w:hAnsi="Calibri"/>
          <w:spacing w:val="-2"/>
          <w:sz w:val="20"/>
          <w:vertAlign w:val="baseline"/>
        </w:rPr>
        <w:t> </w:t>
      </w:r>
      <w:r>
        <w:rPr>
          <w:rFonts w:ascii="Calibri" w:hAnsi="Calibri"/>
          <w:sz w:val="20"/>
          <w:vertAlign w:val="baseline"/>
        </w:rPr>
        <w:t>great diversity of</w:t>
      </w:r>
      <w:r>
        <w:rPr>
          <w:rFonts w:ascii="Calibri" w:hAnsi="Calibri"/>
          <w:spacing w:val="-1"/>
          <w:sz w:val="20"/>
          <w:vertAlign w:val="baseline"/>
        </w:rPr>
        <w:t> </w:t>
      </w:r>
      <w:r>
        <w:rPr>
          <w:rFonts w:ascii="Calibri" w:hAnsi="Calibri"/>
          <w:sz w:val="20"/>
          <w:vertAlign w:val="baseline"/>
        </w:rPr>
        <w:t>circumstances that</w:t>
      </w:r>
      <w:r>
        <w:rPr>
          <w:rFonts w:ascii="Calibri" w:hAnsi="Calibri"/>
          <w:spacing w:val="-2"/>
          <w:sz w:val="20"/>
          <w:vertAlign w:val="baseline"/>
        </w:rPr>
        <w:t> </w:t>
      </w:r>
      <w:r>
        <w:rPr>
          <w:rFonts w:ascii="Calibri" w:hAnsi="Calibri"/>
          <w:sz w:val="20"/>
          <w:vertAlign w:val="baseline"/>
        </w:rPr>
        <w:t>they</w:t>
      </w:r>
      <w:r>
        <w:rPr>
          <w:rFonts w:ascii="Calibri" w:hAnsi="Calibri"/>
          <w:spacing w:val="-3"/>
          <w:sz w:val="20"/>
          <w:vertAlign w:val="baseline"/>
        </w:rPr>
        <w:t> </w:t>
      </w:r>
      <w:r>
        <w:rPr>
          <w:rFonts w:ascii="Calibri" w:hAnsi="Calibri"/>
          <w:sz w:val="20"/>
          <w:vertAlign w:val="baseline"/>
        </w:rPr>
        <w:t>can be stated</w:t>
      </w:r>
      <w:r>
        <w:rPr>
          <w:rFonts w:ascii="Calibri" w:hAnsi="Calibri"/>
          <w:spacing w:val="-2"/>
          <w:sz w:val="20"/>
          <w:vertAlign w:val="baseline"/>
        </w:rPr>
        <w:t> </w:t>
      </w:r>
      <w:r>
        <w:rPr>
          <w:rFonts w:ascii="Calibri" w:hAnsi="Calibri"/>
          <w:sz w:val="20"/>
          <w:vertAlign w:val="baseline"/>
        </w:rPr>
        <w:t>only</w:t>
      </w:r>
      <w:r>
        <w:rPr>
          <w:rFonts w:ascii="Calibri" w:hAnsi="Calibri"/>
          <w:spacing w:val="-1"/>
          <w:sz w:val="20"/>
          <w:vertAlign w:val="baseline"/>
        </w:rPr>
        <w:t> </w:t>
      </w:r>
      <w:r>
        <w:rPr>
          <w:rFonts w:ascii="Calibri" w:hAnsi="Calibri"/>
          <w:sz w:val="20"/>
          <w:vertAlign w:val="baseline"/>
        </w:rPr>
        <w:t>in the</w:t>
      </w:r>
      <w:r>
        <w:rPr>
          <w:rFonts w:ascii="Calibri" w:hAnsi="Calibri"/>
          <w:spacing w:val="-2"/>
          <w:sz w:val="20"/>
          <w:vertAlign w:val="baseline"/>
        </w:rPr>
        <w:t> </w:t>
      </w:r>
      <w:r>
        <w:rPr>
          <w:rFonts w:ascii="Calibri" w:hAnsi="Calibri"/>
          <w:sz w:val="20"/>
          <w:vertAlign w:val="baseline"/>
        </w:rPr>
        <w:t>most</w:t>
      </w:r>
      <w:r>
        <w:rPr>
          <w:rFonts w:ascii="Calibri" w:hAnsi="Calibri"/>
          <w:spacing w:val="-3"/>
          <w:sz w:val="20"/>
          <w:vertAlign w:val="baseline"/>
        </w:rPr>
        <w:t> </w:t>
      </w:r>
      <w:r>
        <w:rPr>
          <w:rFonts w:ascii="Calibri" w:hAnsi="Calibri"/>
          <w:sz w:val="20"/>
          <w:vertAlign w:val="baseline"/>
        </w:rPr>
        <w:t>general terms and applied with particular attention to the exact circumstances of each case.”</w:t>
      </w:r>
    </w:p>
    <w:p>
      <w:pPr>
        <w:spacing w:line="242" w:lineRule="exact" w:before="2"/>
        <w:ind w:left="308" w:right="0" w:firstLine="0"/>
        <w:jc w:val="both"/>
        <w:rPr>
          <w:rFonts w:ascii="Calibri"/>
          <w:sz w:val="20"/>
        </w:rPr>
      </w:pPr>
      <w:r>
        <w:rPr>
          <w:rFonts w:ascii="Calibri"/>
          <w:sz w:val="20"/>
          <w:vertAlign w:val="superscript"/>
        </w:rPr>
        <w:t>227</w:t>
      </w:r>
      <w:r>
        <w:rPr>
          <w:rFonts w:ascii="Calibri"/>
          <w:i/>
          <w:sz w:val="20"/>
          <w:vertAlign w:val="baseline"/>
        </w:rPr>
        <w:t>Bristol</w:t>
      </w:r>
      <w:r>
        <w:rPr>
          <w:rFonts w:ascii="Calibri"/>
          <w:i/>
          <w:spacing w:val="-11"/>
          <w:sz w:val="20"/>
          <w:vertAlign w:val="baseline"/>
        </w:rPr>
        <w:t> </w:t>
      </w:r>
      <w:r>
        <w:rPr>
          <w:rFonts w:ascii="Calibri"/>
          <w:i/>
          <w:sz w:val="20"/>
          <w:vertAlign w:val="baseline"/>
        </w:rPr>
        <w:t>and</w:t>
      </w:r>
      <w:r>
        <w:rPr>
          <w:rFonts w:ascii="Calibri"/>
          <w:i/>
          <w:spacing w:val="-2"/>
          <w:sz w:val="20"/>
          <w:vertAlign w:val="baseline"/>
        </w:rPr>
        <w:t> </w:t>
      </w:r>
      <w:r>
        <w:rPr>
          <w:rFonts w:ascii="Calibri"/>
          <w:i/>
          <w:sz w:val="20"/>
          <w:vertAlign w:val="baseline"/>
        </w:rPr>
        <w:t>West</w:t>
      </w:r>
      <w:r>
        <w:rPr>
          <w:rFonts w:ascii="Calibri"/>
          <w:i/>
          <w:spacing w:val="-8"/>
          <w:sz w:val="20"/>
          <w:vertAlign w:val="baseline"/>
        </w:rPr>
        <w:t> </w:t>
      </w:r>
      <w:r>
        <w:rPr>
          <w:rFonts w:ascii="Calibri"/>
          <w:i/>
          <w:sz w:val="20"/>
          <w:vertAlign w:val="baseline"/>
        </w:rPr>
        <w:t>Building</w:t>
      </w:r>
      <w:r>
        <w:rPr>
          <w:rFonts w:ascii="Calibri"/>
          <w:i/>
          <w:spacing w:val="-2"/>
          <w:sz w:val="20"/>
          <w:vertAlign w:val="baseline"/>
        </w:rPr>
        <w:t> </w:t>
      </w:r>
      <w:r>
        <w:rPr>
          <w:rFonts w:ascii="Calibri"/>
          <w:i/>
          <w:sz w:val="20"/>
          <w:vertAlign w:val="baseline"/>
        </w:rPr>
        <w:t>Society</w:t>
      </w:r>
      <w:r>
        <w:rPr>
          <w:rFonts w:ascii="Calibri"/>
          <w:i/>
          <w:spacing w:val="-7"/>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Mothew</w:t>
      </w:r>
      <w:r>
        <w:rPr>
          <w:rFonts w:ascii="Calibri"/>
          <w:sz w:val="20"/>
          <w:vertAlign w:val="baseline"/>
        </w:rPr>
        <w:t>[1998]</w:t>
      </w:r>
      <w:r>
        <w:rPr>
          <w:rFonts w:ascii="Calibri"/>
          <w:spacing w:val="-3"/>
          <w:sz w:val="20"/>
          <w:vertAlign w:val="baseline"/>
        </w:rPr>
        <w:t> </w:t>
      </w:r>
      <w:r>
        <w:rPr>
          <w:rFonts w:ascii="Calibri"/>
          <w:sz w:val="20"/>
          <w:vertAlign w:val="baseline"/>
        </w:rPr>
        <w:t>Ch</w:t>
      </w:r>
      <w:r>
        <w:rPr>
          <w:rFonts w:ascii="Calibri"/>
          <w:spacing w:val="-8"/>
          <w:sz w:val="20"/>
          <w:vertAlign w:val="baseline"/>
        </w:rPr>
        <w:t> </w:t>
      </w:r>
      <w:r>
        <w:rPr>
          <w:rFonts w:ascii="Calibri"/>
          <w:sz w:val="20"/>
          <w:vertAlign w:val="baseline"/>
        </w:rPr>
        <w:t>1</w:t>
      </w:r>
      <w:r>
        <w:rPr>
          <w:rFonts w:ascii="Calibri"/>
          <w:spacing w:val="-4"/>
          <w:sz w:val="20"/>
          <w:vertAlign w:val="baseline"/>
        </w:rPr>
        <w:t> </w:t>
      </w:r>
      <w:r>
        <w:rPr>
          <w:rFonts w:ascii="Calibri"/>
          <w:sz w:val="20"/>
          <w:vertAlign w:val="baseline"/>
        </w:rPr>
        <w:t>18,</w:t>
      </w:r>
      <w:r>
        <w:rPr>
          <w:rFonts w:ascii="Calibri"/>
          <w:spacing w:val="-5"/>
          <w:sz w:val="20"/>
          <w:vertAlign w:val="baseline"/>
        </w:rPr>
        <w:t> CA.</w:t>
      </w:r>
    </w:p>
    <w:p>
      <w:pPr>
        <w:spacing w:line="242" w:lineRule="exact" w:before="0"/>
        <w:ind w:left="308" w:right="0" w:firstLine="0"/>
        <w:jc w:val="both"/>
        <w:rPr>
          <w:rFonts w:ascii="Calibri"/>
          <w:sz w:val="20"/>
        </w:rPr>
      </w:pPr>
      <w:r>
        <w:rPr>
          <w:rFonts w:ascii="Calibri"/>
          <w:sz w:val="20"/>
          <w:vertAlign w:val="superscript"/>
        </w:rPr>
        <w:t>228</w:t>
      </w:r>
      <w:r>
        <w:rPr>
          <w:rFonts w:ascii="Calibri"/>
          <w:spacing w:val="-3"/>
          <w:sz w:val="20"/>
          <w:vertAlign w:val="baseline"/>
        </w:rPr>
        <w:t> </w:t>
      </w:r>
      <w:r>
        <w:rPr>
          <w:rFonts w:ascii="Calibri"/>
          <w:sz w:val="20"/>
          <w:vertAlign w:val="baseline"/>
        </w:rPr>
        <w:t>Davies,</w:t>
      </w:r>
      <w:r>
        <w:rPr>
          <w:rFonts w:ascii="Calibri"/>
          <w:spacing w:val="-6"/>
          <w:sz w:val="20"/>
          <w:vertAlign w:val="baseline"/>
        </w:rPr>
        <w:t> </w:t>
      </w:r>
      <w:r>
        <w:rPr>
          <w:rFonts w:ascii="Calibri"/>
          <w:sz w:val="20"/>
          <w:vertAlign w:val="baseline"/>
        </w:rPr>
        <w:t>P.</w:t>
      </w:r>
      <w:r>
        <w:rPr>
          <w:rFonts w:ascii="Calibri"/>
          <w:spacing w:val="-3"/>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7"/>
          <w:sz w:val="20"/>
          <w:vertAlign w:val="baseline"/>
        </w:rPr>
        <w:t> </w:t>
      </w:r>
      <w:r>
        <w:rPr>
          <w:rFonts w:ascii="Calibri"/>
          <w:sz w:val="20"/>
          <w:vertAlign w:val="baseline"/>
        </w:rPr>
        <w:t>(2012).</w:t>
      </w:r>
      <w:r>
        <w:rPr>
          <w:rFonts w:ascii="Calibri"/>
          <w:spacing w:val="-7"/>
          <w:sz w:val="20"/>
          <w:vertAlign w:val="baseline"/>
        </w:rPr>
        <w:t> </w:t>
      </w:r>
      <w:r>
        <w:rPr>
          <w:rFonts w:ascii="Calibri"/>
          <w:sz w:val="20"/>
          <w:vertAlign w:val="baseline"/>
        </w:rPr>
        <w:t>Op.cit.</w:t>
      </w:r>
      <w:r>
        <w:rPr>
          <w:rFonts w:ascii="Calibri"/>
          <w:spacing w:val="-3"/>
          <w:sz w:val="20"/>
          <w:vertAlign w:val="baseline"/>
        </w:rPr>
        <w:t> </w:t>
      </w:r>
      <w:r>
        <w:rPr>
          <w:rFonts w:ascii="Calibri"/>
          <w:sz w:val="20"/>
          <w:vertAlign w:val="baseline"/>
        </w:rPr>
        <w:t>at</w:t>
      </w:r>
      <w:r>
        <w:rPr>
          <w:rFonts w:ascii="Calibri"/>
          <w:spacing w:val="-9"/>
          <w:sz w:val="20"/>
          <w:vertAlign w:val="baseline"/>
        </w:rPr>
        <w:t> </w:t>
      </w:r>
      <w:r>
        <w:rPr>
          <w:rFonts w:ascii="Calibri"/>
          <w:spacing w:val="-4"/>
          <w:sz w:val="20"/>
          <w:vertAlign w:val="baseline"/>
        </w:rPr>
        <w:t>607.</w:t>
      </w:r>
    </w:p>
    <w:p>
      <w:pPr>
        <w:spacing w:before="1"/>
        <w:ind w:left="308" w:right="226" w:firstLine="0"/>
        <w:jc w:val="both"/>
        <w:rPr>
          <w:rFonts w:ascii="Calibri"/>
          <w:sz w:val="20"/>
        </w:rPr>
      </w:pPr>
      <w:r>
        <w:rPr>
          <w:rFonts w:ascii="Calibri"/>
          <w:sz w:val="20"/>
          <w:vertAlign w:val="superscript"/>
        </w:rPr>
        <w:t>229</w:t>
      </w:r>
      <w:r>
        <w:rPr>
          <w:rFonts w:ascii="Calibri"/>
          <w:sz w:val="20"/>
          <w:vertAlign w:val="baseline"/>
        </w:rPr>
        <w:t> Davies, P. and Worthington, S. (2012). Op.cit. at 608-609. In fact, it has been said that equity would condemn competitiononly where there has not been consent obtained by the director after full disclosure. See Christie, M. op.cit., at p. 506. It has also been decided that the director may not solicit</w:t>
      </w:r>
      <w:r>
        <w:rPr>
          <w:rFonts w:ascii="Calibri"/>
          <w:spacing w:val="40"/>
          <w:sz w:val="20"/>
          <w:vertAlign w:val="baseline"/>
        </w:rPr>
        <w:t> </w:t>
      </w:r>
      <w:r>
        <w:rPr>
          <w:rFonts w:ascii="Calibri"/>
          <w:sz w:val="20"/>
          <w:vertAlign w:val="baseline"/>
        </w:rPr>
        <w:t>the customers of his former employer. See </w:t>
      </w:r>
      <w:r>
        <w:rPr>
          <w:rFonts w:ascii="Calibri"/>
          <w:i/>
          <w:sz w:val="20"/>
          <w:vertAlign w:val="baseline"/>
        </w:rPr>
        <w:t>Aubanel</w:t>
      </w:r>
      <w:r>
        <w:rPr>
          <w:rFonts w:ascii="Calibri"/>
          <w:i/>
          <w:spacing w:val="-1"/>
          <w:sz w:val="20"/>
          <w:vertAlign w:val="baseline"/>
        </w:rPr>
        <w:t> </w:t>
      </w:r>
      <w:r>
        <w:rPr>
          <w:rFonts w:ascii="Calibri"/>
          <w:i/>
          <w:sz w:val="20"/>
          <w:vertAlign w:val="baseline"/>
        </w:rPr>
        <w:t>and Alabaster Ltd. vs. Aubanel </w:t>
      </w:r>
      <w:r>
        <w:rPr>
          <w:rFonts w:ascii="Calibri"/>
          <w:sz w:val="20"/>
          <w:vertAlign w:val="baseline"/>
        </w:rPr>
        <w:t>(1949) 66 RPC 343 at 346; </w:t>
      </w:r>
      <w:r>
        <w:rPr>
          <w:rFonts w:ascii="Calibri"/>
          <w:i/>
          <w:sz w:val="20"/>
          <w:vertAlign w:val="baseline"/>
        </w:rPr>
        <w:t>Christie &amp; Co. Ltd. vs. Greer </w:t>
      </w:r>
      <w:r>
        <w:rPr>
          <w:rFonts w:ascii="Calibri"/>
          <w:sz w:val="20"/>
          <w:vertAlign w:val="baseline"/>
        </w:rPr>
        <w:t>(1981) 4 WWR 34.</w:t>
      </w:r>
    </w:p>
    <w:p>
      <w:pPr>
        <w:spacing w:before="3"/>
        <w:ind w:left="308" w:right="0" w:firstLine="0"/>
        <w:jc w:val="both"/>
        <w:rPr>
          <w:rFonts w:ascii="Calibri"/>
          <w:sz w:val="20"/>
        </w:rPr>
      </w:pPr>
      <w:r>
        <w:rPr>
          <w:rFonts w:ascii="Calibri"/>
          <w:sz w:val="20"/>
          <w:vertAlign w:val="superscript"/>
        </w:rPr>
        <w:t>230</w:t>
      </w:r>
      <w:r>
        <w:rPr>
          <w:rFonts w:ascii="Calibri"/>
          <w:sz w:val="20"/>
          <w:vertAlign w:val="baseline"/>
        </w:rPr>
        <w:t>(2001)</w:t>
      </w:r>
      <w:r>
        <w:rPr>
          <w:rFonts w:ascii="Calibri"/>
          <w:spacing w:val="-3"/>
          <w:sz w:val="20"/>
          <w:vertAlign w:val="baseline"/>
        </w:rPr>
        <w:t> </w:t>
      </w:r>
      <w:r>
        <w:rPr>
          <w:rFonts w:ascii="Calibri"/>
          <w:sz w:val="20"/>
          <w:vertAlign w:val="baseline"/>
        </w:rPr>
        <w:t>2</w:t>
      </w:r>
      <w:r>
        <w:rPr>
          <w:rFonts w:ascii="Calibri"/>
          <w:spacing w:val="-8"/>
          <w:sz w:val="20"/>
          <w:vertAlign w:val="baseline"/>
        </w:rPr>
        <w:t> </w:t>
      </w:r>
      <w:r>
        <w:rPr>
          <w:rFonts w:ascii="Calibri"/>
          <w:sz w:val="20"/>
          <w:vertAlign w:val="baseline"/>
        </w:rPr>
        <w:t>B.C.L.C.</w:t>
      </w:r>
      <w:r>
        <w:rPr>
          <w:rFonts w:ascii="Calibri"/>
          <w:spacing w:val="-1"/>
          <w:sz w:val="20"/>
          <w:vertAlign w:val="baseline"/>
        </w:rPr>
        <w:t> </w:t>
      </w:r>
      <w:r>
        <w:rPr>
          <w:rFonts w:ascii="Calibri"/>
          <w:spacing w:val="-4"/>
          <w:sz w:val="20"/>
          <w:vertAlign w:val="baseline"/>
        </w:rPr>
        <w:t>704.</w:t>
      </w:r>
    </w:p>
    <w:p>
      <w:pPr>
        <w:spacing w:after="0"/>
        <w:jc w:val="both"/>
        <w:rPr>
          <w:rFonts w:ascii="Calibri"/>
          <w:sz w:val="20"/>
        </w:rPr>
        <w:sectPr>
          <w:pgSz w:w="11910" w:h="16840"/>
          <w:pgMar w:header="0" w:footer="1003" w:top="1280" w:bottom="1200" w:left="1680" w:right="1180"/>
        </w:sectPr>
      </w:pPr>
    </w:p>
    <w:p>
      <w:pPr>
        <w:pStyle w:val="BodyText"/>
        <w:spacing w:line="480" w:lineRule="auto" w:before="70"/>
        <w:ind w:right="234"/>
        <w:jc w:val="both"/>
      </w:pPr>
      <w:r>
        <w:rPr/>
        <w:t>companies generally takes the risk of a petition against him alleging unfair prejudice against members under s. 459 of the 1948 Act,</w:t>
      </w:r>
      <w:r>
        <w:rPr>
          <w:vertAlign w:val="superscript"/>
        </w:rPr>
        <w:t>231</w:t>
      </w:r>
      <w:r>
        <w:rPr>
          <w:vertAlign w:val="baseline"/>
        </w:rPr>
        <w:t> if he subordinates the interests of</w:t>
      </w:r>
      <w:r>
        <w:rPr>
          <w:spacing w:val="-3"/>
          <w:vertAlign w:val="baseline"/>
        </w:rPr>
        <w:t> </w:t>
      </w:r>
      <w:r>
        <w:rPr>
          <w:vertAlign w:val="baseline"/>
        </w:rPr>
        <w:t>one company for those of the other.</w:t>
      </w:r>
      <w:r>
        <w:rPr>
          <w:vertAlign w:val="superscript"/>
        </w:rPr>
        <w:t>232</w:t>
      </w:r>
    </w:p>
    <w:p>
      <w:pPr>
        <w:pStyle w:val="BodyText"/>
        <w:spacing w:line="480" w:lineRule="auto"/>
        <w:ind w:right="225" w:firstLine="720"/>
        <w:jc w:val="both"/>
      </w:pPr>
      <w:r>
        <w:rPr/>
        <w:t>The no-conflict/no-profit rule, as provided in s. 175(2), applies equally to property, information and opportunity of the company.</w:t>
      </w:r>
      <w:r>
        <w:rPr>
          <w:vertAlign w:val="superscript"/>
        </w:rPr>
        <w:t>233</w:t>
      </w:r>
      <w:r>
        <w:rPr>
          <w:vertAlign w:val="baseline"/>
        </w:rPr>
        <w:t> Property in this context has been interpreted widely by the courts to include construction contracts,</w:t>
      </w:r>
      <w:r>
        <w:rPr>
          <w:vertAlign w:val="superscript"/>
        </w:rPr>
        <w:t>234</w:t>
      </w:r>
      <w:r>
        <w:rPr>
          <w:vertAlign w:val="baseline"/>
        </w:rPr>
        <w:t> patent rights,</w:t>
      </w:r>
      <w:r>
        <w:rPr>
          <w:vertAlign w:val="superscript"/>
        </w:rPr>
        <w:t>235</w:t>
      </w:r>
      <w:r>
        <w:rPr>
          <w:vertAlign w:val="baseline"/>
        </w:rPr>
        <w:t> any contracts and business opportunities that come to the director whilst he serves the company and which he ought to give the company the chance to acquire or acquire for the company</w:t>
      </w:r>
      <w:r>
        <w:rPr>
          <w:vertAlign w:val="superscript"/>
        </w:rPr>
        <w:t>236</w:t>
      </w:r>
      <w:r>
        <w:rPr>
          <w:vertAlign w:val="baseline"/>
        </w:rPr>
        <w:t> and even an invention by a director whilst he severs the company, if the invention is related to the company‘s business.</w:t>
      </w:r>
      <w:r>
        <w:rPr>
          <w:vertAlign w:val="superscript"/>
        </w:rPr>
        <w:t>237</w:t>
      </w:r>
      <w:r>
        <w:rPr>
          <w:vertAlign w:val="baseline"/>
        </w:rPr>
        <w:t> However, the bulk of cases</w:t>
      </w:r>
      <w:r>
        <w:rPr>
          <w:spacing w:val="-2"/>
          <w:vertAlign w:val="baseline"/>
        </w:rPr>
        <w:t> </w:t>
      </w:r>
      <w:r>
        <w:rPr>
          <w:vertAlign w:val="baseline"/>
        </w:rPr>
        <w:t>often involve</w:t>
      </w:r>
      <w:r>
        <w:rPr>
          <w:spacing w:val="-1"/>
          <w:vertAlign w:val="baseline"/>
        </w:rPr>
        <w:t> </w:t>
      </w:r>
      <w:r>
        <w:rPr>
          <w:vertAlign w:val="baseline"/>
        </w:rPr>
        <w:t>the</w:t>
      </w:r>
      <w:r>
        <w:rPr>
          <w:spacing w:val="-1"/>
          <w:vertAlign w:val="baseline"/>
        </w:rPr>
        <w:t> </w:t>
      </w:r>
      <w:r>
        <w:rPr>
          <w:vertAlign w:val="baseline"/>
        </w:rPr>
        <w:t>exploitation</w:t>
      </w:r>
      <w:r>
        <w:rPr>
          <w:spacing w:val="-5"/>
          <w:vertAlign w:val="baseline"/>
        </w:rPr>
        <w:t> </w:t>
      </w:r>
      <w:r>
        <w:rPr>
          <w:vertAlign w:val="baseline"/>
        </w:rPr>
        <w:t>of</w:t>
      </w:r>
      <w:r>
        <w:rPr>
          <w:spacing w:val="-3"/>
          <w:vertAlign w:val="baseline"/>
        </w:rPr>
        <w:t> </w:t>
      </w:r>
      <w:r>
        <w:rPr>
          <w:vertAlign w:val="baseline"/>
        </w:rPr>
        <w:t>information and opportunity. The</w:t>
      </w:r>
      <w:r>
        <w:rPr>
          <w:spacing w:val="-1"/>
          <w:vertAlign w:val="baseline"/>
        </w:rPr>
        <w:t> </w:t>
      </w:r>
      <w:r>
        <w:rPr>
          <w:vertAlign w:val="baseline"/>
        </w:rPr>
        <w:t>profiteer would only be</w:t>
      </w:r>
      <w:r>
        <w:rPr>
          <w:spacing w:val="-1"/>
          <w:vertAlign w:val="baseline"/>
        </w:rPr>
        <w:t> </w:t>
      </w:r>
      <w:r>
        <w:rPr>
          <w:vertAlign w:val="baseline"/>
        </w:rPr>
        <w:t>called to account if the</w:t>
      </w:r>
      <w:r>
        <w:rPr>
          <w:spacing w:val="-1"/>
          <w:vertAlign w:val="baseline"/>
        </w:rPr>
        <w:t> </w:t>
      </w:r>
      <w:r>
        <w:rPr>
          <w:vertAlign w:val="baseline"/>
        </w:rPr>
        <w:t>opportunity, etc. in question</w:t>
      </w:r>
      <w:r>
        <w:rPr>
          <w:spacing w:val="-5"/>
          <w:vertAlign w:val="baseline"/>
        </w:rPr>
        <w:t> </w:t>
      </w:r>
      <w:r>
        <w:rPr>
          <w:vertAlign w:val="baseline"/>
        </w:rPr>
        <w:t>can</w:t>
      </w:r>
      <w:r>
        <w:rPr>
          <w:spacing w:val="-5"/>
          <w:vertAlign w:val="baseline"/>
        </w:rPr>
        <w:t> </w:t>
      </w:r>
      <w:r>
        <w:rPr>
          <w:vertAlign w:val="baseline"/>
        </w:rPr>
        <w:t>be</w:t>
      </w:r>
      <w:r>
        <w:rPr>
          <w:spacing w:val="-1"/>
          <w:vertAlign w:val="baseline"/>
        </w:rPr>
        <w:t> </w:t>
      </w:r>
      <w:r>
        <w:rPr>
          <w:vertAlign w:val="baseline"/>
        </w:rPr>
        <w:t>reasonably</w:t>
      </w:r>
      <w:r>
        <w:rPr>
          <w:spacing w:val="-5"/>
          <w:vertAlign w:val="baseline"/>
        </w:rPr>
        <w:t> </w:t>
      </w:r>
      <w:r>
        <w:rPr>
          <w:vertAlign w:val="baseline"/>
        </w:rPr>
        <w:t>attributed to the company, but it matters not that the knowledge of the opportunity came to the director whilst he was acting in his individual capacity, as long as it is related to the company‘s business.</w:t>
      </w:r>
      <w:r>
        <w:rPr>
          <w:vertAlign w:val="superscript"/>
        </w:rPr>
        <w:t>238</w:t>
      </w:r>
      <w:r>
        <w:rPr>
          <w:vertAlign w:val="baseline"/>
        </w:rPr>
        <w:t> The fundamental</w:t>
      </w:r>
      <w:r>
        <w:rPr>
          <w:spacing w:val="-7"/>
          <w:vertAlign w:val="baseline"/>
        </w:rPr>
        <w:t> </w:t>
      </w:r>
      <w:r>
        <w:rPr>
          <w:vertAlign w:val="baseline"/>
        </w:rPr>
        <w:t>question, therefore, is: when</w:t>
      </w:r>
      <w:r>
        <w:rPr>
          <w:spacing w:val="-2"/>
          <w:vertAlign w:val="baseline"/>
        </w:rPr>
        <w:t> </w:t>
      </w:r>
      <w:r>
        <w:rPr>
          <w:vertAlign w:val="baseline"/>
        </w:rPr>
        <w:t>can it be said that an (economic) opportunity exploited by a director rightfully belongs to the company he serves in order to entitle the company to any profits made? There are clues provided within s.175 itself:</w:t>
      </w:r>
    </w:p>
    <w:p>
      <w:pPr>
        <w:pStyle w:val="ListParagraph"/>
        <w:numPr>
          <w:ilvl w:val="3"/>
          <w:numId w:val="18"/>
        </w:numPr>
        <w:tabs>
          <w:tab w:pos="1028" w:val="left" w:leader="none"/>
        </w:tabs>
        <w:spacing w:line="240" w:lineRule="auto" w:before="3" w:after="0"/>
        <w:ind w:left="1028" w:right="0" w:hanging="360"/>
        <w:jc w:val="both"/>
        <w:rPr>
          <w:sz w:val="24"/>
        </w:rPr>
      </w:pPr>
      <w:r>
        <w:rPr>
          <w:sz w:val="24"/>
        </w:rPr>
        <w:t>the</w:t>
      </w:r>
      <w:r>
        <w:rPr>
          <w:spacing w:val="-15"/>
          <w:sz w:val="24"/>
        </w:rPr>
        <w:t> </w:t>
      </w:r>
      <w:r>
        <w:rPr>
          <w:sz w:val="24"/>
        </w:rPr>
        <w:t>opportunity,</w:t>
      </w:r>
      <w:r>
        <w:rPr>
          <w:spacing w:val="-14"/>
          <w:sz w:val="24"/>
        </w:rPr>
        <w:t> </w:t>
      </w:r>
      <w:r>
        <w:rPr>
          <w:sz w:val="24"/>
        </w:rPr>
        <w:t>etc.</w:t>
      </w:r>
      <w:r>
        <w:rPr>
          <w:spacing w:val="-14"/>
          <w:sz w:val="24"/>
        </w:rPr>
        <w:t> </w:t>
      </w:r>
      <w:r>
        <w:rPr>
          <w:sz w:val="24"/>
        </w:rPr>
        <w:t>is</w:t>
      </w:r>
      <w:r>
        <w:rPr>
          <w:spacing w:val="-14"/>
          <w:sz w:val="24"/>
        </w:rPr>
        <w:t> </w:t>
      </w:r>
      <w:r>
        <w:rPr>
          <w:sz w:val="24"/>
        </w:rPr>
        <w:t>an</w:t>
      </w:r>
      <w:r>
        <w:rPr>
          <w:spacing w:val="-11"/>
          <w:sz w:val="24"/>
        </w:rPr>
        <w:t> </w:t>
      </w:r>
      <w:r>
        <w:rPr>
          <w:sz w:val="24"/>
        </w:rPr>
        <w:t>―interest‖</w:t>
      </w:r>
      <w:r>
        <w:rPr>
          <w:spacing w:val="-13"/>
          <w:sz w:val="24"/>
        </w:rPr>
        <w:t> </w:t>
      </w:r>
      <w:r>
        <w:rPr>
          <w:sz w:val="24"/>
        </w:rPr>
        <w:t>of</w:t>
      </w:r>
      <w:r>
        <w:rPr>
          <w:spacing w:val="-15"/>
          <w:sz w:val="24"/>
        </w:rPr>
        <w:t> </w:t>
      </w:r>
      <w:r>
        <w:rPr>
          <w:sz w:val="24"/>
        </w:rPr>
        <w:t>the</w:t>
      </w:r>
      <w:r>
        <w:rPr>
          <w:spacing w:val="-12"/>
          <w:sz w:val="24"/>
        </w:rPr>
        <w:t> </w:t>
      </w:r>
      <w:r>
        <w:rPr>
          <w:sz w:val="24"/>
        </w:rPr>
        <w:t>company</w:t>
      </w:r>
      <w:r>
        <w:rPr>
          <w:spacing w:val="-15"/>
          <w:sz w:val="24"/>
        </w:rPr>
        <w:t> </w:t>
      </w:r>
      <w:r>
        <w:rPr>
          <w:spacing w:val="-2"/>
          <w:sz w:val="24"/>
        </w:rPr>
        <w:t>(s.175(1));</w:t>
      </w:r>
    </w:p>
    <w:p>
      <w:pPr>
        <w:pStyle w:val="ListParagraph"/>
        <w:numPr>
          <w:ilvl w:val="3"/>
          <w:numId w:val="18"/>
        </w:numPr>
        <w:tabs>
          <w:tab w:pos="1028" w:val="left" w:leader="none"/>
        </w:tabs>
        <w:spacing w:line="276" w:lineRule="auto" w:before="41" w:after="0"/>
        <w:ind w:left="1028" w:right="193" w:hanging="360"/>
        <w:jc w:val="both"/>
        <w:rPr>
          <w:sz w:val="24"/>
        </w:rPr>
      </w:pPr>
      <w:r>
        <w:rPr>
          <w:sz w:val="24"/>
        </w:rPr>
        <w:t>the</w:t>
      </w:r>
      <w:r>
        <w:rPr>
          <w:spacing w:val="-6"/>
          <w:sz w:val="24"/>
        </w:rPr>
        <w:t> </w:t>
      </w:r>
      <w:r>
        <w:rPr>
          <w:sz w:val="24"/>
        </w:rPr>
        <w:t>director‘s</w:t>
      </w:r>
      <w:r>
        <w:rPr>
          <w:spacing w:val="-3"/>
          <w:sz w:val="24"/>
        </w:rPr>
        <w:t> </w:t>
      </w:r>
      <w:r>
        <w:rPr>
          <w:sz w:val="24"/>
        </w:rPr>
        <w:t>interest may</w:t>
      </w:r>
      <w:r>
        <w:rPr>
          <w:spacing w:val="-6"/>
          <w:sz w:val="24"/>
        </w:rPr>
        <w:t> </w:t>
      </w:r>
      <w:r>
        <w:rPr>
          <w:sz w:val="24"/>
        </w:rPr>
        <w:t>be</w:t>
      </w:r>
      <w:r>
        <w:rPr>
          <w:spacing w:val="-2"/>
          <w:sz w:val="24"/>
        </w:rPr>
        <w:t> </w:t>
      </w:r>
      <w:r>
        <w:rPr>
          <w:sz w:val="24"/>
        </w:rPr>
        <w:t>―direct</w:t>
      </w:r>
      <w:r>
        <w:rPr>
          <w:spacing w:val="-1"/>
          <w:sz w:val="24"/>
        </w:rPr>
        <w:t> </w:t>
      </w:r>
      <w:r>
        <w:rPr>
          <w:sz w:val="24"/>
        </w:rPr>
        <w:t>or indirect‖</w:t>
      </w:r>
      <w:r>
        <w:rPr>
          <w:spacing w:val="-6"/>
          <w:sz w:val="24"/>
        </w:rPr>
        <w:t> </w:t>
      </w:r>
      <w:r>
        <w:rPr>
          <w:sz w:val="24"/>
        </w:rPr>
        <w:t>and</w:t>
      </w:r>
      <w:r>
        <w:rPr>
          <w:spacing w:val="-2"/>
          <w:sz w:val="24"/>
        </w:rPr>
        <w:t> </w:t>
      </w:r>
      <w:r>
        <w:rPr>
          <w:sz w:val="24"/>
        </w:rPr>
        <w:t>mere </w:t>
      </w:r>
      <w:r>
        <w:rPr>
          <w:i/>
          <w:sz w:val="24"/>
        </w:rPr>
        <w:t>possibility</w:t>
      </w:r>
      <w:r>
        <w:rPr>
          <w:i/>
          <w:spacing w:val="-4"/>
          <w:sz w:val="24"/>
        </w:rPr>
        <w:t> </w:t>
      </w:r>
      <w:r>
        <w:rPr>
          <w:sz w:val="24"/>
        </w:rPr>
        <w:t>of</w:t>
      </w:r>
      <w:r>
        <w:rPr>
          <w:spacing w:val="-8"/>
          <w:sz w:val="24"/>
        </w:rPr>
        <w:t> </w:t>
      </w:r>
      <w:r>
        <w:rPr>
          <w:sz w:val="24"/>
        </w:rPr>
        <w:t>conflict is enough (s.175(1));</w:t>
      </w:r>
    </w:p>
    <w:p>
      <w:pPr>
        <w:pStyle w:val="ListParagraph"/>
        <w:numPr>
          <w:ilvl w:val="3"/>
          <w:numId w:val="18"/>
        </w:numPr>
        <w:tabs>
          <w:tab w:pos="1028" w:val="left" w:leader="none"/>
        </w:tabs>
        <w:spacing w:line="276" w:lineRule="auto" w:before="4" w:after="0"/>
        <w:ind w:left="1028" w:right="182" w:hanging="360"/>
        <w:jc w:val="both"/>
        <w:rPr>
          <w:sz w:val="24"/>
        </w:rPr>
      </w:pPr>
      <w:r>
        <w:rPr>
          <w:sz w:val="24"/>
        </w:rPr>
        <w:t>in any case, it is immaterial whether the company could actually take advantage of the opportunity, etc. (s.175(2));</w:t>
      </w:r>
    </w:p>
    <w:p>
      <w:pPr>
        <w:pStyle w:val="BodyText"/>
        <w:spacing w:before="8"/>
        <w:ind w:left="0"/>
        <w:rPr>
          <w:sz w:val="12"/>
        </w:rPr>
      </w:pPr>
      <w:r>
        <w:rPr/>
        <mc:AlternateContent>
          <mc:Choice Requires="wps">
            <w:drawing>
              <wp:anchor distT="0" distB="0" distL="0" distR="0" allowOverlap="1" layoutInCell="1" locked="0" behindDoc="1" simplePos="0" relativeHeight="487695872">
                <wp:simplePos x="0" y="0"/>
                <wp:positionH relativeFrom="page">
                  <wp:posOffset>1262481</wp:posOffset>
                </wp:positionH>
                <wp:positionV relativeFrom="paragraph">
                  <wp:posOffset>108442</wp:posOffset>
                </wp:positionV>
                <wp:extent cx="1829435" cy="9525"/>
                <wp:effectExtent l="0" t="0" r="0" b="0"/>
                <wp:wrapTopAndBottom/>
                <wp:docPr id="237" name="Graphic 237"/>
                <wp:cNvGraphicFramePr>
                  <a:graphicFrameLocks/>
                </wp:cNvGraphicFramePr>
                <a:graphic>
                  <a:graphicData uri="http://schemas.microsoft.com/office/word/2010/wordprocessingShape">
                    <wps:wsp>
                      <wps:cNvPr id="237" name="Graphic 23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538780pt;width:144.050pt;height:.71997pt;mso-position-horizontal-relative:page;mso-position-vertical-relative:paragraph;z-index:-15620608;mso-wrap-distance-left:0;mso-wrap-distance-right:0" id="docshape19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231</w:t>
      </w:r>
      <w:r>
        <w:rPr>
          <w:rFonts w:ascii="Calibri"/>
          <w:spacing w:val="2"/>
          <w:sz w:val="20"/>
          <w:vertAlign w:val="baseline"/>
        </w:rPr>
        <w:t> </w:t>
      </w:r>
      <w:r>
        <w:rPr>
          <w:rFonts w:ascii="Calibri"/>
          <w:sz w:val="20"/>
          <w:vertAlign w:val="baseline"/>
        </w:rPr>
        <w:t>Now</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pacing w:val="-5"/>
          <w:sz w:val="20"/>
          <w:vertAlign w:val="baseline"/>
        </w:rPr>
        <w:t>994</w:t>
      </w:r>
    </w:p>
    <w:p>
      <w:pPr>
        <w:spacing w:line="242" w:lineRule="exact" w:before="1"/>
        <w:ind w:left="308" w:right="0" w:firstLine="0"/>
        <w:jc w:val="left"/>
        <w:rPr>
          <w:rFonts w:ascii="Calibri"/>
          <w:sz w:val="20"/>
        </w:rPr>
      </w:pPr>
      <w:r>
        <w:rPr>
          <w:rFonts w:ascii="Calibri"/>
          <w:sz w:val="20"/>
          <w:vertAlign w:val="superscript"/>
        </w:rPr>
        <w:t>232</w:t>
      </w:r>
      <w:r>
        <w:rPr>
          <w:rFonts w:ascii="Calibri"/>
          <w:i/>
          <w:sz w:val="20"/>
          <w:vertAlign w:val="baseline"/>
        </w:rPr>
        <w:t>Scottish</w:t>
      </w:r>
      <w:r>
        <w:rPr>
          <w:rFonts w:ascii="Calibri"/>
          <w:i/>
          <w:spacing w:val="-7"/>
          <w:sz w:val="20"/>
          <w:vertAlign w:val="baseline"/>
        </w:rPr>
        <w:t> </w:t>
      </w:r>
      <w:r>
        <w:rPr>
          <w:rFonts w:ascii="Calibri"/>
          <w:i/>
          <w:sz w:val="20"/>
          <w:vertAlign w:val="baseline"/>
        </w:rPr>
        <w:t>Co-operative</w:t>
      </w:r>
      <w:r>
        <w:rPr>
          <w:rFonts w:ascii="Calibri"/>
          <w:i/>
          <w:spacing w:val="-5"/>
          <w:sz w:val="20"/>
          <w:vertAlign w:val="baseline"/>
        </w:rPr>
        <w:t> </w:t>
      </w:r>
      <w:r>
        <w:rPr>
          <w:rFonts w:ascii="Calibri"/>
          <w:i/>
          <w:sz w:val="20"/>
          <w:vertAlign w:val="baseline"/>
        </w:rPr>
        <w:t>Wholesale</w:t>
      </w:r>
      <w:r>
        <w:rPr>
          <w:rFonts w:ascii="Calibri"/>
          <w:i/>
          <w:spacing w:val="-8"/>
          <w:sz w:val="20"/>
          <w:vertAlign w:val="baseline"/>
        </w:rPr>
        <w:t> </w:t>
      </w:r>
      <w:r>
        <w:rPr>
          <w:rFonts w:ascii="Calibri"/>
          <w:i/>
          <w:sz w:val="20"/>
          <w:vertAlign w:val="baseline"/>
        </w:rPr>
        <w:t>Society</w:t>
      </w:r>
      <w:r>
        <w:rPr>
          <w:rFonts w:ascii="Calibri"/>
          <w:i/>
          <w:spacing w:val="-8"/>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7"/>
          <w:sz w:val="20"/>
          <w:vertAlign w:val="baseline"/>
        </w:rPr>
        <w:t> </w:t>
      </w:r>
      <w:r>
        <w:rPr>
          <w:rFonts w:ascii="Calibri"/>
          <w:i/>
          <w:sz w:val="20"/>
          <w:vertAlign w:val="baseline"/>
        </w:rPr>
        <w:t>Meyer</w:t>
      </w:r>
      <w:r>
        <w:rPr>
          <w:rFonts w:ascii="Calibri"/>
          <w:i/>
          <w:spacing w:val="-6"/>
          <w:sz w:val="20"/>
          <w:vertAlign w:val="baseline"/>
        </w:rPr>
        <w:t> </w:t>
      </w:r>
      <w:r>
        <w:rPr>
          <w:rFonts w:ascii="Calibri"/>
          <w:sz w:val="20"/>
          <w:vertAlign w:val="baseline"/>
        </w:rPr>
        <w:t>(1958)</w:t>
      </w:r>
      <w:r>
        <w:rPr>
          <w:rFonts w:ascii="Calibri"/>
          <w:spacing w:val="-4"/>
          <w:sz w:val="20"/>
          <w:vertAlign w:val="baseline"/>
        </w:rPr>
        <w:t> </w:t>
      </w:r>
      <w:r>
        <w:rPr>
          <w:rFonts w:ascii="Calibri"/>
          <w:sz w:val="20"/>
          <w:vertAlign w:val="baseline"/>
        </w:rPr>
        <w:t>3</w:t>
      </w:r>
      <w:r>
        <w:rPr>
          <w:rFonts w:ascii="Calibri"/>
          <w:spacing w:val="-5"/>
          <w:sz w:val="20"/>
          <w:vertAlign w:val="baseline"/>
        </w:rPr>
        <w:t> </w:t>
      </w:r>
      <w:r>
        <w:rPr>
          <w:rFonts w:ascii="Calibri"/>
          <w:sz w:val="20"/>
          <w:vertAlign w:val="baseline"/>
        </w:rPr>
        <w:t>All</w:t>
      </w:r>
      <w:r>
        <w:rPr>
          <w:rFonts w:ascii="Calibri"/>
          <w:spacing w:val="-7"/>
          <w:sz w:val="20"/>
          <w:vertAlign w:val="baseline"/>
        </w:rPr>
        <w:t> </w:t>
      </w:r>
      <w:r>
        <w:rPr>
          <w:rFonts w:ascii="Calibri"/>
          <w:sz w:val="20"/>
          <w:vertAlign w:val="baseline"/>
        </w:rPr>
        <w:t>ER</w:t>
      </w:r>
      <w:r>
        <w:rPr>
          <w:rFonts w:ascii="Calibri"/>
          <w:spacing w:val="-3"/>
          <w:sz w:val="20"/>
          <w:vertAlign w:val="baseline"/>
        </w:rPr>
        <w:t> </w:t>
      </w:r>
      <w:r>
        <w:rPr>
          <w:rFonts w:ascii="Calibri"/>
          <w:spacing w:val="-5"/>
          <w:sz w:val="20"/>
          <w:vertAlign w:val="baseline"/>
        </w:rPr>
        <w:t>66.</w:t>
      </w:r>
    </w:p>
    <w:p>
      <w:pPr>
        <w:spacing w:line="242" w:lineRule="exact" w:before="0"/>
        <w:ind w:left="308" w:right="0" w:firstLine="0"/>
        <w:jc w:val="left"/>
        <w:rPr>
          <w:rFonts w:ascii="Calibri" w:hAnsi="Calibri"/>
          <w:sz w:val="20"/>
        </w:rPr>
      </w:pPr>
      <w:r>
        <w:rPr>
          <w:rFonts w:ascii="Calibri" w:hAnsi="Calibri"/>
          <w:sz w:val="20"/>
          <w:vertAlign w:val="superscript"/>
        </w:rPr>
        <w:t>233</w:t>
      </w:r>
      <w:r>
        <w:rPr>
          <w:rFonts w:ascii="Calibri" w:hAnsi="Calibri"/>
          <w:spacing w:val="-1"/>
          <w:sz w:val="20"/>
          <w:vertAlign w:val="baseline"/>
        </w:rPr>
        <w:t> </w:t>
      </w:r>
      <w:r>
        <w:rPr>
          <w:rFonts w:ascii="Calibri" w:hAnsi="Calibri"/>
          <w:sz w:val="20"/>
          <w:vertAlign w:val="baseline"/>
        </w:rPr>
        <w:t>In</w:t>
      </w:r>
      <w:r>
        <w:rPr>
          <w:rFonts w:ascii="Calibri" w:hAnsi="Calibri"/>
          <w:spacing w:val="-6"/>
          <w:sz w:val="20"/>
          <w:vertAlign w:val="baseline"/>
        </w:rPr>
        <w:t> </w:t>
      </w:r>
      <w:r>
        <w:rPr>
          <w:rFonts w:ascii="Calibri" w:hAnsi="Calibri"/>
          <w:sz w:val="20"/>
          <w:vertAlign w:val="baseline"/>
        </w:rPr>
        <w:t>truth,</w:t>
      </w:r>
      <w:r>
        <w:rPr>
          <w:rFonts w:ascii="Calibri" w:hAnsi="Calibri"/>
          <w:spacing w:val="-4"/>
          <w:sz w:val="20"/>
          <w:vertAlign w:val="baseline"/>
        </w:rPr>
        <w:t> </w:t>
      </w:r>
      <w:r>
        <w:rPr>
          <w:rFonts w:ascii="Calibri" w:hAnsi="Calibri"/>
          <w:sz w:val="20"/>
          <w:vertAlign w:val="baseline"/>
        </w:rPr>
        <w:t>all three</w:t>
      </w:r>
      <w:r>
        <w:rPr>
          <w:rFonts w:ascii="Calibri" w:hAnsi="Calibri"/>
          <w:spacing w:val="-6"/>
          <w:sz w:val="20"/>
          <w:vertAlign w:val="baseline"/>
        </w:rPr>
        <w:t> </w:t>
      </w:r>
      <w:r>
        <w:rPr>
          <w:rFonts w:ascii="Calibri" w:hAnsi="Calibri"/>
          <w:sz w:val="20"/>
          <w:vertAlign w:val="baseline"/>
        </w:rPr>
        <w:t>are,</w:t>
      </w:r>
      <w:r>
        <w:rPr>
          <w:rFonts w:ascii="Calibri" w:hAnsi="Calibri"/>
          <w:spacing w:val="-4"/>
          <w:sz w:val="20"/>
          <w:vertAlign w:val="baseline"/>
        </w:rPr>
        <w:t> </w:t>
      </w:r>
      <w:r>
        <w:rPr>
          <w:rFonts w:ascii="Calibri" w:hAnsi="Calibri"/>
          <w:sz w:val="20"/>
          <w:vertAlign w:val="baseline"/>
        </w:rPr>
        <w:t>collectively,</w:t>
      </w:r>
      <w:r>
        <w:rPr>
          <w:rFonts w:ascii="Calibri" w:hAnsi="Calibri"/>
          <w:spacing w:val="-8"/>
          <w:sz w:val="20"/>
          <w:vertAlign w:val="baseline"/>
        </w:rPr>
        <w:t> </w:t>
      </w:r>
      <w:r>
        <w:rPr>
          <w:rFonts w:ascii="Calibri" w:hAnsi="Calibri"/>
          <w:sz w:val="20"/>
          <w:vertAlign w:val="baseline"/>
        </w:rPr>
        <w:t>the</w:t>
      </w:r>
      <w:r>
        <w:rPr>
          <w:rFonts w:ascii="Calibri" w:hAnsi="Calibri"/>
          <w:spacing w:val="-7"/>
          <w:sz w:val="20"/>
          <w:vertAlign w:val="baseline"/>
        </w:rPr>
        <w:t> </w:t>
      </w:r>
      <w:r>
        <w:rPr>
          <w:rFonts w:ascii="Calibri" w:hAnsi="Calibri"/>
          <w:sz w:val="20"/>
          <w:vertAlign w:val="baseline"/>
        </w:rPr>
        <w:t>“property”</w:t>
      </w:r>
      <w:r>
        <w:rPr>
          <w:rFonts w:ascii="Calibri" w:hAnsi="Calibri"/>
          <w:spacing w:val="-4"/>
          <w:sz w:val="20"/>
          <w:vertAlign w:val="baseline"/>
        </w:rPr>
        <w:t> </w:t>
      </w:r>
      <w:r>
        <w:rPr>
          <w:rFonts w:ascii="Calibri" w:hAnsi="Calibri"/>
          <w:sz w:val="20"/>
          <w:vertAlign w:val="baseline"/>
        </w:rPr>
        <w:t>of</w:t>
      </w:r>
      <w:r>
        <w:rPr>
          <w:rFonts w:ascii="Calibri" w:hAnsi="Calibri"/>
          <w:spacing w:val="-6"/>
          <w:sz w:val="20"/>
          <w:vertAlign w:val="baseline"/>
        </w:rPr>
        <w:t> </w:t>
      </w:r>
      <w:r>
        <w:rPr>
          <w:rFonts w:ascii="Calibri" w:hAnsi="Calibri"/>
          <w:sz w:val="20"/>
          <w:vertAlign w:val="baseline"/>
        </w:rPr>
        <w:t>the</w:t>
      </w:r>
      <w:r>
        <w:rPr>
          <w:rFonts w:ascii="Calibri" w:hAnsi="Calibri"/>
          <w:spacing w:val="-6"/>
          <w:sz w:val="20"/>
          <w:vertAlign w:val="baseline"/>
        </w:rPr>
        <w:t> </w:t>
      </w:r>
      <w:r>
        <w:rPr>
          <w:rFonts w:ascii="Calibri" w:hAnsi="Calibri"/>
          <w:spacing w:val="-2"/>
          <w:sz w:val="20"/>
          <w:vertAlign w:val="baseline"/>
        </w:rPr>
        <w:t>company.</w:t>
      </w:r>
    </w:p>
    <w:p>
      <w:pPr>
        <w:spacing w:before="0"/>
        <w:ind w:left="308" w:right="0" w:firstLine="0"/>
        <w:jc w:val="left"/>
        <w:rPr>
          <w:rFonts w:ascii="Calibri"/>
          <w:sz w:val="20"/>
        </w:rPr>
      </w:pPr>
      <w:r>
        <w:rPr>
          <w:rFonts w:ascii="Calibri"/>
          <w:sz w:val="20"/>
          <w:vertAlign w:val="superscript"/>
        </w:rPr>
        <w:t>234</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i/>
          <w:sz w:val="20"/>
          <w:vertAlign w:val="baseline"/>
        </w:rPr>
        <w:t>Cook</w:t>
      </w:r>
      <w:r>
        <w:rPr>
          <w:rFonts w:ascii="Calibri"/>
          <w:i/>
          <w:spacing w:val="-5"/>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Deeks </w:t>
      </w:r>
      <w:r>
        <w:rPr>
          <w:rFonts w:ascii="Calibri"/>
          <w:spacing w:val="-2"/>
          <w:sz w:val="20"/>
          <w:vertAlign w:val="baseline"/>
        </w:rPr>
        <w:t>supra.</w:t>
      </w:r>
    </w:p>
    <w:p>
      <w:pPr>
        <w:spacing w:before="2"/>
        <w:ind w:left="308" w:right="0" w:firstLine="0"/>
        <w:jc w:val="left"/>
        <w:rPr>
          <w:rFonts w:ascii="Calibri"/>
          <w:sz w:val="20"/>
        </w:rPr>
      </w:pPr>
      <w:r>
        <w:rPr>
          <w:rFonts w:ascii="Calibri"/>
          <w:sz w:val="20"/>
          <w:vertAlign w:val="superscript"/>
        </w:rPr>
        <w:t>235</w:t>
      </w:r>
      <w:r>
        <w:rPr>
          <w:rFonts w:ascii="Calibri"/>
          <w:i/>
          <w:sz w:val="20"/>
          <w:vertAlign w:val="baseline"/>
        </w:rPr>
        <w:t>Cranleigh</w:t>
      </w:r>
      <w:r>
        <w:rPr>
          <w:rFonts w:ascii="Calibri"/>
          <w:i/>
          <w:spacing w:val="-7"/>
          <w:sz w:val="20"/>
          <w:vertAlign w:val="baseline"/>
        </w:rPr>
        <w:t> </w:t>
      </w:r>
      <w:r>
        <w:rPr>
          <w:rFonts w:ascii="Calibri"/>
          <w:i/>
          <w:sz w:val="20"/>
          <w:vertAlign w:val="baseline"/>
        </w:rPr>
        <w:t>Precision</w:t>
      </w:r>
      <w:r>
        <w:rPr>
          <w:rFonts w:ascii="Calibri"/>
          <w:i/>
          <w:spacing w:val="-7"/>
          <w:sz w:val="20"/>
          <w:vertAlign w:val="baseline"/>
        </w:rPr>
        <w:t> </w:t>
      </w:r>
      <w:r>
        <w:rPr>
          <w:rFonts w:ascii="Calibri"/>
          <w:i/>
          <w:sz w:val="20"/>
          <w:vertAlign w:val="baseline"/>
        </w:rPr>
        <w:t>Engineering</w:t>
      </w:r>
      <w:r>
        <w:rPr>
          <w:rFonts w:ascii="Calibri"/>
          <w:i/>
          <w:spacing w:val="-7"/>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7"/>
          <w:sz w:val="20"/>
          <w:vertAlign w:val="baseline"/>
        </w:rPr>
        <w:t> </w:t>
      </w:r>
      <w:r>
        <w:rPr>
          <w:rFonts w:ascii="Calibri"/>
          <w:i/>
          <w:sz w:val="20"/>
          <w:vertAlign w:val="baseline"/>
        </w:rPr>
        <w:t>Bryant</w:t>
      </w:r>
      <w:r>
        <w:rPr>
          <w:rFonts w:ascii="Calibri"/>
          <w:i/>
          <w:spacing w:val="-3"/>
          <w:sz w:val="20"/>
          <w:vertAlign w:val="baseline"/>
        </w:rPr>
        <w:t> </w:t>
      </w:r>
      <w:r>
        <w:rPr>
          <w:rFonts w:ascii="Calibri"/>
          <w:sz w:val="20"/>
          <w:vertAlign w:val="baseline"/>
        </w:rPr>
        <w:t>(1965)1</w:t>
      </w:r>
      <w:r>
        <w:rPr>
          <w:rFonts w:ascii="Calibri"/>
          <w:spacing w:val="-9"/>
          <w:sz w:val="20"/>
          <w:vertAlign w:val="baseline"/>
        </w:rPr>
        <w:t> </w:t>
      </w:r>
      <w:r>
        <w:rPr>
          <w:rFonts w:ascii="Calibri"/>
          <w:sz w:val="20"/>
          <w:vertAlign w:val="baseline"/>
        </w:rPr>
        <w:t>WLR</w:t>
      </w:r>
      <w:r>
        <w:rPr>
          <w:rFonts w:ascii="Calibri"/>
          <w:spacing w:val="-11"/>
          <w:sz w:val="20"/>
          <w:vertAlign w:val="baseline"/>
        </w:rPr>
        <w:t> </w:t>
      </w:r>
      <w:r>
        <w:rPr>
          <w:rFonts w:ascii="Calibri"/>
          <w:spacing w:val="-2"/>
          <w:sz w:val="20"/>
          <w:vertAlign w:val="baseline"/>
        </w:rPr>
        <w:t>1293.</w:t>
      </w:r>
    </w:p>
    <w:p>
      <w:pPr>
        <w:spacing w:before="0"/>
        <w:ind w:left="308" w:right="0" w:firstLine="0"/>
        <w:jc w:val="left"/>
        <w:rPr>
          <w:rFonts w:ascii="Calibri"/>
          <w:sz w:val="20"/>
        </w:rPr>
      </w:pPr>
      <w:r>
        <w:rPr>
          <w:rFonts w:ascii="Calibri"/>
          <w:sz w:val="20"/>
          <w:vertAlign w:val="superscript"/>
        </w:rPr>
        <w:t>236</w:t>
      </w:r>
      <w:r>
        <w:rPr>
          <w:rFonts w:ascii="Calibri"/>
          <w:i/>
          <w:sz w:val="20"/>
          <w:vertAlign w:val="baseline"/>
        </w:rPr>
        <w:t>Canada</w:t>
      </w:r>
      <w:r>
        <w:rPr>
          <w:rFonts w:ascii="Calibri"/>
          <w:i/>
          <w:spacing w:val="-7"/>
          <w:sz w:val="20"/>
          <w:vertAlign w:val="baseline"/>
        </w:rPr>
        <w:t> </w:t>
      </w:r>
      <w:r>
        <w:rPr>
          <w:rFonts w:ascii="Calibri"/>
          <w:i/>
          <w:sz w:val="20"/>
          <w:vertAlign w:val="baseline"/>
        </w:rPr>
        <w:t>Safeway</w:t>
      </w:r>
      <w:r>
        <w:rPr>
          <w:rFonts w:ascii="Calibri"/>
          <w:i/>
          <w:spacing w:val="-6"/>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7"/>
          <w:sz w:val="20"/>
          <w:vertAlign w:val="baseline"/>
        </w:rPr>
        <w:t> </w:t>
      </w:r>
      <w:r>
        <w:rPr>
          <w:rFonts w:ascii="Calibri"/>
          <w:i/>
          <w:sz w:val="20"/>
          <w:vertAlign w:val="baseline"/>
        </w:rPr>
        <w:t>Thompson</w:t>
      </w:r>
      <w:r>
        <w:rPr>
          <w:rFonts w:ascii="Calibri"/>
          <w:i/>
          <w:spacing w:val="-4"/>
          <w:sz w:val="20"/>
          <w:vertAlign w:val="baseline"/>
        </w:rPr>
        <w:t> </w:t>
      </w:r>
      <w:r>
        <w:rPr>
          <w:rFonts w:ascii="Calibri"/>
          <w:sz w:val="20"/>
          <w:vertAlign w:val="baseline"/>
        </w:rPr>
        <w:t>(1951)</w:t>
      </w:r>
      <w:r>
        <w:rPr>
          <w:rFonts w:ascii="Calibri"/>
          <w:spacing w:val="-2"/>
          <w:sz w:val="20"/>
          <w:vertAlign w:val="baseline"/>
        </w:rPr>
        <w:t> </w:t>
      </w:r>
      <w:r>
        <w:rPr>
          <w:rFonts w:ascii="Calibri"/>
          <w:sz w:val="20"/>
          <w:vertAlign w:val="baseline"/>
        </w:rPr>
        <w:t>3</w:t>
      </w:r>
      <w:r>
        <w:rPr>
          <w:rFonts w:ascii="Calibri"/>
          <w:spacing w:val="-9"/>
          <w:sz w:val="20"/>
          <w:vertAlign w:val="baseline"/>
        </w:rPr>
        <w:t> </w:t>
      </w:r>
      <w:r>
        <w:rPr>
          <w:rFonts w:ascii="Calibri"/>
          <w:sz w:val="20"/>
          <w:vertAlign w:val="baseline"/>
        </w:rPr>
        <w:t>DLR</w:t>
      </w:r>
      <w:r>
        <w:rPr>
          <w:rFonts w:ascii="Calibri"/>
          <w:spacing w:val="-2"/>
          <w:sz w:val="20"/>
          <w:vertAlign w:val="baseline"/>
        </w:rPr>
        <w:t> </w:t>
      </w:r>
      <w:r>
        <w:rPr>
          <w:rFonts w:ascii="Calibri"/>
          <w:spacing w:val="-4"/>
          <w:sz w:val="20"/>
          <w:vertAlign w:val="baseline"/>
        </w:rPr>
        <w:t>295.</w:t>
      </w:r>
    </w:p>
    <w:p>
      <w:pPr>
        <w:spacing w:before="1"/>
        <w:ind w:left="308" w:right="0" w:firstLine="0"/>
        <w:jc w:val="left"/>
        <w:rPr>
          <w:rFonts w:ascii="Calibri"/>
          <w:sz w:val="20"/>
        </w:rPr>
      </w:pPr>
      <w:r>
        <w:rPr>
          <w:rFonts w:ascii="Calibri"/>
          <w:sz w:val="20"/>
          <w:vertAlign w:val="superscript"/>
        </w:rPr>
        <w:t>237</w:t>
      </w:r>
      <w:r>
        <w:rPr>
          <w:rFonts w:ascii="Calibri"/>
          <w:i/>
          <w:sz w:val="20"/>
          <w:vertAlign w:val="baseline"/>
        </w:rPr>
        <w:t>British</w:t>
      </w:r>
      <w:r>
        <w:rPr>
          <w:rFonts w:ascii="Calibri"/>
          <w:i/>
          <w:spacing w:val="-6"/>
          <w:sz w:val="20"/>
          <w:vertAlign w:val="baseline"/>
        </w:rPr>
        <w:t> </w:t>
      </w:r>
      <w:r>
        <w:rPr>
          <w:rFonts w:ascii="Calibri"/>
          <w:i/>
          <w:sz w:val="20"/>
          <w:vertAlign w:val="baseline"/>
        </w:rPr>
        <w:t>Syphon</w:t>
      </w:r>
      <w:r>
        <w:rPr>
          <w:rFonts w:ascii="Calibri"/>
          <w:i/>
          <w:spacing w:val="-6"/>
          <w:sz w:val="20"/>
          <w:vertAlign w:val="baseline"/>
        </w:rPr>
        <w:t> </w:t>
      </w:r>
      <w:r>
        <w:rPr>
          <w:rFonts w:ascii="Calibri"/>
          <w:i/>
          <w:sz w:val="20"/>
          <w:vertAlign w:val="baseline"/>
        </w:rPr>
        <w:t>Co.</w:t>
      </w:r>
      <w:r>
        <w:rPr>
          <w:rFonts w:ascii="Calibri"/>
          <w:i/>
          <w:spacing w:val="-5"/>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Homewood</w:t>
      </w:r>
      <w:r>
        <w:rPr>
          <w:rFonts w:ascii="Calibri"/>
          <w:i/>
          <w:spacing w:val="-4"/>
          <w:sz w:val="20"/>
          <w:vertAlign w:val="baseline"/>
        </w:rPr>
        <w:t> </w:t>
      </w:r>
      <w:r>
        <w:rPr>
          <w:rFonts w:ascii="Calibri"/>
          <w:sz w:val="20"/>
          <w:vertAlign w:val="baseline"/>
        </w:rPr>
        <w:t>(1956)</w:t>
      </w:r>
      <w:r>
        <w:rPr>
          <w:rFonts w:ascii="Calibri"/>
          <w:spacing w:val="-2"/>
          <w:sz w:val="20"/>
          <w:vertAlign w:val="baseline"/>
        </w:rPr>
        <w:t> </w:t>
      </w:r>
      <w:r>
        <w:rPr>
          <w:rFonts w:ascii="Calibri"/>
          <w:sz w:val="20"/>
          <w:vertAlign w:val="baseline"/>
        </w:rPr>
        <w:t>1</w:t>
      </w:r>
      <w:r>
        <w:rPr>
          <w:rFonts w:ascii="Calibri"/>
          <w:spacing w:val="-8"/>
          <w:sz w:val="20"/>
          <w:vertAlign w:val="baseline"/>
        </w:rPr>
        <w:t> </w:t>
      </w:r>
      <w:r>
        <w:rPr>
          <w:rFonts w:ascii="Calibri"/>
          <w:sz w:val="20"/>
          <w:vertAlign w:val="baseline"/>
        </w:rPr>
        <w:t>WLR</w:t>
      </w:r>
      <w:r>
        <w:rPr>
          <w:rFonts w:ascii="Calibri"/>
          <w:spacing w:val="-6"/>
          <w:sz w:val="20"/>
          <w:vertAlign w:val="baseline"/>
        </w:rPr>
        <w:t> </w:t>
      </w:r>
      <w:r>
        <w:rPr>
          <w:rFonts w:ascii="Calibri"/>
          <w:spacing w:val="-2"/>
          <w:sz w:val="20"/>
          <w:vertAlign w:val="baseline"/>
        </w:rPr>
        <w:t>1190.</w:t>
      </w:r>
    </w:p>
    <w:p>
      <w:pPr>
        <w:spacing w:before="1"/>
        <w:ind w:left="308" w:right="255" w:firstLine="0"/>
        <w:jc w:val="left"/>
        <w:rPr>
          <w:rFonts w:ascii="Calibri"/>
          <w:sz w:val="20"/>
        </w:rPr>
      </w:pPr>
      <w:r>
        <w:rPr>
          <w:rFonts w:ascii="Calibri"/>
          <w:sz w:val="20"/>
          <w:vertAlign w:val="superscript"/>
        </w:rPr>
        <w:t>238</w:t>
      </w:r>
      <w:r>
        <w:rPr>
          <w:rFonts w:ascii="Calibri"/>
          <w:sz w:val="20"/>
          <w:vertAlign w:val="baseline"/>
        </w:rPr>
        <w:t> This conclusion can be drawn from cases such as </w:t>
      </w:r>
      <w:r>
        <w:rPr>
          <w:rFonts w:ascii="Calibri"/>
          <w:i/>
          <w:sz w:val="20"/>
          <w:vertAlign w:val="baseline"/>
        </w:rPr>
        <w:t>Regal (Hastings) Ltd. vs. Gulliver </w:t>
      </w:r>
      <w:r>
        <w:rPr>
          <w:rFonts w:ascii="Calibri"/>
          <w:sz w:val="20"/>
          <w:vertAlign w:val="baseline"/>
        </w:rPr>
        <w:t>(1967) 2 A.C. 134 and </w:t>
      </w:r>
      <w:r>
        <w:rPr>
          <w:rFonts w:ascii="Calibri"/>
          <w:i/>
          <w:sz w:val="20"/>
          <w:vertAlign w:val="baseline"/>
        </w:rPr>
        <w:t>Peso Silver Mines Ltd. vs. Cropper </w:t>
      </w:r>
      <w:r>
        <w:rPr>
          <w:rFonts w:ascii="Calibri"/>
          <w:sz w:val="20"/>
          <w:vertAlign w:val="baseline"/>
        </w:rPr>
        <w:t>(1966) 58 DLR (2d.) 1.</w:t>
      </w:r>
    </w:p>
    <w:p>
      <w:pPr>
        <w:spacing w:after="0"/>
        <w:jc w:val="left"/>
        <w:rPr>
          <w:rFonts w:ascii="Calibri"/>
          <w:sz w:val="20"/>
        </w:rPr>
        <w:sectPr>
          <w:pgSz w:w="11910" w:h="16840"/>
          <w:pgMar w:header="0" w:footer="1003" w:top="1320" w:bottom="1200" w:left="1680" w:right="1180"/>
        </w:sectPr>
      </w:pPr>
    </w:p>
    <w:p>
      <w:pPr>
        <w:pStyle w:val="ListParagraph"/>
        <w:numPr>
          <w:ilvl w:val="3"/>
          <w:numId w:val="18"/>
        </w:numPr>
        <w:tabs>
          <w:tab w:pos="1028" w:val="left" w:leader="none"/>
        </w:tabs>
        <w:spacing w:line="240" w:lineRule="auto" w:before="70" w:after="0"/>
        <w:ind w:left="1028" w:right="0" w:hanging="360"/>
        <w:jc w:val="left"/>
        <w:rPr>
          <w:sz w:val="24"/>
        </w:rPr>
      </w:pPr>
      <w:r>
        <w:rPr>
          <w:sz w:val="24"/>
        </w:rPr>
        <w:t>self-dealing</w:t>
      </w:r>
      <w:r>
        <w:rPr>
          <w:spacing w:val="-6"/>
          <w:sz w:val="24"/>
        </w:rPr>
        <w:t> </w:t>
      </w:r>
      <w:r>
        <w:rPr>
          <w:sz w:val="24"/>
        </w:rPr>
        <w:t>transactions</w:t>
      </w:r>
      <w:r>
        <w:rPr>
          <w:spacing w:val="-5"/>
          <w:sz w:val="24"/>
        </w:rPr>
        <w:t> </w:t>
      </w:r>
      <w:r>
        <w:rPr>
          <w:sz w:val="24"/>
        </w:rPr>
        <w:t>are</w:t>
      </w:r>
      <w:r>
        <w:rPr>
          <w:spacing w:val="-4"/>
          <w:sz w:val="24"/>
        </w:rPr>
        <w:t> </w:t>
      </w:r>
      <w:r>
        <w:rPr>
          <w:sz w:val="24"/>
        </w:rPr>
        <w:t>not</w:t>
      </w:r>
      <w:r>
        <w:rPr>
          <w:spacing w:val="1"/>
          <w:sz w:val="24"/>
        </w:rPr>
        <w:t> </w:t>
      </w:r>
      <w:r>
        <w:rPr>
          <w:sz w:val="24"/>
        </w:rPr>
        <w:t>contemplated</w:t>
      </w:r>
      <w:r>
        <w:rPr>
          <w:spacing w:val="3"/>
          <w:sz w:val="24"/>
        </w:rPr>
        <w:t> </w:t>
      </w:r>
      <w:r>
        <w:rPr>
          <w:sz w:val="24"/>
        </w:rPr>
        <w:t>here</w:t>
      </w:r>
      <w:r>
        <w:rPr>
          <w:spacing w:val="-4"/>
          <w:sz w:val="24"/>
        </w:rPr>
        <w:t> </w:t>
      </w:r>
      <w:r>
        <w:rPr>
          <w:spacing w:val="-2"/>
          <w:sz w:val="24"/>
        </w:rPr>
        <w:t>(s.175(3));</w:t>
      </w:r>
    </w:p>
    <w:p>
      <w:pPr>
        <w:pStyle w:val="ListParagraph"/>
        <w:numPr>
          <w:ilvl w:val="3"/>
          <w:numId w:val="18"/>
        </w:numPr>
        <w:tabs>
          <w:tab w:pos="1028" w:val="left" w:leader="none"/>
        </w:tabs>
        <w:spacing w:line="276" w:lineRule="auto" w:before="45" w:after="0"/>
        <w:ind w:left="1028" w:right="188" w:hanging="360"/>
        <w:jc w:val="left"/>
        <w:rPr>
          <w:sz w:val="24"/>
        </w:rPr>
      </w:pPr>
      <w:r>
        <w:rPr>
          <w:sz w:val="24"/>
        </w:rPr>
        <w:t>the situation must be reasonably</w:t>
      </w:r>
      <w:r>
        <w:rPr>
          <w:spacing w:val="-3"/>
          <w:sz w:val="24"/>
        </w:rPr>
        <w:t> </w:t>
      </w:r>
      <w:r>
        <w:rPr>
          <w:sz w:val="24"/>
        </w:rPr>
        <w:t>regarded as likely</w:t>
      </w:r>
      <w:r>
        <w:rPr>
          <w:spacing w:val="-3"/>
          <w:sz w:val="24"/>
        </w:rPr>
        <w:t> </w:t>
      </w:r>
      <w:r>
        <w:rPr>
          <w:sz w:val="24"/>
        </w:rPr>
        <w:t>to result in</w:t>
      </w:r>
      <w:r>
        <w:rPr>
          <w:spacing w:val="-3"/>
          <w:sz w:val="24"/>
        </w:rPr>
        <w:t> </w:t>
      </w:r>
      <w:r>
        <w:rPr>
          <w:sz w:val="24"/>
        </w:rPr>
        <w:t>conflict of</w:t>
      </w:r>
      <w:r>
        <w:rPr>
          <w:spacing w:val="-2"/>
          <w:sz w:val="24"/>
        </w:rPr>
        <w:t> </w:t>
      </w:r>
      <w:r>
        <w:rPr>
          <w:sz w:val="24"/>
        </w:rPr>
        <w:t>interest </w:t>
      </w:r>
      <w:r>
        <w:rPr>
          <w:spacing w:val="-2"/>
          <w:sz w:val="24"/>
        </w:rPr>
        <w:t>(s.175(4)(a));</w:t>
      </w:r>
    </w:p>
    <w:p>
      <w:pPr>
        <w:pStyle w:val="ListParagraph"/>
        <w:numPr>
          <w:ilvl w:val="3"/>
          <w:numId w:val="18"/>
        </w:numPr>
        <w:tabs>
          <w:tab w:pos="1028" w:val="left" w:leader="none"/>
        </w:tabs>
        <w:spacing w:line="276" w:lineRule="auto" w:before="0" w:after="0"/>
        <w:ind w:left="1028" w:right="189" w:hanging="360"/>
        <w:jc w:val="left"/>
        <w:rPr>
          <w:sz w:val="24"/>
        </w:rPr>
      </w:pPr>
      <w:r>
        <w:rPr>
          <w:sz w:val="24"/>
        </w:rPr>
        <w:t>exploitation</w:t>
      </w:r>
      <w:r>
        <w:rPr>
          <w:spacing w:val="-3"/>
          <w:sz w:val="24"/>
        </w:rPr>
        <w:t> </w:t>
      </w:r>
      <w:r>
        <w:rPr>
          <w:sz w:val="24"/>
        </w:rPr>
        <w:t>of</w:t>
      </w:r>
      <w:r>
        <w:rPr>
          <w:spacing w:val="-5"/>
          <w:sz w:val="24"/>
        </w:rPr>
        <w:t> </w:t>
      </w:r>
      <w:r>
        <w:rPr>
          <w:sz w:val="24"/>
        </w:rPr>
        <w:t>corporate</w:t>
      </w:r>
      <w:r>
        <w:rPr>
          <w:spacing w:val="-4"/>
          <w:sz w:val="24"/>
        </w:rPr>
        <w:t> </w:t>
      </w:r>
      <w:r>
        <w:rPr>
          <w:sz w:val="24"/>
        </w:rPr>
        <w:t>opportunity, etc. is</w:t>
      </w:r>
      <w:r>
        <w:rPr>
          <w:spacing w:val="-1"/>
          <w:sz w:val="24"/>
        </w:rPr>
        <w:t> </w:t>
      </w:r>
      <w:r>
        <w:rPr>
          <w:sz w:val="24"/>
        </w:rPr>
        <w:t>not prohibited where it is</w:t>
      </w:r>
      <w:r>
        <w:rPr>
          <w:spacing w:val="-1"/>
          <w:sz w:val="24"/>
        </w:rPr>
        <w:t> </w:t>
      </w:r>
      <w:r>
        <w:rPr>
          <w:sz w:val="24"/>
        </w:rPr>
        <w:t>authorised </w:t>
      </w:r>
      <w:r>
        <w:rPr>
          <w:spacing w:val="-2"/>
          <w:sz w:val="24"/>
        </w:rPr>
        <w:t>(s.175(4)(b)).</w:t>
      </w:r>
    </w:p>
    <w:p>
      <w:pPr>
        <w:pStyle w:val="BodyText"/>
        <w:spacing w:before="39"/>
        <w:ind w:left="0"/>
      </w:pPr>
    </w:p>
    <w:p>
      <w:pPr>
        <w:pStyle w:val="BodyText"/>
        <w:spacing w:line="480" w:lineRule="auto"/>
        <w:ind w:right="179" w:firstLine="720"/>
        <w:jc w:val="both"/>
      </w:pPr>
      <w:r>
        <w:rPr/>
        <w:t>Evidently, in spite of</w:t>
      </w:r>
      <w:r>
        <w:rPr>
          <w:spacing w:val="-3"/>
        </w:rPr>
        <w:t> </w:t>
      </w:r>
      <w:r>
        <w:rPr/>
        <w:t>the pointers above, the question is still clearly unanswered, especially</w:t>
      </w:r>
      <w:r>
        <w:rPr>
          <w:spacing w:val="-7"/>
        </w:rPr>
        <w:t> </w:t>
      </w:r>
      <w:r>
        <w:rPr/>
        <w:t>considering</w:t>
      </w:r>
      <w:r>
        <w:rPr>
          <w:spacing w:val="-2"/>
        </w:rPr>
        <w:t> </w:t>
      </w:r>
      <w:r>
        <w:rPr/>
        <w:t>points</w:t>
      </w:r>
      <w:r>
        <w:rPr>
          <w:spacing w:val="-4"/>
        </w:rPr>
        <w:t> </w:t>
      </w:r>
      <w:r>
        <w:rPr/>
        <w:t>2</w:t>
      </w:r>
      <w:r>
        <w:rPr>
          <w:spacing w:val="-2"/>
        </w:rPr>
        <w:t> </w:t>
      </w:r>
      <w:r>
        <w:rPr/>
        <w:t>and</w:t>
      </w:r>
      <w:r>
        <w:rPr>
          <w:spacing w:val="-2"/>
        </w:rPr>
        <w:t> </w:t>
      </w:r>
      <w:r>
        <w:rPr/>
        <w:t>5</w:t>
      </w:r>
      <w:r>
        <w:rPr>
          <w:spacing w:val="-2"/>
        </w:rPr>
        <w:t> </w:t>
      </w:r>
      <w:r>
        <w:rPr/>
        <w:t>above appear to</w:t>
      </w:r>
      <w:r>
        <w:rPr>
          <w:spacing w:val="-2"/>
        </w:rPr>
        <w:t> </w:t>
      </w:r>
      <w:r>
        <w:rPr/>
        <w:t>be</w:t>
      </w:r>
      <w:r>
        <w:rPr>
          <w:spacing w:val="-3"/>
        </w:rPr>
        <w:t> </w:t>
      </w:r>
      <w:r>
        <w:rPr/>
        <w:t>conflicting. Helpfully, s. 170(4) &amp; (5) point out that the duties codified under the Act</w:t>
      </w:r>
      <w:r>
        <w:rPr>
          <w:spacing w:val="29"/>
        </w:rPr>
        <w:t> </w:t>
      </w:r>
      <w:r>
        <w:rPr/>
        <w:t>are based on common law rules</w:t>
      </w:r>
      <w:r>
        <w:rPr>
          <w:spacing w:val="40"/>
        </w:rPr>
        <w:t> </w:t>
      </w:r>
      <w:r>
        <w:rPr/>
        <w:t>and equitable</w:t>
      </w:r>
      <w:r>
        <w:rPr>
          <w:spacing w:val="-1"/>
        </w:rPr>
        <w:t> </w:t>
      </w:r>
      <w:r>
        <w:rPr/>
        <w:t>principles</w:t>
      </w:r>
      <w:r>
        <w:rPr>
          <w:spacing w:val="-2"/>
        </w:rPr>
        <w:t> </w:t>
      </w:r>
      <w:r>
        <w:rPr/>
        <w:t>and are</w:t>
      </w:r>
      <w:r>
        <w:rPr>
          <w:spacing w:val="-1"/>
        </w:rPr>
        <w:t> </w:t>
      </w:r>
      <w:r>
        <w:rPr/>
        <w:t>therefore,</w:t>
      </w:r>
      <w:r>
        <w:rPr>
          <w:spacing w:val="-3"/>
        </w:rPr>
        <w:t> </w:t>
      </w:r>
      <w:r>
        <w:rPr/>
        <w:t>to be interpreted and applied in the</w:t>
      </w:r>
      <w:r>
        <w:rPr>
          <w:spacing w:val="-1"/>
        </w:rPr>
        <w:t> </w:t>
      </w:r>
      <w:r>
        <w:rPr/>
        <w:t>same</w:t>
      </w:r>
      <w:r>
        <w:rPr>
          <w:spacing w:val="-1"/>
        </w:rPr>
        <w:t> </w:t>
      </w:r>
      <w:r>
        <w:rPr/>
        <w:t>way. An</w:t>
      </w:r>
      <w:r>
        <w:rPr>
          <w:spacing w:val="-1"/>
        </w:rPr>
        <w:t> </w:t>
      </w:r>
      <w:r>
        <w:rPr/>
        <w:t>examination of</w:t>
      </w:r>
      <w:r>
        <w:rPr>
          <w:spacing w:val="-3"/>
        </w:rPr>
        <w:t> </w:t>
      </w:r>
      <w:r>
        <w:rPr/>
        <w:t>cases on the point</w:t>
      </w:r>
      <w:r>
        <w:rPr>
          <w:vertAlign w:val="superscript"/>
        </w:rPr>
        <w:t>239</w:t>
      </w:r>
      <w:r>
        <w:rPr>
          <w:vertAlign w:val="baseline"/>
        </w:rPr>
        <w:t> would reveal that some courts limit the doctrine to situations where the company is considered to have an ―expectancy or inchoate interest‖ in the particular transaction.</w:t>
      </w:r>
      <w:r>
        <w:rPr>
          <w:vertAlign w:val="superscript"/>
        </w:rPr>
        <w:t>240</w:t>
      </w:r>
      <w:r>
        <w:rPr>
          <w:vertAlign w:val="baseline"/>
        </w:rPr>
        <w:t> Others extend it to all opportunities which fall within</w:t>
      </w:r>
      <w:r>
        <w:rPr>
          <w:spacing w:val="-6"/>
          <w:vertAlign w:val="baseline"/>
        </w:rPr>
        <w:t> </w:t>
      </w:r>
      <w:r>
        <w:rPr>
          <w:vertAlign w:val="baseline"/>
        </w:rPr>
        <w:t>the</w:t>
      </w:r>
      <w:r>
        <w:rPr>
          <w:spacing w:val="-2"/>
          <w:vertAlign w:val="baseline"/>
        </w:rPr>
        <w:t> </w:t>
      </w:r>
      <w:r>
        <w:rPr>
          <w:vertAlign w:val="baseline"/>
        </w:rPr>
        <w:t>company's line</w:t>
      </w:r>
      <w:r>
        <w:rPr>
          <w:spacing w:val="-2"/>
          <w:vertAlign w:val="baseline"/>
        </w:rPr>
        <w:t> </w:t>
      </w:r>
      <w:r>
        <w:rPr>
          <w:vertAlign w:val="baseline"/>
        </w:rPr>
        <w:t>of</w:t>
      </w:r>
      <w:r>
        <w:rPr>
          <w:spacing w:val="-8"/>
          <w:vertAlign w:val="baseline"/>
        </w:rPr>
        <w:t> </w:t>
      </w:r>
      <w:r>
        <w:rPr>
          <w:vertAlign w:val="baseline"/>
        </w:rPr>
        <w:t>business,</w:t>
      </w:r>
      <w:r>
        <w:rPr>
          <w:vertAlign w:val="superscript"/>
        </w:rPr>
        <w:t>241</w:t>
      </w:r>
      <w:r>
        <w:rPr>
          <w:vertAlign w:val="baseline"/>
        </w:rPr>
        <w:t> while</w:t>
      </w:r>
      <w:r>
        <w:rPr>
          <w:spacing w:val="-2"/>
          <w:vertAlign w:val="baseline"/>
        </w:rPr>
        <w:t> </w:t>
      </w:r>
      <w:r>
        <w:rPr>
          <w:vertAlign w:val="baseline"/>
        </w:rPr>
        <w:t>a</w:t>
      </w:r>
      <w:r>
        <w:rPr>
          <w:spacing w:val="-2"/>
          <w:vertAlign w:val="baseline"/>
        </w:rPr>
        <w:t> </w:t>
      </w:r>
      <w:r>
        <w:rPr>
          <w:vertAlign w:val="baseline"/>
        </w:rPr>
        <w:t>third</w:t>
      </w:r>
      <w:r>
        <w:rPr>
          <w:spacing w:val="-1"/>
          <w:vertAlign w:val="baseline"/>
        </w:rPr>
        <w:t> </w:t>
      </w:r>
      <w:r>
        <w:rPr>
          <w:vertAlign w:val="baseline"/>
        </w:rPr>
        <w:t>variant is</w:t>
      </w:r>
      <w:r>
        <w:rPr>
          <w:spacing w:val="-3"/>
          <w:vertAlign w:val="baseline"/>
        </w:rPr>
        <w:t> </w:t>
      </w:r>
      <w:r>
        <w:rPr>
          <w:vertAlign w:val="baseline"/>
        </w:rPr>
        <w:t>provided</w:t>
      </w:r>
      <w:r>
        <w:rPr>
          <w:spacing w:val="-1"/>
          <w:vertAlign w:val="baseline"/>
        </w:rPr>
        <w:t> </w:t>
      </w:r>
      <w:r>
        <w:rPr>
          <w:vertAlign w:val="baseline"/>
        </w:rPr>
        <w:t>by</w:t>
      </w:r>
      <w:r>
        <w:rPr>
          <w:spacing w:val="-6"/>
          <w:vertAlign w:val="baseline"/>
        </w:rPr>
        <w:t> </w:t>
      </w:r>
      <w:r>
        <w:rPr>
          <w:vertAlign w:val="baseline"/>
        </w:rPr>
        <w:t>those</w:t>
      </w:r>
      <w:r>
        <w:rPr>
          <w:spacing w:val="-2"/>
          <w:vertAlign w:val="baseline"/>
        </w:rPr>
        <w:t> </w:t>
      </w:r>
      <w:r>
        <w:rPr>
          <w:vertAlign w:val="baseline"/>
        </w:rPr>
        <w:t>courts which reject these tests and determine liability by the application of</w:t>
      </w:r>
      <w:r>
        <w:rPr>
          <w:spacing w:val="40"/>
          <w:vertAlign w:val="baseline"/>
        </w:rPr>
        <w:t> </w:t>
      </w:r>
      <w:r>
        <w:rPr>
          <w:vertAlign w:val="baseline"/>
        </w:rPr>
        <w:t>what appear to be ethical standards of what is fair and equitable to particular sets of facts.</w:t>
      </w:r>
      <w:r>
        <w:rPr>
          <w:vertAlign w:val="superscript"/>
        </w:rPr>
        <w:t>242</w:t>
      </w:r>
      <w:r>
        <w:rPr>
          <w:vertAlign w:val="baseline"/>
        </w:rPr>
        <w:t> But in every case, the question of how substantial the ―interest‖ has to be in order to qualify for prohibition, is one settled by the court.</w:t>
      </w:r>
      <w:r>
        <w:rPr>
          <w:vertAlign w:val="superscript"/>
        </w:rPr>
        <w:t>243</w:t>
      </w:r>
    </w:p>
    <w:p>
      <w:pPr>
        <w:pStyle w:val="BodyText"/>
        <w:ind w:left="0"/>
        <w:rPr>
          <w:sz w:val="20"/>
        </w:rPr>
      </w:pPr>
    </w:p>
    <w:p>
      <w:pPr>
        <w:pStyle w:val="BodyText"/>
        <w:ind w:left="0"/>
        <w:rPr>
          <w:sz w:val="20"/>
        </w:rPr>
      </w:pPr>
    </w:p>
    <w:p>
      <w:pPr>
        <w:pStyle w:val="BodyText"/>
        <w:ind w:left="0"/>
        <w:rPr>
          <w:sz w:val="20"/>
        </w:rPr>
      </w:pPr>
    </w:p>
    <w:p>
      <w:pPr>
        <w:pStyle w:val="BodyText"/>
        <w:spacing w:before="3"/>
        <w:ind w:left="0"/>
        <w:rPr>
          <w:sz w:val="20"/>
        </w:rPr>
      </w:pPr>
      <w:r>
        <w:rPr/>
        <mc:AlternateContent>
          <mc:Choice Requires="wps">
            <w:drawing>
              <wp:anchor distT="0" distB="0" distL="0" distR="0" allowOverlap="1" layoutInCell="1" locked="0" behindDoc="1" simplePos="0" relativeHeight="487696384">
                <wp:simplePos x="0" y="0"/>
                <wp:positionH relativeFrom="page">
                  <wp:posOffset>1262481</wp:posOffset>
                </wp:positionH>
                <wp:positionV relativeFrom="paragraph">
                  <wp:posOffset>163687</wp:posOffset>
                </wp:positionV>
                <wp:extent cx="1829435" cy="9525"/>
                <wp:effectExtent l="0" t="0" r="0" b="0"/>
                <wp:wrapTopAndBottom/>
                <wp:docPr id="238" name="Graphic 238"/>
                <wp:cNvGraphicFramePr>
                  <a:graphicFrameLocks/>
                </wp:cNvGraphicFramePr>
                <a:graphic>
                  <a:graphicData uri="http://schemas.microsoft.com/office/word/2010/wordprocessingShape">
                    <wps:wsp>
                      <wps:cNvPr id="238" name="Graphic 238"/>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888759pt;width:144.050pt;height:.72003pt;mso-position-horizontal-relative:page;mso-position-vertical-relative:paragraph;z-index:-15620096;mso-wrap-distance-left:0;mso-wrap-distance-right:0" id="docshape193" filled="true" fillcolor="#000000" stroked="false">
                <v:fill type="solid"/>
                <w10:wrap type="topAndBottom"/>
              </v:rect>
            </w:pict>
          </mc:Fallback>
        </mc:AlternateContent>
      </w:r>
    </w:p>
    <w:p>
      <w:pPr>
        <w:spacing w:before="102"/>
        <w:ind w:left="308" w:right="224" w:firstLine="0"/>
        <w:jc w:val="both"/>
        <w:rPr>
          <w:rFonts w:ascii="Calibri"/>
          <w:sz w:val="20"/>
        </w:rPr>
      </w:pPr>
      <w:r>
        <w:rPr>
          <w:rFonts w:ascii="Calibri"/>
          <w:sz w:val="20"/>
          <w:vertAlign w:val="superscript"/>
        </w:rPr>
        <w:t>239</w:t>
      </w:r>
      <w:r>
        <w:rPr>
          <w:rFonts w:ascii="Calibri"/>
          <w:sz w:val="20"/>
          <w:vertAlign w:val="baseline"/>
        </w:rPr>
        <w:t> Such a task was attempted by Prentice, though he based his observations mostly on American decisions. See Prentice, D.D. (1974).The Corporate Opportunity Doctrine.</w:t>
      </w:r>
      <w:r>
        <w:rPr>
          <w:rFonts w:ascii="Calibri"/>
          <w:i/>
          <w:sz w:val="20"/>
          <w:vertAlign w:val="baseline"/>
        </w:rPr>
        <w:t>Modern Law Review</w:t>
      </w:r>
      <w:r>
        <w:rPr>
          <w:rFonts w:ascii="Calibri"/>
          <w:sz w:val="20"/>
          <w:vertAlign w:val="baseline"/>
        </w:rPr>
        <w:t>. 37(4):</w:t>
      </w:r>
      <w:r>
        <w:rPr>
          <w:rFonts w:ascii="Calibri"/>
          <w:spacing w:val="40"/>
          <w:sz w:val="20"/>
          <w:vertAlign w:val="baseline"/>
        </w:rPr>
        <w:t> </w:t>
      </w:r>
      <w:r>
        <w:rPr>
          <w:rFonts w:ascii="Calibri"/>
          <w:sz w:val="20"/>
          <w:vertAlign w:val="baseline"/>
        </w:rPr>
        <w:t>464-468, at p. 464.</w:t>
      </w:r>
    </w:p>
    <w:p>
      <w:pPr>
        <w:spacing w:line="242" w:lineRule="auto" w:before="16"/>
        <w:ind w:left="308" w:right="225" w:firstLine="0"/>
        <w:jc w:val="both"/>
        <w:rPr>
          <w:rFonts w:ascii="Calibri" w:hAnsi="Calibri"/>
          <w:sz w:val="20"/>
        </w:rPr>
      </w:pPr>
      <w:r>
        <w:rPr>
          <w:rFonts w:ascii="Calibri" w:hAnsi="Calibri"/>
          <w:sz w:val="20"/>
          <w:vertAlign w:val="superscript"/>
        </w:rPr>
        <w:t>240</w:t>
      </w:r>
      <w:r>
        <w:rPr>
          <w:rFonts w:ascii="Calibri" w:hAnsi="Calibri"/>
          <w:sz w:val="20"/>
          <w:vertAlign w:val="baseline"/>
        </w:rPr>
        <w:t>In </w:t>
      </w:r>
      <w:r>
        <w:rPr>
          <w:rFonts w:ascii="Calibri" w:hAnsi="Calibri"/>
          <w:i/>
          <w:sz w:val="20"/>
          <w:vertAlign w:val="baseline"/>
        </w:rPr>
        <w:t>Lagarde vs. Anniston Lime and Stone Co. </w:t>
      </w:r>
      <w:r>
        <w:rPr>
          <w:rFonts w:ascii="Calibri" w:hAnsi="Calibri"/>
          <w:sz w:val="20"/>
          <w:vertAlign w:val="baseline"/>
        </w:rPr>
        <w:t>(1900) 28 So. 199, 201, the court referred to “property wherein the corporation has an interest already existing or in which it has an expectancy growing out of an existing right...” Sometimes, it is also required that the company must also need the “opportunity”</w:t>
      </w:r>
      <w:r>
        <w:rPr>
          <w:rFonts w:ascii="Calibri" w:hAnsi="Calibri"/>
          <w:spacing w:val="40"/>
          <w:sz w:val="20"/>
          <w:vertAlign w:val="baseline"/>
        </w:rPr>
        <w:t> </w:t>
      </w:r>
      <w:r>
        <w:rPr>
          <w:rFonts w:ascii="Calibri" w:hAnsi="Calibri"/>
          <w:sz w:val="20"/>
          <w:vertAlign w:val="baseline"/>
        </w:rPr>
        <w:t>for its continued existence and prosperity. See </w:t>
      </w:r>
      <w:r>
        <w:rPr>
          <w:rFonts w:ascii="Calibri" w:hAnsi="Calibri"/>
          <w:i/>
          <w:sz w:val="20"/>
          <w:vertAlign w:val="baseline"/>
        </w:rPr>
        <w:t>Solimine vs. Hollander </w:t>
      </w:r>
      <w:r>
        <w:rPr>
          <w:rFonts w:ascii="Calibri" w:hAnsi="Calibri"/>
          <w:sz w:val="20"/>
          <w:vertAlign w:val="baseline"/>
        </w:rPr>
        <w:t>(1940) 16 A. 2d. 203, 215.</w:t>
      </w:r>
    </w:p>
    <w:p>
      <w:pPr>
        <w:spacing w:line="240" w:lineRule="auto" w:before="0"/>
        <w:ind w:left="308" w:right="225" w:firstLine="0"/>
        <w:jc w:val="left"/>
        <w:rPr>
          <w:rFonts w:ascii="Calibri" w:hAnsi="Calibri"/>
          <w:sz w:val="20"/>
        </w:rPr>
      </w:pPr>
      <w:r>
        <w:rPr>
          <w:rFonts w:ascii="Calibri" w:hAnsi="Calibri"/>
          <w:sz w:val="20"/>
          <w:vertAlign w:val="superscript"/>
        </w:rPr>
        <w:t>241</w:t>
      </w:r>
      <w:r>
        <w:rPr>
          <w:rFonts w:ascii="Calibri" w:hAnsi="Calibri"/>
          <w:sz w:val="20"/>
          <w:vertAlign w:val="baseline"/>
        </w:rPr>
        <w:t>Particularly</w:t>
      </w:r>
      <w:r>
        <w:rPr>
          <w:rFonts w:ascii="Calibri" w:hAnsi="Calibri"/>
          <w:spacing w:val="39"/>
          <w:sz w:val="20"/>
          <w:vertAlign w:val="baseline"/>
        </w:rPr>
        <w:t> </w:t>
      </w:r>
      <w:r>
        <w:rPr>
          <w:rFonts w:ascii="Calibri" w:hAnsi="Calibri"/>
          <w:sz w:val="20"/>
          <w:vertAlign w:val="baseline"/>
        </w:rPr>
        <w:t>U.S.</w:t>
      </w:r>
      <w:r>
        <w:rPr>
          <w:rFonts w:ascii="Calibri" w:hAnsi="Calibri"/>
          <w:spacing w:val="36"/>
          <w:sz w:val="20"/>
          <w:vertAlign w:val="baseline"/>
        </w:rPr>
        <w:t> </w:t>
      </w:r>
      <w:r>
        <w:rPr>
          <w:rFonts w:ascii="Calibri" w:hAnsi="Calibri"/>
          <w:sz w:val="20"/>
          <w:vertAlign w:val="baseline"/>
        </w:rPr>
        <w:t>courts.</w:t>
      </w:r>
      <w:r>
        <w:rPr>
          <w:rFonts w:ascii="Calibri" w:hAnsi="Calibri"/>
          <w:spacing w:val="36"/>
          <w:sz w:val="20"/>
          <w:vertAlign w:val="baseline"/>
        </w:rPr>
        <w:t> </w:t>
      </w:r>
      <w:r>
        <w:rPr>
          <w:rFonts w:ascii="Calibri" w:hAnsi="Calibri"/>
          <w:sz w:val="20"/>
          <w:vertAlign w:val="baseline"/>
        </w:rPr>
        <w:t>See</w:t>
      </w:r>
      <w:r>
        <w:rPr>
          <w:rFonts w:ascii="Calibri" w:hAnsi="Calibri"/>
          <w:spacing w:val="38"/>
          <w:sz w:val="20"/>
          <w:vertAlign w:val="baseline"/>
        </w:rPr>
        <w:t> </w:t>
      </w:r>
      <w:r>
        <w:rPr>
          <w:rFonts w:ascii="Calibri" w:hAnsi="Calibri"/>
          <w:i/>
          <w:sz w:val="20"/>
          <w:vertAlign w:val="baseline"/>
        </w:rPr>
        <w:t>Rosenblum</w:t>
      </w:r>
      <w:r>
        <w:rPr>
          <w:rFonts w:ascii="Calibri" w:hAnsi="Calibri"/>
          <w:i/>
          <w:spacing w:val="34"/>
          <w:sz w:val="20"/>
          <w:vertAlign w:val="baseline"/>
        </w:rPr>
        <w:t> </w:t>
      </w:r>
      <w:r>
        <w:rPr>
          <w:rFonts w:ascii="Calibri" w:hAnsi="Calibri"/>
          <w:i/>
          <w:sz w:val="20"/>
          <w:vertAlign w:val="baseline"/>
        </w:rPr>
        <w:t>vs.</w:t>
      </w:r>
      <w:r>
        <w:rPr>
          <w:rFonts w:ascii="Calibri" w:hAnsi="Calibri"/>
          <w:i/>
          <w:spacing w:val="36"/>
          <w:sz w:val="20"/>
          <w:vertAlign w:val="baseline"/>
        </w:rPr>
        <w:t> </w:t>
      </w:r>
      <w:r>
        <w:rPr>
          <w:rFonts w:ascii="Calibri" w:hAnsi="Calibri"/>
          <w:i/>
          <w:sz w:val="20"/>
          <w:vertAlign w:val="baseline"/>
        </w:rPr>
        <w:t>Judson</w:t>
      </w:r>
      <w:r>
        <w:rPr>
          <w:rFonts w:ascii="Calibri" w:hAnsi="Calibri"/>
          <w:i/>
          <w:spacing w:val="40"/>
          <w:sz w:val="20"/>
          <w:vertAlign w:val="baseline"/>
        </w:rPr>
        <w:t> </w:t>
      </w:r>
      <w:r>
        <w:rPr>
          <w:rFonts w:ascii="Calibri" w:hAnsi="Calibri"/>
          <w:i/>
          <w:sz w:val="20"/>
          <w:vertAlign w:val="baseline"/>
        </w:rPr>
        <w:t>Engineering</w:t>
      </w:r>
      <w:r>
        <w:rPr>
          <w:rFonts w:ascii="Calibri" w:hAnsi="Calibri"/>
          <w:i/>
          <w:spacing w:val="37"/>
          <w:sz w:val="20"/>
          <w:vertAlign w:val="baseline"/>
        </w:rPr>
        <w:t> </w:t>
      </w:r>
      <w:r>
        <w:rPr>
          <w:rFonts w:ascii="Calibri" w:hAnsi="Calibri"/>
          <w:i/>
          <w:sz w:val="20"/>
          <w:vertAlign w:val="baseline"/>
        </w:rPr>
        <w:t>Corp</w:t>
      </w:r>
      <w:r>
        <w:rPr>
          <w:rFonts w:ascii="Calibri" w:hAnsi="Calibri"/>
          <w:sz w:val="20"/>
          <w:vertAlign w:val="baseline"/>
        </w:rPr>
        <w:t>.</w:t>
      </w:r>
      <w:r>
        <w:rPr>
          <w:rFonts w:ascii="Calibri" w:hAnsi="Calibri"/>
          <w:spacing w:val="36"/>
          <w:sz w:val="20"/>
          <w:vertAlign w:val="baseline"/>
        </w:rPr>
        <w:t> </w:t>
      </w:r>
      <w:r>
        <w:rPr>
          <w:rFonts w:ascii="Calibri" w:hAnsi="Calibri"/>
          <w:sz w:val="20"/>
          <w:vertAlign w:val="baseline"/>
        </w:rPr>
        <w:t>(1954)</w:t>
      </w:r>
      <w:r>
        <w:rPr>
          <w:rFonts w:ascii="Calibri" w:hAnsi="Calibri"/>
          <w:spacing w:val="40"/>
          <w:sz w:val="20"/>
          <w:vertAlign w:val="baseline"/>
        </w:rPr>
        <w:t> </w:t>
      </w:r>
      <w:r>
        <w:rPr>
          <w:rFonts w:ascii="Calibri" w:hAnsi="Calibri"/>
          <w:sz w:val="20"/>
          <w:vertAlign w:val="baseline"/>
        </w:rPr>
        <w:t>109</w:t>
      </w:r>
      <w:r>
        <w:rPr>
          <w:rFonts w:ascii="Calibri" w:hAnsi="Calibri"/>
          <w:spacing w:val="38"/>
          <w:sz w:val="20"/>
          <w:vertAlign w:val="baseline"/>
        </w:rPr>
        <w:t> </w:t>
      </w:r>
      <w:r>
        <w:rPr>
          <w:rFonts w:ascii="Calibri" w:hAnsi="Calibri"/>
          <w:sz w:val="20"/>
          <w:vertAlign w:val="baseline"/>
        </w:rPr>
        <w:t>A.</w:t>
      </w:r>
      <w:r>
        <w:rPr>
          <w:rFonts w:ascii="Calibri" w:hAnsi="Calibri"/>
          <w:spacing w:val="36"/>
          <w:sz w:val="20"/>
          <w:vertAlign w:val="baseline"/>
        </w:rPr>
        <w:t> </w:t>
      </w:r>
      <w:r>
        <w:rPr>
          <w:rFonts w:ascii="Calibri" w:hAnsi="Calibri"/>
          <w:sz w:val="20"/>
          <w:vertAlign w:val="baseline"/>
        </w:rPr>
        <w:t>2d.</w:t>
      </w:r>
      <w:r>
        <w:rPr>
          <w:rFonts w:ascii="Calibri" w:hAnsi="Calibri"/>
          <w:spacing w:val="40"/>
          <w:sz w:val="20"/>
          <w:vertAlign w:val="baseline"/>
        </w:rPr>
        <w:t> </w:t>
      </w:r>
      <w:r>
        <w:rPr>
          <w:rFonts w:ascii="Calibri" w:hAnsi="Calibri"/>
          <w:sz w:val="20"/>
          <w:vertAlign w:val="baseline"/>
        </w:rPr>
        <w:t>558,</w:t>
      </w:r>
      <w:r>
        <w:rPr>
          <w:rFonts w:ascii="Calibri" w:hAnsi="Calibri"/>
          <w:spacing w:val="37"/>
          <w:sz w:val="20"/>
          <w:vertAlign w:val="baseline"/>
        </w:rPr>
        <w:t> </w:t>
      </w:r>
      <w:r>
        <w:rPr>
          <w:rFonts w:ascii="Calibri" w:hAnsi="Calibri"/>
          <w:sz w:val="20"/>
          <w:vertAlign w:val="baseline"/>
        </w:rPr>
        <w:t>563, where</w:t>
      </w:r>
      <w:r>
        <w:rPr>
          <w:rFonts w:ascii="Calibri" w:hAnsi="Calibri"/>
          <w:spacing w:val="39"/>
          <w:sz w:val="20"/>
          <w:vertAlign w:val="baseline"/>
        </w:rPr>
        <w:t> </w:t>
      </w:r>
      <w:r>
        <w:rPr>
          <w:rFonts w:ascii="Calibri" w:hAnsi="Calibri"/>
          <w:sz w:val="20"/>
          <w:vertAlign w:val="baseline"/>
        </w:rPr>
        <w:t>the</w:t>
      </w:r>
      <w:r>
        <w:rPr>
          <w:rFonts w:ascii="Calibri" w:hAnsi="Calibri"/>
          <w:spacing w:val="38"/>
          <w:sz w:val="20"/>
          <w:vertAlign w:val="baseline"/>
        </w:rPr>
        <w:t> </w:t>
      </w:r>
      <w:r>
        <w:rPr>
          <w:rFonts w:ascii="Calibri" w:hAnsi="Calibri"/>
          <w:sz w:val="20"/>
          <w:vertAlign w:val="baseline"/>
        </w:rPr>
        <w:t>court</w:t>
      </w:r>
      <w:r>
        <w:rPr>
          <w:rFonts w:ascii="Calibri" w:hAnsi="Calibri"/>
          <w:spacing w:val="38"/>
          <w:sz w:val="20"/>
          <w:vertAlign w:val="baseline"/>
        </w:rPr>
        <w:t> </w:t>
      </w:r>
      <w:r>
        <w:rPr>
          <w:rFonts w:ascii="Calibri" w:hAnsi="Calibri"/>
          <w:sz w:val="20"/>
          <w:vertAlign w:val="baseline"/>
        </w:rPr>
        <w:t>observed</w:t>
      </w:r>
      <w:r>
        <w:rPr>
          <w:rFonts w:ascii="Calibri" w:hAnsi="Calibri"/>
          <w:spacing w:val="38"/>
          <w:sz w:val="20"/>
          <w:vertAlign w:val="baseline"/>
        </w:rPr>
        <w:t> </w:t>
      </w:r>
      <w:r>
        <w:rPr>
          <w:rFonts w:ascii="Calibri" w:hAnsi="Calibri"/>
          <w:sz w:val="20"/>
          <w:vertAlign w:val="baseline"/>
        </w:rPr>
        <w:t>that</w:t>
      </w:r>
      <w:r>
        <w:rPr>
          <w:rFonts w:ascii="Calibri" w:hAnsi="Calibri"/>
          <w:spacing w:val="38"/>
          <w:sz w:val="20"/>
          <w:vertAlign w:val="baseline"/>
        </w:rPr>
        <w:t> </w:t>
      </w:r>
      <w:r>
        <w:rPr>
          <w:rFonts w:ascii="Calibri" w:hAnsi="Calibri"/>
          <w:sz w:val="20"/>
          <w:vertAlign w:val="baseline"/>
        </w:rPr>
        <w:t>“the</w:t>
      </w:r>
      <w:r>
        <w:rPr>
          <w:rFonts w:ascii="Calibri" w:hAnsi="Calibri"/>
          <w:spacing w:val="39"/>
          <w:sz w:val="20"/>
          <w:vertAlign w:val="baseline"/>
        </w:rPr>
        <w:t> </w:t>
      </w:r>
      <w:r>
        <w:rPr>
          <w:rFonts w:ascii="Calibri" w:hAnsi="Calibri"/>
          <w:sz w:val="20"/>
          <w:vertAlign w:val="baseline"/>
        </w:rPr>
        <w:t>issue</w:t>
      </w:r>
      <w:r>
        <w:rPr>
          <w:rFonts w:ascii="Calibri" w:hAnsi="Calibri"/>
          <w:spacing w:val="38"/>
          <w:sz w:val="20"/>
          <w:vertAlign w:val="baseline"/>
        </w:rPr>
        <w:t> </w:t>
      </w:r>
      <w:r>
        <w:rPr>
          <w:rFonts w:ascii="Calibri" w:hAnsi="Calibri"/>
          <w:sz w:val="20"/>
          <w:vertAlign w:val="baseline"/>
        </w:rPr>
        <w:t>to</w:t>
      </w:r>
      <w:r>
        <w:rPr>
          <w:rFonts w:ascii="Calibri" w:hAnsi="Calibri"/>
          <w:spacing w:val="37"/>
          <w:sz w:val="20"/>
          <w:vertAlign w:val="baseline"/>
        </w:rPr>
        <w:t> </w:t>
      </w:r>
      <w:r>
        <w:rPr>
          <w:rFonts w:ascii="Calibri" w:hAnsi="Calibri"/>
          <w:sz w:val="20"/>
          <w:vertAlign w:val="baseline"/>
        </w:rPr>
        <w:t>be</w:t>
      </w:r>
      <w:r>
        <w:rPr>
          <w:rFonts w:ascii="Calibri" w:hAnsi="Calibri"/>
          <w:spacing w:val="40"/>
          <w:sz w:val="20"/>
          <w:vertAlign w:val="baseline"/>
        </w:rPr>
        <w:t> </w:t>
      </w:r>
      <w:r>
        <w:rPr>
          <w:rFonts w:ascii="Calibri" w:hAnsi="Calibri"/>
          <w:sz w:val="20"/>
          <w:vertAlign w:val="baseline"/>
        </w:rPr>
        <w:t>determined...is</w:t>
      </w:r>
      <w:r>
        <w:rPr>
          <w:rFonts w:ascii="Calibri" w:hAnsi="Calibri"/>
          <w:spacing w:val="36"/>
          <w:sz w:val="20"/>
          <w:vertAlign w:val="baseline"/>
        </w:rPr>
        <w:t> </w:t>
      </w:r>
      <w:r>
        <w:rPr>
          <w:rFonts w:ascii="Calibri" w:hAnsi="Calibri"/>
          <w:sz w:val="20"/>
          <w:vertAlign w:val="baseline"/>
        </w:rPr>
        <w:t>whether...(the</w:t>
      </w:r>
      <w:r>
        <w:rPr>
          <w:rFonts w:ascii="Calibri" w:hAnsi="Calibri"/>
          <w:spacing w:val="38"/>
          <w:sz w:val="20"/>
          <w:vertAlign w:val="baseline"/>
        </w:rPr>
        <w:t> </w:t>
      </w:r>
      <w:r>
        <w:rPr>
          <w:rFonts w:ascii="Calibri" w:hAnsi="Calibri"/>
          <w:sz w:val="20"/>
          <w:vertAlign w:val="baseline"/>
        </w:rPr>
        <w:t>opportunity)</w:t>
      </w:r>
      <w:r>
        <w:rPr>
          <w:rFonts w:ascii="Calibri" w:hAnsi="Calibri"/>
          <w:spacing w:val="39"/>
          <w:sz w:val="20"/>
          <w:vertAlign w:val="baseline"/>
        </w:rPr>
        <w:t> </w:t>
      </w:r>
      <w:r>
        <w:rPr>
          <w:rFonts w:ascii="Calibri" w:hAnsi="Calibri"/>
          <w:sz w:val="20"/>
          <w:vertAlign w:val="baseline"/>
        </w:rPr>
        <w:t>was</w:t>
      </w:r>
      <w:r>
        <w:rPr>
          <w:rFonts w:ascii="Calibri" w:hAnsi="Calibri"/>
          <w:spacing w:val="36"/>
          <w:sz w:val="20"/>
          <w:vertAlign w:val="baseline"/>
        </w:rPr>
        <w:t> </w:t>
      </w:r>
      <w:r>
        <w:rPr>
          <w:rFonts w:ascii="Calibri" w:hAnsi="Calibri"/>
          <w:sz w:val="20"/>
          <w:vertAlign w:val="baseline"/>
        </w:rPr>
        <w:t>so closely</w:t>
      </w:r>
      <w:r>
        <w:rPr>
          <w:rFonts w:ascii="Calibri" w:hAnsi="Calibri"/>
          <w:spacing w:val="25"/>
          <w:sz w:val="20"/>
          <w:vertAlign w:val="baseline"/>
        </w:rPr>
        <w:t> </w:t>
      </w:r>
      <w:r>
        <w:rPr>
          <w:rFonts w:ascii="Calibri" w:hAnsi="Calibri"/>
          <w:sz w:val="20"/>
          <w:vertAlign w:val="baseline"/>
        </w:rPr>
        <w:t>associated</w:t>
      </w:r>
      <w:r>
        <w:rPr>
          <w:rFonts w:ascii="Calibri" w:hAnsi="Calibri"/>
          <w:spacing w:val="25"/>
          <w:sz w:val="20"/>
          <w:vertAlign w:val="baseline"/>
        </w:rPr>
        <w:t> </w:t>
      </w:r>
      <w:r>
        <w:rPr>
          <w:rFonts w:ascii="Calibri" w:hAnsi="Calibri"/>
          <w:sz w:val="20"/>
          <w:vertAlign w:val="baseline"/>
        </w:rPr>
        <w:t>with</w:t>
      </w:r>
      <w:r>
        <w:rPr>
          <w:rFonts w:ascii="Calibri" w:hAnsi="Calibri"/>
          <w:spacing w:val="24"/>
          <w:sz w:val="20"/>
          <w:vertAlign w:val="baseline"/>
        </w:rPr>
        <w:t> </w:t>
      </w:r>
      <w:r>
        <w:rPr>
          <w:rFonts w:ascii="Calibri" w:hAnsi="Calibri"/>
          <w:sz w:val="20"/>
          <w:vertAlign w:val="baseline"/>
        </w:rPr>
        <w:t>the</w:t>
      </w:r>
      <w:r>
        <w:rPr>
          <w:rFonts w:ascii="Calibri" w:hAnsi="Calibri"/>
          <w:spacing w:val="25"/>
          <w:sz w:val="20"/>
          <w:vertAlign w:val="baseline"/>
        </w:rPr>
        <w:t> </w:t>
      </w:r>
      <w:r>
        <w:rPr>
          <w:rFonts w:ascii="Calibri" w:hAnsi="Calibri"/>
          <w:sz w:val="20"/>
          <w:vertAlign w:val="baseline"/>
        </w:rPr>
        <w:t>existing</w:t>
      </w:r>
      <w:r>
        <w:rPr>
          <w:rFonts w:ascii="Calibri" w:hAnsi="Calibri"/>
          <w:spacing w:val="26"/>
          <w:sz w:val="20"/>
          <w:vertAlign w:val="baseline"/>
        </w:rPr>
        <w:t> </w:t>
      </w:r>
      <w:r>
        <w:rPr>
          <w:rFonts w:ascii="Calibri" w:hAnsi="Calibri"/>
          <w:sz w:val="20"/>
          <w:vertAlign w:val="baseline"/>
        </w:rPr>
        <w:t>and</w:t>
      </w:r>
      <w:r>
        <w:rPr>
          <w:rFonts w:ascii="Calibri" w:hAnsi="Calibri"/>
          <w:spacing w:val="25"/>
          <w:sz w:val="20"/>
          <w:vertAlign w:val="baseline"/>
        </w:rPr>
        <w:t> </w:t>
      </w:r>
      <w:r>
        <w:rPr>
          <w:rFonts w:ascii="Calibri" w:hAnsi="Calibri"/>
          <w:sz w:val="20"/>
          <w:vertAlign w:val="baseline"/>
        </w:rPr>
        <w:t>prospective</w:t>
      </w:r>
      <w:r>
        <w:rPr>
          <w:rFonts w:ascii="Calibri" w:hAnsi="Calibri"/>
          <w:spacing w:val="25"/>
          <w:sz w:val="20"/>
          <w:vertAlign w:val="baseline"/>
        </w:rPr>
        <w:t> </w:t>
      </w:r>
      <w:r>
        <w:rPr>
          <w:rFonts w:ascii="Calibri" w:hAnsi="Calibri"/>
          <w:sz w:val="20"/>
          <w:vertAlign w:val="baseline"/>
        </w:rPr>
        <w:t>activities</w:t>
      </w:r>
      <w:r>
        <w:rPr>
          <w:rFonts w:ascii="Calibri" w:hAnsi="Calibri"/>
          <w:spacing w:val="23"/>
          <w:sz w:val="20"/>
          <w:vertAlign w:val="baseline"/>
        </w:rPr>
        <w:t> </w:t>
      </w:r>
      <w:r>
        <w:rPr>
          <w:rFonts w:ascii="Calibri" w:hAnsi="Calibri"/>
          <w:sz w:val="20"/>
          <w:vertAlign w:val="baseline"/>
        </w:rPr>
        <w:t>of</w:t>
      </w:r>
      <w:r>
        <w:rPr>
          <w:rFonts w:ascii="Calibri" w:hAnsi="Calibri"/>
          <w:spacing w:val="26"/>
          <w:sz w:val="20"/>
          <w:vertAlign w:val="baseline"/>
        </w:rPr>
        <w:t> </w:t>
      </w:r>
      <w:r>
        <w:rPr>
          <w:rFonts w:ascii="Calibri" w:hAnsi="Calibri"/>
          <w:sz w:val="20"/>
          <w:vertAlign w:val="baseline"/>
        </w:rPr>
        <w:t>the</w:t>
      </w:r>
      <w:r>
        <w:rPr>
          <w:rFonts w:ascii="Calibri" w:hAnsi="Calibri"/>
          <w:spacing w:val="25"/>
          <w:sz w:val="20"/>
          <w:vertAlign w:val="baseline"/>
        </w:rPr>
        <w:t> </w:t>
      </w:r>
      <w:r>
        <w:rPr>
          <w:rFonts w:ascii="Calibri" w:hAnsi="Calibri"/>
          <w:sz w:val="20"/>
          <w:vertAlign w:val="baseline"/>
        </w:rPr>
        <w:t>corporation</w:t>
      </w:r>
      <w:r>
        <w:rPr>
          <w:rFonts w:ascii="Calibri" w:hAnsi="Calibri"/>
          <w:spacing w:val="25"/>
          <w:sz w:val="20"/>
          <w:vertAlign w:val="baseline"/>
        </w:rPr>
        <w:t> </w:t>
      </w:r>
      <w:r>
        <w:rPr>
          <w:rFonts w:ascii="Calibri" w:hAnsi="Calibri"/>
          <w:sz w:val="20"/>
          <w:vertAlign w:val="baseline"/>
        </w:rPr>
        <w:t>that</w:t>
      </w:r>
      <w:r>
        <w:rPr>
          <w:rFonts w:ascii="Calibri" w:hAnsi="Calibri"/>
          <w:spacing w:val="24"/>
          <w:sz w:val="20"/>
          <w:vertAlign w:val="baseline"/>
        </w:rPr>
        <w:t> </w:t>
      </w:r>
      <w:r>
        <w:rPr>
          <w:rFonts w:ascii="Calibri" w:hAnsi="Calibri"/>
          <w:sz w:val="20"/>
          <w:vertAlign w:val="baseline"/>
        </w:rPr>
        <w:t>the</w:t>
      </w:r>
      <w:r>
        <w:rPr>
          <w:rFonts w:ascii="Calibri" w:hAnsi="Calibri"/>
          <w:spacing w:val="25"/>
          <w:sz w:val="20"/>
          <w:vertAlign w:val="baseline"/>
        </w:rPr>
        <w:t> </w:t>
      </w:r>
      <w:r>
        <w:rPr>
          <w:rFonts w:ascii="Calibri" w:hAnsi="Calibri"/>
          <w:sz w:val="20"/>
          <w:vertAlign w:val="baseline"/>
        </w:rPr>
        <w:t>defendants (the directors) should fairly have acquired that business for or made it available to the corporation.” </w:t>
      </w:r>
      <w:r>
        <w:rPr>
          <w:rFonts w:ascii="Calibri" w:hAnsi="Calibri"/>
          <w:sz w:val="20"/>
          <w:vertAlign w:val="superscript"/>
        </w:rPr>
        <w:t>242</w:t>
      </w:r>
      <w:r>
        <w:rPr>
          <w:rFonts w:ascii="Calibri" w:hAnsi="Calibri"/>
          <w:i/>
          <w:sz w:val="20"/>
          <w:vertAlign w:val="baseline"/>
        </w:rPr>
        <w:t>Aas vs. Benham </w:t>
      </w:r>
      <w:r>
        <w:rPr>
          <w:rFonts w:ascii="Calibri" w:hAnsi="Calibri"/>
          <w:sz w:val="20"/>
          <w:vertAlign w:val="baseline"/>
        </w:rPr>
        <w:t>(1891) 2 Ch. 244 at 255 and 260. Though based on partnership, the court likened the position</w:t>
      </w:r>
      <w:r>
        <w:rPr>
          <w:rFonts w:ascii="Calibri" w:hAnsi="Calibri"/>
          <w:spacing w:val="25"/>
          <w:sz w:val="20"/>
          <w:vertAlign w:val="baseline"/>
        </w:rPr>
        <w:t> </w:t>
      </w:r>
      <w:r>
        <w:rPr>
          <w:rFonts w:ascii="Calibri" w:hAnsi="Calibri"/>
          <w:sz w:val="20"/>
          <w:vertAlign w:val="baseline"/>
        </w:rPr>
        <w:t>of</w:t>
      </w:r>
      <w:r>
        <w:rPr>
          <w:rFonts w:ascii="Calibri" w:hAnsi="Calibri"/>
          <w:spacing w:val="26"/>
          <w:sz w:val="20"/>
          <w:vertAlign w:val="baseline"/>
        </w:rPr>
        <w:t> </w:t>
      </w:r>
      <w:r>
        <w:rPr>
          <w:rFonts w:ascii="Calibri" w:hAnsi="Calibri"/>
          <w:sz w:val="20"/>
          <w:vertAlign w:val="baseline"/>
        </w:rPr>
        <w:t>a</w:t>
      </w:r>
      <w:r>
        <w:rPr>
          <w:rFonts w:ascii="Calibri" w:hAnsi="Calibri"/>
          <w:spacing w:val="24"/>
          <w:sz w:val="20"/>
          <w:vertAlign w:val="baseline"/>
        </w:rPr>
        <w:t> </w:t>
      </w:r>
      <w:r>
        <w:rPr>
          <w:rFonts w:ascii="Calibri" w:hAnsi="Calibri"/>
          <w:sz w:val="20"/>
          <w:vertAlign w:val="baseline"/>
        </w:rPr>
        <w:t>partner</w:t>
      </w:r>
      <w:r>
        <w:rPr>
          <w:rFonts w:ascii="Calibri" w:hAnsi="Calibri"/>
          <w:spacing w:val="26"/>
          <w:sz w:val="20"/>
          <w:vertAlign w:val="baseline"/>
        </w:rPr>
        <w:t> </w:t>
      </w:r>
      <w:r>
        <w:rPr>
          <w:rFonts w:ascii="Calibri" w:hAnsi="Calibri"/>
          <w:sz w:val="20"/>
          <w:vertAlign w:val="baseline"/>
        </w:rPr>
        <w:t>in</w:t>
      </w:r>
      <w:r>
        <w:rPr>
          <w:rFonts w:ascii="Calibri" w:hAnsi="Calibri"/>
          <w:spacing w:val="25"/>
          <w:sz w:val="20"/>
          <w:vertAlign w:val="baseline"/>
        </w:rPr>
        <w:t> </w:t>
      </w:r>
      <w:r>
        <w:rPr>
          <w:rFonts w:ascii="Calibri" w:hAnsi="Calibri"/>
          <w:sz w:val="20"/>
          <w:vertAlign w:val="baseline"/>
        </w:rPr>
        <w:t>the</w:t>
      </w:r>
      <w:r>
        <w:rPr>
          <w:rFonts w:ascii="Calibri" w:hAnsi="Calibri"/>
          <w:spacing w:val="25"/>
          <w:sz w:val="20"/>
          <w:vertAlign w:val="baseline"/>
        </w:rPr>
        <w:t> </w:t>
      </w:r>
      <w:r>
        <w:rPr>
          <w:rFonts w:ascii="Calibri" w:hAnsi="Calibri"/>
          <w:sz w:val="20"/>
          <w:vertAlign w:val="baseline"/>
        </w:rPr>
        <w:t>firm</w:t>
      </w:r>
      <w:r>
        <w:rPr>
          <w:rFonts w:ascii="Calibri" w:hAnsi="Calibri"/>
          <w:spacing w:val="27"/>
          <w:sz w:val="20"/>
          <w:vertAlign w:val="baseline"/>
        </w:rPr>
        <w:t> </w:t>
      </w:r>
      <w:r>
        <w:rPr>
          <w:rFonts w:ascii="Calibri" w:hAnsi="Calibri"/>
          <w:sz w:val="20"/>
          <w:vertAlign w:val="baseline"/>
        </w:rPr>
        <w:t>with</w:t>
      </w:r>
      <w:r>
        <w:rPr>
          <w:rFonts w:ascii="Calibri" w:hAnsi="Calibri"/>
          <w:spacing w:val="24"/>
          <w:sz w:val="20"/>
          <w:vertAlign w:val="baseline"/>
        </w:rPr>
        <w:t> </w:t>
      </w:r>
      <w:r>
        <w:rPr>
          <w:rFonts w:ascii="Calibri" w:hAnsi="Calibri"/>
          <w:sz w:val="20"/>
          <w:vertAlign w:val="baseline"/>
        </w:rPr>
        <w:t>that</w:t>
      </w:r>
      <w:r>
        <w:rPr>
          <w:rFonts w:ascii="Calibri" w:hAnsi="Calibri"/>
          <w:spacing w:val="24"/>
          <w:sz w:val="20"/>
          <w:vertAlign w:val="baseline"/>
        </w:rPr>
        <w:t> </w:t>
      </w:r>
      <w:r>
        <w:rPr>
          <w:rFonts w:ascii="Calibri" w:hAnsi="Calibri"/>
          <w:sz w:val="20"/>
          <w:vertAlign w:val="baseline"/>
        </w:rPr>
        <w:t>of</w:t>
      </w:r>
      <w:r>
        <w:rPr>
          <w:rFonts w:ascii="Calibri" w:hAnsi="Calibri"/>
          <w:spacing w:val="26"/>
          <w:sz w:val="20"/>
          <w:vertAlign w:val="baseline"/>
        </w:rPr>
        <w:t> </w:t>
      </w:r>
      <w:r>
        <w:rPr>
          <w:rFonts w:ascii="Calibri" w:hAnsi="Calibri"/>
          <w:sz w:val="20"/>
          <w:vertAlign w:val="baseline"/>
        </w:rPr>
        <w:t>a</w:t>
      </w:r>
      <w:r>
        <w:rPr>
          <w:rFonts w:ascii="Calibri" w:hAnsi="Calibri"/>
          <w:spacing w:val="24"/>
          <w:sz w:val="20"/>
          <w:vertAlign w:val="baseline"/>
        </w:rPr>
        <w:t> </w:t>
      </w:r>
      <w:r>
        <w:rPr>
          <w:rFonts w:ascii="Calibri" w:hAnsi="Calibri"/>
          <w:sz w:val="20"/>
          <w:vertAlign w:val="baseline"/>
        </w:rPr>
        <w:t>director.</w:t>
      </w:r>
      <w:r>
        <w:rPr>
          <w:rFonts w:ascii="Calibri" w:hAnsi="Calibri"/>
          <w:spacing w:val="27"/>
          <w:sz w:val="20"/>
          <w:vertAlign w:val="baseline"/>
        </w:rPr>
        <w:t> </w:t>
      </w:r>
      <w:r>
        <w:rPr>
          <w:rFonts w:ascii="Calibri" w:hAnsi="Calibri"/>
          <w:sz w:val="20"/>
          <w:vertAlign w:val="baseline"/>
        </w:rPr>
        <w:t>See</w:t>
      </w:r>
      <w:r>
        <w:rPr>
          <w:rFonts w:ascii="Calibri" w:hAnsi="Calibri"/>
          <w:spacing w:val="26"/>
          <w:sz w:val="20"/>
          <w:vertAlign w:val="baseline"/>
        </w:rPr>
        <w:t> </w:t>
      </w:r>
      <w:r>
        <w:rPr>
          <w:rFonts w:ascii="Calibri" w:hAnsi="Calibri"/>
          <w:sz w:val="20"/>
          <w:vertAlign w:val="baseline"/>
        </w:rPr>
        <w:t>also</w:t>
      </w:r>
      <w:r>
        <w:rPr>
          <w:rFonts w:ascii="Calibri" w:hAnsi="Calibri"/>
          <w:spacing w:val="32"/>
          <w:sz w:val="20"/>
          <w:vertAlign w:val="baseline"/>
        </w:rPr>
        <w:t> </w:t>
      </w:r>
      <w:r>
        <w:rPr>
          <w:rFonts w:ascii="Calibri" w:hAnsi="Calibri"/>
          <w:i/>
          <w:sz w:val="20"/>
          <w:vertAlign w:val="baseline"/>
        </w:rPr>
        <w:t>Durfee</w:t>
      </w:r>
      <w:r>
        <w:rPr>
          <w:rFonts w:ascii="Calibri" w:hAnsi="Calibri"/>
          <w:i/>
          <w:spacing w:val="24"/>
          <w:sz w:val="20"/>
          <w:vertAlign w:val="baseline"/>
        </w:rPr>
        <w:t> </w:t>
      </w:r>
      <w:r>
        <w:rPr>
          <w:rFonts w:ascii="Calibri" w:hAnsi="Calibri"/>
          <w:i/>
          <w:sz w:val="20"/>
          <w:vertAlign w:val="baseline"/>
        </w:rPr>
        <w:t>vs.</w:t>
      </w:r>
      <w:r>
        <w:rPr>
          <w:rFonts w:ascii="Calibri" w:hAnsi="Calibri"/>
          <w:i/>
          <w:spacing w:val="27"/>
          <w:sz w:val="20"/>
          <w:vertAlign w:val="baseline"/>
        </w:rPr>
        <w:t> </w:t>
      </w:r>
      <w:r>
        <w:rPr>
          <w:rFonts w:ascii="Calibri" w:hAnsi="Calibri"/>
          <w:i/>
          <w:sz w:val="20"/>
          <w:vertAlign w:val="baseline"/>
        </w:rPr>
        <w:t>Durfee</w:t>
      </w:r>
      <w:r>
        <w:rPr>
          <w:rFonts w:ascii="Calibri" w:hAnsi="Calibri"/>
          <w:i/>
          <w:spacing w:val="24"/>
          <w:sz w:val="20"/>
          <w:vertAlign w:val="baseline"/>
        </w:rPr>
        <w:t> </w:t>
      </w:r>
      <w:r>
        <w:rPr>
          <w:rFonts w:ascii="Calibri" w:hAnsi="Calibri"/>
          <w:i/>
          <w:sz w:val="20"/>
          <w:vertAlign w:val="baseline"/>
        </w:rPr>
        <w:t>and</w:t>
      </w:r>
      <w:r>
        <w:rPr>
          <w:rFonts w:ascii="Calibri" w:hAnsi="Calibri"/>
          <w:i/>
          <w:spacing w:val="22"/>
          <w:sz w:val="20"/>
          <w:vertAlign w:val="baseline"/>
        </w:rPr>
        <w:t> </w:t>
      </w:r>
      <w:r>
        <w:rPr>
          <w:rFonts w:ascii="Calibri" w:hAnsi="Calibri"/>
          <w:i/>
          <w:sz w:val="20"/>
          <w:vertAlign w:val="baseline"/>
        </w:rPr>
        <w:t>Canning</w:t>
      </w:r>
      <w:r>
        <w:rPr>
          <w:rFonts w:ascii="Calibri" w:hAnsi="Calibri"/>
          <w:i/>
          <w:spacing w:val="22"/>
          <w:sz w:val="20"/>
          <w:vertAlign w:val="baseline"/>
        </w:rPr>
        <w:t> </w:t>
      </w:r>
      <w:r>
        <w:rPr>
          <w:rFonts w:ascii="Calibri" w:hAnsi="Calibri"/>
          <w:i/>
          <w:sz w:val="20"/>
          <w:vertAlign w:val="baseline"/>
        </w:rPr>
        <w:t>Inc</w:t>
      </w:r>
      <w:r>
        <w:rPr>
          <w:rFonts w:ascii="Calibri" w:hAnsi="Calibri"/>
          <w:sz w:val="20"/>
          <w:vertAlign w:val="baseline"/>
        </w:rPr>
        <w:t>. (1948) 80 N.E. 2d. 522, 529; </w:t>
      </w:r>
      <w:r>
        <w:rPr>
          <w:rFonts w:ascii="Calibri" w:hAnsi="Calibri"/>
          <w:i/>
          <w:sz w:val="20"/>
          <w:vertAlign w:val="baseline"/>
        </w:rPr>
        <w:t>Island</w:t>
      </w:r>
      <w:r>
        <w:rPr>
          <w:rFonts w:ascii="Calibri" w:hAnsi="Calibri"/>
          <w:i/>
          <w:spacing w:val="-1"/>
          <w:sz w:val="20"/>
          <w:vertAlign w:val="baseline"/>
        </w:rPr>
        <w:t> </w:t>
      </w:r>
      <w:r>
        <w:rPr>
          <w:rFonts w:ascii="Calibri" w:hAnsi="Calibri"/>
          <w:i/>
          <w:sz w:val="20"/>
          <w:vertAlign w:val="baseline"/>
        </w:rPr>
        <w:t>Export Finance Ltd. vs. Umunna </w:t>
      </w:r>
      <w:r>
        <w:rPr>
          <w:rFonts w:ascii="Calibri" w:hAnsi="Calibri"/>
          <w:sz w:val="20"/>
          <w:vertAlign w:val="baseline"/>
        </w:rPr>
        <w:t>(1986) BCC 460 and the Privy Council decision in </w:t>
      </w:r>
      <w:r>
        <w:rPr>
          <w:rFonts w:ascii="Calibri" w:hAnsi="Calibri"/>
          <w:i/>
          <w:sz w:val="20"/>
          <w:vertAlign w:val="baseline"/>
        </w:rPr>
        <w:t>Queensland Mines Ltd. vs. Hudson </w:t>
      </w:r>
      <w:r>
        <w:rPr>
          <w:rFonts w:ascii="Calibri" w:hAnsi="Calibri"/>
          <w:sz w:val="20"/>
          <w:vertAlign w:val="baseline"/>
        </w:rPr>
        <w:t>(1978) 52 A.L.J.R. 379.</w:t>
      </w:r>
    </w:p>
    <w:p>
      <w:pPr>
        <w:spacing w:before="0"/>
        <w:ind w:left="308" w:right="225" w:firstLine="0"/>
        <w:jc w:val="both"/>
        <w:rPr>
          <w:rFonts w:ascii="Calibri" w:hAnsi="Calibri"/>
          <w:sz w:val="20"/>
        </w:rPr>
      </w:pPr>
      <w:r>
        <w:rPr>
          <w:rFonts w:ascii="Calibri" w:hAnsi="Calibri"/>
          <w:sz w:val="20"/>
          <w:vertAlign w:val="superscript"/>
        </w:rPr>
        <w:t>243</w:t>
      </w:r>
      <w:r>
        <w:rPr>
          <w:rFonts w:ascii="Calibri" w:hAnsi="Calibri"/>
          <w:sz w:val="20"/>
          <w:vertAlign w:val="baseline"/>
        </w:rPr>
        <w:t> For example,</w:t>
      </w:r>
      <w:r>
        <w:rPr>
          <w:rFonts w:ascii="Calibri" w:hAnsi="Calibri"/>
          <w:spacing w:val="-1"/>
          <w:sz w:val="20"/>
          <w:vertAlign w:val="baseline"/>
        </w:rPr>
        <w:t> </w:t>
      </w:r>
      <w:r>
        <w:rPr>
          <w:rFonts w:ascii="Calibri" w:hAnsi="Calibri"/>
          <w:sz w:val="20"/>
          <w:vertAlign w:val="baseline"/>
        </w:rPr>
        <w:t>in </w:t>
      </w:r>
      <w:r>
        <w:rPr>
          <w:rFonts w:ascii="Calibri" w:hAnsi="Calibri"/>
          <w:i/>
          <w:sz w:val="20"/>
          <w:vertAlign w:val="baseline"/>
        </w:rPr>
        <w:t>Todd vs. Robinson </w:t>
      </w:r>
      <w:r>
        <w:rPr>
          <w:rFonts w:ascii="Calibri" w:hAnsi="Calibri"/>
          <w:sz w:val="20"/>
          <w:vertAlign w:val="baseline"/>
        </w:rPr>
        <w:t>(1884-1885) 14 QBD 739 and </w:t>
      </w:r>
      <w:r>
        <w:rPr>
          <w:rFonts w:ascii="Calibri" w:hAnsi="Calibri"/>
          <w:i/>
          <w:sz w:val="20"/>
          <w:vertAlign w:val="baseline"/>
        </w:rPr>
        <w:t>Transvaal Lands</w:t>
      </w:r>
      <w:r>
        <w:rPr>
          <w:rFonts w:ascii="Calibri" w:hAnsi="Calibri"/>
          <w:i/>
          <w:spacing w:val="-1"/>
          <w:sz w:val="20"/>
          <w:vertAlign w:val="baseline"/>
        </w:rPr>
        <w:t> </w:t>
      </w:r>
      <w:r>
        <w:rPr>
          <w:rFonts w:ascii="Calibri" w:hAnsi="Calibri"/>
          <w:i/>
          <w:sz w:val="20"/>
          <w:vertAlign w:val="baseline"/>
        </w:rPr>
        <w:t>Co. vs. New Belgium (Transvaal)</w:t>
      </w:r>
      <w:r>
        <w:rPr>
          <w:rFonts w:ascii="Calibri" w:hAnsi="Calibri"/>
          <w:i/>
          <w:spacing w:val="-2"/>
          <w:sz w:val="20"/>
          <w:vertAlign w:val="baseline"/>
        </w:rPr>
        <w:t> </w:t>
      </w:r>
      <w:r>
        <w:rPr>
          <w:rFonts w:ascii="Calibri" w:hAnsi="Calibri"/>
          <w:i/>
          <w:sz w:val="20"/>
          <w:vertAlign w:val="baseline"/>
        </w:rPr>
        <w:t>Land</w:t>
      </w:r>
      <w:r>
        <w:rPr>
          <w:rFonts w:ascii="Calibri" w:hAnsi="Calibri"/>
          <w:i/>
          <w:spacing w:val="-2"/>
          <w:sz w:val="20"/>
          <w:vertAlign w:val="baseline"/>
        </w:rPr>
        <w:t> </w:t>
      </w:r>
      <w:r>
        <w:rPr>
          <w:rFonts w:ascii="Calibri" w:hAnsi="Calibri"/>
          <w:i/>
          <w:sz w:val="20"/>
          <w:vertAlign w:val="baseline"/>
        </w:rPr>
        <w:t>and</w:t>
      </w:r>
      <w:r>
        <w:rPr>
          <w:rFonts w:ascii="Calibri" w:hAnsi="Calibri"/>
          <w:i/>
          <w:spacing w:val="-2"/>
          <w:sz w:val="20"/>
          <w:vertAlign w:val="baseline"/>
        </w:rPr>
        <w:t> </w:t>
      </w:r>
      <w:r>
        <w:rPr>
          <w:rFonts w:ascii="Calibri" w:hAnsi="Calibri"/>
          <w:i/>
          <w:sz w:val="20"/>
          <w:vertAlign w:val="baseline"/>
        </w:rPr>
        <w:t>Dev. Co. </w:t>
      </w:r>
      <w:r>
        <w:rPr>
          <w:rFonts w:ascii="Calibri" w:hAnsi="Calibri"/>
          <w:sz w:val="20"/>
          <w:vertAlign w:val="baseline"/>
        </w:rPr>
        <w:t>(1914) 2 Ch. 488 ,</w:t>
      </w:r>
      <w:r>
        <w:rPr>
          <w:rFonts w:ascii="Calibri" w:hAnsi="Calibri"/>
          <w:spacing w:val="-1"/>
          <w:sz w:val="20"/>
          <w:vertAlign w:val="baseline"/>
        </w:rPr>
        <w:t> </w:t>
      </w:r>
      <w:r>
        <w:rPr>
          <w:rFonts w:ascii="Calibri" w:hAnsi="Calibri"/>
          <w:sz w:val="20"/>
          <w:vertAlign w:val="baseline"/>
        </w:rPr>
        <w:t>the court suggested that the director’s</w:t>
      </w:r>
      <w:r>
        <w:rPr>
          <w:rFonts w:ascii="Calibri" w:hAnsi="Calibri"/>
          <w:spacing w:val="-1"/>
          <w:sz w:val="20"/>
          <w:vertAlign w:val="baseline"/>
        </w:rPr>
        <w:t> </w:t>
      </w:r>
      <w:r>
        <w:rPr>
          <w:rFonts w:ascii="Calibri" w:hAnsi="Calibri"/>
          <w:sz w:val="20"/>
          <w:vertAlign w:val="baseline"/>
        </w:rPr>
        <w:t>holding</w:t>
      </w:r>
      <w:r>
        <w:rPr>
          <w:rFonts w:ascii="Calibri" w:hAnsi="Calibri"/>
          <w:spacing w:val="-3"/>
          <w:sz w:val="20"/>
          <w:vertAlign w:val="baseline"/>
        </w:rPr>
        <w:t> </w:t>
      </w:r>
      <w:r>
        <w:rPr>
          <w:rFonts w:ascii="Calibri" w:hAnsi="Calibri"/>
          <w:sz w:val="20"/>
          <w:vertAlign w:val="baseline"/>
        </w:rPr>
        <w:t>of a very small interest as shareholder of a company that is contracting with the director’s company, is enough.</w:t>
      </w:r>
    </w:p>
    <w:p>
      <w:pPr>
        <w:spacing w:after="0"/>
        <w:jc w:val="both"/>
        <w:rPr>
          <w:rFonts w:ascii="Calibri" w:hAnsi="Calibri"/>
          <w:sz w:val="20"/>
        </w:rPr>
        <w:sectPr>
          <w:pgSz w:w="11910" w:h="16840"/>
          <w:pgMar w:header="0" w:footer="1003" w:top="1320" w:bottom="1200" w:left="1680" w:right="1180"/>
        </w:sectPr>
      </w:pPr>
    </w:p>
    <w:p>
      <w:pPr>
        <w:pStyle w:val="BodyText"/>
        <w:spacing w:line="480" w:lineRule="auto" w:before="110"/>
        <w:ind w:right="179" w:firstLine="720"/>
        <w:jc w:val="both"/>
      </w:pPr>
      <w:r>
        <w:rPr/>
        <w:t>The case of </w:t>
      </w:r>
      <w:r>
        <w:rPr>
          <w:b/>
        </w:rPr>
        <w:t>Regal (Hastings) Ltd. vs. Gulliver</w:t>
      </w:r>
      <w:r>
        <w:rPr>
          <w:vertAlign w:val="superscript"/>
        </w:rPr>
        <w:t>244</w:t>
      </w:r>
      <w:r>
        <w:rPr>
          <w:vertAlign w:val="baseline"/>
        </w:rPr>
        <w:t> was certainly squared on corporate opportunity. Though previously discussed,</w:t>
      </w:r>
      <w:r>
        <w:rPr>
          <w:vertAlign w:val="superscript"/>
        </w:rPr>
        <w:t>245</w:t>
      </w:r>
      <w:r>
        <w:rPr>
          <w:vertAlign w:val="baseline"/>
        </w:rPr>
        <w:t> the rather interesting facts merit restatement here. The plaintiff company, which owned one cinema, was desirous of acquiring the leases to some other two through a subsidiary company it formed for that purpose. The intention was to eventually sell all three cinemas as a going concern. However, the lessor of the two new cinemas required the subsidiary to have a paid-up capital of £5000 (in lieu of a guarantee of the rent under the proposed lease), but the plaintiff could only afford 2000 of the 5000 £1 shares. To help find the extra capital,</w:t>
      </w:r>
      <w:r>
        <w:rPr>
          <w:spacing w:val="40"/>
          <w:vertAlign w:val="baseline"/>
        </w:rPr>
        <w:t> </w:t>
      </w:r>
      <w:r>
        <w:rPr>
          <w:vertAlign w:val="baseline"/>
        </w:rPr>
        <w:t>four of</w:t>
      </w:r>
      <w:r>
        <w:rPr>
          <w:spacing w:val="-2"/>
          <w:vertAlign w:val="baseline"/>
        </w:rPr>
        <w:t> </w:t>
      </w:r>
      <w:r>
        <w:rPr>
          <w:vertAlign w:val="baseline"/>
        </w:rPr>
        <w:t>the five directors</w:t>
      </w:r>
      <w:r>
        <w:rPr>
          <w:spacing w:val="-1"/>
          <w:vertAlign w:val="baseline"/>
        </w:rPr>
        <w:t> </w:t>
      </w:r>
      <w:r>
        <w:rPr>
          <w:vertAlign w:val="baseline"/>
        </w:rPr>
        <w:t>each bought 500 shares. The chairman of</w:t>
      </w:r>
      <w:r>
        <w:rPr>
          <w:spacing w:val="-2"/>
          <w:vertAlign w:val="baseline"/>
        </w:rPr>
        <w:t> </w:t>
      </w:r>
      <w:r>
        <w:rPr>
          <w:vertAlign w:val="baseline"/>
        </w:rPr>
        <w:t>the board also caused his associates to buy another 500 shares, while the company‘s solicitor took up the remainder. Three weeks later, the sale of</w:t>
      </w:r>
      <w:r>
        <w:rPr>
          <w:spacing w:val="-3"/>
          <w:vertAlign w:val="baseline"/>
        </w:rPr>
        <w:t> </w:t>
      </w:r>
      <w:r>
        <w:rPr>
          <w:vertAlign w:val="baseline"/>
        </w:rPr>
        <w:t>the three cinemas was indirectly carried out by the sale of the shares in the subsidiary, rather than by sale of the undertaking itself, at a profit of almost £3 per share. The new board of directors to the plaintiffthereafter proceeded against the former directors and the solicitor, seeking the profits they had made on the sale of their shares in the subsidiary.</w:t>
      </w:r>
    </w:p>
    <w:p>
      <w:pPr>
        <w:pStyle w:val="BodyText"/>
        <w:spacing w:line="480" w:lineRule="auto" w:before="3"/>
        <w:ind w:right="186" w:firstLine="720"/>
        <w:jc w:val="both"/>
      </w:pPr>
      <w:r>
        <w:rPr/>
        <w:t>Having</w:t>
      </w:r>
      <w:r>
        <w:rPr>
          <w:spacing w:val="-2"/>
        </w:rPr>
        <w:t> </w:t>
      </w:r>
      <w:r>
        <w:rPr/>
        <w:t>come</w:t>
      </w:r>
      <w:r>
        <w:rPr>
          <w:spacing w:val="-3"/>
        </w:rPr>
        <w:t> </w:t>
      </w:r>
      <w:r>
        <w:rPr/>
        <w:t>to</w:t>
      </w:r>
      <w:r>
        <w:rPr>
          <w:spacing w:val="-2"/>
        </w:rPr>
        <w:t> </w:t>
      </w:r>
      <w:r>
        <w:rPr/>
        <w:t>the</w:t>
      </w:r>
      <w:r>
        <w:rPr>
          <w:spacing w:val="-3"/>
        </w:rPr>
        <w:t> </w:t>
      </w:r>
      <w:r>
        <w:rPr/>
        <w:t>conclusion</w:t>
      </w:r>
      <w:r>
        <w:rPr>
          <w:spacing w:val="-6"/>
        </w:rPr>
        <w:t> </w:t>
      </w:r>
      <w:r>
        <w:rPr/>
        <w:t>that ―what</w:t>
      </w:r>
      <w:r>
        <w:rPr>
          <w:spacing w:val="-1"/>
        </w:rPr>
        <w:t> </w:t>
      </w:r>
      <w:r>
        <w:rPr/>
        <w:t>the</w:t>
      </w:r>
      <w:r>
        <w:rPr>
          <w:spacing w:val="-3"/>
        </w:rPr>
        <w:t> </w:t>
      </w:r>
      <w:r>
        <w:rPr/>
        <w:t>directors</w:t>
      </w:r>
      <w:r>
        <w:rPr>
          <w:spacing w:val="-4"/>
        </w:rPr>
        <w:t> </w:t>
      </w:r>
      <w:r>
        <w:rPr/>
        <w:t>did</w:t>
      </w:r>
      <w:r>
        <w:rPr>
          <w:spacing w:val="-2"/>
        </w:rPr>
        <w:t> </w:t>
      </w:r>
      <w:r>
        <w:rPr/>
        <w:t>was so related</w:t>
      </w:r>
      <w:r>
        <w:rPr>
          <w:spacing w:val="-2"/>
        </w:rPr>
        <w:t> </w:t>
      </w:r>
      <w:r>
        <w:rPr/>
        <w:t>to</w:t>
      </w:r>
      <w:r>
        <w:rPr>
          <w:spacing w:val="-1"/>
        </w:rPr>
        <w:t> </w:t>
      </w:r>
      <w:r>
        <w:rPr/>
        <w:t>the affairs of the company that it can properly be said to have been done in the course of their management and in utilisation of their opportunities and special knowledge as directors,‖</w:t>
      </w:r>
      <w:r>
        <w:rPr>
          <w:vertAlign w:val="superscript"/>
        </w:rPr>
        <w:t>246</w:t>
      </w:r>
      <w:r>
        <w:rPr>
          <w:vertAlign w:val="baseline"/>
        </w:rPr>
        <w:t> the House of</w:t>
      </w:r>
      <w:r>
        <w:rPr>
          <w:spacing w:val="-5"/>
          <w:vertAlign w:val="baseline"/>
        </w:rPr>
        <w:t> </w:t>
      </w:r>
      <w:r>
        <w:rPr>
          <w:vertAlign w:val="baseline"/>
        </w:rPr>
        <w:t>Lords easily found the directors liable. Although it was found as a fact that the directors acted throughout in good faith, they were still made to pay over their profits to the company as only a proper ratification of the transactions by the general meeting could have availed them. Unfortunately, this, they</w:t>
      </w:r>
      <w:r>
        <w:rPr>
          <w:spacing w:val="-2"/>
          <w:vertAlign w:val="baseline"/>
        </w:rPr>
        <w:t> </w:t>
      </w:r>
      <w:r>
        <w:rPr>
          <w:vertAlign w:val="baseline"/>
        </w:rPr>
        <w:t>neglected to procure, even</w:t>
      </w:r>
      <w:r>
        <w:rPr>
          <w:spacing w:val="61"/>
          <w:vertAlign w:val="baseline"/>
        </w:rPr>
        <w:t> </w:t>
      </w:r>
      <w:r>
        <w:rPr>
          <w:vertAlign w:val="baseline"/>
        </w:rPr>
        <w:t>though</w:t>
      </w:r>
      <w:r>
        <w:rPr>
          <w:spacing w:val="63"/>
          <w:vertAlign w:val="baseline"/>
        </w:rPr>
        <w:t> </w:t>
      </w:r>
      <w:r>
        <w:rPr>
          <w:vertAlign w:val="baseline"/>
        </w:rPr>
        <w:t>this</w:t>
      </w:r>
      <w:r>
        <w:rPr>
          <w:spacing w:val="66"/>
          <w:vertAlign w:val="baseline"/>
        </w:rPr>
        <w:t> </w:t>
      </w:r>
      <w:r>
        <w:rPr>
          <w:vertAlign w:val="baseline"/>
        </w:rPr>
        <w:t>would</w:t>
      </w:r>
      <w:r>
        <w:rPr>
          <w:spacing w:val="73"/>
          <w:vertAlign w:val="baseline"/>
        </w:rPr>
        <w:t> </w:t>
      </w:r>
      <w:r>
        <w:rPr>
          <w:vertAlign w:val="baseline"/>
        </w:rPr>
        <w:t>have</w:t>
      </w:r>
      <w:r>
        <w:rPr>
          <w:spacing w:val="73"/>
          <w:vertAlign w:val="baseline"/>
        </w:rPr>
        <w:t> </w:t>
      </w:r>
      <w:r>
        <w:rPr>
          <w:vertAlign w:val="baseline"/>
        </w:rPr>
        <w:t>been</w:t>
      </w:r>
      <w:r>
        <w:rPr>
          <w:spacing w:val="63"/>
          <w:vertAlign w:val="baseline"/>
        </w:rPr>
        <w:t> </w:t>
      </w:r>
      <w:r>
        <w:rPr>
          <w:vertAlign w:val="baseline"/>
        </w:rPr>
        <w:t>easy</w:t>
      </w:r>
      <w:r>
        <w:rPr>
          <w:spacing w:val="63"/>
          <w:vertAlign w:val="baseline"/>
        </w:rPr>
        <w:t> </w:t>
      </w:r>
      <w:r>
        <w:rPr>
          <w:vertAlign w:val="baseline"/>
        </w:rPr>
        <w:t>since</w:t>
      </w:r>
      <w:r>
        <w:rPr>
          <w:spacing w:val="71"/>
          <w:vertAlign w:val="baseline"/>
        </w:rPr>
        <w:t> </w:t>
      </w:r>
      <w:r>
        <w:rPr>
          <w:vertAlign w:val="baseline"/>
        </w:rPr>
        <w:t>they</w:t>
      </w:r>
      <w:r>
        <w:rPr>
          <w:spacing w:val="59"/>
          <w:vertAlign w:val="baseline"/>
        </w:rPr>
        <w:t> </w:t>
      </w:r>
      <w:r>
        <w:rPr>
          <w:vertAlign w:val="baseline"/>
        </w:rPr>
        <w:t>controlled</w:t>
      </w:r>
      <w:r>
        <w:rPr>
          <w:spacing w:val="68"/>
          <w:vertAlign w:val="baseline"/>
        </w:rPr>
        <w:t> </w:t>
      </w:r>
      <w:r>
        <w:rPr>
          <w:vertAlign w:val="baseline"/>
        </w:rPr>
        <w:t>the</w:t>
      </w:r>
      <w:r>
        <w:rPr>
          <w:spacing w:val="52"/>
          <w:w w:val="150"/>
          <w:vertAlign w:val="baseline"/>
        </w:rPr>
        <w:t> </w:t>
      </w:r>
      <w:r>
        <w:rPr>
          <w:vertAlign w:val="baseline"/>
        </w:rPr>
        <w:t>majority</w:t>
      </w:r>
      <w:r>
        <w:rPr>
          <w:spacing w:val="58"/>
          <w:vertAlign w:val="baseline"/>
        </w:rPr>
        <w:t> </w:t>
      </w:r>
      <w:r>
        <w:rPr>
          <w:vertAlign w:val="baseline"/>
        </w:rPr>
        <w:t>of</w:t>
      </w:r>
      <w:r>
        <w:rPr>
          <w:spacing w:val="63"/>
          <w:vertAlign w:val="baseline"/>
        </w:rPr>
        <w:t> </w:t>
      </w:r>
      <w:r>
        <w:rPr>
          <w:spacing w:val="-5"/>
          <w:vertAlign w:val="baseline"/>
        </w:rPr>
        <w:t>the</w:t>
      </w:r>
    </w:p>
    <w:p>
      <w:pPr>
        <w:pStyle w:val="BodyText"/>
        <w:spacing w:before="2"/>
        <w:jc w:val="both"/>
      </w:pPr>
      <w:r>
        <w:rPr/>
        <w:t>plaintiff‘s</w:t>
      </w:r>
      <w:r>
        <w:rPr>
          <w:spacing w:val="52"/>
        </w:rPr>
        <w:t> </w:t>
      </w:r>
      <w:r>
        <w:rPr/>
        <w:t>sharesthroughout</w:t>
      </w:r>
      <w:r>
        <w:rPr>
          <w:spacing w:val="57"/>
        </w:rPr>
        <w:t> </w:t>
      </w:r>
      <w:r>
        <w:rPr/>
        <w:t>the</w:t>
      </w:r>
      <w:r>
        <w:rPr>
          <w:spacing w:val="53"/>
        </w:rPr>
        <w:t> </w:t>
      </w:r>
      <w:r>
        <w:rPr/>
        <w:t>relevant</w:t>
      </w:r>
      <w:r>
        <w:rPr>
          <w:spacing w:val="59"/>
        </w:rPr>
        <w:t> </w:t>
      </w:r>
      <w:r>
        <w:rPr/>
        <w:t>period.</w:t>
      </w:r>
      <w:r>
        <w:rPr>
          <w:spacing w:val="53"/>
        </w:rPr>
        <w:t> </w:t>
      </w:r>
      <w:r>
        <w:rPr/>
        <w:t>The</w:t>
      </w:r>
      <w:r>
        <w:rPr>
          <w:spacing w:val="54"/>
        </w:rPr>
        <w:t> </w:t>
      </w:r>
      <w:r>
        <w:rPr/>
        <w:t>equitable</w:t>
      </w:r>
      <w:r>
        <w:rPr>
          <w:spacing w:val="53"/>
        </w:rPr>
        <w:t> </w:t>
      </w:r>
      <w:r>
        <w:rPr/>
        <w:t>principle</w:t>
      </w:r>
      <w:r>
        <w:rPr>
          <w:spacing w:val="53"/>
        </w:rPr>
        <w:t> </w:t>
      </w:r>
      <w:r>
        <w:rPr/>
        <w:t>was</w:t>
      </w:r>
      <w:r>
        <w:rPr>
          <w:spacing w:val="53"/>
        </w:rPr>
        <w:t> </w:t>
      </w:r>
      <w:r>
        <w:rPr>
          <w:spacing w:val="-2"/>
        </w:rPr>
        <w:t>strictly</w:t>
      </w:r>
    </w:p>
    <w:p>
      <w:pPr>
        <w:pStyle w:val="BodyText"/>
        <w:spacing w:before="3"/>
        <w:ind w:left="0"/>
        <w:rPr>
          <w:sz w:val="14"/>
        </w:rPr>
      </w:pPr>
      <w:r>
        <w:rPr/>
        <mc:AlternateContent>
          <mc:Choice Requires="wps">
            <w:drawing>
              <wp:anchor distT="0" distB="0" distL="0" distR="0" allowOverlap="1" layoutInCell="1" locked="0" behindDoc="1" simplePos="0" relativeHeight="487696896">
                <wp:simplePos x="0" y="0"/>
                <wp:positionH relativeFrom="page">
                  <wp:posOffset>1262481</wp:posOffset>
                </wp:positionH>
                <wp:positionV relativeFrom="paragraph">
                  <wp:posOffset>119444</wp:posOffset>
                </wp:positionV>
                <wp:extent cx="1829435" cy="9525"/>
                <wp:effectExtent l="0" t="0" r="0" b="0"/>
                <wp:wrapTopAndBottom/>
                <wp:docPr id="239" name="Graphic 239"/>
                <wp:cNvGraphicFramePr>
                  <a:graphicFrameLocks/>
                </wp:cNvGraphicFramePr>
                <a:graphic>
                  <a:graphicData uri="http://schemas.microsoft.com/office/word/2010/wordprocessingShape">
                    <wps:wsp>
                      <wps:cNvPr id="239" name="Graphic 23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5108pt;width:144.050pt;height:.71997pt;mso-position-horizontal-relative:page;mso-position-vertical-relative:paragraph;z-index:-15619584;mso-wrap-distance-left:0;mso-wrap-distance-right:0" id="docshape194"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244</w:t>
      </w:r>
      <w:r>
        <w:rPr>
          <w:rFonts w:ascii="Calibri"/>
          <w:sz w:val="20"/>
          <w:vertAlign w:val="baseline"/>
        </w:rPr>
        <w:t>(1967)</w:t>
      </w:r>
      <w:r>
        <w:rPr>
          <w:rFonts w:ascii="Calibri"/>
          <w:spacing w:val="-2"/>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A.C.</w:t>
      </w:r>
      <w:r>
        <w:rPr>
          <w:rFonts w:ascii="Calibri"/>
          <w:spacing w:val="-5"/>
          <w:sz w:val="20"/>
          <w:vertAlign w:val="baseline"/>
        </w:rPr>
        <w:t> </w:t>
      </w:r>
      <w:r>
        <w:rPr>
          <w:rFonts w:ascii="Calibri"/>
          <w:spacing w:val="-4"/>
          <w:sz w:val="20"/>
          <w:vertAlign w:val="baseline"/>
        </w:rPr>
        <w:t>134.</w:t>
      </w:r>
    </w:p>
    <w:p>
      <w:pPr>
        <w:spacing w:before="1"/>
        <w:ind w:left="308" w:right="0" w:firstLine="0"/>
        <w:jc w:val="left"/>
        <w:rPr>
          <w:rFonts w:ascii="Calibri"/>
          <w:sz w:val="20"/>
        </w:rPr>
      </w:pPr>
      <w:r>
        <w:rPr>
          <w:rFonts w:ascii="Calibri"/>
          <w:sz w:val="20"/>
          <w:vertAlign w:val="superscript"/>
        </w:rPr>
        <w:t>245</w:t>
      </w:r>
      <w:r>
        <w:rPr>
          <w:rFonts w:ascii="Calibri"/>
          <w:spacing w:val="1"/>
          <w:sz w:val="20"/>
          <w:vertAlign w:val="baseline"/>
        </w:rPr>
        <w:t> </w:t>
      </w:r>
      <w:r>
        <w:rPr>
          <w:rFonts w:ascii="Calibri"/>
          <w:sz w:val="20"/>
          <w:vertAlign w:val="baseline"/>
        </w:rPr>
        <w:t>See</w:t>
      </w:r>
      <w:r>
        <w:rPr>
          <w:rFonts w:ascii="Calibri"/>
          <w:spacing w:val="-3"/>
          <w:sz w:val="20"/>
          <w:vertAlign w:val="baseline"/>
        </w:rPr>
        <w:t> </w:t>
      </w:r>
      <w:r>
        <w:rPr>
          <w:rFonts w:ascii="Calibri"/>
          <w:b/>
          <w:sz w:val="20"/>
          <w:vertAlign w:val="baseline"/>
        </w:rPr>
        <w:t>3.7</w:t>
      </w:r>
      <w:r>
        <w:rPr>
          <w:rFonts w:ascii="Calibri"/>
          <w:b/>
          <w:spacing w:val="-1"/>
          <w:sz w:val="20"/>
          <w:vertAlign w:val="baseline"/>
        </w:rPr>
        <w:t> </w:t>
      </w:r>
      <w:r>
        <w:rPr>
          <w:rFonts w:ascii="Calibri"/>
          <w:spacing w:val="-2"/>
          <w:sz w:val="20"/>
          <w:vertAlign w:val="baseline"/>
        </w:rPr>
        <w:t>supra.</w:t>
      </w:r>
    </w:p>
    <w:p>
      <w:pPr>
        <w:spacing w:before="0"/>
        <w:ind w:left="308" w:right="0" w:firstLine="0"/>
        <w:jc w:val="left"/>
        <w:rPr>
          <w:rFonts w:ascii="Calibri"/>
          <w:sz w:val="20"/>
        </w:rPr>
      </w:pPr>
      <w:r>
        <w:rPr>
          <w:rFonts w:ascii="Calibri"/>
          <w:sz w:val="20"/>
          <w:vertAlign w:val="superscript"/>
        </w:rPr>
        <w:t>246</w:t>
      </w:r>
      <w:r>
        <w:rPr>
          <w:rFonts w:ascii="Calibri"/>
          <w:sz w:val="20"/>
          <w:vertAlign w:val="baseline"/>
        </w:rPr>
        <w:t>Per</w:t>
      </w:r>
      <w:r>
        <w:rPr>
          <w:rFonts w:ascii="Calibri"/>
          <w:spacing w:val="-3"/>
          <w:sz w:val="20"/>
          <w:vertAlign w:val="baseline"/>
        </w:rPr>
        <w:t> </w:t>
      </w:r>
      <w:r>
        <w:rPr>
          <w:rFonts w:ascii="Calibri"/>
          <w:sz w:val="20"/>
          <w:vertAlign w:val="baseline"/>
        </w:rPr>
        <w:t>Lord</w:t>
      </w:r>
      <w:r>
        <w:rPr>
          <w:rFonts w:ascii="Calibri"/>
          <w:spacing w:val="-5"/>
          <w:sz w:val="20"/>
          <w:vertAlign w:val="baseline"/>
        </w:rPr>
        <w:t> </w:t>
      </w:r>
      <w:r>
        <w:rPr>
          <w:rFonts w:ascii="Calibri"/>
          <w:sz w:val="20"/>
          <w:vertAlign w:val="baseline"/>
        </w:rPr>
        <w:t>Macmillan</w:t>
      </w:r>
      <w:r>
        <w:rPr>
          <w:rFonts w:ascii="Calibri"/>
          <w:spacing w:val="-5"/>
          <w:sz w:val="20"/>
          <w:vertAlign w:val="baseline"/>
        </w:rPr>
        <w:t> </w:t>
      </w:r>
      <w:r>
        <w:rPr>
          <w:rFonts w:ascii="Calibri"/>
          <w:sz w:val="20"/>
          <w:vertAlign w:val="baseline"/>
        </w:rPr>
        <w:t>at</w:t>
      </w:r>
      <w:r>
        <w:rPr>
          <w:rFonts w:ascii="Calibri"/>
          <w:spacing w:val="-6"/>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153.</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192"/>
        <w:jc w:val="both"/>
      </w:pPr>
      <w:r>
        <w:rPr/>
        <w:t>applied, in spite of the fact that the company in fact could not have taken advantage of the opportunity due to lack of sufficient funds at the time.</w:t>
      </w:r>
      <w:r>
        <w:rPr>
          <w:vertAlign w:val="superscript"/>
        </w:rPr>
        <w:t>247</w:t>
      </w:r>
    </w:p>
    <w:p>
      <w:pPr>
        <w:pStyle w:val="BodyText"/>
        <w:spacing w:line="480" w:lineRule="auto"/>
        <w:ind w:right="182" w:firstLine="720"/>
        <w:jc w:val="both"/>
      </w:pPr>
      <w:r>
        <w:rPr/>
        <w:t>This decision has been criticized</w:t>
      </w:r>
      <w:r>
        <w:rPr>
          <w:vertAlign w:val="superscript"/>
        </w:rPr>
        <w:t>248</w:t>
      </w:r>
      <w:r>
        <w:rPr>
          <w:vertAlign w:val="baseline"/>
        </w:rPr>
        <w:t> for having taken equitable principles to inequitable conclusions,</w:t>
      </w:r>
      <w:r>
        <w:rPr>
          <w:vertAlign w:val="superscript"/>
        </w:rPr>
        <w:t>249</w:t>
      </w:r>
      <w:r>
        <w:rPr>
          <w:vertAlign w:val="baseline"/>
        </w:rPr>
        <w:t> not only because the chairman and solicitor who ought to</w:t>
      </w:r>
      <w:r>
        <w:rPr>
          <w:spacing w:val="40"/>
          <w:vertAlign w:val="baseline"/>
        </w:rPr>
        <w:t> </w:t>
      </w:r>
      <w:r>
        <w:rPr>
          <w:vertAlign w:val="baseline"/>
        </w:rPr>
        <w:t>take the most blame were exonerated from accounting,</w:t>
      </w:r>
      <w:r>
        <w:rPr>
          <w:vertAlign w:val="superscript"/>
        </w:rPr>
        <w:t>250</w:t>
      </w:r>
      <w:r>
        <w:rPr>
          <w:vertAlign w:val="baseline"/>
        </w:rPr>
        <w:t> nor even because the persons bringing the action sought, as it were, to reap where they did not sow, but also becausethe ruling suggested that the mere possession of information which results from the holding of office as a director is sufficient to raise the duty to account.Besides, the directors had not really deprived the company of any of its property, since the shares in the subsidiary were bought with their own money and those shares had never in fact</w:t>
      </w:r>
      <w:r>
        <w:rPr>
          <w:spacing w:val="40"/>
          <w:vertAlign w:val="baseline"/>
        </w:rPr>
        <w:t> </w:t>
      </w:r>
      <w:r>
        <w:rPr>
          <w:vertAlign w:val="baseline"/>
        </w:rPr>
        <w:t>been the company‘s property.</w:t>
      </w:r>
      <w:r>
        <w:rPr>
          <w:vertAlign w:val="superscript"/>
        </w:rPr>
        <w:t>251</w:t>
      </w:r>
      <w:r>
        <w:rPr>
          <w:vertAlign w:val="baseline"/>
        </w:rPr>
        <w:t> Yet, Lord Russell justified the decision of the court</w:t>
      </w:r>
      <w:r>
        <w:rPr>
          <w:spacing w:val="40"/>
          <w:vertAlign w:val="baseline"/>
        </w:rPr>
        <w:t> </w:t>
      </w:r>
      <w:r>
        <w:rPr>
          <w:spacing w:val="-2"/>
          <w:vertAlign w:val="baseline"/>
        </w:rPr>
        <w:t>thus:</w:t>
      </w:r>
    </w:p>
    <w:p>
      <w:pPr>
        <w:spacing w:line="240" w:lineRule="auto" w:before="2"/>
        <w:ind w:left="2007" w:right="1883" w:firstLine="0"/>
        <w:jc w:val="both"/>
        <w:rPr>
          <w:sz w:val="24"/>
        </w:rPr>
      </w:pPr>
      <w:r>
        <w:rPr>
          <w:i/>
          <w:sz w:val="24"/>
        </w:rPr>
        <w:t>The rule of equity which insists on those who, by use of a fiduciary position, make a profit being liable to account for that profit, in no way depends on fraud, or absence of bona fides; or upon such questions or considerations as whether the profit would or should otherwise have gone to the plaintiff, or whether the profiteer was</w:t>
      </w:r>
      <w:r>
        <w:rPr>
          <w:i/>
          <w:spacing w:val="-2"/>
          <w:sz w:val="24"/>
        </w:rPr>
        <w:t> </w:t>
      </w:r>
      <w:r>
        <w:rPr>
          <w:i/>
          <w:sz w:val="24"/>
        </w:rPr>
        <w:t>under</w:t>
      </w:r>
      <w:r>
        <w:rPr>
          <w:i/>
          <w:spacing w:val="-2"/>
          <w:sz w:val="24"/>
        </w:rPr>
        <w:t> </w:t>
      </w:r>
      <w:r>
        <w:rPr>
          <w:i/>
          <w:sz w:val="24"/>
        </w:rPr>
        <w:t>a duty</w:t>
      </w:r>
      <w:r>
        <w:rPr>
          <w:i/>
          <w:spacing w:val="-1"/>
          <w:sz w:val="24"/>
        </w:rPr>
        <w:t> </w:t>
      </w:r>
      <w:r>
        <w:rPr>
          <w:i/>
          <w:sz w:val="24"/>
        </w:rPr>
        <w:t>to obtain the</w:t>
      </w:r>
      <w:r>
        <w:rPr>
          <w:i/>
          <w:spacing w:val="-1"/>
          <w:sz w:val="24"/>
        </w:rPr>
        <w:t> </w:t>
      </w:r>
      <w:r>
        <w:rPr>
          <w:i/>
          <w:sz w:val="24"/>
        </w:rPr>
        <w:t>source</w:t>
      </w:r>
      <w:r>
        <w:rPr>
          <w:i/>
          <w:spacing w:val="-1"/>
          <w:sz w:val="24"/>
        </w:rPr>
        <w:t> </w:t>
      </w:r>
      <w:r>
        <w:rPr>
          <w:i/>
          <w:sz w:val="24"/>
        </w:rPr>
        <w:t>of the profit for the plaintiff, or whether he took a risk or acted as he did for the benefit of the plaintiff, or whether the plaintiff has in fact been damaged or benefited by his action. The liability arises from the mere fact of a profit having, in the stated circumstances, been made. The profiteer, however honest and well-intentioned, cannot escape the risk</w:t>
      </w:r>
      <w:r>
        <w:rPr>
          <w:i/>
          <w:spacing w:val="40"/>
          <w:sz w:val="24"/>
        </w:rPr>
        <w:t> </w:t>
      </w:r>
      <w:r>
        <w:rPr>
          <w:i/>
          <w:sz w:val="24"/>
        </w:rPr>
        <w:t>of being called upon to account.</w:t>
      </w:r>
      <w:r>
        <w:rPr>
          <w:sz w:val="24"/>
          <w:vertAlign w:val="superscript"/>
        </w:rPr>
        <w:t>252</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5"/>
        <w:ind w:left="0"/>
        <w:rPr>
          <w:sz w:val="20"/>
        </w:rPr>
      </w:pPr>
      <w:r>
        <w:rPr/>
        <mc:AlternateContent>
          <mc:Choice Requires="wps">
            <w:drawing>
              <wp:anchor distT="0" distB="0" distL="0" distR="0" allowOverlap="1" layoutInCell="1" locked="0" behindDoc="1" simplePos="0" relativeHeight="487697408">
                <wp:simplePos x="0" y="0"/>
                <wp:positionH relativeFrom="page">
                  <wp:posOffset>1262481</wp:posOffset>
                </wp:positionH>
                <wp:positionV relativeFrom="paragraph">
                  <wp:posOffset>164587</wp:posOffset>
                </wp:positionV>
                <wp:extent cx="1829435" cy="9525"/>
                <wp:effectExtent l="0" t="0" r="0" b="0"/>
                <wp:wrapTopAndBottom/>
                <wp:docPr id="240" name="Graphic 240"/>
                <wp:cNvGraphicFramePr>
                  <a:graphicFrameLocks/>
                </wp:cNvGraphicFramePr>
                <a:graphic>
                  <a:graphicData uri="http://schemas.microsoft.com/office/word/2010/wordprocessingShape">
                    <wps:wsp>
                      <wps:cNvPr id="240" name="Graphic 24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95964pt;width:144.050pt;height:.71997pt;mso-position-horizontal-relative:page;mso-position-vertical-relative:paragraph;z-index:-15619072;mso-wrap-distance-left:0;mso-wrap-distance-right:0" id="docshape195" filled="true" fillcolor="#000000" stroked="false">
                <v:fill type="solid"/>
                <w10:wrap type="topAndBottom"/>
              </v:rect>
            </w:pict>
          </mc:Fallback>
        </mc:AlternateContent>
      </w:r>
    </w:p>
    <w:p>
      <w:pPr>
        <w:spacing w:line="235" w:lineRule="auto" w:before="106"/>
        <w:ind w:left="308" w:right="255" w:firstLine="0"/>
        <w:jc w:val="left"/>
        <w:rPr>
          <w:rFonts w:ascii="Calibri" w:hAnsi="Calibri"/>
          <w:sz w:val="20"/>
        </w:rPr>
      </w:pPr>
      <w:r>
        <w:rPr>
          <w:rFonts w:ascii="Calibri" w:hAnsi="Calibri"/>
          <w:sz w:val="20"/>
          <w:vertAlign w:val="superscript"/>
        </w:rPr>
        <w:t>247</w:t>
      </w:r>
      <w:r>
        <w:rPr>
          <w:rFonts w:ascii="Calibri" w:hAnsi="Calibri"/>
          <w:sz w:val="20"/>
          <w:vertAlign w:val="baseline"/>
        </w:rPr>
        <w:t> Perhaps in order to clarify the law here, s.175(2) states that “it is immaterial whether the company</w:t>
      </w:r>
      <w:r>
        <w:rPr>
          <w:rFonts w:ascii="Calibri" w:hAnsi="Calibri"/>
          <w:spacing w:val="40"/>
          <w:sz w:val="20"/>
          <w:vertAlign w:val="baseline"/>
        </w:rPr>
        <w:t> </w:t>
      </w:r>
      <w:r>
        <w:rPr>
          <w:rFonts w:ascii="Calibri" w:hAnsi="Calibri"/>
          <w:sz w:val="20"/>
          <w:vertAlign w:val="baseline"/>
        </w:rPr>
        <w:t>could take advantage of the property, information or opportunity.</w:t>
      </w:r>
    </w:p>
    <w:p>
      <w:pPr>
        <w:spacing w:before="2"/>
        <w:ind w:left="308" w:right="0" w:firstLine="0"/>
        <w:jc w:val="left"/>
        <w:rPr>
          <w:rFonts w:ascii="Calibri"/>
          <w:sz w:val="20"/>
        </w:rPr>
      </w:pPr>
      <w:r>
        <w:rPr>
          <w:rFonts w:ascii="Calibri"/>
          <w:sz w:val="20"/>
          <w:vertAlign w:val="superscript"/>
        </w:rPr>
        <w:t>248</w:t>
      </w:r>
      <w:r>
        <w:rPr>
          <w:rFonts w:ascii="Calibri"/>
          <w:sz w:val="20"/>
          <w:vertAlign w:val="baseline"/>
        </w:rPr>
        <w:t>See</w:t>
      </w:r>
      <w:r>
        <w:rPr>
          <w:rFonts w:ascii="Calibri"/>
          <w:spacing w:val="-4"/>
          <w:sz w:val="20"/>
          <w:vertAlign w:val="baseline"/>
        </w:rPr>
        <w:t> </w:t>
      </w:r>
      <w:r>
        <w:rPr>
          <w:rFonts w:ascii="Calibri"/>
          <w:sz w:val="20"/>
          <w:vertAlign w:val="baseline"/>
        </w:rPr>
        <w:t>Davies,</w:t>
      </w:r>
      <w:r>
        <w:rPr>
          <w:rFonts w:ascii="Calibri"/>
          <w:spacing w:val="-10"/>
          <w:sz w:val="20"/>
          <w:vertAlign w:val="baseline"/>
        </w:rPr>
        <w:t> </w:t>
      </w:r>
      <w:r>
        <w:rPr>
          <w:rFonts w:ascii="Calibri"/>
          <w:sz w:val="20"/>
          <w:vertAlign w:val="baseline"/>
        </w:rPr>
        <w:t>P.</w:t>
      </w:r>
      <w:r>
        <w:rPr>
          <w:rFonts w:ascii="Calibri"/>
          <w:spacing w:val="-6"/>
          <w:sz w:val="20"/>
          <w:vertAlign w:val="baseline"/>
        </w:rPr>
        <w:t> </w:t>
      </w:r>
      <w:r>
        <w:rPr>
          <w:rFonts w:ascii="Calibri"/>
          <w:sz w:val="20"/>
          <w:vertAlign w:val="baseline"/>
        </w:rPr>
        <w:t>and</w:t>
      </w:r>
      <w:r>
        <w:rPr>
          <w:rFonts w:ascii="Calibri"/>
          <w:spacing w:val="-9"/>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7"/>
          <w:sz w:val="20"/>
          <w:vertAlign w:val="baseline"/>
        </w:rPr>
        <w:t> </w:t>
      </w:r>
      <w:r>
        <w:rPr>
          <w:rFonts w:ascii="Calibri"/>
          <w:sz w:val="20"/>
          <w:vertAlign w:val="baseline"/>
        </w:rPr>
        <w:t>(2012).Op.cit.</w:t>
      </w:r>
      <w:r>
        <w:rPr>
          <w:rFonts w:ascii="Calibri"/>
          <w:spacing w:val="-2"/>
          <w:sz w:val="20"/>
          <w:vertAlign w:val="baseline"/>
        </w:rPr>
        <w:t> </w:t>
      </w:r>
      <w:r>
        <w:rPr>
          <w:rFonts w:ascii="Calibri"/>
          <w:sz w:val="20"/>
          <w:vertAlign w:val="baseline"/>
        </w:rPr>
        <w:t>at</w:t>
      </w:r>
      <w:r>
        <w:rPr>
          <w:rFonts w:ascii="Calibri"/>
          <w:spacing w:val="-10"/>
          <w:sz w:val="20"/>
          <w:vertAlign w:val="baseline"/>
        </w:rPr>
        <w:t> </w:t>
      </w:r>
      <w:r>
        <w:rPr>
          <w:rFonts w:ascii="Calibri"/>
          <w:sz w:val="20"/>
          <w:vertAlign w:val="baseline"/>
        </w:rPr>
        <w:t>593;Wild,</w:t>
      </w:r>
      <w:r>
        <w:rPr>
          <w:rFonts w:ascii="Calibri"/>
          <w:spacing w:val="-5"/>
          <w:sz w:val="20"/>
          <w:vertAlign w:val="baseline"/>
        </w:rPr>
        <w:t> </w:t>
      </w:r>
      <w:r>
        <w:rPr>
          <w:rFonts w:ascii="Calibri"/>
          <w:sz w:val="20"/>
          <w:vertAlign w:val="baseline"/>
        </w:rPr>
        <w:t>C.</w:t>
      </w:r>
      <w:r>
        <w:rPr>
          <w:rFonts w:ascii="Calibri"/>
          <w:spacing w:val="-3"/>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Weinstein,</w:t>
      </w:r>
      <w:r>
        <w:rPr>
          <w:rFonts w:ascii="Calibri"/>
          <w:spacing w:val="-10"/>
          <w:sz w:val="20"/>
          <w:vertAlign w:val="baseline"/>
        </w:rPr>
        <w:t> </w:t>
      </w:r>
      <w:r>
        <w:rPr>
          <w:rFonts w:ascii="Calibri"/>
          <w:sz w:val="20"/>
          <w:vertAlign w:val="baseline"/>
        </w:rPr>
        <w:t>S.op.cit.at</w:t>
      </w:r>
      <w:r>
        <w:rPr>
          <w:rFonts w:ascii="Calibri"/>
          <w:spacing w:val="-8"/>
          <w:sz w:val="20"/>
          <w:vertAlign w:val="baseline"/>
        </w:rPr>
        <w:t> </w:t>
      </w:r>
      <w:r>
        <w:rPr>
          <w:rFonts w:ascii="Calibri"/>
          <w:spacing w:val="-4"/>
          <w:sz w:val="20"/>
          <w:vertAlign w:val="baseline"/>
        </w:rPr>
        <w:t>335.</w:t>
      </w:r>
    </w:p>
    <w:p>
      <w:pPr>
        <w:spacing w:before="2"/>
        <w:ind w:left="308" w:right="0" w:firstLine="0"/>
        <w:jc w:val="left"/>
        <w:rPr>
          <w:rFonts w:ascii="Calibri"/>
          <w:sz w:val="20"/>
        </w:rPr>
      </w:pPr>
      <w:r>
        <w:rPr>
          <w:rFonts w:ascii="Calibri"/>
          <w:sz w:val="20"/>
          <w:vertAlign w:val="superscript"/>
        </w:rPr>
        <w:t>249</w:t>
      </w:r>
      <w:r>
        <w:rPr>
          <w:rFonts w:ascii="Calibri"/>
          <w:spacing w:val="-3"/>
          <w:sz w:val="20"/>
          <w:vertAlign w:val="baseline"/>
        </w:rPr>
        <w:t> </w:t>
      </w:r>
      <w:r>
        <w:rPr>
          <w:rFonts w:ascii="Calibri"/>
          <w:sz w:val="20"/>
          <w:vertAlign w:val="baseline"/>
        </w:rPr>
        <w:t>Davies,</w:t>
      </w:r>
      <w:r>
        <w:rPr>
          <w:rFonts w:ascii="Calibri"/>
          <w:spacing w:val="-6"/>
          <w:sz w:val="20"/>
          <w:vertAlign w:val="baseline"/>
        </w:rPr>
        <w:t> </w:t>
      </w:r>
      <w:r>
        <w:rPr>
          <w:rFonts w:ascii="Calibri"/>
          <w:sz w:val="20"/>
          <w:vertAlign w:val="baseline"/>
        </w:rPr>
        <w:t>P.</w:t>
      </w:r>
      <w:r>
        <w:rPr>
          <w:rFonts w:ascii="Calibri"/>
          <w:spacing w:val="-3"/>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7"/>
          <w:sz w:val="20"/>
          <w:vertAlign w:val="baseline"/>
        </w:rPr>
        <w:t> </w:t>
      </w:r>
      <w:r>
        <w:rPr>
          <w:rFonts w:ascii="Calibri"/>
          <w:sz w:val="20"/>
          <w:vertAlign w:val="baseline"/>
        </w:rPr>
        <w:t>(2012).</w:t>
      </w:r>
      <w:r>
        <w:rPr>
          <w:rFonts w:ascii="Calibri"/>
          <w:spacing w:val="-7"/>
          <w:sz w:val="20"/>
          <w:vertAlign w:val="baseline"/>
        </w:rPr>
        <w:t> </w:t>
      </w:r>
      <w:r>
        <w:rPr>
          <w:rFonts w:ascii="Calibri"/>
          <w:sz w:val="20"/>
          <w:vertAlign w:val="baseline"/>
        </w:rPr>
        <w:t>Op.cit.</w:t>
      </w:r>
      <w:r>
        <w:rPr>
          <w:rFonts w:ascii="Calibri"/>
          <w:spacing w:val="-3"/>
          <w:sz w:val="20"/>
          <w:vertAlign w:val="baseline"/>
        </w:rPr>
        <w:t> </w:t>
      </w:r>
      <w:r>
        <w:rPr>
          <w:rFonts w:ascii="Calibri"/>
          <w:sz w:val="20"/>
          <w:vertAlign w:val="baseline"/>
        </w:rPr>
        <w:t>at</w:t>
      </w:r>
      <w:r>
        <w:rPr>
          <w:rFonts w:ascii="Calibri"/>
          <w:spacing w:val="-9"/>
          <w:sz w:val="20"/>
          <w:vertAlign w:val="baseline"/>
        </w:rPr>
        <w:t> </w:t>
      </w:r>
      <w:r>
        <w:rPr>
          <w:rFonts w:ascii="Calibri"/>
          <w:spacing w:val="-4"/>
          <w:sz w:val="20"/>
          <w:vertAlign w:val="baseline"/>
        </w:rPr>
        <w:t>594.</w:t>
      </w:r>
    </w:p>
    <w:p>
      <w:pPr>
        <w:spacing w:before="0"/>
        <w:ind w:left="308" w:right="0" w:firstLine="0"/>
        <w:jc w:val="left"/>
        <w:rPr>
          <w:rFonts w:ascii="Calibri"/>
          <w:sz w:val="20"/>
        </w:rPr>
      </w:pPr>
      <w:r>
        <w:rPr>
          <w:rFonts w:ascii="Calibri"/>
          <w:sz w:val="20"/>
          <w:vertAlign w:val="superscript"/>
        </w:rPr>
        <w:t>250</w:t>
      </w:r>
      <w:r>
        <w:rPr>
          <w:rFonts w:ascii="Calibri"/>
          <w:sz w:val="20"/>
          <w:vertAlign w:val="baseline"/>
        </w:rPr>
        <w:t>Since the chairman did not take the shares as a beneficial owner but simply caused his associates to subscribe while the solicitor took at the express request of the board.</w:t>
      </w:r>
    </w:p>
    <w:p>
      <w:pPr>
        <w:spacing w:before="2"/>
        <w:ind w:left="308" w:right="0" w:firstLine="0"/>
        <w:jc w:val="left"/>
        <w:rPr>
          <w:rFonts w:ascii="Calibri"/>
          <w:sz w:val="20"/>
        </w:rPr>
      </w:pPr>
      <w:r>
        <w:rPr>
          <w:rFonts w:ascii="Calibri"/>
          <w:sz w:val="20"/>
          <w:vertAlign w:val="superscript"/>
        </w:rPr>
        <w:t>251</w:t>
      </w:r>
      <w:r>
        <w:rPr>
          <w:rFonts w:ascii="Calibri"/>
          <w:sz w:val="20"/>
          <w:vertAlign w:val="baseline"/>
        </w:rPr>
        <w:t>Wild,</w:t>
      </w:r>
      <w:r>
        <w:rPr>
          <w:rFonts w:ascii="Calibri"/>
          <w:spacing w:val="-5"/>
          <w:sz w:val="20"/>
          <w:vertAlign w:val="baseline"/>
        </w:rPr>
        <w:t> </w:t>
      </w:r>
      <w:r>
        <w:rPr>
          <w:rFonts w:ascii="Calibri"/>
          <w:sz w:val="20"/>
          <w:vertAlign w:val="baseline"/>
        </w:rPr>
        <w:t>C.</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Weinstein,</w:t>
      </w:r>
      <w:r>
        <w:rPr>
          <w:rFonts w:ascii="Calibri"/>
          <w:spacing w:val="-4"/>
          <w:sz w:val="20"/>
          <w:vertAlign w:val="baseline"/>
        </w:rPr>
        <w:t> </w:t>
      </w:r>
      <w:r>
        <w:rPr>
          <w:rFonts w:ascii="Calibri"/>
          <w:sz w:val="20"/>
          <w:vertAlign w:val="baseline"/>
        </w:rPr>
        <w:t>S.op.cit.at</w:t>
      </w:r>
      <w:r>
        <w:rPr>
          <w:rFonts w:ascii="Calibri"/>
          <w:spacing w:val="-3"/>
          <w:sz w:val="20"/>
          <w:vertAlign w:val="baseline"/>
        </w:rPr>
        <w:t> </w:t>
      </w:r>
      <w:r>
        <w:rPr>
          <w:rFonts w:ascii="Calibri"/>
          <w:spacing w:val="-4"/>
          <w:sz w:val="20"/>
          <w:vertAlign w:val="baseline"/>
        </w:rPr>
        <w:t>335.</w:t>
      </w:r>
    </w:p>
    <w:p>
      <w:pPr>
        <w:spacing w:before="0"/>
        <w:ind w:left="308" w:right="0" w:firstLine="0"/>
        <w:jc w:val="left"/>
        <w:rPr>
          <w:rFonts w:ascii="Calibri"/>
          <w:sz w:val="20"/>
        </w:rPr>
      </w:pPr>
      <w:r>
        <w:rPr>
          <w:rFonts w:ascii="Calibri"/>
          <w:sz w:val="20"/>
          <w:vertAlign w:val="superscript"/>
        </w:rPr>
        <w:t>252</w:t>
      </w:r>
      <w:r>
        <w:rPr>
          <w:rFonts w:ascii="Calibri"/>
          <w:i/>
          <w:sz w:val="20"/>
          <w:vertAlign w:val="baseline"/>
        </w:rPr>
        <w:t>Regal</w:t>
      </w:r>
      <w:r>
        <w:rPr>
          <w:rFonts w:ascii="Calibri"/>
          <w:i/>
          <w:spacing w:val="-6"/>
          <w:sz w:val="20"/>
          <w:vertAlign w:val="baseline"/>
        </w:rPr>
        <w:t> </w:t>
      </w:r>
      <w:r>
        <w:rPr>
          <w:rFonts w:ascii="Calibri"/>
          <w:i/>
          <w:sz w:val="20"/>
          <w:vertAlign w:val="baseline"/>
        </w:rPr>
        <w:t>(Hastings)</w:t>
      </w:r>
      <w:r>
        <w:rPr>
          <w:rFonts w:ascii="Calibri"/>
          <w:i/>
          <w:spacing w:val="-5"/>
          <w:sz w:val="20"/>
          <w:vertAlign w:val="baseline"/>
        </w:rPr>
        <w:t> </w:t>
      </w:r>
      <w:r>
        <w:rPr>
          <w:rFonts w:ascii="Calibri"/>
          <w:i/>
          <w:sz w:val="20"/>
          <w:vertAlign w:val="baseline"/>
        </w:rPr>
        <w:t>Ltd.</w:t>
      </w:r>
      <w:r>
        <w:rPr>
          <w:rFonts w:ascii="Calibri"/>
          <w:i/>
          <w:spacing w:val="-6"/>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Gulliver</w:t>
      </w:r>
      <w:r>
        <w:rPr>
          <w:rFonts w:ascii="Calibri"/>
          <w:i/>
          <w:spacing w:val="-8"/>
          <w:sz w:val="20"/>
          <w:vertAlign w:val="baseline"/>
        </w:rPr>
        <w:t> </w:t>
      </w:r>
      <w:r>
        <w:rPr>
          <w:rFonts w:ascii="Calibri"/>
          <w:sz w:val="20"/>
          <w:vertAlign w:val="baseline"/>
        </w:rPr>
        <w:t>supra,</w:t>
      </w:r>
      <w:r>
        <w:rPr>
          <w:rFonts w:ascii="Calibri"/>
          <w:spacing w:val="-5"/>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144-</w:t>
      </w:r>
      <w:r>
        <w:rPr>
          <w:rFonts w:ascii="Calibri"/>
          <w:spacing w:val="-4"/>
          <w:sz w:val="20"/>
          <w:vertAlign w:val="baseline"/>
        </w:rPr>
        <w:t>145.</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1"/>
        <w:jc w:val="both"/>
      </w:pPr>
      <w:r>
        <w:rPr/>
        <w:t>Therefore, it cannot be</w:t>
      </w:r>
      <w:r>
        <w:rPr>
          <w:spacing w:val="-3"/>
        </w:rPr>
        <w:t> </w:t>
      </w:r>
      <w:r>
        <w:rPr/>
        <w:t>overemphasized</w:t>
      </w:r>
      <w:r>
        <w:rPr>
          <w:spacing w:val="-2"/>
        </w:rPr>
        <w:t> </w:t>
      </w:r>
      <w:r>
        <w:rPr/>
        <w:t>that</w:t>
      </w:r>
      <w:r>
        <w:rPr>
          <w:spacing w:val="-2"/>
        </w:rPr>
        <w:t> </w:t>
      </w:r>
      <w:r>
        <w:rPr/>
        <w:t>the</w:t>
      </w:r>
      <w:r>
        <w:rPr>
          <w:spacing w:val="-3"/>
        </w:rPr>
        <w:t> </w:t>
      </w:r>
      <w:r>
        <w:rPr/>
        <w:t>rule is strict. The nature</w:t>
      </w:r>
      <w:r>
        <w:rPr>
          <w:spacing w:val="-7"/>
        </w:rPr>
        <w:t> </w:t>
      </w:r>
      <w:r>
        <w:rPr/>
        <w:t>of</w:t>
      </w:r>
      <w:r>
        <w:rPr>
          <w:spacing w:val="-9"/>
        </w:rPr>
        <w:t> </w:t>
      </w:r>
      <w:r>
        <w:rPr/>
        <w:t>this fiduciary duty is such that it supersedes the relationship. For this reason, s.170(2) still holds a director to his duty under s.175, even after his resignation from office, as regards the exploitation of any property, information or opportunity of which he became aware at a time when he was a director. This is necessary in order to </w:t>
      </w:r>
      <w:r>
        <w:rPr>
          <w:i/>
        </w:rPr>
        <w:t>nip </w:t>
      </w:r>
      <w:r>
        <w:rPr/>
        <w:t>an otherwise obvious escape route </w:t>
      </w:r>
      <w:r>
        <w:rPr>
          <w:i/>
        </w:rPr>
        <w:t>in the bud. </w:t>
      </w:r>
      <w:r>
        <w:rPr/>
        <w:t>Indeed, as Prentice aptly remarked, ―it would be fatuous to allow directors to immunise themselves against liability by resigning immediately prior to the acquisition of the opportunity.‖</w:t>
      </w:r>
      <w:r>
        <w:rPr>
          <w:vertAlign w:val="superscript"/>
        </w:rPr>
        <w:t>253</w:t>
      </w:r>
      <w:r>
        <w:rPr>
          <w:vertAlign w:val="baseline"/>
        </w:rPr>
        <w:t> There certainly abound cases in which such has been the case.</w:t>
      </w:r>
      <w:r>
        <w:rPr>
          <w:vertAlign w:val="superscript"/>
        </w:rPr>
        <w:t>254</w:t>
      </w:r>
      <w:r>
        <w:rPr>
          <w:vertAlign w:val="baseline"/>
        </w:rPr>
        <w:t>In </w:t>
      </w:r>
      <w:r>
        <w:rPr>
          <w:b/>
          <w:vertAlign w:val="baseline"/>
        </w:rPr>
        <w:t>Industrial Dev. Consultants Ltd. vs. Cooley</w:t>
      </w:r>
      <w:r>
        <w:rPr>
          <w:i/>
          <w:vertAlign w:val="baseline"/>
        </w:rPr>
        <w:t>,</w:t>
      </w:r>
      <w:r>
        <w:rPr>
          <w:vertAlign w:val="superscript"/>
        </w:rPr>
        <w:t>255</w:t>
      </w:r>
      <w:r>
        <w:rPr>
          <w:vertAlign w:val="baseline"/>
        </w:rPr>
        <w:t>the managing director</w:t>
      </w:r>
      <w:r>
        <w:rPr>
          <w:spacing w:val="-1"/>
          <w:vertAlign w:val="baseline"/>
        </w:rPr>
        <w:t> </w:t>
      </w:r>
      <w:r>
        <w:rPr>
          <w:vertAlign w:val="baseline"/>
        </w:rPr>
        <w:t>did</w:t>
      </w:r>
      <w:r>
        <w:rPr>
          <w:spacing w:val="-2"/>
          <w:vertAlign w:val="baseline"/>
        </w:rPr>
        <w:t> </w:t>
      </w:r>
      <w:r>
        <w:rPr>
          <w:vertAlign w:val="baseline"/>
        </w:rPr>
        <w:t>not</w:t>
      </w:r>
      <w:r>
        <w:rPr>
          <w:spacing w:val="-2"/>
          <w:vertAlign w:val="baseline"/>
        </w:rPr>
        <w:t> </w:t>
      </w:r>
      <w:r>
        <w:rPr>
          <w:vertAlign w:val="baseline"/>
        </w:rPr>
        <w:t>tell</w:t>
      </w:r>
      <w:r>
        <w:rPr>
          <w:spacing w:val="-6"/>
          <w:vertAlign w:val="baseline"/>
        </w:rPr>
        <w:t> </w:t>
      </w:r>
      <w:r>
        <w:rPr>
          <w:vertAlign w:val="baseline"/>
        </w:rPr>
        <w:t>his</w:t>
      </w:r>
      <w:r>
        <w:rPr>
          <w:spacing w:val="-4"/>
          <w:vertAlign w:val="baseline"/>
        </w:rPr>
        <w:t> </w:t>
      </w:r>
      <w:r>
        <w:rPr>
          <w:vertAlign w:val="baseline"/>
        </w:rPr>
        <w:t>company</w:t>
      </w:r>
      <w:r>
        <w:rPr>
          <w:spacing w:val="-6"/>
          <w:vertAlign w:val="baseline"/>
        </w:rPr>
        <w:t> </w:t>
      </w:r>
      <w:r>
        <w:rPr>
          <w:vertAlign w:val="baseline"/>
        </w:rPr>
        <w:t>that a</w:t>
      </w:r>
      <w:r>
        <w:rPr>
          <w:spacing w:val="-3"/>
          <w:vertAlign w:val="baseline"/>
        </w:rPr>
        <w:t> </w:t>
      </w:r>
      <w:r>
        <w:rPr>
          <w:vertAlign w:val="baseline"/>
        </w:rPr>
        <w:t>project was</w:t>
      </w:r>
      <w:r>
        <w:rPr>
          <w:spacing w:val="-4"/>
          <w:vertAlign w:val="baseline"/>
        </w:rPr>
        <w:t> </w:t>
      </w:r>
      <w:r>
        <w:rPr>
          <w:vertAlign w:val="baseline"/>
        </w:rPr>
        <w:t>going</w:t>
      </w:r>
      <w:r>
        <w:rPr>
          <w:spacing w:val="-2"/>
          <w:vertAlign w:val="baseline"/>
        </w:rPr>
        <w:t> </w:t>
      </w:r>
      <w:r>
        <w:rPr>
          <w:vertAlign w:val="baseline"/>
        </w:rPr>
        <w:t>to</w:t>
      </w:r>
      <w:r>
        <w:rPr>
          <w:spacing w:val="-2"/>
          <w:vertAlign w:val="baseline"/>
        </w:rPr>
        <w:t> </w:t>
      </w:r>
      <w:r>
        <w:rPr>
          <w:vertAlign w:val="baseline"/>
        </w:rPr>
        <w:t>be</w:t>
      </w:r>
      <w:r>
        <w:rPr>
          <w:spacing w:val="-3"/>
          <w:vertAlign w:val="baseline"/>
        </w:rPr>
        <w:t> </w:t>
      </w:r>
      <w:r>
        <w:rPr>
          <w:vertAlign w:val="baseline"/>
        </w:rPr>
        <w:t>revived</w:t>
      </w:r>
      <w:r>
        <w:rPr>
          <w:spacing w:val="-2"/>
          <w:vertAlign w:val="baseline"/>
        </w:rPr>
        <w:t> </w:t>
      </w:r>
      <w:r>
        <w:rPr>
          <w:vertAlign w:val="baseline"/>
        </w:rPr>
        <w:t>after</w:t>
      </w:r>
      <w:r>
        <w:rPr>
          <w:spacing w:val="-1"/>
          <w:vertAlign w:val="baseline"/>
        </w:rPr>
        <w:t> </w:t>
      </w:r>
      <w:r>
        <w:rPr>
          <w:vertAlign w:val="baseline"/>
        </w:rPr>
        <w:t>the</w:t>
      </w:r>
      <w:r>
        <w:rPr>
          <w:spacing w:val="-3"/>
          <w:vertAlign w:val="baseline"/>
        </w:rPr>
        <w:t> </w:t>
      </w:r>
      <w:r>
        <w:rPr>
          <w:vertAlign w:val="baseline"/>
        </w:rPr>
        <w:t>rejection by a gas board of his company‘s offer; nor did he disclose that he had been negotiating future employment with the gas board. In order to take the advantage of this renewed offer, he</w:t>
      </w:r>
      <w:r>
        <w:rPr>
          <w:spacing w:val="-1"/>
          <w:vertAlign w:val="baseline"/>
        </w:rPr>
        <w:t> </w:t>
      </w:r>
      <w:r>
        <w:rPr>
          <w:vertAlign w:val="baseline"/>
        </w:rPr>
        <w:t>represented to the</w:t>
      </w:r>
      <w:r>
        <w:rPr>
          <w:spacing w:val="-1"/>
          <w:vertAlign w:val="baseline"/>
        </w:rPr>
        <w:t> </w:t>
      </w:r>
      <w:r>
        <w:rPr>
          <w:vertAlign w:val="baseline"/>
        </w:rPr>
        <w:t>company</w:t>
      </w:r>
      <w:r>
        <w:rPr>
          <w:spacing w:val="-10"/>
          <w:vertAlign w:val="baseline"/>
        </w:rPr>
        <w:t> </w:t>
      </w:r>
      <w:r>
        <w:rPr>
          <w:vertAlign w:val="baseline"/>
        </w:rPr>
        <w:t>that he</w:t>
      </w:r>
      <w:r>
        <w:rPr>
          <w:spacing w:val="-1"/>
          <w:vertAlign w:val="baseline"/>
        </w:rPr>
        <w:t> </w:t>
      </w:r>
      <w:r>
        <w:rPr>
          <w:vertAlign w:val="baseline"/>
        </w:rPr>
        <w:t>was ill</w:t>
      </w:r>
      <w:r>
        <w:rPr>
          <w:spacing w:val="-4"/>
          <w:vertAlign w:val="baseline"/>
        </w:rPr>
        <w:t> </w:t>
      </w:r>
      <w:r>
        <w:rPr>
          <w:vertAlign w:val="baseline"/>
        </w:rPr>
        <w:t>and thereby</w:t>
      </w:r>
      <w:r>
        <w:rPr>
          <w:spacing w:val="-5"/>
          <w:vertAlign w:val="baseline"/>
        </w:rPr>
        <w:t> </w:t>
      </w:r>
      <w:r>
        <w:rPr>
          <w:vertAlign w:val="baseline"/>
        </w:rPr>
        <w:t>procured</w:t>
      </w:r>
      <w:r>
        <w:rPr>
          <w:spacing w:val="-5"/>
          <w:vertAlign w:val="baseline"/>
        </w:rPr>
        <w:t> </w:t>
      </w:r>
      <w:r>
        <w:rPr>
          <w:vertAlign w:val="baseline"/>
        </w:rPr>
        <w:t>the</w:t>
      </w:r>
      <w:r>
        <w:rPr>
          <w:spacing w:val="-1"/>
          <w:vertAlign w:val="baseline"/>
        </w:rPr>
        <w:t> </w:t>
      </w:r>
      <w:r>
        <w:rPr>
          <w:vertAlign w:val="baseline"/>
        </w:rPr>
        <w:t>termination of his employment on short notice. Shortly after, he successfully obtained the contract with the gas board. The defendant then sued for</w:t>
      </w:r>
      <w:r>
        <w:rPr>
          <w:spacing w:val="38"/>
          <w:vertAlign w:val="baseline"/>
        </w:rPr>
        <w:t> </w:t>
      </w:r>
      <w:r>
        <w:rPr>
          <w:vertAlign w:val="baseline"/>
        </w:rPr>
        <w:t>an account of the profits.</w:t>
      </w:r>
      <w:r>
        <w:rPr>
          <w:spacing w:val="39"/>
          <w:vertAlign w:val="baseline"/>
        </w:rPr>
        <w:t> </w:t>
      </w:r>
      <w:r>
        <w:rPr>
          <w:vertAlign w:val="baseline"/>
        </w:rPr>
        <w:t>Roskill J., after considering that the director had accepted employment with the gas board, doing the very work he had unsuccessfully tried to get for the plaintiff company and had also faked illness in order to gain</w:t>
      </w:r>
      <w:r>
        <w:rPr>
          <w:spacing w:val="-1"/>
          <w:vertAlign w:val="baseline"/>
        </w:rPr>
        <w:t> </w:t>
      </w:r>
      <w:r>
        <w:rPr>
          <w:vertAlign w:val="baseline"/>
        </w:rPr>
        <w:t>quick release from</w:t>
      </w:r>
      <w:r>
        <w:rPr>
          <w:spacing w:val="-1"/>
          <w:vertAlign w:val="baseline"/>
        </w:rPr>
        <w:t> </w:t>
      </w:r>
      <w:r>
        <w:rPr>
          <w:vertAlign w:val="baseline"/>
        </w:rPr>
        <w:t>his employment with</w:t>
      </w:r>
      <w:r>
        <w:rPr>
          <w:spacing w:val="-1"/>
          <w:vertAlign w:val="baseline"/>
        </w:rPr>
        <w:t> </w:t>
      </w:r>
      <w:r>
        <w:rPr>
          <w:vertAlign w:val="baseline"/>
        </w:rPr>
        <w:t>the plaintiff, ruled that the director had been in breach and was therefore liable to account.</w:t>
      </w:r>
    </w:p>
    <w:p>
      <w:pPr>
        <w:pStyle w:val="BodyText"/>
        <w:spacing w:line="480" w:lineRule="auto" w:before="4"/>
        <w:ind w:right="178" w:firstLine="720"/>
        <w:jc w:val="both"/>
      </w:pPr>
      <w:r>
        <w:rPr/>
        <w:t>Similarly, in </w:t>
      </w:r>
      <w:r>
        <w:rPr>
          <w:b/>
        </w:rPr>
        <w:t>Crown Dilmun vs. Sutton</w:t>
      </w:r>
      <w:r>
        <w:rPr/>
        <w:t>,</w:t>
      </w:r>
      <w:r>
        <w:rPr>
          <w:vertAlign w:val="superscript"/>
        </w:rPr>
        <w:t>256</w:t>
      </w:r>
      <w:r>
        <w:rPr>
          <w:vertAlign w:val="baseline"/>
        </w:rPr>
        <w:t> a director learned of an opportunity to develop a football</w:t>
      </w:r>
      <w:r>
        <w:rPr>
          <w:spacing w:val="-5"/>
          <w:vertAlign w:val="baseline"/>
        </w:rPr>
        <w:t> </w:t>
      </w:r>
      <w:r>
        <w:rPr>
          <w:vertAlign w:val="baseline"/>
        </w:rPr>
        <w:t>ground which he exploited on his own</w:t>
      </w:r>
      <w:r>
        <w:rPr>
          <w:spacing w:val="-1"/>
          <w:vertAlign w:val="baseline"/>
        </w:rPr>
        <w:t> </w:t>
      </w:r>
      <w:r>
        <w:rPr>
          <w:vertAlign w:val="baseline"/>
        </w:rPr>
        <w:t>account once his contract of employment</w:t>
      </w:r>
      <w:r>
        <w:rPr>
          <w:spacing w:val="21"/>
          <w:vertAlign w:val="baseline"/>
        </w:rPr>
        <w:t> </w:t>
      </w:r>
      <w:r>
        <w:rPr>
          <w:vertAlign w:val="baseline"/>
        </w:rPr>
        <w:t>had</w:t>
      </w:r>
      <w:r>
        <w:rPr>
          <w:spacing w:val="21"/>
          <w:vertAlign w:val="baseline"/>
        </w:rPr>
        <w:t> </w:t>
      </w:r>
      <w:r>
        <w:rPr>
          <w:vertAlign w:val="baseline"/>
        </w:rPr>
        <w:t>been terminated.</w:t>
      </w:r>
      <w:r>
        <w:rPr>
          <w:spacing w:val="19"/>
          <w:vertAlign w:val="baseline"/>
        </w:rPr>
        <w:t> </w:t>
      </w:r>
      <w:r>
        <w:rPr>
          <w:vertAlign w:val="baseline"/>
        </w:rPr>
        <w:t>It</w:t>
      </w:r>
      <w:r>
        <w:rPr>
          <w:spacing w:val="17"/>
          <w:vertAlign w:val="baseline"/>
        </w:rPr>
        <w:t> </w:t>
      </w:r>
      <w:r>
        <w:rPr>
          <w:vertAlign w:val="baseline"/>
        </w:rPr>
        <w:t>was</w:t>
      </w:r>
      <w:r>
        <w:rPr>
          <w:spacing w:val="19"/>
          <w:vertAlign w:val="baseline"/>
        </w:rPr>
        <w:t> </w:t>
      </w:r>
      <w:r>
        <w:rPr>
          <w:vertAlign w:val="baseline"/>
        </w:rPr>
        <w:t>found</w:t>
      </w:r>
      <w:r>
        <w:rPr>
          <w:spacing w:val="17"/>
          <w:vertAlign w:val="baseline"/>
        </w:rPr>
        <w:t> </w:t>
      </w:r>
      <w:r>
        <w:rPr>
          <w:vertAlign w:val="baseline"/>
        </w:rPr>
        <w:t>that</w:t>
      </w:r>
      <w:r>
        <w:rPr>
          <w:spacing w:val="21"/>
          <w:vertAlign w:val="baseline"/>
        </w:rPr>
        <w:t> </w:t>
      </w:r>
      <w:r>
        <w:rPr>
          <w:vertAlign w:val="baseline"/>
        </w:rPr>
        <w:t>he</w:t>
      </w:r>
      <w:r>
        <w:rPr>
          <w:spacing w:val="20"/>
          <w:vertAlign w:val="baseline"/>
        </w:rPr>
        <w:t> </w:t>
      </w:r>
      <w:r>
        <w:rPr>
          <w:vertAlign w:val="baseline"/>
        </w:rPr>
        <w:t>had</w:t>
      </w:r>
      <w:r>
        <w:rPr>
          <w:spacing w:val="21"/>
          <w:vertAlign w:val="baseline"/>
        </w:rPr>
        <w:t> </w:t>
      </w:r>
      <w:r>
        <w:rPr>
          <w:vertAlign w:val="baseline"/>
        </w:rPr>
        <w:t>not</w:t>
      </w:r>
      <w:r>
        <w:rPr>
          <w:spacing w:val="21"/>
          <w:vertAlign w:val="baseline"/>
        </w:rPr>
        <w:t> </w:t>
      </w:r>
      <w:r>
        <w:rPr>
          <w:vertAlign w:val="baseline"/>
        </w:rPr>
        <w:t>made</w:t>
      </w:r>
      <w:r>
        <w:rPr>
          <w:spacing w:val="20"/>
          <w:vertAlign w:val="baseline"/>
        </w:rPr>
        <w:t> </w:t>
      </w:r>
      <w:r>
        <w:rPr>
          <w:vertAlign w:val="baseline"/>
        </w:rPr>
        <w:t>full disclosure</w:t>
      </w:r>
      <w:r>
        <w:rPr>
          <w:spacing w:val="16"/>
          <w:vertAlign w:val="baseline"/>
        </w:rPr>
        <w:t> </w:t>
      </w:r>
      <w:r>
        <w:rPr>
          <w:vertAlign w:val="baseline"/>
        </w:rPr>
        <w:t>to</w:t>
      </w:r>
    </w:p>
    <w:p>
      <w:pPr>
        <w:pStyle w:val="BodyText"/>
        <w:ind w:left="0"/>
        <w:rPr>
          <w:sz w:val="20"/>
        </w:rPr>
      </w:pPr>
    </w:p>
    <w:p>
      <w:pPr>
        <w:pStyle w:val="BodyText"/>
        <w:ind w:left="0"/>
        <w:rPr>
          <w:sz w:val="20"/>
        </w:rPr>
      </w:pPr>
    </w:p>
    <w:p>
      <w:pPr>
        <w:pStyle w:val="BodyText"/>
        <w:spacing w:before="58"/>
        <w:ind w:left="0"/>
        <w:rPr>
          <w:sz w:val="20"/>
        </w:rPr>
      </w:pPr>
      <w:r>
        <w:rPr/>
        <mc:AlternateContent>
          <mc:Choice Requires="wps">
            <w:drawing>
              <wp:anchor distT="0" distB="0" distL="0" distR="0" allowOverlap="1" layoutInCell="1" locked="0" behindDoc="1" simplePos="0" relativeHeight="487697920">
                <wp:simplePos x="0" y="0"/>
                <wp:positionH relativeFrom="page">
                  <wp:posOffset>1262481</wp:posOffset>
                </wp:positionH>
                <wp:positionV relativeFrom="paragraph">
                  <wp:posOffset>198291</wp:posOffset>
                </wp:positionV>
                <wp:extent cx="1829435" cy="9525"/>
                <wp:effectExtent l="0" t="0" r="0" b="0"/>
                <wp:wrapTopAndBottom/>
                <wp:docPr id="241" name="Graphic 241"/>
                <wp:cNvGraphicFramePr>
                  <a:graphicFrameLocks/>
                </wp:cNvGraphicFramePr>
                <a:graphic>
                  <a:graphicData uri="http://schemas.microsoft.com/office/word/2010/wordprocessingShape">
                    <wps:wsp>
                      <wps:cNvPr id="241" name="Graphic 241"/>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5.613485pt;width:144.050pt;height:.72003pt;mso-position-horizontal-relative:page;mso-position-vertical-relative:paragraph;z-index:-15618560;mso-wrap-distance-left:0;mso-wrap-distance-right:0" id="docshape19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253</w:t>
      </w:r>
      <w:r>
        <w:rPr>
          <w:rFonts w:ascii="Calibri"/>
          <w:sz w:val="20"/>
          <w:vertAlign w:val="baseline"/>
        </w:rPr>
        <w:t>See</w:t>
      </w:r>
      <w:r>
        <w:rPr>
          <w:rFonts w:ascii="Calibri"/>
          <w:spacing w:val="-4"/>
          <w:sz w:val="20"/>
          <w:vertAlign w:val="baseline"/>
        </w:rPr>
        <w:t> </w:t>
      </w:r>
      <w:r>
        <w:rPr>
          <w:rFonts w:ascii="Calibri"/>
          <w:sz w:val="20"/>
          <w:vertAlign w:val="baseline"/>
        </w:rPr>
        <w:t>Prentice,</w:t>
      </w:r>
      <w:r>
        <w:rPr>
          <w:rFonts w:ascii="Calibri"/>
          <w:spacing w:val="-10"/>
          <w:sz w:val="20"/>
          <w:vertAlign w:val="baseline"/>
        </w:rPr>
        <w:t> </w:t>
      </w:r>
      <w:r>
        <w:rPr>
          <w:rFonts w:ascii="Calibri"/>
          <w:sz w:val="20"/>
          <w:vertAlign w:val="baseline"/>
        </w:rPr>
        <w:t>D.D.</w:t>
      </w:r>
      <w:r>
        <w:rPr>
          <w:rFonts w:ascii="Calibri"/>
          <w:spacing w:val="-8"/>
          <w:sz w:val="20"/>
          <w:vertAlign w:val="baseline"/>
        </w:rPr>
        <w:t> </w:t>
      </w:r>
      <w:r>
        <w:rPr>
          <w:rFonts w:ascii="Calibri"/>
          <w:sz w:val="20"/>
          <w:vertAlign w:val="baseline"/>
        </w:rPr>
        <w:t>(1974).Op.cit.</w:t>
      </w:r>
      <w:r>
        <w:rPr>
          <w:rFonts w:ascii="Calibri"/>
          <w:spacing w:val="-7"/>
          <w:sz w:val="20"/>
          <w:vertAlign w:val="baseline"/>
        </w:rPr>
        <w:t> </w:t>
      </w:r>
      <w:r>
        <w:rPr>
          <w:rFonts w:ascii="Calibri"/>
          <w:sz w:val="20"/>
          <w:vertAlign w:val="baseline"/>
        </w:rPr>
        <w:t>at</w:t>
      </w:r>
      <w:r>
        <w:rPr>
          <w:rFonts w:ascii="Calibri"/>
          <w:spacing w:val="-5"/>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467.</w:t>
      </w:r>
    </w:p>
    <w:p>
      <w:pPr>
        <w:spacing w:before="1"/>
        <w:ind w:left="308" w:right="0" w:firstLine="0"/>
        <w:jc w:val="left"/>
        <w:rPr>
          <w:rFonts w:ascii="Calibri"/>
          <w:sz w:val="20"/>
        </w:rPr>
      </w:pPr>
      <w:r>
        <w:rPr>
          <w:rFonts w:ascii="Calibri"/>
          <w:sz w:val="20"/>
          <w:vertAlign w:val="superscript"/>
        </w:rPr>
        <w:t>254</w:t>
      </w:r>
      <w:r>
        <w:rPr>
          <w:rFonts w:ascii="Calibri"/>
          <w:i/>
          <w:sz w:val="20"/>
          <w:vertAlign w:val="baseline"/>
        </w:rPr>
        <w:t>Cook</w:t>
      </w:r>
      <w:r>
        <w:rPr>
          <w:rFonts w:ascii="Calibri"/>
          <w:i/>
          <w:spacing w:val="-7"/>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Deeks</w:t>
      </w:r>
      <w:r>
        <w:rPr>
          <w:rFonts w:ascii="Calibri"/>
          <w:sz w:val="20"/>
          <w:vertAlign w:val="baseline"/>
        </w:rPr>
        <w:t>;</w:t>
      </w:r>
      <w:r>
        <w:rPr>
          <w:rFonts w:ascii="Calibri"/>
          <w:spacing w:val="-7"/>
          <w:sz w:val="20"/>
          <w:vertAlign w:val="baseline"/>
        </w:rPr>
        <w:t> </w:t>
      </w:r>
      <w:r>
        <w:rPr>
          <w:rFonts w:ascii="Calibri"/>
          <w:i/>
          <w:sz w:val="20"/>
          <w:vertAlign w:val="baseline"/>
        </w:rPr>
        <w:t>Industrial Dev.</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Cooley</w:t>
      </w:r>
      <w:r>
        <w:rPr>
          <w:rFonts w:ascii="Calibri"/>
          <w:sz w:val="20"/>
          <w:vertAlign w:val="baseline"/>
        </w:rPr>
        <w:t>;</w:t>
      </w:r>
      <w:r>
        <w:rPr>
          <w:rFonts w:ascii="Calibri"/>
          <w:spacing w:val="-2"/>
          <w:sz w:val="20"/>
          <w:vertAlign w:val="baseline"/>
        </w:rPr>
        <w:t> </w:t>
      </w:r>
      <w:r>
        <w:rPr>
          <w:rFonts w:ascii="Calibri"/>
          <w:sz w:val="20"/>
          <w:vertAlign w:val="baseline"/>
        </w:rPr>
        <w:t>are</w:t>
      </w:r>
      <w:r>
        <w:rPr>
          <w:rFonts w:ascii="Calibri"/>
          <w:spacing w:val="-6"/>
          <w:sz w:val="20"/>
          <w:vertAlign w:val="baseline"/>
        </w:rPr>
        <w:t> </w:t>
      </w:r>
      <w:r>
        <w:rPr>
          <w:rFonts w:ascii="Calibri"/>
          <w:sz w:val="20"/>
          <w:vertAlign w:val="baseline"/>
        </w:rPr>
        <w:t>but</w:t>
      </w:r>
      <w:r>
        <w:rPr>
          <w:rFonts w:ascii="Calibri"/>
          <w:spacing w:val="-3"/>
          <w:sz w:val="20"/>
          <w:vertAlign w:val="baseline"/>
        </w:rPr>
        <w:t> </w:t>
      </w:r>
      <w:r>
        <w:rPr>
          <w:rFonts w:ascii="Calibri"/>
          <w:sz w:val="20"/>
          <w:vertAlign w:val="baseline"/>
        </w:rPr>
        <w:t>a</w:t>
      </w:r>
      <w:r>
        <w:rPr>
          <w:rFonts w:ascii="Calibri"/>
          <w:spacing w:val="-6"/>
          <w:sz w:val="20"/>
          <w:vertAlign w:val="baseline"/>
        </w:rPr>
        <w:t> </w:t>
      </w:r>
      <w:r>
        <w:rPr>
          <w:rFonts w:ascii="Calibri"/>
          <w:spacing w:val="-4"/>
          <w:sz w:val="20"/>
          <w:vertAlign w:val="baseline"/>
        </w:rPr>
        <w:t>few.</w:t>
      </w:r>
    </w:p>
    <w:p>
      <w:pPr>
        <w:spacing w:before="0"/>
        <w:ind w:left="308" w:right="0" w:firstLine="0"/>
        <w:jc w:val="left"/>
        <w:rPr>
          <w:rFonts w:ascii="Calibri"/>
          <w:sz w:val="20"/>
        </w:rPr>
      </w:pPr>
      <w:r>
        <w:rPr>
          <w:rFonts w:ascii="Calibri"/>
          <w:sz w:val="20"/>
          <w:vertAlign w:val="superscript"/>
        </w:rPr>
        <w:t>255</w:t>
      </w:r>
      <w:r>
        <w:rPr>
          <w:rFonts w:ascii="Calibri"/>
          <w:sz w:val="20"/>
          <w:vertAlign w:val="baseline"/>
        </w:rPr>
        <w:t>(1972)</w:t>
      </w:r>
      <w:r>
        <w:rPr>
          <w:rFonts w:ascii="Calibri"/>
          <w:spacing w:val="-1"/>
          <w:sz w:val="20"/>
          <w:vertAlign w:val="baseline"/>
        </w:rPr>
        <w:t> </w:t>
      </w:r>
      <w:r>
        <w:rPr>
          <w:rFonts w:ascii="Calibri"/>
          <w:sz w:val="20"/>
          <w:vertAlign w:val="baseline"/>
        </w:rPr>
        <w:t>2</w:t>
      </w:r>
      <w:r>
        <w:rPr>
          <w:rFonts w:ascii="Calibri"/>
          <w:spacing w:val="-3"/>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 </w:t>
      </w:r>
      <w:r>
        <w:rPr>
          <w:rFonts w:ascii="Calibri"/>
          <w:spacing w:val="-4"/>
          <w:sz w:val="20"/>
          <w:vertAlign w:val="baseline"/>
        </w:rPr>
        <w:t>162.</w:t>
      </w:r>
    </w:p>
    <w:p>
      <w:pPr>
        <w:spacing w:before="1"/>
        <w:ind w:left="308" w:right="0" w:firstLine="0"/>
        <w:jc w:val="left"/>
        <w:rPr>
          <w:rFonts w:ascii="Calibri"/>
          <w:sz w:val="20"/>
        </w:rPr>
      </w:pPr>
      <w:r>
        <w:rPr>
          <w:rFonts w:ascii="Calibri"/>
          <w:sz w:val="20"/>
          <w:vertAlign w:val="superscript"/>
        </w:rPr>
        <w:t>256</w:t>
      </w:r>
      <w:r>
        <w:rPr>
          <w:rFonts w:ascii="Calibri"/>
          <w:sz w:val="20"/>
          <w:vertAlign w:val="baseline"/>
        </w:rPr>
        <w:t>(2004)</w:t>
      </w:r>
      <w:r>
        <w:rPr>
          <w:rFonts w:ascii="Calibri"/>
          <w:spacing w:val="-1"/>
          <w:sz w:val="20"/>
          <w:vertAlign w:val="baseline"/>
        </w:rPr>
        <w:t> </w:t>
      </w:r>
      <w:r>
        <w:rPr>
          <w:rFonts w:ascii="Calibri"/>
          <w:sz w:val="20"/>
          <w:vertAlign w:val="baseline"/>
        </w:rPr>
        <w:t>1</w:t>
      </w:r>
      <w:r>
        <w:rPr>
          <w:rFonts w:ascii="Calibri"/>
          <w:spacing w:val="-8"/>
          <w:sz w:val="20"/>
          <w:vertAlign w:val="baseline"/>
        </w:rPr>
        <w:t> </w:t>
      </w:r>
      <w:r>
        <w:rPr>
          <w:rFonts w:ascii="Calibri"/>
          <w:sz w:val="20"/>
          <w:vertAlign w:val="baseline"/>
        </w:rPr>
        <w:t>B.C.L.C.</w:t>
      </w:r>
      <w:r>
        <w:rPr>
          <w:rFonts w:ascii="Calibri"/>
          <w:spacing w:val="40"/>
          <w:sz w:val="20"/>
          <w:vertAlign w:val="baseline"/>
        </w:rPr>
        <w:t> </w:t>
      </w:r>
      <w:r>
        <w:rPr>
          <w:rFonts w:ascii="Calibri"/>
          <w:spacing w:val="-4"/>
          <w:sz w:val="20"/>
          <w:vertAlign w:val="baseline"/>
        </w:rPr>
        <w:t>468.</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7"/>
        <w:jc w:val="both"/>
      </w:pPr>
      <w:r>
        <w:rPr/>
        <w:t>the claimant company of the extent of the opportunity. Consequently, he was liable to account to the claimant for the personal profits realised from the transaction.</w:t>
      </w:r>
    </w:p>
    <w:p>
      <w:pPr>
        <w:pStyle w:val="BodyText"/>
        <w:spacing w:line="480" w:lineRule="auto"/>
        <w:ind w:right="181" w:firstLine="720"/>
        <w:jc w:val="both"/>
      </w:pPr>
      <w:r>
        <w:rPr/>
        <w:t>It can be observed from the cases discussed above that an issue most central to the exploitation of corporate opportunity etc., is authorisation—and by implication, disclosure—which is one exception to the application of the principle of no-conflict. S. 175(4)(a) provides that the duty to avoid conflicts of interests is not infringed where the matter</w:t>
      </w:r>
      <w:r>
        <w:rPr>
          <w:spacing w:val="16"/>
        </w:rPr>
        <w:t> </w:t>
      </w:r>
      <w:r>
        <w:rPr/>
        <w:t>has</w:t>
      </w:r>
      <w:r>
        <w:rPr>
          <w:spacing w:val="18"/>
        </w:rPr>
        <w:t> </w:t>
      </w:r>
      <w:r>
        <w:rPr/>
        <w:t>been</w:t>
      </w:r>
      <w:r>
        <w:rPr>
          <w:spacing w:val="14"/>
        </w:rPr>
        <w:t> </w:t>
      </w:r>
      <w:r>
        <w:rPr/>
        <w:t>authorised</w:t>
      </w:r>
      <w:r>
        <w:rPr>
          <w:spacing w:val="20"/>
        </w:rPr>
        <w:t> </w:t>
      </w:r>
      <w:r>
        <w:rPr/>
        <w:t>by</w:t>
      </w:r>
      <w:r>
        <w:rPr>
          <w:spacing w:val="10"/>
        </w:rPr>
        <w:t> </w:t>
      </w:r>
      <w:r>
        <w:rPr/>
        <w:t>the</w:t>
      </w:r>
      <w:r>
        <w:rPr>
          <w:spacing w:val="13"/>
        </w:rPr>
        <w:t> </w:t>
      </w:r>
      <w:r>
        <w:rPr/>
        <w:t>directors.</w:t>
      </w:r>
      <w:r>
        <w:rPr>
          <w:spacing w:val="24"/>
        </w:rPr>
        <w:t> </w:t>
      </w:r>
      <w:r>
        <w:rPr/>
        <w:t>The</w:t>
      </w:r>
      <w:r>
        <w:rPr>
          <w:spacing w:val="14"/>
        </w:rPr>
        <w:t> </w:t>
      </w:r>
      <w:r>
        <w:rPr/>
        <w:t>authorisation</w:t>
      </w:r>
      <w:r>
        <w:rPr>
          <w:spacing w:val="9"/>
        </w:rPr>
        <w:t> </w:t>
      </w:r>
      <w:r>
        <w:rPr/>
        <w:t>regime</w:t>
      </w:r>
      <w:r>
        <w:rPr>
          <w:spacing w:val="23"/>
        </w:rPr>
        <w:t> </w:t>
      </w:r>
      <w:r>
        <w:rPr/>
        <w:t>introduced</w:t>
      </w:r>
      <w:r>
        <w:rPr>
          <w:spacing w:val="15"/>
        </w:rPr>
        <w:t> </w:t>
      </w:r>
      <w:r>
        <w:rPr>
          <w:spacing w:val="-2"/>
        </w:rPr>
        <w:t>under</w:t>
      </w:r>
    </w:p>
    <w:p>
      <w:pPr>
        <w:pStyle w:val="BodyText"/>
        <w:spacing w:line="480" w:lineRule="auto" w:before="1"/>
        <w:ind w:right="199"/>
        <w:jc w:val="both"/>
      </w:pPr>
      <w:r>
        <w:rPr/>
        <w:t>s. 175 is one of</w:t>
      </w:r>
      <w:r>
        <w:rPr>
          <w:spacing w:val="-2"/>
        </w:rPr>
        <w:t> </w:t>
      </w:r>
      <w:r>
        <w:rPr/>
        <w:t>the areas reviewed by the Companies Act from</w:t>
      </w:r>
      <w:r>
        <w:rPr>
          <w:spacing w:val="-4"/>
        </w:rPr>
        <w:t> </w:t>
      </w:r>
      <w:r>
        <w:rPr/>
        <w:t>the former common law position. According to s.175(5)</w:t>
      </w:r>
    </w:p>
    <w:p>
      <w:pPr>
        <w:spacing w:before="1"/>
        <w:ind w:left="2007" w:right="0" w:firstLine="0"/>
        <w:jc w:val="both"/>
        <w:rPr>
          <w:i/>
          <w:sz w:val="24"/>
        </w:rPr>
      </w:pPr>
      <w:r>
        <w:rPr>
          <w:i/>
          <w:sz w:val="24"/>
        </w:rPr>
        <w:t>Authorisation</w:t>
      </w:r>
      <w:r>
        <w:rPr>
          <w:i/>
          <w:spacing w:val="1"/>
          <w:sz w:val="24"/>
        </w:rPr>
        <w:t> </w:t>
      </w:r>
      <w:r>
        <w:rPr>
          <w:i/>
          <w:sz w:val="24"/>
        </w:rPr>
        <w:t>may</w:t>
      </w:r>
      <w:r>
        <w:rPr>
          <w:i/>
          <w:spacing w:val="-1"/>
          <w:sz w:val="24"/>
        </w:rPr>
        <w:t> </w:t>
      </w:r>
      <w:r>
        <w:rPr>
          <w:i/>
          <w:sz w:val="24"/>
        </w:rPr>
        <w:t>be given</w:t>
      </w:r>
      <w:r>
        <w:rPr>
          <w:i/>
          <w:spacing w:val="1"/>
          <w:sz w:val="24"/>
        </w:rPr>
        <w:t> </w:t>
      </w:r>
      <w:r>
        <w:rPr>
          <w:i/>
          <w:sz w:val="24"/>
        </w:rPr>
        <w:t>by</w:t>
      </w:r>
      <w:r>
        <w:rPr>
          <w:i/>
          <w:spacing w:val="-5"/>
          <w:sz w:val="24"/>
        </w:rPr>
        <w:t> </w:t>
      </w:r>
      <w:r>
        <w:rPr>
          <w:i/>
          <w:sz w:val="24"/>
        </w:rPr>
        <w:t>the</w:t>
      </w:r>
      <w:r>
        <w:rPr>
          <w:i/>
          <w:spacing w:val="1"/>
          <w:sz w:val="24"/>
        </w:rPr>
        <w:t> </w:t>
      </w:r>
      <w:r>
        <w:rPr>
          <w:i/>
          <w:spacing w:val="-2"/>
          <w:sz w:val="24"/>
        </w:rPr>
        <w:t>directors—</w:t>
      </w:r>
    </w:p>
    <w:p>
      <w:pPr>
        <w:pStyle w:val="ListParagraph"/>
        <w:numPr>
          <w:ilvl w:val="4"/>
          <w:numId w:val="18"/>
        </w:numPr>
        <w:tabs>
          <w:tab w:pos="2403" w:val="left" w:leader="none"/>
        </w:tabs>
        <w:spacing w:line="240" w:lineRule="auto" w:before="2" w:after="0"/>
        <w:ind w:left="2007" w:right="1888" w:firstLine="0"/>
        <w:jc w:val="both"/>
        <w:rPr>
          <w:i/>
          <w:sz w:val="24"/>
        </w:rPr>
      </w:pPr>
      <w:r>
        <w:rPr>
          <w:i/>
          <w:sz w:val="24"/>
        </w:rPr>
        <w:t>where the company is a private company and nothing in the company‘s constitution invalidates such authorisation, by the matter being proposed </w:t>
      </w:r>
      <w:r>
        <w:rPr>
          <w:i/>
          <w:sz w:val="24"/>
        </w:rPr>
        <w:t>to and authorised by the directors; or</w:t>
      </w:r>
    </w:p>
    <w:p>
      <w:pPr>
        <w:pStyle w:val="ListParagraph"/>
        <w:numPr>
          <w:ilvl w:val="4"/>
          <w:numId w:val="18"/>
        </w:numPr>
        <w:tabs>
          <w:tab w:pos="2374" w:val="left" w:leader="none"/>
        </w:tabs>
        <w:spacing w:line="240" w:lineRule="auto" w:before="1" w:after="0"/>
        <w:ind w:left="2007" w:right="1889" w:firstLine="0"/>
        <w:jc w:val="both"/>
        <w:rPr>
          <w:i/>
          <w:sz w:val="24"/>
        </w:rPr>
      </w:pPr>
      <w:r>
        <w:rPr>
          <w:i/>
          <w:sz w:val="24"/>
        </w:rPr>
        <w:t>where the company is a public company and its constitution</w:t>
      </w:r>
      <w:r>
        <w:rPr>
          <w:i/>
          <w:spacing w:val="-5"/>
          <w:sz w:val="24"/>
        </w:rPr>
        <w:t> </w:t>
      </w:r>
      <w:r>
        <w:rPr>
          <w:i/>
          <w:sz w:val="24"/>
        </w:rPr>
        <w:t>includes</w:t>
      </w:r>
      <w:r>
        <w:rPr>
          <w:i/>
          <w:spacing w:val="-7"/>
          <w:sz w:val="24"/>
        </w:rPr>
        <w:t> </w:t>
      </w:r>
      <w:r>
        <w:rPr>
          <w:i/>
          <w:sz w:val="24"/>
        </w:rPr>
        <w:t>provision</w:t>
      </w:r>
      <w:r>
        <w:rPr>
          <w:i/>
          <w:spacing w:val="-5"/>
          <w:sz w:val="24"/>
        </w:rPr>
        <w:t> </w:t>
      </w:r>
      <w:r>
        <w:rPr>
          <w:i/>
          <w:sz w:val="24"/>
        </w:rPr>
        <w:t>enabling</w:t>
      </w:r>
      <w:r>
        <w:rPr>
          <w:i/>
          <w:spacing w:val="-5"/>
          <w:sz w:val="24"/>
        </w:rPr>
        <w:t> </w:t>
      </w:r>
      <w:r>
        <w:rPr>
          <w:i/>
          <w:sz w:val="24"/>
        </w:rPr>
        <w:t>the</w:t>
      </w:r>
      <w:r>
        <w:rPr>
          <w:i/>
          <w:spacing w:val="-6"/>
          <w:sz w:val="24"/>
        </w:rPr>
        <w:t> </w:t>
      </w:r>
      <w:r>
        <w:rPr>
          <w:i/>
          <w:sz w:val="24"/>
        </w:rPr>
        <w:t>directors to</w:t>
      </w:r>
      <w:r>
        <w:rPr>
          <w:i/>
          <w:spacing w:val="-2"/>
          <w:sz w:val="24"/>
        </w:rPr>
        <w:t> </w:t>
      </w:r>
      <w:r>
        <w:rPr>
          <w:i/>
          <w:sz w:val="24"/>
        </w:rPr>
        <w:t>authorise</w:t>
      </w:r>
      <w:r>
        <w:rPr>
          <w:i/>
          <w:spacing w:val="-2"/>
          <w:sz w:val="24"/>
        </w:rPr>
        <w:t> </w:t>
      </w:r>
      <w:r>
        <w:rPr>
          <w:i/>
          <w:sz w:val="24"/>
        </w:rPr>
        <w:t>the</w:t>
      </w:r>
      <w:r>
        <w:rPr>
          <w:i/>
          <w:spacing w:val="-2"/>
          <w:sz w:val="24"/>
        </w:rPr>
        <w:t> </w:t>
      </w:r>
      <w:r>
        <w:rPr>
          <w:i/>
          <w:sz w:val="24"/>
        </w:rPr>
        <w:t>matter, by</w:t>
      </w:r>
      <w:r>
        <w:rPr>
          <w:i/>
          <w:spacing w:val="-2"/>
          <w:sz w:val="24"/>
        </w:rPr>
        <w:t> </w:t>
      </w:r>
      <w:r>
        <w:rPr>
          <w:i/>
          <w:sz w:val="24"/>
        </w:rPr>
        <w:t>the</w:t>
      </w:r>
      <w:r>
        <w:rPr>
          <w:i/>
          <w:spacing w:val="-2"/>
          <w:sz w:val="24"/>
        </w:rPr>
        <w:t> </w:t>
      </w:r>
      <w:r>
        <w:rPr>
          <w:i/>
          <w:sz w:val="24"/>
        </w:rPr>
        <w:t>matter</w:t>
      </w:r>
      <w:r>
        <w:rPr>
          <w:i/>
          <w:spacing w:val="-3"/>
          <w:sz w:val="24"/>
        </w:rPr>
        <w:t> </w:t>
      </w:r>
      <w:r>
        <w:rPr>
          <w:i/>
          <w:sz w:val="24"/>
        </w:rPr>
        <w:t>being</w:t>
      </w:r>
      <w:r>
        <w:rPr>
          <w:i/>
          <w:spacing w:val="-2"/>
          <w:sz w:val="24"/>
        </w:rPr>
        <w:t> </w:t>
      </w:r>
      <w:r>
        <w:rPr>
          <w:i/>
          <w:sz w:val="24"/>
        </w:rPr>
        <w:t>proposed to and authorised by them in accordance with </w:t>
      </w:r>
      <w:r>
        <w:rPr>
          <w:i/>
          <w:sz w:val="24"/>
        </w:rPr>
        <w:t>the </w:t>
      </w:r>
      <w:r>
        <w:rPr>
          <w:i/>
          <w:spacing w:val="-2"/>
          <w:sz w:val="24"/>
        </w:rPr>
        <w:t>constitution</w:t>
      </w:r>
    </w:p>
    <w:p>
      <w:pPr>
        <w:pStyle w:val="BodyText"/>
        <w:spacing w:line="480" w:lineRule="auto" w:before="252"/>
        <w:ind w:right="228"/>
        <w:jc w:val="both"/>
      </w:pPr>
      <w:r>
        <w:rPr/>
        <mc:AlternateContent>
          <mc:Choice Requires="wps">
            <w:drawing>
              <wp:anchor distT="0" distB="0" distL="0" distR="0" allowOverlap="1" layoutInCell="1" locked="0" behindDoc="1" simplePos="0" relativeHeight="487698432">
                <wp:simplePos x="0" y="0"/>
                <wp:positionH relativeFrom="page">
                  <wp:posOffset>1262481</wp:posOffset>
                </wp:positionH>
                <wp:positionV relativeFrom="paragraph">
                  <wp:posOffset>2982377</wp:posOffset>
                </wp:positionV>
                <wp:extent cx="1829435" cy="9525"/>
                <wp:effectExtent l="0" t="0" r="0" b="0"/>
                <wp:wrapTopAndBottom/>
                <wp:docPr id="242" name="Graphic 242"/>
                <wp:cNvGraphicFramePr>
                  <a:graphicFrameLocks/>
                </wp:cNvGraphicFramePr>
                <a:graphic>
                  <a:graphicData uri="http://schemas.microsoft.com/office/word/2010/wordprocessingShape">
                    <wps:wsp>
                      <wps:cNvPr id="242" name="Graphic 24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34.83284pt;width:144.050pt;height:.71997pt;mso-position-horizontal-relative:page;mso-position-vertical-relative:paragraph;z-index:-15618048;mso-wrap-distance-left:0;mso-wrap-distance-right:0" id="docshape197" filled="true" fillcolor="#000000" stroked="false">
                <v:fill type="solid"/>
                <w10:wrap type="topAndBottom"/>
              </v:rect>
            </w:pict>
          </mc:Fallback>
        </mc:AlternateContent>
      </w:r>
      <w:r>
        <w:rPr/>
        <w:t>Formerly, the common law did not condone authorisation of such situations by the board, insisting always on the general meeting as the proper body to act instead.</w:t>
      </w:r>
      <w:r>
        <w:rPr>
          <w:vertAlign w:val="superscript"/>
        </w:rPr>
        <w:t>257</w:t>
      </w:r>
      <w:r>
        <w:rPr>
          <w:vertAlign w:val="baseline"/>
        </w:rPr>
        <w:t> However, even the interested director, if he happened to be a shareholder, could participate in the authorisation process and vote.</w:t>
      </w:r>
      <w:r>
        <w:rPr>
          <w:vertAlign w:val="superscript"/>
        </w:rPr>
        <w:t>258</w:t>
      </w:r>
      <w:r>
        <w:rPr>
          <w:vertAlign w:val="baseline"/>
        </w:rPr>
        <w:t>But it was also decided in </w:t>
      </w:r>
      <w:r>
        <w:rPr>
          <w:b/>
          <w:vertAlign w:val="baseline"/>
        </w:rPr>
        <w:t>Clemens vs. Clemens Bros Ltd.</w:t>
      </w:r>
      <w:r>
        <w:rPr>
          <w:i/>
          <w:vertAlign w:val="baseline"/>
        </w:rPr>
        <w:t>,</w:t>
      </w:r>
      <w:r>
        <w:rPr>
          <w:vertAlign w:val="superscript"/>
        </w:rPr>
        <w:t>259</w:t>
      </w:r>
      <w:r>
        <w:rPr>
          <w:vertAlign w:val="baseline"/>
        </w:rPr>
        <w:t> that a director who also happened to be a majority shareholder, could not use her majority vote in general meeting ―in whatever way she pleases‖, [for] that right [to vote] is "subject . . . to equitable considerations . . . which may</w:t>
      </w:r>
      <w:r>
        <w:rPr>
          <w:spacing w:val="21"/>
          <w:vertAlign w:val="baseline"/>
        </w:rPr>
        <w:t> </w:t>
      </w:r>
      <w:r>
        <w:rPr>
          <w:vertAlign w:val="baseline"/>
        </w:rPr>
        <w:t>make</w:t>
      </w:r>
      <w:r>
        <w:rPr>
          <w:spacing w:val="28"/>
          <w:vertAlign w:val="baseline"/>
        </w:rPr>
        <w:t> </w:t>
      </w:r>
      <w:r>
        <w:rPr>
          <w:vertAlign w:val="baseline"/>
        </w:rPr>
        <w:t>it</w:t>
      </w:r>
      <w:r>
        <w:rPr>
          <w:spacing w:val="28"/>
          <w:vertAlign w:val="baseline"/>
        </w:rPr>
        <w:t> </w:t>
      </w:r>
      <w:r>
        <w:rPr>
          <w:vertAlign w:val="baseline"/>
        </w:rPr>
        <w:t>unjust</w:t>
      </w:r>
      <w:r>
        <w:rPr>
          <w:spacing w:val="29"/>
          <w:vertAlign w:val="baseline"/>
        </w:rPr>
        <w:t> </w:t>
      </w:r>
      <w:r>
        <w:rPr>
          <w:vertAlign w:val="baseline"/>
        </w:rPr>
        <w:t>...</w:t>
      </w:r>
      <w:r>
        <w:rPr>
          <w:spacing w:val="21"/>
          <w:vertAlign w:val="baseline"/>
        </w:rPr>
        <w:t> </w:t>
      </w:r>
      <w:r>
        <w:rPr>
          <w:vertAlign w:val="baseline"/>
        </w:rPr>
        <w:t>to</w:t>
      </w:r>
      <w:r>
        <w:rPr>
          <w:spacing w:val="27"/>
          <w:vertAlign w:val="baseline"/>
        </w:rPr>
        <w:t> </w:t>
      </w:r>
      <w:r>
        <w:rPr>
          <w:vertAlign w:val="baseline"/>
        </w:rPr>
        <w:t>exercise</w:t>
      </w:r>
      <w:r>
        <w:rPr>
          <w:spacing w:val="23"/>
          <w:vertAlign w:val="baseline"/>
        </w:rPr>
        <w:t> </w:t>
      </w:r>
      <w:r>
        <w:rPr>
          <w:vertAlign w:val="baseline"/>
        </w:rPr>
        <w:t>[it]</w:t>
      </w:r>
      <w:r>
        <w:rPr>
          <w:spacing w:val="29"/>
          <w:vertAlign w:val="baseline"/>
        </w:rPr>
        <w:t> </w:t>
      </w:r>
      <w:r>
        <w:rPr>
          <w:vertAlign w:val="baseline"/>
        </w:rPr>
        <w:t>in</w:t>
      </w:r>
      <w:r>
        <w:rPr>
          <w:spacing w:val="24"/>
          <w:vertAlign w:val="baseline"/>
        </w:rPr>
        <w:t> </w:t>
      </w:r>
      <w:r>
        <w:rPr>
          <w:vertAlign w:val="baseline"/>
        </w:rPr>
        <w:t>a</w:t>
      </w:r>
      <w:r>
        <w:rPr>
          <w:spacing w:val="23"/>
          <w:vertAlign w:val="baseline"/>
        </w:rPr>
        <w:t> </w:t>
      </w:r>
      <w:r>
        <w:rPr>
          <w:vertAlign w:val="baseline"/>
        </w:rPr>
        <w:t>particular</w:t>
      </w:r>
      <w:r>
        <w:rPr>
          <w:spacing w:val="24"/>
          <w:vertAlign w:val="baseline"/>
        </w:rPr>
        <w:t> </w:t>
      </w:r>
      <w:r>
        <w:rPr>
          <w:vertAlign w:val="baseline"/>
        </w:rPr>
        <w:t>way".</w:t>
      </w:r>
      <w:r>
        <w:rPr>
          <w:spacing w:val="31"/>
          <w:vertAlign w:val="baseline"/>
        </w:rPr>
        <w:t> </w:t>
      </w:r>
      <w:r>
        <w:rPr>
          <w:vertAlign w:val="baseline"/>
        </w:rPr>
        <w:t>Thus,</w:t>
      </w:r>
      <w:r>
        <w:rPr>
          <w:spacing w:val="30"/>
          <w:vertAlign w:val="baseline"/>
        </w:rPr>
        <w:t> </w:t>
      </w:r>
      <w:r>
        <w:rPr>
          <w:vertAlign w:val="baseline"/>
        </w:rPr>
        <w:t>fraud</w:t>
      </w:r>
      <w:r>
        <w:rPr>
          <w:spacing w:val="24"/>
          <w:vertAlign w:val="baseline"/>
        </w:rPr>
        <w:t> </w:t>
      </w:r>
      <w:r>
        <w:rPr>
          <w:vertAlign w:val="baseline"/>
        </w:rPr>
        <w:t>or</w:t>
      </w:r>
      <w:r>
        <w:rPr>
          <w:spacing w:val="30"/>
          <w:vertAlign w:val="baseline"/>
        </w:rPr>
        <w:t> </w:t>
      </w:r>
      <w:r>
        <w:rPr>
          <w:spacing w:val="-2"/>
          <w:vertAlign w:val="baseline"/>
        </w:rPr>
        <w:t>inequitable</w:t>
      </w:r>
    </w:p>
    <w:p>
      <w:pPr>
        <w:spacing w:before="102"/>
        <w:ind w:left="308" w:right="0" w:firstLine="0"/>
        <w:jc w:val="both"/>
        <w:rPr>
          <w:rFonts w:ascii="Calibri"/>
          <w:i/>
          <w:sz w:val="20"/>
        </w:rPr>
      </w:pPr>
      <w:r>
        <w:rPr>
          <w:rFonts w:ascii="Calibri"/>
          <w:sz w:val="20"/>
          <w:vertAlign w:val="superscript"/>
        </w:rPr>
        <w:t>257</w:t>
      </w:r>
      <w:r>
        <w:rPr>
          <w:rFonts w:ascii="Calibri"/>
          <w:i/>
          <w:sz w:val="20"/>
          <w:vertAlign w:val="baseline"/>
        </w:rPr>
        <w:t>Benson</w:t>
      </w:r>
      <w:r>
        <w:rPr>
          <w:rFonts w:ascii="Calibri"/>
          <w:i/>
          <w:spacing w:val="26"/>
          <w:sz w:val="20"/>
          <w:vertAlign w:val="baseline"/>
        </w:rPr>
        <w:t> </w:t>
      </w:r>
      <w:r>
        <w:rPr>
          <w:rFonts w:ascii="Calibri"/>
          <w:i/>
          <w:sz w:val="20"/>
          <w:vertAlign w:val="baseline"/>
        </w:rPr>
        <w:t>vs.</w:t>
      </w:r>
      <w:r>
        <w:rPr>
          <w:rFonts w:ascii="Calibri"/>
          <w:i/>
          <w:spacing w:val="27"/>
          <w:sz w:val="20"/>
          <w:vertAlign w:val="baseline"/>
        </w:rPr>
        <w:t> </w:t>
      </w:r>
      <w:r>
        <w:rPr>
          <w:rFonts w:ascii="Calibri"/>
          <w:i/>
          <w:sz w:val="20"/>
          <w:vertAlign w:val="baseline"/>
        </w:rPr>
        <w:t>Heathorn</w:t>
      </w:r>
      <w:r>
        <w:rPr>
          <w:rFonts w:ascii="Calibri"/>
          <w:i/>
          <w:spacing w:val="30"/>
          <w:sz w:val="20"/>
          <w:vertAlign w:val="baseline"/>
        </w:rPr>
        <w:t> </w:t>
      </w:r>
      <w:r>
        <w:rPr>
          <w:rFonts w:ascii="Calibri"/>
          <w:sz w:val="20"/>
          <w:vertAlign w:val="baseline"/>
        </w:rPr>
        <w:t>(1842)</w:t>
      </w:r>
      <w:r>
        <w:rPr>
          <w:rFonts w:ascii="Calibri"/>
          <w:spacing w:val="27"/>
          <w:sz w:val="20"/>
          <w:vertAlign w:val="baseline"/>
        </w:rPr>
        <w:t> </w:t>
      </w:r>
      <w:r>
        <w:rPr>
          <w:rFonts w:ascii="Calibri"/>
          <w:sz w:val="20"/>
          <w:vertAlign w:val="baseline"/>
        </w:rPr>
        <w:t>1</w:t>
      </w:r>
      <w:r>
        <w:rPr>
          <w:rFonts w:ascii="Calibri"/>
          <w:spacing w:val="24"/>
          <w:sz w:val="20"/>
          <w:vertAlign w:val="baseline"/>
        </w:rPr>
        <w:t> </w:t>
      </w:r>
      <w:r>
        <w:rPr>
          <w:rFonts w:ascii="Calibri"/>
          <w:sz w:val="20"/>
          <w:vertAlign w:val="baseline"/>
        </w:rPr>
        <w:t>Y.</w:t>
      </w:r>
      <w:r>
        <w:rPr>
          <w:rFonts w:ascii="Calibri"/>
          <w:spacing w:val="29"/>
          <w:sz w:val="20"/>
          <w:vertAlign w:val="baseline"/>
        </w:rPr>
        <w:t> </w:t>
      </w:r>
      <w:r>
        <w:rPr>
          <w:rFonts w:ascii="Calibri"/>
          <w:sz w:val="20"/>
          <w:vertAlign w:val="baseline"/>
        </w:rPr>
        <w:t>&amp;</w:t>
      </w:r>
      <w:r>
        <w:rPr>
          <w:rFonts w:ascii="Calibri"/>
          <w:spacing w:val="27"/>
          <w:sz w:val="20"/>
          <w:vertAlign w:val="baseline"/>
        </w:rPr>
        <w:t> </w:t>
      </w:r>
      <w:r>
        <w:rPr>
          <w:rFonts w:ascii="Calibri"/>
          <w:sz w:val="20"/>
          <w:vertAlign w:val="baseline"/>
        </w:rPr>
        <w:t>C.C.C.</w:t>
      </w:r>
      <w:r>
        <w:rPr>
          <w:rFonts w:ascii="Calibri"/>
          <w:spacing w:val="27"/>
          <w:sz w:val="20"/>
          <w:vertAlign w:val="baseline"/>
        </w:rPr>
        <w:t> </w:t>
      </w:r>
      <w:r>
        <w:rPr>
          <w:rFonts w:ascii="Calibri"/>
          <w:sz w:val="20"/>
          <w:vertAlign w:val="baseline"/>
        </w:rPr>
        <w:t>326;</w:t>
      </w:r>
      <w:r>
        <w:rPr>
          <w:rFonts w:ascii="Calibri"/>
          <w:spacing w:val="25"/>
          <w:sz w:val="20"/>
          <w:vertAlign w:val="baseline"/>
        </w:rPr>
        <w:t> </w:t>
      </w:r>
      <w:r>
        <w:rPr>
          <w:rFonts w:ascii="Calibri"/>
          <w:i/>
          <w:sz w:val="20"/>
          <w:vertAlign w:val="baseline"/>
        </w:rPr>
        <w:t>Imperial</w:t>
      </w:r>
      <w:r>
        <w:rPr>
          <w:rFonts w:ascii="Calibri"/>
          <w:i/>
          <w:spacing w:val="23"/>
          <w:sz w:val="20"/>
          <w:vertAlign w:val="baseline"/>
        </w:rPr>
        <w:t> </w:t>
      </w:r>
      <w:r>
        <w:rPr>
          <w:rFonts w:ascii="Calibri"/>
          <w:i/>
          <w:sz w:val="20"/>
          <w:vertAlign w:val="baseline"/>
        </w:rPr>
        <w:t>Mercantile</w:t>
      </w:r>
      <w:r>
        <w:rPr>
          <w:rFonts w:ascii="Calibri"/>
          <w:i/>
          <w:spacing w:val="25"/>
          <w:sz w:val="20"/>
          <w:vertAlign w:val="baseline"/>
        </w:rPr>
        <w:t> </w:t>
      </w:r>
      <w:r>
        <w:rPr>
          <w:rFonts w:ascii="Calibri"/>
          <w:i/>
          <w:sz w:val="20"/>
          <w:vertAlign w:val="baseline"/>
        </w:rPr>
        <w:t>Credit</w:t>
      </w:r>
      <w:r>
        <w:rPr>
          <w:rFonts w:ascii="Calibri"/>
          <w:i/>
          <w:spacing w:val="25"/>
          <w:sz w:val="20"/>
          <w:vertAlign w:val="baseline"/>
        </w:rPr>
        <w:t> </w:t>
      </w:r>
      <w:r>
        <w:rPr>
          <w:rFonts w:ascii="Calibri"/>
          <w:i/>
          <w:sz w:val="20"/>
          <w:vertAlign w:val="baseline"/>
        </w:rPr>
        <w:t>Association</w:t>
      </w:r>
      <w:r>
        <w:rPr>
          <w:rFonts w:ascii="Calibri"/>
          <w:i/>
          <w:spacing w:val="27"/>
          <w:sz w:val="20"/>
          <w:vertAlign w:val="baseline"/>
        </w:rPr>
        <w:t> </w:t>
      </w:r>
      <w:r>
        <w:rPr>
          <w:rFonts w:ascii="Calibri"/>
          <w:i/>
          <w:sz w:val="20"/>
          <w:vertAlign w:val="baseline"/>
        </w:rPr>
        <w:t>vs.</w:t>
      </w:r>
      <w:r>
        <w:rPr>
          <w:rFonts w:ascii="Calibri"/>
          <w:i/>
          <w:spacing w:val="27"/>
          <w:sz w:val="20"/>
          <w:vertAlign w:val="baseline"/>
        </w:rPr>
        <w:t> </w:t>
      </w:r>
      <w:r>
        <w:rPr>
          <w:rFonts w:ascii="Calibri"/>
          <w:i/>
          <w:spacing w:val="-2"/>
          <w:sz w:val="20"/>
          <w:vertAlign w:val="baseline"/>
        </w:rPr>
        <w:t>Coleman</w:t>
      </w:r>
    </w:p>
    <w:p>
      <w:pPr>
        <w:spacing w:before="1"/>
        <w:ind w:left="308" w:right="0" w:firstLine="0"/>
        <w:jc w:val="both"/>
        <w:rPr>
          <w:rFonts w:ascii="Calibri"/>
          <w:sz w:val="20"/>
        </w:rPr>
      </w:pPr>
      <w:r>
        <w:rPr>
          <w:rFonts w:ascii="Calibri"/>
          <w:sz w:val="20"/>
        </w:rPr>
        <w:t>(1871)</w:t>
      </w:r>
      <w:r>
        <w:rPr>
          <w:rFonts w:ascii="Calibri"/>
          <w:spacing w:val="-2"/>
          <w:sz w:val="20"/>
        </w:rPr>
        <w:t> </w:t>
      </w:r>
      <w:r>
        <w:rPr>
          <w:rFonts w:ascii="Calibri"/>
          <w:sz w:val="20"/>
        </w:rPr>
        <w:t>L.R.</w:t>
      </w:r>
      <w:r>
        <w:rPr>
          <w:rFonts w:ascii="Calibri"/>
          <w:spacing w:val="-1"/>
          <w:sz w:val="20"/>
        </w:rPr>
        <w:t> </w:t>
      </w:r>
      <w:r>
        <w:rPr>
          <w:rFonts w:ascii="Calibri"/>
          <w:sz w:val="20"/>
        </w:rPr>
        <w:t>6</w:t>
      </w:r>
      <w:r>
        <w:rPr>
          <w:rFonts w:ascii="Calibri"/>
          <w:spacing w:val="-8"/>
          <w:sz w:val="20"/>
        </w:rPr>
        <w:t> </w:t>
      </w:r>
      <w:r>
        <w:rPr>
          <w:rFonts w:ascii="Calibri"/>
          <w:sz w:val="20"/>
        </w:rPr>
        <w:t>Ch.</w:t>
      </w:r>
      <w:r>
        <w:rPr>
          <w:rFonts w:ascii="Calibri"/>
          <w:spacing w:val="-6"/>
          <w:sz w:val="20"/>
        </w:rPr>
        <w:t> </w:t>
      </w:r>
      <w:r>
        <w:rPr>
          <w:rFonts w:ascii="Calibri"/>
          <w:sz w:val="20"/>
        </w:rPr>
        <w:t>App.</w:t>
      </w:r>
      <w:r>
        <w:rPr>
          <w:rFonts w:ascii="Calibri"/>
          <w:spacing w:val="-5"/>
          <w:sz w:val="20"/>
        </w:rPr>
        <w:t> </w:t>
      </w:r>
      <w:r>
        <w:rPr>
          <w:rFonts w:ascii="Calibri"/>
          <w:sz w:val="20"/>
        </w:rPr>
        <w:t>558,</w:t>
      </w:r>
      <w:r>
        <w:rPr>
          <w:rFonts w:ascii="Calibri"/>
          <w:spacing w:val="-5"/>
          <w:sz w:val="20"/>
        </w:rPr>
        <w:t> </w:t>
      </w:r>
      <w:r>
        <w:rPr>
          <w:rFonts w:ascii="Calibri"/>
          <w:sz w:val="20"/>
        </w:rPr>
        <w:t>C.A.;</w:t>
      </w:r>
      <w:r>
        <w:rPr>
          <w:rFonts w:ascii="Calibri"/>
          <w:spacing w:val="-4"/>
          <w:sz w:val="20"/>
        </w:rPr>
        <w:t> </w:t>
      </w:r>
      <w:r>
        <w:rPr>
          <w:rFonts w:ascii="Calibri"/>
          <w:i/>
          <w:sz w:val="20"/>
        </w:rPr>
        <w:t>Regal</w:t>
      </w:r>
      <w:r>
        <w:rPr>
          <w:rFonts w:ascii="Calibri"/>
          <w:i/>
          <w:spacing w:val="-6"/>
          <w:sz w:val="20"/>
        </w:rPr>
        <w:t> </w:t>
      </w:r>
      <w:r>
        <w:rPr>
          <w:rFonts w:ascii="Calibri"/>
          <w:i/>
          <w:sz w:val="20"/>
        </w:rPr>
        <w:t>(Hastings)</w:t>
      </w:r>
      <w:r>
        <w:rPr>
          <w:rFonts w:ascii="Calibri"/>
          <w:i/>
          <w:spacing w:val="-5"/>
          <w:sz w:val="20"/>
        </w:rPr>
        <w:t> </w:t>
      </w:r>
      <w:r>
        <w:rPr>
          <w:rFonts w:ascii="Calibri"/>
          <w:i/>
          <w:sz w:val="20"/>
        </w:rPr>
        <w:t>Ltd.</w:t>
      </w:r>
      <w:r>
        <w:rPr>
          <w:rFonts w:ascii="Calibri"/>
          <w:i/>
          <w:spacing w:val="-5"/>
          <w:sz w:val="20"/>
        </w:rPr>
        <w:t> </w:t>
      </w:r>
      <w:r>
        <w:rPr>
          <w:rFonts w:ascii="Calibri"/>
          <w:i/>
          <w:sz w:val="20"/>
        </w:rPr>
        <w:t>vs.</w:t>
      </w:r>
      <w:r>
        <w:rPr>
          <w:rFonts w:ascii="Calibri"/>
          <w:i/>
          <w:spacing w:val="-6"/>
          <w:sz w:val="20"/>
        </w:rPr>
        <w:t> </w:t>
      </w:r>
      <w:r>
        <w:rPr>
          <w:rFonts w:ascii="Calibri"/>
          <w:i/>
          <w:sz w:val="20"/>
        </w:rPr>
        <w:t>Gulliver</w:t>
      </w:r>
      <w:r>
        <w:rPr>
          <w:rFonts w:ascii="Calibri"/>
          <w:i/>
          <w:spacing w:val="-7"/>
          <w:sz w:val="20"/>
        </w:rPr>
        <w:t> </w:t>
      </w:r>
      <w:r>
        <w:rPr>
          <w:rFonts w:ascii="Calibri"/>
          <w:sz w:val="20"/>
        </w:rPr>
        <w:t>(1967)</w:t>
      </w:r>
      <w:r>
        <w:rPr>
          <w:rFonts w:ascii="Calibri"/>
          <w:spacing w:val="-2"/>
          <w:sz w:val="20"/>
        </w:rPr>
        <w:t> </w:t>
      </w:r>
      <w:r>
        <w:rPr>
          <w:rFonts w:ascii="Calibri"/>
          <w:sz w:val="20"/>
        </w:rPr>
        <w:t>2</w:t>
      </w:r>
      <w:r>
        <w:rPr>
          <w:rFonts w:ascii="Calibri"/>
          <w:spacing w:val="-8"/>
          <w:sz w:val="20"/>
        </w:rPr>
        <w:t> </w:t>
      </w:r>
      <w:r>
        <w:rPr>
          <w:rFonts w:ascii="Calibri"/>
          <w:sz w:val="20"/>
        </w:rPr>
        <w:t>A.C.</w:t>
      </w:r>
      <w:r>
        <w:rPr>
          <w:rFonts w:ascii="Calibri"/>
          <w:spacing w:val="-5"/>
          <w:sz w:val="20"/>
        </w:rPr>
        <w:t> </w:t>
      </w:r>
      <w:r>
        <w:rPr>
          <w:rFonts w:ascii="Calibri"/>
          <w:spacing w:val="-4"/>
          <w:sz w:val="20"/>
        </w:rPr>
        <w:t>134.</w:t>
      </w:r>
    </w:p>
    <w:p>
      <w:pPr>
        <w:spacing w:before="1"/>
        <w:ind w:left="308" w:right="224" w:firstLine="0"/>
        <w:jc w:val="both"/>
        <w:rPr>
          <w:rFonts w:ascii="Calibri"/>
          <w:sz w:val="20"/>
        </w:rPr>
      </w:pPr>
      <w:r>
        <w:rPr>
          <w:rFonts w:ascii="Calibri"/>
          <w:sz w:val="20"/>
          <w:vertAlign w:val="superscript"/>
        </w:rPr>
        <w:t>258</w:t>
      </w:r>
      <w:r>
        <w:rPr>
          <w:rFonts w:ascii="Calibri"/>
          <w:sz w:val="20"/>
          <w:vertAlign w:val="baseline"/>
        </w:rPr>
        <w:t> See </w:t>
      </w:r>
      <w:r>
        <w:rPr>
          <w:rFonts w:ascii="Calibri"/>
          <w:i/>
          <w:sz w:val="20"/>
          <w:vertAlign w:val="baseline"/>
        </w:rPr>
        <w:t>North-West Transportation Co. Ltd. vs. Beatty </w:t>
      </w:r>
      <w:r>
        <w:rPr>
          <w:rFonts w:ascii="Calibri"/>
          <w:sz w:val="20"/>
          <w:vertAlign w:val="baseline"/>
        </w:rPr>
        <w:t>(1887) 12 App. Cas 589; </w:t>
      </w:r>
      <w:r>
        <w:rPr>
          <w:rFonts w:ascii="Calibri"/>
          <w:i/>
          <w:sz w:val="20"/>
          <w:vertAlign w:val="baseline"/>
        </w:rPr>
        <w:t>Northern Counties Securities Ltd. vs. Jackson and Steeple Ltd</w:t>
      </w:r>
      <w:r>
        <w:rPr>
          <w:rFonts w:ascii="Calibri"/>
          <w:sz w:val="20"/>
          <w:vertAlign w:val="baseline"/>
        </w:rPr>
        <w:t>. (1974) 1 WLR 1133 at 1144, 1146; </w:t>
      </w:r>
      <w:r>
        <w:rPr>
          <w:rFonts w:ascii="Calibri"/>
          <w:i/>
          <w:sz w:val="20"/>
          <w:vertAlign w:val="baseline"/>
        </w:rPr>
        <w:t>Estmaco Ltd. vs. Greater London Council </w:t>
      </w:r>
      <w:r>
        <w:rPr>
          <w:rFonts w:ascii="Calibri"/>
          <w:sz w:val="20"/>
          <w:vertAlign w:val="baseline"/>
        </w:rPr>
        <w:t>(1982) 1 All ER 437 at 444.</w:t>
      </w:r>
    </w:p>
    <w:p>
      <w:pPr>
        <w:spacing w:before="2"/>
        <w:ind w:left="308" w:right="0" w:firstLine="0"/>
        <w:jc w:val="both"/>
        <w:rPr>
          <w:rFonts w:ascii="Calibri"/>
          <w:sz w:val="20"/>
        </w:rPr>
      </w:pPr>
      <w:r>
        <w:rPr>
          <w:rFonts w:ascii="Calibri"/>
          <w:sz w:val="20"/>
          <w:vertAlign w:val="superscript"/>
        </w:rPr>
        <w:t>259</w:t>
      </w:r>
      <w:r>
        <w:rPr>
          <w:rFonts w:ascii="Calibri"/>
          <w:sz w:val="20"/>
          <w:vertAlign w:val="baseline"/>
        </w:rPr>
        <w:t>(1976)</w:t>
      </w:r>
      <w:r>
        <w:rPr>
          <w:rFonts w:ascii="Calibri"/>
          <w:spacing w:val="-1"/>
          <w:sz w:val="20"/>
          <w:vertAlign w:val="baseline"/>
        </w:rPr>
        <w:t> </w:t>
      </w:r>
      <w:r>
        <w:rPr>
          <w:rFonts w:ascii="Calibri"/>
          <w:sz w:val="20"/>
          <w:vertAlign w:val="baseline"/>
        </w:rPr>
        <w:t>2</w:t>
      </w:r>
      <w:r>
        <w:rPr>
          <w:rFonts w:ascii="Calibri"/>
          <w:spacing w:val="-2"/>
          <w:sz w:val="20"/>
          <w:vertAlign w:val="baseline"/>
        </w:rPr>
        <w:t> </w:t>
      </w:r>
      <w:r>
        <w:rPr>
          <w:rFonts w:ascii="Calibri"/>
          <w:sz w:val="20"/>
          <w:vertAlign w:val="baseline"/>
        </w:rPr>
        <w:t>ALL</w:t>
      </w:r>
      <w:r>
        <w:rPr>
          <w:rFonts w:ascii="Calibri"/>
          <w:spacing w:val="-4"/>
          <w:sz w:val="20"/>
          <w:vertAlign w:val="baseline"/>
        </w:rPr>
        <w:t> </w:t>
      </w:r>
      <w:r>
        <w:rPr>
          <w:rFonts w:ascii="Calibri"/>
          <w:sz w:val="20"/>
          <w:vertAlign w:val="baseline"/>
        </w:rPr>
        <w:t>ER 268</w:t>
      </w:r>
      <w:r>
        <w:rPr>
          <w:rFonts w:ascii="Calibri"/>
          <w:spacing w:val="-7"/>
          <w:sz w:val="20"/>
          <w:vertAlign w:val="baseline"/>
        </w:rPr>
        <w:t> </w:t>
      </w:r>
      <w:r>
        <w:rPr>
          <w:rFonts w:ascii="Calibri"/>
          <w:sz w:val="20"/>
          <w:vertAlign w:val="baseline"/>
        </w:rPr>
        <w:t>at</w:t>
      </w:r>
      <w:r>
        <w:rPr>
          <w:rFonts w:ascii="Calibri"/>
          <w:spacing w:val="-2"/>
          <w:sz w:val="20"/>
          <w:vertAlign w:val="baseline"/>
        </w:rPr>
        <w:t> </w:t>
      </w:r>
      <w:r>
        <w:rPr>
          <w:rFonts w:ascii="Calibri"/>
          <w:spacing w:val="-4"/>
          <w:sz w:val="20"/>
          <w:vertAlign w:val="baseline"/>
        </w:rPr>
        <w:t>282.</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9"/>
        <w:jc w:val="both"/>
      </w:pPr>
      <w:r>
        <w:rPr/>
        <w:t>conduct will not be permitted, regardless of the letter of the law. Apparently also, authorisation by the general meeting was not conclusive. It has been held that the majority</w:t>
      </w:r>
      <w:r>
        <w:rPr>
          <w:spacing w:val="9"/>
        </w:rPr>
        <w:t> </w:t>
      </w:r>
      <w:r>
        <w:rPr/>
        <w:t>of</w:t>
      </w:r>
      <w:r>
        <w:rPr>
          <w:spacing w:val="11"/>
        </w:rPr>
        <w:t> </w:t>
      </w:r>
      <w:r>
        <w:rPr/>
        <w:t>shareholders</w:t>
      </w:r>
      <w:r>
        <w:rPr>
          <w:spacing w:val="22"/>
        </w:rPr>
        <w:t> </w:t>
      </w:r>
      <w:r>
        <w:rPr/>
        <w:t>voting</w:t>
      </w:r>
      <w:r>
        <w:rPr>
          <w:spacing w:val="24"/>
        </w:rPr>
        <w:t> </w:t>
      </w:r>
      <w:r>
        <w:rPr/>
        <w:t>in</w:t>
      </w:r>
      <w:r>
        <w:rPr>
          <w:spacing w:val="19"/>
        </w:rPr>
        <w:t> </w:t>
      </w:r>
      <w:r>
        <w:rPr/>
        <w:t>general</w:t>
      </w:r>
      <w:r>
        <w:rPr>
          <w:spacing w:val="16"/>
        </w:rPr>
        <w:t> </w:t>
      </w:r>
      <w:r>
        <w:rPr/>
        <w:t>meeting</w:t>
      </w:r>
      <w:r>
        <w:rPr>
          <w:spacing w:val="19"/>
        </w:rPr>
        <w:t> </w:t>
      </w:r>
      <w:r>
        <w:rPr/>
        <w:t>are</w:t>
      </w:r>
      <w:r>
        <w:rPr>
          <w:spacing w:val="18"/>
        </w:rPr>
        <w:t> </w:t>
      </w:r>
      <w:r>
        <w:rPr/>
        <w:t>supreme</w:t>
      </w:r>
      <w:r>
        <w:rPr>
          <w:spacing w:val="18"/>
        </w:rPr>
        <w:t> </w:t>
      </w:r>
      <w:r>
        <w:rPr/>
        <w:t>only</w:t>
      </w:r>
      <w:r>
        <w:rPr>
          <w:spacing w:val="14"/>
        </w:rPr>
        <w:t> </w:t>
      </w:r>
      <w:r>
        <w:rPr/>
        <w:t>to</w:t>
      </w:r>
      <w:r>
        <w:rPr>
          <w:spacing w:val="14"/>
        </w:rPr>
        <w:t> </w:t>
      </w:r>
      <w:r>
        <w:rPr/>
        <w:t>the</w:t>
      </w:r>
      <w:r>
        <w:rPr>
          <w:spacing w:val="19"/>
        </w:rPr>
        <w:t> </w:t>
      </w:r>
      <w:r>
        <w:rPr/>
        <w:t>extent</w:t>
      </w:r>
      <w:r>
        <w:rPr>
          <w:spacing w:val="24"/>
        </w:rPr>
        <w:t> </w:t>
      </w:r>
      <w:r>
        <w:rPr>
          <w:spacing w:val="-4"/>
        </w:rPr>
        <w:t>that</w:t>
      </w:r>
    </w:p>
    <w:p>
      <w:pPr>
        <w:pStyle w:val="BodyText"/>
        <w:spacing w:line="480" w:lineRule="auto"/>
        <w:ind w:right="233"/>
        <w:jc w:val="both"/>
      </w:pPr>
      <w:r>
        <w:rPr/>
        <w:t>―their</w:t>
      </w:r>
      <w:r>
        <w:rPr>
          <w:spacing w:val="-11"/>
        </w:rPr>
        <w:t> </w:t>
      </w:r>
      <w:r>
        <w:rPr/>
        <w:t>acts</w:t>
      </w:r>
      <w:r>
        <w:rPr>
          <w:spacing w:val="-13"/>
        </w:rPr>
        <w:t> </w:t>
      </w:r>
      <w:r>
        <w:rPr/>
        <w:t>are</w:t>
      </w:r>
      <w:r>
        <w:rPr>
          <w:spacing w:val="-11"/>
        </w:rPr>
        <w:t> </w:t>
      </w:r>
      <w:r>
        <w:rPr/>
        <w:t>not</w:t>
      </w:r>
      <w:r>
        <w:rPr>
          <w:spacing w:val="-6"/>
        </w:rPr>
        <w:t> </w:t>
      </w:r>
      <w:r>
        <w:rPr/>
        <w:t>inconsistent</w:t>
      </w:r>
      <w:r>
        <w:rPr>
          <w:spacing w:val="-6"/>
        </w:rPr>
        <w:t> </w:t>
      </w:r>
      <w:r>
        <w:rPr/>
        <w:t>with</w:t>
      </w:r>
      <w:r>
        <w:rPr>
          <w:spacing w:val="-14"/>
        </w:rPr>
        <w:t> </w:t>
      </w:r>
      <w:r>
        <w:rPr/>
        <w:t>the</w:t>
      </w:r>
      <w:r>
        <w:rPr>
          <w:spacing w:val="-11"/>
        </w:rPr>
        <w:t> </w:t>
      </w:r>
      <w:r>
        <w:rPr/>
        <w:t>articles</w:t>
      </w:r>
      <w:r>
        <w:rPr>
          <w:spacing w:val="-13"/>
        </w:rPr>
        <w:t> </w:t>
      </w:r>
      <w:r>
        <w:rPr/>
        <w:t>or</w:t>
      </w:r>
      <w:r>
        <w:rPr>
          <w:spacing w:val="-9"/>
        </w:rPr>
        <w:t> </w:t>
      </w:r>
      <w:r>
        <w:rPr/>
        <w:t>otherwise</w:t>
      </w:r>
      <w:r>
        <w:rPr>
          <w:spacing w:val="-4"/>
        </w:rPr>
        <w:t> </w:t>
      </w:r>
      <w:r>
        <w:rPr>
          <w:i/>
        </w:rPr>
        <w:t>ultra</w:t>
      </w:r>
      <w:r>
        <w:rPr>
          <w:i/>
          <w:spacing w:val="-10"/>
        </w:rPr>
        <w:t> </w:t>
      </w:r>
      <w:r>
        <w:rPr>
          <w:i/>
        </w:rPr>
        <w:t>vires</w:t>
      </w:r>
      <w:r>
        <w:rPr>
          <w:i/>
          <w:spacing w:val="-11"/>
        </w:rPr>
        <w:t> </w:t>
      </w:r>
      <w:r>
        <w:rPr/>
        <w:t>of</w:t>
      </w:r>
      <w:r>
        <w:rPr>
          <w:spacing w:val="-15"/>
        </w:rPr>
        <w:t> </w:t>
      </w:r>
      <w:r>
        <w:rPr/>
        <w:t>the</w:t>
      </w:r>
      <w:r>
        <w:rPr>
          <w:spacing w:val="-7"/>
        </w:rPr>
        <w:t> </w:t>
      </w:r>
      <w:r>
        <w:rPr/>
        <w:t>Company, and are not fraudulent ...‖</w:t>
      </w:r>
      <w:r>
        <w:rPr>
          <w:vertAlign w:val="superscript"/>
        </w:rPr>
        <w:t>260</w:t>
      </w:r>
      <w:r>
        <w:rPr>
          <w:vertAlign w:val="baseline"/>
        </w:rPr>
        <w:t> In other words, if it was subsequently found out that the authorisation was a fraud or was not in</w:t>
      </w:r>
      <w:r>
        <w:rPr>
          <w:spacing w:val="-2"/>
          <w:vertAlign w:val="baseline"/>
        </w:rPr>
        <w:t> </w:t>
      </w:r>
      <w:r>
        <w:rPr>
          <w:vertAlign w:val="baseline"/>
        </w:rPr>
        <w:t>the best interests of</w:t>
      </w:r>
      <w:r>
        <w:rPr>
          <w:spacing w:val="-4"/>
          <w:vertAlign w:val="baseline"/>
        </w:rPr>
        <w:t> </w:t>
      </w:r>
      <w:r>
        <w:rPr>
          <w:vertAlign w:val="baseline"/>
        </w:rPr>
        <w:t>the company, it could be set</w:t>
      </w:r>
    </w:p>
    <w:p>
      <w:pPr>
        <w:spacing w:after="0" w:line="480" w:lineRule="auto"/>
        <w:jc w:val="both"/>
        <w:sectPr>
          <w:pgSz w:w="11910" w:h="16840"/>
          <w:pgMar w:header="0" w:footer="1003" w:top="1320" w:bottom="1200" w:left="1680" w:right="1180"/>
        </w:sectPr>
      </w:pPr>
    </w:p>
    <w:p>
      <w:pPr>
        <w:pStyle w:val="BodyText"/>
        <w:spacing w:before="1"/>
      </w:pPr>
      <w:r>
        <w:rPr>
          <w:spacing w:val="-4"/>
        </w:rPr>
        <w:t>aside.</w:t>
      </w:r>
    </w:p>
    <w:p>
      <w:pPr>
        <w:spacing w:line="240" w:lineRule="auto" w:before="0"/>
        <w:rPr>
          <w:sz w:val="24"/>
        </w:rPr>
      </w:pPr>
      <w:r>
        <w:rPr/>
        <w:br w:type="column"/>
      </w:r>
      <w:r>
        <w:rPr>
          <w:sz w:val="24"/>
        </w:rPr>
      </w:r>
    </w:p>
    <w:p>
      <w:pPr>
        <w:pStyle w:val="BodyText"/>
        <w:spacing w:before="1"/>
        <w:ind w:left="0"/>
      </w:pPr>
    </w:p>
    <w:p>
      <w:pPr>
        <w:pStyle w:val="BodyText"/>
        <w:ind w:left="130"/>
      </w:pPr>
      <w:r>
        <w:rPr/>
        <w:t>However,</w:t>
      </w:r>
      <w:r>
        <w:rPr>
          <w:spacing w:val="63"/>
        </w:rPr>
        <w:t> </w:t>
      </w:r>
      <w:r>
        <w:rPr/>
        <w:t>due</w:t>
      </w:r>
      <w:r>
        <w:rPr>
          <w:spacing w:val="56"/>
        </w:rPr>
        <w:t> </w:t>
      </w:r>
      <w:r>
        <w:rPr/>
        <w:t>to</w:t>
      </w:r>
      <w:r>
        <w:rPr>
          <w:spacing w:val="70"/>
        </w:rPr>
        <w:t> </w:t>
      </w:r>
      <w:r>
        <w:rPr/>
        <w:t>changing</w:t>
      </w:r>
      <w:r>
        <w:rPr>
          <w:spacing w:val="67"/>
        </w:rPr>
        <w:t> </w:t>
      </w:r>
      <w:r>
        <w:rPr/>
        <w:t>business</w:t>
      </w:r>
      <w:r>
        <w:rPr>
          <w:spacing w:val="60"/>
        </w:rPr>
        <w:t> </w:t>
      </w:r>
      <w:r>
        <w:rPr/>
        <w:t>times,</w:t>
      </w:r>
      <w:r>
        <w:rPr>
          <w:vertAlign w:val="superscript"/>
        </w:rPr>
        <w:t>261</w:t>
      </w:r>
      <w:r>
        <w:rPr>
          <w:vertAlign w:val="baseline"/>
        </w:rPr>
        <w:t>and</w:t>
      </w:r>
      <w:r>
        <w:rPr>
          <w:spacing w:val="62"/>
          <w:vertAlign w:val="baseline"/>
        </w:rPr>
        <w:t> </w:t>
      </w:r>
      <w:r>
        <w:rPr>
          <w:vertAlign w:val="baseline"/>
        </w:rPr>
        <w:t>the</w:t>
      </w:r>
      <w:r>
        <w:rPr>
          <w:spacing w:val="61"/>
          <w:vertAlign w:val="baseline"/>
        </w:rPr>
        <w:t> </w:t>
      </w:r>
      <w:r>
        <w:rPr>
          <w:vertAlign w:val="baseline"/>
        </w:rPr>
        <w:t>general</w:t>
      </w:r>
      <w:r>
        <w:rPr>
          <w:spacing w:val="58"/>
          <w:vertAlign w:val="baseline"/>
        </w:rPr>
        <w:t> </w:t>
      </w:r>
      <w:r>
        <w:rPr>
          <w:vertAlign w:val="baseline"/>
        </w:rPr>
        <w:t>attitude</w:t>
      </w:r>
      <w:r>
        <w:rPr>
          <w:spacing w:val="56"/>
          <w:vertAlign w:val="baseline"/>
        </w:rPr>
        <w:t> </w:t>
      </w:r>
      <w:r>
        <w:rPr>
          <w:vertAlign w:val="baseline"/>
        </w:rPr>
        <w:t>of</w:t>
      </w:r>
      <w:r>
        <w:rPr>
          <w:spacing w:val="59"/>
          <w:vertAlign w:val="baseline"/>
        </w:rPr>
        <w:t> </w:t>
      </w:r>
      <w:r>
        <w:rPr>
          <w:spacing w:val="-5"/>
          <w:vertAlign w:val="baseline"/>
        </w:rPr>
        <w:t>law</w:t>
      </w:r>
    </w:p>
    <w:p>
      <w:pPr>
        <w:spacing w:after="0"/>
        <w:sectPr>
          <w:type w:val="continuous"/>
          <w:pgSz w:w="11910" w:h="16840"/>
          <w:pgMar w:header="0" w:footer="1003" w:top="1320" w:bottom="280" w:left="1680" w:right="1180"/>
          <w:cols w:num="2" w:equalWidth="0">
            <w:col w:w="858" w:space="39"/>
            <w:col w:w="8153"/>
          </w:cols>
        </w:sectPr>
      </w:pPr>
    </w:p>
    <w:p>
      <w:pPr>
        <w:pStyle w:val="BodyText"/>
        <w:ind w:left="0"/>
      </w:pPr>
    </w:p>
    <w:p>
      <w:pPr>
        <w:pStyle w:val="BodyText"/>
        <w:spacing w:line="480" w:lineRule="auto" w:before="1"/>
        <w:ind w:right="181"/>
        <w:jc w:val="both"/>
      </w:pPr>
      <w:r>
        <w:rPr/>
        <w:t>against repression of entrepreneurship, a </w:t>
      </w:r>
      <w:r>
        <w:rPr>
          <w:i/>
        </w:rPr>
        <w:t>softening </w:t>
      </w:r>
      <w:r>
        <w:rPr/>
        <w:t>of the rule has been observed in case law, at least, within the commonwealth, especially in instances where the company can be said to have indirectly authorised the conflict, by a bona fide rejection of the opportunity in the first place. The first of such cases notable for admitting this is </w:t>
      </w:r>
      <w:r>
        <w:rPr>
          <w:b/>
        </w:rPr>
        <w:t>Peso Silver Mines Ltd. vs. Cropper</w:t>
      </w:r>
      <w:r>
        <w:rPr>
          <w:vertAlign w:val="superscript"/>
        </w:rPr>
        <w:t>262</w:t>
      </w:r>
      <w:r>
        <w:rPr>
          <w:vertAlign w:val="baseline"/>
        </w:rPr>
        <w:t> decided by the Supreme Court of Canada. In that</w:t>
      </w:r>
      <w:r>
        <w:rPr>
          <w:spacing w:val="40"/>
          <w:vertAlign w:val="baseline"/>
        </w:rPr>
        <w:t> </w:t>
      </w:r>
      <w:r>
        <w:rPr>
          <w:vertAlign w:val="baseline"/>
        </w:rPr>
        <w:t>case, the respondent was instrumental in incorporating a companyin 1959 which, two years later, transferred its assets to the appellant, Peso, a company in the formation of which</w:t>
      </w:r>
      <w:r>
        <w:rPr>
          <w:spacing w:val="-7"/>
          <w:vertAlign w:val="baseline"/>
        </w:rPr>
        <w:t> </w:t>
      </w:r>
      <w:r>
        <w:rPr>
          <w:vertAlign w:val="baseline"/>
        </w:rPr>
        <w:t>the</w:t>
      </w:r>
      <w:r>
        <w:rPr>
          <w:spacing w:val="-3"/>
          <w:vertAlign w:val="baseline"/>
        </w:rPr>
        <w:t> </w:t>
      </w:r>
      <w:r>
        <w:rPr>
          <w:vertAlign w:val="baseline"/>
        </w:rPr>
        <w:t>respondent also played</w:t>
      </w:r>
      <w:r>
        <w:rPr>
          <w:spacing w:val="-2"/>
          <w:vertAlign w:val="baseline"/>
        </w:rPr>
        <w:t> </w:t>
      </w:r>
      <w:r>
        <w:rPr>
          <w:vertAlign w:val="baseline"/>
        </w:rPr>
        <w:t>a major</w:t>
      </w:r>
      <w:r>
        <w:rPr>
          <w:spacing w:val="-1"/>
          <w:vertAlign w:val="baseline"/>
        </w:rPr>
        <w:t> </w:t>
      </w:r>
      <w:r>
        <w:rPr>
          <w:vertAlign w:val="baseline"/>
        </w:rPr>
        <w:t>role. Subsequent</w:t>
      </w:r>
      <w:r>
        <w:rPr>
          <w:spacing w:val="-2"/>
          <w:vertAlign w:val="baseline"/>
        </w:rPr>
        <w:t> </w:t>
      </w:r>
      <w:r>
        <w:rPr>
          <w:vertAlign w:val="baseline"/>
        </w:rPr>
        <w:t>to</w:t>
      </w:r>
      <w:r>
        <w:rPr>
          <w:spacing w:val="-2"/>
          <w:vertAlign w:val="baseline"/>
        </w:rPr>
        <w:t> </w:t>
      </w:r>
      <w:r>
        <w:rPr>
          <w:vertAlign w:val="baseline"/>
        </w:rPr>
        <w:t>this</w:t>
      </w:r>
      <w:r>
        <w:rPr>
          <w:spacing w:val="-4"/>
          <w:vertAlign w:val="baseline"/>
        </w:rPr>
        <w:t> </w:t>
      </w:r>
      <w:r>
        <w:rPr>
          <w:vertAlign w:val="baseline"/>
        </w:rPr>
        <w:t>the</w:t>
      </w:r>
      <w:r>
        <w:rPr>
          <w:spacing w:val="-3"/>
          <w:vertAlign w:val="baseline"/>
        </w:rPr>
        <w:t> </w:t>
      </w:r>
      <w:r>
        <w:rPr>
          <w:vertAlign w:val="baseline"/>
        </w:rPr>
        <w:t>appellant company went public but experienced strains on its finances. During 1962 an offer was made to the appellant to purchase mining claims, some of which were contiguous to claims already owned by the appellant. The then board of directors of the appellant company rejected this offer and the trial judge found this decision was made ―in the best of faith and solely in the interest of the appellant, and not from any personal or ulterior motive</w:t>
      </w:r>
      <w:r>
        <w:rPr>
          <w:spacing w:val="40"/>
          <w:vertAlign w:val="baseline"/>
        </w:rPr>
        <w:t> </w:t>
      </w:r>
      <w:r>
        <w:rPr>
          <w:vertAlign w:val="baseline"/>
        </w:rPr>
        <w:t>on the part of any director, including the respondent.‖ The major reason given for rejecting</w:t>
      </w:r>
      <w:r>
        <w:rPr>
          <w:spacing w:val="55"/>
          <w:w w:val="150"/>
          <w:vertAlign w:val="baseline"/>
        </w:rPr>
        <w:t> </w:t>
      </w:r>
      <w:r>
        <w:rPr>
          <w:vertAlign w:val="baseline"/>
        </w:rPr>
        <w:t>the</w:t>
      </w:r>
      <w:r>
        <w:rPr>
          <w:spacing w:val="54"/>
          <w:w w:val="150"/>
          <w:vertAlign w:val="baseline"/>
        </w:rPr>
        <w:t> </w:t>
      </w:r>
      <w:r>
        <w:rPr>
          <w:vertAlign w:val="baseline"/>
        </w:rPr>
        <w:t>offer</w:t>
      </w:r>
      <w:r>
        <w:rPr>
          <w:spacing w:val="57"/>
          <w:w w:val="150"/>
          <w:vertAlign w:val="baseline"/>
        </w:rPr>
        <w:t> </w:t>
      </w:r>
      <w:r>
        <w:rPr>
          <w:vertAlign w:val="baseline"/>
        </w:rPr>
        <w:t>was</w:t>
      </w:r>
      <w:r>
        <w:rPr>
          <w:spacing w:val="58"/>
          <w:w w:val="150"/>
          <w:vertAlign w:val="baseline"/>
        </w:rPr>
        <w:t> </w:t>
      </w:r>
      <w:r>
        <w:rPr>
          <w:vertAlign w:val="baseline"/>
        </w:rPr>
        <w:t>financial</w:t>
      </w:r>
      <w:r>
        <w:rPr>
          <w:spacing w:val="56"/>
          <w:w w:val="150"/>
          <w:vertAlign w:val="baseline"/>
        </w:rPr>
        <w:t> </w:t>
      </w:r>
      <w:r>
        <w:rPr>
          <w:vertAlign w:val="baseline"/>
        </w:rPr>
        <w:t>inability.</w:t>
      </w:r>
      <w:r>
        <w:rPr>
          <w:spacing w:val="57"/>
          <w:w w:val="150"/>
          <w:vertAlign w:val="baseline"/>
        </w:rPr>
        <w:t> </w:t>
      </w:r>
      <w:r>
        <w:rPr>
          <w:vertAlign w:val="baseline"/>
        </w:rPr>
        <w:t>Subsequent</w:t>
      </w:r>
      <w:r>
        <w:rPr>
          <w:spacing w:val="60"/>
          <w:w w:val="150"/>
          <w:vertAlign w:val="baseline"/>
        </w:rPr>
        <w:t> </w:t>
      </w:r>
      <w:r>
        <w:rPr>
          <w:vertAlign w:val="baseline"/>
        </w:rPr>
        <w:t>to</w:t>
      </w:r>
      <w:r>
        <w:rPr>
          <w:spacing w:val="55"/>
          <w:w w:val="150"/>
          <w:vertAlign w:val="baseline"/>
        </w:rPr>
        <w:t> </w:t>
      </w:r>
      <w:r>
        <w:rPr>
          <w:vertAlign w:val="baseline"/>
        </w:rPr>
        <w:t>this</w:t>
      </w:r>
      <w:r>
        <w:rPr>
          <w:spacing w:val="53"/>
          <w:w w:val="150"/>
          <w:vertAlign w:val="baseline"/>
        </w:rPr>
        <w:t> </w:t>
      </w:r>
      <w:r>
        <w:rPr>
          <w:vertAlign w:val="baseline"/>
        </w:rPr>
        <w:t>the</w:t>
      </w:r>
      <w:r>
        <w:rPr>
          <w:spacing w:val="54"/>
          <w:w w:val="150"/>
          <w:vertAlign w:val="baseline"/>
        </w:rPr>
        <w:t> </w:t>
      </w:r>
      <w:r>
        <w:rPr>
          <w:vertAlign w:val="baseline"/>
        </w:rPr>
        <w:t>respondent,</w:t>
      </w:r>
      <w:r>
        <w:rPr>
          <w:spacing w:val="58"/>
          <w:w w:val="150"/>
          <w:vertAlign w:val="baseline"/>
        </w:rPr>
        <w:t> </w:t>
      </w:r>
      <w:r>
        <w:rPr>
          <w:spacing w:val="-5"/>
          <w:vertAlign w:val="baseline"/>
        </w:rPr>
        <w:t>in</w:t>
      </w:r>
    </w:p>
    <w:p>
      <w:pPr>
        <w:pStyle w:val="BodyText"/>
        <w:spacing w:before="3"/>
        <w:jc w:val="both"/>
      </w:pPr>
      <w:r>
        <w:rPr/>
        <w:t>conjunction</w:t>
      </w:r>
      <w:r>
        <w:rPr>
          <w:spacing w:val="12"/>
        </w:rPr>
        <w:t> </w:t>
      </w:r>
      <w:r>
        <w:rPr/>
        <w:t>with</w:t>
      </w:r>
      <w:r>
        <w:rPr>
          <w:spacing w:val="15"/>
        </w:rPr>
        <w:t> </w:t>
      </w:r>
      <w:r>
        <w:rPr/>
        <w:t>two</w:t>
      </w:r>
      <w:r>
        <w:rPr>
          <w:spacing w:val="15"/>
        </w:rPr>
        <w:t> </w:t>
      </w:r>
      <w:r>
        <w:rPr/>
        <w:t>other</w:t>
      </w:r>
      <w:r>
        <w:rPr>
          <w:spacing w:val="21"/>
        </w:rPr>
        <w:t> </w:t>
      </w:r>
      <w:r>
        <w:rPr/>
        <w:t>directors</w:t>
      </w:r>
      <w:r>
        <w:rPr>
          <w:spacing w:val="18"/>
        </w:rPr>
        <w:t> </w:t>
      </w:r>
      <w:r>
        <w:rPr/>
        <w:t>and</w:t>
      </w:r>
      <w:r>
        <w:rPr>
          <w:spacing w:val="20"/>
        </w:rPr>
        <w:t> </w:t>
      </w:r>
      <w:r>
        <w:rPr/>
        <w:t>the</w:t>
      </w:r>
      <w:r>
        <w:rPr>
          <w:spacing w:val="18"/>
        </w:rPr>
        <w:t> </w:t>
      </w:r>
      <w:r>
        <w:rPr/>
        <w:t>company</w:t>
      </w:r>
      <w:r>
        <w:rPr>
          <w:spacing w:val="15"/>
        </w:rPr>
        <w:t> </w:t>
      </w:r>
      <w:r>
        <w:rPr/>
        <w:t>geologist,</w:t>
      </w:r>
      <w:r>
        <w:rPr>
          <w:spacing w:val="22"/>
        </w:rPr>
        <w:t> </w:t>
      </w:r>
      <w:r>
        <w:rPr/>
        <w:t>formed</w:t>
      </w:r>
      <w:r>
        <w:rPr>
          <w:spacing w:val="20"/>
        </w:rPr>
        <w:t> </w:t>
      </w:r>
      <w:r>
        <w:rPr/>
        <w:t>a</w:t>
      </w:r>
      <w:r>
        <w:rPr>
          <w:spacing w:val="19"/>
        </w:rPr>
        <w:t> </w:t>
      </w:r>
      <w:r>
        <w:rPr/>
        <w:t>company</w:t>
      </w:r>
      <w:r>
        <w:rPr>
          <w:spacing w:val="15"/>
        </w:rPr>
        <w:t> </w:t>
      </w:r>
      <w:r>
        <w:rPr>
          <w:spacing w:val="-5"/>
        </w:rPr>
        <w:t>to</w:t>
      </w:r>
    </w:p>
    <w:p>
      <w:pPr>
        <w:pStyle w:val="BodyText"/>
        <w:spacing w:before="3"/>
        <w:ind w:left="0"/>
        <w:rPr>
          <w:sz w:val="14"/>
        </w:rPr>
      </w:pPr>
      <w:r>
        <w:rPr/>
        <mc:AlternateContent>
          <mc:Choice Requires="wps">
            <w:drawing>
              <wp:anchor distT="0" distB="0" distL="0" distR="0" allowOverlap="1" layoutInCell="1" locked="0" behindDoc="1" simplePos="0" relativeHeight="487698944">
                <wp:simplePos x="0" y="0"/>
                <wp:positionH relativeFrom="page">
                  <wp:posOffset>1262481</wp:posOffset>
                </wp:positionH>
                <wp:positionV relativeFrom="paragraph">
                  <wp:posOffset>119444</wp:posOffset>
                </wp:positionV>
                <wp:extent cx="1829435" cy="9525"/>
                <wp:effectExtent l="0" t="0" r="0" b="0"/>
                <wp:wrapTopAndBottom/>
                <wp:docPr id="243" name="Graphic 243"/>
                <wp:cNvGraphicFramePr>
                  <a:graphicFrameLocks/>
                </wp:cNvGraphicFramePr>
                <a:graphic>
                  <a:graphicData uri="http://schemas.microsoft.com/office/word/2010/wordprocessingShape">
                    <wps:wsp>
                      <wps:cNvPr id="243" name="Graphic 24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5108pt;width:144.050pt;height:.71997pt;mso-position-horizontal-relative:page;mso-position-vertical-relative:paragraph;z-index:-15617536;mso-wrap-distance-left:0;mso-wrap-distance-right:0" id="docshape198"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260</w:t>
      </w:r>
      <w:r>
        <w:rPr>
          <w:rFonts w:ascii="Calibri"/>
          <w:sz w:val="20"/>
          <w:vertAlign w:val="baseline"/>
        </w:rPr>
        <w:t>Per</w:t>
      </w:r>
      <w:r>
        <w:rPr>
          <w:rFonts w:ascii="Calibri"/>
          <w:spacing w:val="-4"/>
          <w:sz w:val="20"/>
          <w:vertAlign w:val="baseline"/>
        </w:rPr>
        <w:t> </w:t>
      </w:r>
      <w:r>
        <w:rPr>
          <w:rFonts w:ascii="Calibri"/>
          <w:sz w:val="20"/>
          <w:vertAlign w:val="baseline"/>
        </w:rPr>
        <w:t>Lord Wark</w:t>
      </w:r>
      <w:r>
        <w:rPr>
          <w:rFonts w:ascii="Calibri"/>
          <w:spacing w:val="-6"/>
          <w:sz w:val="20"/>
          <w:vertAlign w:val="baseline"/>
        </w:rPr>
        <w:t> </w:t>
      </w:r>
      <w:r>
        <w:rPr>
          <w:rFonts w:ascii="Calibri"/>
          <w:sz w:val="20"/>
          <w:vertAlign w:val="baseline"/>
        </w:rPr>
        <w:t>in</w:t>
      </w:r>
      <w:r>
        <w:rPr>
          <w:rFonts w:ascii="Calibri"/>
          <w:spacing w:val="-3"/>
          <w:sz w:val="20"/>
          <w:vertAlign w:val="baseline"/>
        </w:rPr>
        <w:t> </w:t>
      </w:r>
      <w:r>
        <w:rPr>
          <w:rFonts w:ascii="Calibri"/>
          <w:i/>
          <w:sz w:val="20"/>
          <w:vertAlign w:val="baseline"/>
        </w:rPr>
        <w:t>Harris</w:t>
      </w:r>
      <w:r>
        <w:rPr>
          <w:rFonts w:ascii="Calibri"/>
          <w:i/>
          <w:spacing w:val="-6"/>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A.</w:t>
      </w:r>
      <w:r>
        <w:rPr>
          <w:rFonts w:ascii="Calibri"/>
          <w:i/>
          <w:spacing w:val="-3"/>
          <w:sz w:val="20"/>
          <w:vertAlign w:val="baseline"/>
        </w:rPr>
        <w:t> </w:t>
      </w:r>
      <w:r>
        <w:rPr>
          <w:rFonts w:ascii="Calibri"/>
          <w:i/>
          <w:sz w:val="20"/>
          <w:vertAlign w:val="baseline"/>
        </w:rPr>
        <w:t>Harris</w:t>
      </w:r>
      <w:r>
        <w:rPr>
          <w:rFonts w:ascii="Calibri"/>
          <w:i/>
          <w:spacing w:val="-6"/>
          <w:sz w:val="20"/>
          <w:vertAlign w:val="baseline"/>
        </w:rPr>
        <w:t> </w:t>
      </w:r>
      <w:r>
        <w:rPr>
          <w:rFonts w:ascii="Calibri"/>
          <w:i/>
          <w:sz w:val="20"/>
          <w:vertAlign w:val="baseline"/>
        </w:rPr>
        <w:t>Ltd</w:t>
      </w:r>
      <w:r>
        <w:rPr>
          <w:rFonts w:ascii="Calibri"/>
          <w:sz w:val="20"/>
          <w:vertAlign w:val="baseline"/>
        </w:rPr>
        <w:t>.</w:t>
      </w:r>
      <w:r>
        <w:rPr>
          <w:rFonts w:ascii="Calibri"/>
          <w:spacing w:val="-4"/>
          <w:sz w:val="20"/>
          <w:vertAlign w:val="baseline"/>
        </w:rPr>
        <w:t> </w:t>
      </w:r>
      <w:r>
        <w:rPr>
          <w:rFonts w:ascii="Calibri"/>
          <w:sz w:val="20"/>
          <w:vertAlign w:val="baseline"/>
        </w:rPr>
        <w:t>(1936)</w:t>
      </w:r>
      <w:r>
        <w:rPr>
          <w:rFonts w:ascii="Calibri"/>
          <w:spacing w:val="-3"/>
          <w:sz w:val="20"/>
          <w:vertAlign w:val="baseline"/>
        </w:rPr>
        <w:t> </w:t>
      </w:r>
      <w:r>
        <w:rPr>
          <w:rFonts w:ascii="Calibri"/>
          <w:sz w:val="20"/>
          <w:vertAlign w:val="baseline"/>
        </w:rPr>
        <w:t>SC</w:t>
      </w:r>
      <w:r>
        <w:rPr>
          <w:rFonts w:ascii="Calibri"/>
          <w:spacing w:val="-3"/>
          <w:sz w:val="20"/>
          <w:vertAlign w:val="baseline"/>
        </w:rPr>
        <w:t> </w:t>
      </w:r>
      <w:r>
        <w:rPr>
          <w:rFonts w:ascii="Calibri"/>
          <w:sz w:val="20"/>
          <w:vertAlign w:val="baseline"/>
        </w:rPr>
        <w:t>183</w:t>
      </w:r>
      <w:r>
        <w:rPr>
          <w:rFonts w:ascii="Calibri"/>
          <w:spacing w:val="-1"/>
          <w:sz w:val="20"/>
          <w:vertAlign w:val="baseline"/>
        </w:rPr>
        <w:t> </w:t>
      </w:r>
      <w:r>
        <w:rPr>
          <w:rFonts w:ascii="Calibri"/>
          <w:sz w:val="20"/>
          <w:vertAlign w:val="baseline"/>
        </w:rPr>
        <w:t>at</w:t>
      </w:r>
      <w:r>
        <w:rPr>
          <w:rFonts w:ascii="Calibri"/>
          <w:spacing w:val="-6"/>
          <w:sz w:val="20"/>
          <w:vertAlign w:val="baseline"/>
        </w:rPr>
        <w:t> </w:t>
      </w:r>
      <w:r>
        <w:rPr>
          <w:rFonts w:ascii="Calibri"/>
          <w:spacing w:val="-4"/>
          <w:sz w:val="20"/>
          <w:vertAlign w:val="baseline"/>
        </w:rPr>
        <w:t>191.</w:t>
      </w:r>
    </w:p>
    <w:p>
      <w:pPr>
        <w:spacing w:before="1"/>
        <w:ind w:left="308" w:right="0" w:firstLine="0"/>
        <w:jc w:val="left"/>
        <w:rPr>
          <w:rFonts w:ascii="Calibri"/>
          <w:sz w:val="20"/>
        </w:rPr>
      </w:pPr>
      <w:r>
        <w:rPr>
          <w:rFonts w:ascii="Calibri"/>
          <w:sz w:val="20"/>
          <w:vertAlign w:val="superscript"/>
        </w:rPr>
        <w:t>261</w:t>
      </w:r>
      <w:r>
        <w:rPr>
          <w:rFonts w:ascii="Calibri"/>
          <w:sz w:val="20"/>
          <w:vertAlign w:val="baseline"/>
        </w:rPr>
        <w:t>Corkery,</w:t>
      </w:r>
      <w:r>
        <w:rPr>
          <w:rFonts w:ascii="Calibri"/>
          <w:spacing w:val="-6"/>
          <w:sz w:val="20"/>
          <w:vertAlign w:val="baseline"/>
        </w:rPr>
        <w:t> </w:t>
      </w:r>
      <w:r>
        <w:rPr>
          <w:rFonts w:ascii="Calibri"/>
          <w:sz w:val="20"/>
          <w:vertAlign w:val="baseline"/>
        </w:rPr>
        <w:t>F.J.</w:t>
      </w:r>
      <w:r>
        <w:rPr>
          <w:rFonts w:ascii="Calibri"/>
          <w:spacing w:val="-6"/>
          <w:sz w:val="20"/>
          <w:vertAlign w:val="baseline"/>
        </w:rPr>
        <w:t> </w:t>
      </w:r>
      <w:r>
        <w:rPr>
          <w:rFonts w:ascii="Calibri"/>
          <w:sz w:val="20"/>
          <w:vertAlign w:val="baseline"/>
        </w:rPr>
        <w:t>op.cit.at</w:t>
      </w:r>
      <w:r>
        <w:rPr>
          <w:rFonts w:ascii="Calibri"/>
          <w:spacing w:val="-4"/>
          <w:sz w:val="20"/>
          <w:vertAlign w:val="baseline"/>
        </w:rPr>
        <w:t> </w:t>
      </w:r>
      <w:r>
        <w:rPr>
          <w:rFonts w:ascii="Calibri"/>
          <w:sz w:val="20"/>
          <w:vertAlign w:val="baseline"/>
        </w:rPr>
        <w:t>p.</w:t>
      </w:r>
      <w:r>
        <w:rPr>
          <w:rFonts w:ascii="Calibri"/>
          <w:spacing w:val="-1"/>
          <w:sz w:val="20"/>
          <w:vertAlign w:val="baseline"/>
        </w:rPr>
        <w:t> </w:t>
      </w:r>
      <w:r>
        <w:rPr>
          <w:rFonts w:ascii="Calibri"/>
          <w:spacing w:val="-5"/>
          <w:sz w:val="20"/>
          <w:vertAlign w:val="baseline"/>
        </w:rPr>
        <w:t>85.</w:t>
      </w:r>
    </w:p>
    <w:p>
      <w:pPr>
        <w:spacing w:before="0"/>
        <w:ind w:left="308" w:right="0" w:firstLine="0"/>
        <w:jc w:val="left"/>
        <w:rPr>
          <w:rFonts w:ascii="Calibri"/>
          <w:sz w:val="20"/>
        </w:rPr>
      </w:pPr>
      <w:r>
        <w:rPr>
          <w:rFonts w:ascii="Calibri"/>
          <w:sz w:val="20"/>
          <w:vertAlign w:val="superscript"/>
        </w:rPr>
        <w:t>262</w:t>
      </w:r>
      <w:r>
        <w:rPr>
          <w:rFonts w:ascii="Calibri"/>
          <w:sz w:val="20"/>
          <w:vertAlign w:val="baseline"/>
        </w:rPr>
        <w:t>(1966)</w:t>
      </w:r>
      <w:r>
        <w:rPr>
          <w:rFonts w:ascii="Calibri"/>
          <w:spacing w:val="-1"/>
          <w:sz w:val="20"/>
          <w:vertAlign w:val="baseline"/>
        </w:rPr>
        <w:t> </w:t>
      </w:r>
      <w:r>
        <w:rPr>
          <w:rFonts w:ascii="Calibri"/>
          <w:sz w:val="20"/>
          <w:vertAlign w:val="baseline"/>
        </w:rPr>
        <w:t>58</w:t>
      </w:r>
      <w:r>
        <w:rPr>
          <w:rFonts w:ascii="Calibri"/>
          <w:spacing w:val="-7"/>
          <w:sz w:val="20"/>
          <w:vertAlign w:val="baseline"/>
        </w:rPr>
        <w:t> </w:t>
      </w:r>
      <w:r>
        <w:rPr>
          <w:rFonts w:ascii="Calibri"/>
          <w:sz w:val="20"/>
          <w:vertAlign w:val="baseline"/>
        </w:rPr>
        <w:t>DLR</w:t>
      </w:r>
      <w:r>
        <w:rPr>
          <w:rFonts w:ascii="Calibri"/>
          <w:spacing w:val="-5"/>
          <w:sz w:val="20"/>
          <w:vertAlign w:val="baseline"/>
        </w:rPr>
        <w:t> </w:t>
      </w:r>
      <w:r>
        <w:rPr>
          <w:rFonts w:ascii="Calibri"/>
          <w:sz w:val="20"/>
          <w:vertAlign w:val="baseline"/>
        </w:rPr>
        <w:t>(2d.)</w:t>
      </w:r>
      <w:r>
        <w:rPr>
          <w:rFonts w:ascii="Calibri"/>
          <w:spacing w:val="-4"/>
          <w:sz w:val="20"/>
          <w:vertAlign w:val="baseline"/>
        </w:rPr>
        <w:t> </w:t>
      </w:r>
      <w:r>
        <w:rPr>
          <w:rFonts w:ascii="Calibri"/>
          <w:spacing w:val="-5"/>
          <w:sz w:val="20"/>
          <w:vertAlign w:val="baseline"/>
        </w:rPr>
        <w:t>1.</w:t>
      </w:r>
    </w:p>
    <w:p>
      <w:pPr>
        <w:spacing w:after="0"/>
        <w:jc w:val="left"/>
        <w:rPr>
          <w:rFonts w:ascii="Calibri"/>
          <w:sz w:val="20"/>
        </w:rPr>
        <w:sectPr>
          <w:type w:val="continuous"/>
          <w:pgSz w:w="11910" w:h="16840"/>
          <w:pgMar w:header="0" w:footer="1003" w:top="1320" w:bottom="280" w:left="1680" w:right="1180"/>
        </w:sectPr>
      </w:pPr>
    </w:p>
    <w:p>
      <w:pPr>
        <w:pStyle w:val="BodyText"/>
        <w:spacing w:line="480" w:lineRule="auto" w:before="70"/>
        <w:ind w:right="187"/>
        <w:jc w:val="both"/>
      </w:pPr>
      <w:r>
        <w:rPr/>
        <w:t>purchase and exploit the claims. In 1963 the appellant, needing fresh supplies of</w:t>
      </w:r>
      <w:r>
        <w:rPr>
          <w:spacing w:val="-4"/>
        </w:rPr>
        <w:t> </w:t>
      </w:r>
      <w:r>
        <w:rPr/>
        <w:t>capital, sold 1,000,000 shares to Charter Oil</w:t>
      </w:r>
      <w:r>
        <w:rPr>
          <w:spacing w:val="-1"/>
        </w:rPr>
        <w:t> </w:t>
      </w:r>
      <w:r>
        <w:rPr/>
        <w:t>Co. Ltd. As a result control</w:t>
      </w:r>
      <w:r>
        <w:rPr>
          <w:spacing w:val="-6"/>
        </w:rPr>
        <w:t> </w:t>
      </w:r>
      <w:r>
        <w:rPr/>
        <w:t>of</w:t>
      </w:r>
      <w:r>
        <w:rPr>
          <w:spacing w:val="-4"/>
        </w:rPr>
        <w:t> </w:t>
      </w:r>
      <w:r>
        <w:rPr/>
        <w:t>Peso was transferred to the latter company. Representatives of Charter then requested the respondent to hand over his interest in the company formed to exploit the claims rejected by the appellant. The respondent declined to do thisand was dismissed for his contumacy. The Supreme Court upheld the judgment of the Court of Appeal dismissing the appellant's action and asserting that the respondent did not hold the shares in the company formed to exploit</w:t>
      </w:r>
      <w:r>
        <w:rPr>
          <w:spacing w:val="40"/>
        </w:rPr>
        <w:t> </w:t>
      </w:r>
      <w:r>
        <w:rPr/>
        <w:t>the above claims, in trust for Peso.</w:t>
      </w:r>
    </w:p>
    <w:p>
      <w:pPr>
        <w:pStyle w:val="BodyText"/>
        <w:spacing w:line="480" w:lineRule="auto" w:before="2"/>
        <w:ind w:right="185" w:firstLine="720"/>
        <w:jc w:val="both"/>
      </w:pPr>
      <w:r>
        <w:rPr/>
        <w:t>The court may</w:t>
      </w:r>
      <w:r>
        <w:rPr>
          <w:spacing w:val="-1"/>
        </w:rPr>
        <w:t> </w:t>
      </w:r>
      <w:r>
        <w:rPr/>
        <w:t>have viewed the rejection</w:t>
      </w:r>
      <w:r>
        <w:rPr>
          <w:spacing w:val="-1"/>
        </w:rPr>
        <w:t> </w:t>
      </w:r>
      <w:r>
        <w:rPr/>
        <w:t>of</w:t>
      </w:r>
      <w:r>
        <w:rPr>
          <w:spacing w:val="-4"/>
        </w:rPr>
        <w:t> </w:t>
      </w:r>
      <w:r>
        <w:rPr/>
        <w:t>the opportunity</w:t>
      </w:r>
      <w:r>
        <w:rPr>
          <w:spacing w:val="-1"/>
        </w:rPr>
        <w:t> </w:t>
      </w:r>
      <w:r>
        <w:rPr/>
        <w:t>by</w:t>
      </w:r>
      <w:r>
        <w:rPr>
          <w:spacing w:val="-6"/>
        </w:rPr>
        <w:t> </w:t>
      </w:r>
      <w:r>
        <w:rPr/>
        <w:t>Peso above either as</w:t>
      </w:r>
      <w:r>
        <w:rPr>
          <w:spacing w:val="-2"/>
        </w:rPr>
        <w:t> </w:t>
      </w:r>
      <w:r>
        <w:rPr/>
        <w:t>removing the conflict of</w:t>
      </w:r>
      <w:r>
        <w:rPr>
          <w:spacing w:val="-3"/>
        </w:rPr>
        <w:t> </w:t>
      </w:r>
      <w:r>
        <w:rPr/>
        <w:t>interest problem</w:t>
      </w:r>
      <w:r>
        <w:rPr>
          <w:spacing w:val="-5"/>
        </w:rPr>
        <w:t> </w:t>
      </w:r>
      <w:r>
        <w:rPr/>
        <w:t>and operating in the same way as disclosure does with respect to directors‘ contracts with the company, oras being tantamount to condonation</w:t>
      </w:r>
      <w:r>
        <w:rPr>
          <w:spacing w:val="-4"/>
        </w:rPr>
        <w:t> </w:t>
      </w:r>
      <w:r>
        <w:rPr/>
        <w:t>or authorisation</w:t>
      </w:r>
      <w:r>
        <w:rPr>
          <w:spacing w:val="-4"/>
        </w:rPr>
        <w:t> </w:t>
      </w:r>
      <w:r>
        <w:rPr/>
        <w:t>of</w:t>
      </w:r>
      <w:r>
        <w:rPr>
          <w:spacing w:val="-7"/>
        </w:rPr>
        <w:t> </w:t>
      </w:r>
      <w:r>
        <w:rPr/>
        <w:t>the directors‘</w:t>
      </w:r>
      <w:r>
        <w:rPr>
          <w:spacing w:val="-2"/>
        </w:rPr>
        <w:t> </w:t>
      </w:r>
      <w:r>
        <w:rPr/>
        <w:t>conduct.</w:t>
      </w:r>
      <w:r>
        <w:rPr>
          <w:vertAlign w:val="superscript"/>
        </w:rPr>
        <w:t>263</w:t>
      </w:r>
      <w:r>
        <w:rPr>
          <w:vertAlign w:val="baseline"/>
        </w:rPr>
        <w:t> Some have questioned why</w:t>
      </w:r>
      <w:r>
        <w:rPr>
          <w:spacing w:val="-4"/>
          <w:vertAlign w:val="baseline"/>
        </w:rPr>
        <w:t> </w:t>
      </w:r>
      <w:r>
        <w:rPr>
          <w:vertAlign w:val="baseline"/>
        </w:rPr>
        <w:t>the court should decide in this manner, especially considering the fact that the decision to reject the opportunity by the board had the dual characteristic of not only depriving the company of the business opportunity, but also of facilitating its subsequent exploitation by the directors, the very persons who made the decision to reject on behalf of the company.</w:t>
      </w:r>
      <w:r>
        <w:rPr>
          <w:vertAlign w:val="superscript"/>
        </w:rPr>
        <w:t>264</w:t>
      </w:r>
      <w:r>
        <w:rPr>
          <w:vertAlign w:val="baseline"/>
        </w:rPr>
        <w:t> One commentator went as far as to urge the English court not to adopt a similar stance on the issue, if it ever had to consider a similar situation.</w:t>
      </w:r>
      <w:r>
        <w:rPr>
          <w:vertAlign w:val="superscript"/>
        </w:rPr>
        <w:t>265</w:t>
      </w:r>
      <w:r>
        <w:rPr>
          <w:vertAlign w:val="baseline"/>
        </w:rPr>
        <w:t> But it did.</w:t>
      </w:r>
    </w:p>
    <w:p>
      <w:pPr>
        <w:pStyle w:val="BodyText"/>
        <w:spacing w:line="480" w:lineRule="auto" w:before="1"/>
        <w:ind w:right="186" w:firstLine="720"/>
        <w:jc w:val="both"/>
      </w:pPr>
      <w:r>
        <w:rPr/>
        <w:t>In </w:t>
      </w:r>
      <w:r>
        <w:rPr>
          <w:b/>
        </w:rPr>
        <w:t>Queensland Mines Ltd. vs. Hudson</w:t>
      </w:r>
      <w:r>
        <w:rPr>
          <w:vertAlign w:val="superscript"/>
        </w:rPr>
        <w:t>266</w:t>
      </w:r>
      <w:r>
        <w:rPr>
          <w:vertAlign w:val="baseline"/>
        </w:rPr>
        <w:t> the defendant had been managing director</w:t>
      </w:r>
      <w:r>
        <w:rPr>
          <w:spacing w:val="-4"/>
          <w:vertAlign w:val="baseline"/>
        </w:rPr>
        <w:t> </w:t>
      </w:r>
      <w:r>
        <w:rPr>
          <w:vertAlign w:val="baseline"/>
        </w:rPr>
        <w:t>of</w:t>
      </w:r>
      <w:r>
        <w:rPr>
          <w:spacing w:val="-9"/>
          <w:vertAlign w:val="baseline"/>
        </w:rPr>
        <w:t> </w:t>
      </w:r>
      <w:r>
        <w:rPr>
          <w:vertAlign w:val="baseline"/>
        </w:rPr>
        <w:t>the</w:t>
      </w:r>
      <w:r>
        <w:rPr>
          <w:spacing w:val="-2"/>
          <w:vertAlign w:val="baseline"/>
        </w:rPr>
        <w:t> </w:t>
      </w:r>
      <w:r>
        <w:rPr>
          <w:vertAlign w:val="baseline"/>
        </w:rPr>
        <w:t>plaintiff mining</w:t>
      </w:r>
      <w:r>
        <w:rPr>
          <w:spacing w:val="-1"/>
          <w:vertAlign w:val="baseline"/>
        </w:rPr>
        <w:t> </w:t>
      </w:r>
      <w:r>
        <w:rPr>
          <w:vertAlign w:val="baseline"/>
        </w:rPr>
        <w:t>company, where he learned</w:t>
      </w:r>
      <w:r>
        <w:rPr>
          <w:spacing w:val="-1"/>
          <w:vertAlign w:val="baseline"/>
        </w:rPr>
        <w:t> </w:t>
      </w:r>
      <w:r>
        <w:rPr>
          <w:vertAlign w:val="baseline"/>
        </w:rPr>
        <w:t>of</w:t>
      </w:r>
      <w:r>
        <w:rPr>
          <w:spacing w:val="-9"/>
          <w:vertAlign w:val="baseline"/>
        </w:rPr>
        <w:t> </w:t>
      </w:r>
      <w:r>
        <w:rPr>
          <w:vertAlign w:val="baseline"/>
        </w:rPr>
        <w:t>some</w:t>
      </w:r>
      <w:r>
        <w:rPr>
          <w:spacing w:val="-2"/>
          <w:vertAlign w:val="baseline"/>
        </w:rPr>
        <w:t> </w:t>
      </w:r>
      <w:r>
        <w:rPr>
          <w:vertAlign w:val="baseline"/>
        </w:rPr>
        <w:t>potentially</w:t>
      </w:r>
      <w:r>
        <w:rPr>
          <w:spacing w:val="-6"/>
          <w:vertAlign w:val="baseline"/>
        </w:rPr>
        <w:t> </w:t>
      </w:r>
      <w:r>
        <w:rPr>
          <w:vertAlign w:val="baseline"/>
        </w:rPr>
        <w:t>profitable mining contracts. The board of directors of the company decided not to pursue these opportunities</w:t>
      </w:r>
      <w:r>
        <w:rPr>
          <w:spacing w:val="14"/>
          <w:vertAlign w:val="baseline"/>
        </w:rPr>
        <w:t> </w:t>
      </w:r>
      <w:r>
        <w:rPr>
          <w:vertAlign w:val="baseline"/>
        </w:rPr>
        <w:t>after</w:t>
      </w:r>
      <w:r>
        <w:rPr>
          <w:spacing w:val="18"/>
          <w:vertAlign w:val="baseline"/>
        </w:rPr>
        <w:t> </w:t>
      </w:r>
      <w:r>
        <w:rPr>
          <w:vertAlign w:val="baseline"/>
        </w:rPr>
        <w:t>they</w:t>
      </w:r>
      <w:r>
        <w:rPr>
          <w:spacing w:val="16"/>
          <w:vertAlign w:val="baseline"/>
        </w:rPr>
        <w:t> </w:t>
      </w:r>
      <w:r>
        <w:rPr>
          <w:vertAlign w:val="baseline"/>
        </w:rPr>
        <w:t>had</w:t>
      </w:r>
      <w:r>
        <w:rPr>
          <w:spacing w:val="21"/>
          <w:vertAlign w:val="baseline"/>
        </w:rPr>
        <w:t> </w:t>
      </w:r>
      <w:r>
        <w:rPr>
          <w:vertAlign w:val="baseline"/>
        </w:rPr>
        <w:t>had</w:t>
      </w:r>
      <w:r>
        <w:rPr>
          <w:spacing w:val="21"/>
          <w:vertAlign w:val="baseline"/>
        </w:rPr>
        <w:t> </w:t>
      </w:r>
      <w:r>
        <w:rPr>
          <w:vertAlign w:val="baseline"/>
        </w:rPr>
        <w:t>all of</w:t>
      </w:r>
      <w:r>
        <w:rPr>
          <w:spacing w:val="13"/>
          <w:vertAlign w:val="baseline"/>
        </w:rPr>
        <w:t> </w:t>
      </w:r>
      <w:r>
        <w:rPr>
          <w:vertAlign w:val="baseline"/>
        </w:rPr>
        <w:t>the</w:t>
      </w:r>
      <w:r>
        <w:rPr>
          <w:spacing w:val="15"/>
          <w:vertAlign w:val="baseline"/>
        </w:rPr>
        <w:t> </w:t>
      </w:r>
      <w:r>
        <w:rPr>
          <w:vertAlign w:val="baseline"/>
        </w:rPr>
        <w:t>relevant</w:t>
      </w:r>
      <w:r>
        <w:rPr>
          <w:spacing w:val="21"/>
          <w:vertAlign w:val="baseline"/>
        </w:rPr>
        <w:t> </w:t>
      </w:r>
      <w:r>
        <w:rPr>
          <w:vertAlign w:val="baseline"/>
        </w:rPr>
        <w:t>facts</w:t>
      </w:r>
      <w:r>
        <w:rPr>
          <w:spacing w:val="14"/>
          <w:vertAlign w:val="baseline"/>
        </w:rPr>
        <w:t> </w:t>
      </w:r>
      <w:r>
        <w:rPr>
          <w:vertAlign w:val="baseline"/>
        </w:rPr>
        <w:t>explained</w:t>
      </w:r>
      <w:r>
        <w:rPr>
          <w:spacing w:val="16"/>
          <w:vertAlign w:val="baseline"/>
        </w:rPr>
        <w:t> </w:t>
      </w:r>
      <w:r>
        <w:rPr>
          <w:vertAlign w:val="baseline"/>
        </w:rPr>
        <w:t>to</w:t>
      </w:r>
      <w:r>
        <w:rPr>
          <w:spacing w:val="16"/>
          <w:vertAlign w:val="baseline"/>
        </w:rPr>
        <w:t> </w:t>
      </w:r>
      <w:r>
        <w:rPr>
          <w:vertAlign w:val="baseline"/>
        </w:rPr>
        <w:t>them,</w:t>
      </w:r>
      <w:r>
        <w:rPr>
          <w:spacing w:val="18"/>
          <w:vertAlign w:val="baseline"/>
        </w:rPr>
        <w:t> </w:t>
      </w:r>
      <w:r>
        <w:rPr>
          <w:vertAlign w:val="baseline"/>
        </w:rPr>
        <w:t>even</w:t>
      </w:r>
      <w:r>
        <w:rPr>
          <w:spacing w:val="16"/>
          <w:vertAlign w:val="baseline"/>
        </w:rPr>
        <w:t> </w:t>
      </w:r>
      <w:r>
        <w:rPr>
          <w:vertAlign w:val="baseline"/>
        </w:rPr>
        <w:t>in</w:t>
      </w:r>
      <w:r>
        <w:rPr>
          <w:spacing w:val="16"/>
          <w:vertAlign w:val="baseline"/>
        </w:rPr>
        <w:t> </w:t>
      </w:r>
      <w:r>
        <w:rPr>
          <w:vertAlign w:val="baseline"/>
        </w:rPr>
        <w:t>the</w:t>
      </w:r>
    </w:p>
    <w:p>
      <w:pPr>
        <w:pStyle w:val="BodyText"/>
        <w:spacing w:before="29"/>
        <w:ind w:left="0"/>
        <w:rPr>
          <w:sz w:val="20"/>
        </w:rPr>
      </w:pPr>
      <w:r>
        <w:rPr/>
        <mc:AlternateContent>
          <mc:Choice Requires="wps">
            <w:drawing>
              <wp:anchor distT="0" distB="0" distL="0" distR="0" allowOverlap="1" layoutInCell="1" locked="0" behindDoc="1" simplePos="0" relativeHeight="487699456">
                <wp:simplePos x="0" y="0"/>
                <wp:positionH relativeFrom="page">
                  <wp:posOffset>1262481</wp:posOffset>
                </wp:positionH>
                <wp:positionV relativeFrom="paragraph">
                  <wp:posOffset>179725</wp:posOffset>
                </wp:positionV>
                <wp:extent cx="1829435" cy="9525"/>
                <wp:effectExtent l="0" t="0" r="0" b="0"/>
                <wp:wrapTopAndBottom/>
                <wp:docPr id="244" name="Graphic 244"/>
                <wp:cNvGraphicFramePr>
                  <a:graphicFrameLocks/>
                </wp:cNvGraphicFramePr>
                <a:graphic>
                  <a:graphicData uri="http://schemas.microsoft.com/office/word/2010/wordprocessingShape">
                    <wps:wsp>
                      <wps:cNvPr id="244" name="Graphic 24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51592pt;width:144.050pt;height:.71997pt;mso-position-horizontal-relative:page;mso-position-vertical-relative:paragraph;z-index:-15617024;mso-wrap-distance-left:0;mso-wrap-distance-right:0" id="docshape199" filled="true" fillcolor="#000000" stroked="false">
                <v:fill type="solid"/>
                <w10:wrap type="topAndBottom"/>
              </v:rect>
            </w:pict>
          </mc:Fallback>
        </mc:AlternateContent>
      </w:r>
    </w:p>
    <w:p>
      <w:pPr>
        <w:spacing w:before="102"/>
        <w:ind w:left="308" w:right="225" w:firstLine="0"/>
        <w:jc w:val="left"/>
        <w:rPr>
          <w:rFonts w:ascii="Calibri"/>
          <w:sz w:val="20"/>
        </w:rPr>
      </w:pPr>
      <w:r>
        <w:rPr>
          <w:rFonts w:ascii="Calibri"/>
          <w:sz w:val="20"/>
          <w:vertAlign w:val="superscript"/>
        </w:rPr>
        <w:t>263</w:t>
      </w:r>
      <w:r>
        <w:rPr>
          <w:rFonts w:ascii="Calibri"/>
          <w:sz w:val="20"/>
          <w:vertAlign w:val="baseline"/>
        </w:rPr>
        <w:t>Prentice,</w:t>
      </w:r>
      <w:r>
        <w:rPr>
          <w:rFonts w:ascii="Calibri"/>
          <w:spacing w:val="-6"/>
          <w:sz w:val="20"/>
          <w:vertAlign w:val="baseline"/>
        </w:rPr>
        <w:t> </w:t>
      </w:r>
      <w:r>
        <w:rPr>
          <w:rFonts w:ascii="Calibri"/>
          <w:sz w:val="20"/>
          <w:vertAlign w:val="baseline"/>
        </w:rPr>
        <w:t>D.D.</w:t>
      </w:r>
      <w:r>
        <w:rPr>
          <w:rFonts w:ascii="Calibri"/>
          <w:spacing w:val="-2"/>
          <w:sz w:val="20"/>
          <w:vertAlign w:val="baseline"/>
        </w:rPr>
        <w:t> </w:t>
      </w:r>
      <w:r>
        <w:rPr>
          <w:rFonts w:ascii="Calibri"/>
          <w:sz w:val="20"/>
          <w:vertAlign w:val="baseline"/>
        </w:rPr>
        <w:t>(1967). Regal (Hastings)</w:t>
      </w:r>
      <w:r>
        <w:rPr>
          <w:rFonts w:ascii="Calibri"/>
          <w:spacing w:val="-2"/>
          <w:sz w:val="20"/>
          <w:vertAlign w:val="baseline"/>
        </w:rPr>
        <w:t> </w:t>
      </w:r>
      <w:r>
        <w:rPr>
          <w:rFonts w:ascii="Calibri"/>
          <w:sz w:val="20"/>
          <w:vertAlign w:val="baseline"/>
        </w:rPr>
        <w:t>Ltd.</w:t>
      </w:r>
      <w:r>
        <w:rPr>
          <w:rFonts w:ascii="Calibri"/>
          <w:spacing w:val="-2"/>
          <w:sz w:val="20"/>
          <w:vertAlign w:val="baseline"/>
        </w:rPr>
        <w:t> </w:t>
      </w:r>
      <w:r>
        <w:rPr>
          <w:rFonts w:ascii="Calibri"/>
          <w:sz w:val="20"/>
          <w:vertAlign w:val="baseline"/>
        </w:rPr>
        <w:t>vs.</w:t>
      </w:r>
      <w:r>
        <w:rPr>
          <w:rFonts w:ascii="Calibri"/>
          <w:spacing w:val="-2"/>
          <w:sz w:val="20"/>
          <w:vertAlign w:val="baseline"/>
        </w:rPr>
        <w:t> </w:t>
      </w:r>
      <w:r>
        <w:rPr>
          <w:rFonts w:ascii="Calibri"/>
          <w:sz w:val="20"/>
          <w:vertAlign w:val="baseline"/>
        </w:rPr>
        <w:t>Gulliver:</w:t>
      </w:r>
      <w:r>
        <w:rPr>
          <w:rFonts w:ascii="Calibri"/>
          <w:spacing w:val="-5"/>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Canadian</w:t>
      </w:r>
      <w:r>
        <w:rPr>
          <w:rFonts w:ascii="Calibri"/>
          <w:spacing w:val="-4"/>
          <w:sz w:val="20"/>
          <w:vertAlign w:val="baseline"/>
        </w:rPr>
        <w:t> </w:t>
      </w:r>
      <w:r>
        <w:rPr>
          <w:rFonts w:ascii="Calibri"/>
          <w:sz w:val="20"/>
          <w:vertAlign w:val="baseline"/>
        </w:rPr>
        <w:t>Experience. </w:t>
      </w:r>
      <w:r>
        <w:rPr>
          <w:rFonts w:ascii="Calibri"/>
          <w:i/>
          <w:sz w:val="20"/>
          <w:vertAlign w:val="baseline"/>
        </w:rPr>
        <w:t>Modern</w:t>
      </w:r>
      <w:r>
        <w:rPr>
          <w:rFonts w:ascii="Calibri"/>
          <w:i/>
          <w:spacing w:val="-2"/>
          <w:sz w:val="20"/>
          <w:vertAlign w:val="baseline"/>
        </w:rPr>
        <w:t> </w:t>
      </w:r>
      <w:r>
        <w:rPr>
          <w:rFonts w:ascii="Calibri"/>
          <w:i/>
          <w:sz w:val="20"/>
          <w:vertAlign w:val="baseline"/>
        </w:rPr>
        <w:t>Law</w:t>
      </w:r>
      <w:r>
        <w:rPr>
          <w:rFonts w:ascii="Calibri"/>
          <w:i/>
          <w:spacing w:val="-4"/>
          <w:sz w:val="20"/>
          <w:vertAlign w:val="baseline"/>
        </w:rPr>
        <w:t> </w:t>
      </w:r>
      <w:r>
        <w:rPr>
          <w:rFonts w:ascii="Calibri"/>
          <w:i/>
          <w:sz w:val="20"/>
          <w:vertAlign w:val="baseline"/>
        </w:rPr>
        <w:t>Review</w:t>
      </w:r>
      <w:r>
        <w:rPr>
          <w:rFonts w:ascii="Calibri"/>
          <w:sz w:val="20"/>
          <w:vertAlign w:val="baseline"/>
        </w:rPr>
        <w:t>, 30: 450-455, at p. 453.</w:t>
      </w:r>
    </w:p>
    <w:p>
      <w:pPr>
        <w:spacing w:before="2"/>
        <w:ind w:left="308" w:right="255" w:firstLine="0"/>
        <w:jc w:val="left"/>
        <w:rPr>
          <w:rFonts w:ascii="Calibri"/>
          <w:sz w:val="20"/>
        </w:rPr>
      </w:pPr>
      <w:r>
        <w:rPr>
          <w:rFonts w:ascii="Calibri"/>
          <w:sz w:val="20"/>
          <w:vertAlign w:val="superscript"/>
        </w:rPr>
        <w:t>264</w:t>
      </w:r>
      <w:r>
        <w:rPr>
          <w:rFonts w:ascii="Calibri"/>
          <w:sz w:val="20"/>
          <w:vertAlign w:val="baseline"/>
        </w:rPr>
        <w:t>Davies, L.P. and Worthington, S. (2012).Op.cit. at pp. 598-599; Prentice,</w:t>
      </w:r>
      <w:r>
        <w:rPr>
          <w:rFonts w:ascii="Calibri"/>
          <w:spacing w:val="-2"/>
          <w:sz w:val="20"/>
          <w:vertAlign w:val="baseline"/>
        </w:rPr>
        <w:t> </w:t>
      </w:r>
      <w:r>
        <w:rPr>
          <w:rFonts w:ascii="Calibri"/>
          <w:sz w:val="20"/>
          <w:vertAlign w:val="baseline"/>
        </w:rPr>
        <w:t>D.D. (1967).Op.cit., at p. 454; Corkery, F.J. Op.cit. at pp.92-93.</w:t>
      </w:r>
    </w:p>
    <w:p>
      <w:pPr>
        <w:spacing w:before="1"/>
        <w:ind w:left="308" w:right="0" w:firstLine="0"/>
        <w:jc w:val="left"/>
        <w:rPr>
          <w:rFonts w:ascii="Calibri"/>
          <w:sz w:val="20"/>
        </w:rPr>
      </w:pPr>
      <w:r>
        <w:rPr>
          <w:rFonts w:ascii="Calibri"/>
          <w:sz w:val="20"/>
          <w:vertAlign w:val="superscript"/>
        </w:rPr>
        <w:t>265</w:t>
      </w:r>
      <w:r>
        <w:rPr>
          <w:rFonts w:ascii="Calibri"/>
          <w:sz w:val="20"/>
          <w:vertAlign w:val="baseline"/>
        </w:rPr>
        <w:t>Prentice,</w:t>
      </w:r>
      <w:r>
        <w:rPr>
          <w:rFonts w:ascii="Calibri"/>
          <w:spacing w:val="-11"/>
          <w:sz w:val="20"/>
          <w:vertAlign w:val="baseline"/>
        </w:rPr>
        <w:t> </w:t>
      </w:r>
      <w:r>
        <w:rPr>
          <w:rFonts w:ascii="Calibri"/>
          <w:sz w:val="20"/>
          <w:vertAlign w:val="baseline"/>
        </w:rPr>
        <w:t>D.D.</w:t>
      </w:r>
      <w:r>
        <w:rPr>
          <w:rFonts w:ascii="Calibri"/>
          <w:spacing w:val="-7"/>
          <w:sz w:val="20"/>
          <w:vertAlign w:val="baseline"/>
        </w:rPr>
        <w:t> </w:t>
      </w:r>
      <w:r>
        <w:rPr>
          <w:rFonts w:ascii="Calibri"/>
          <w:sz w:val="20"/>
          <w:vertAlign w:val="baseline"/>
        </w:rPr>
        <w:t>(1967).Op.cit.,</w:t>
      </w:r>
      <w:r>
        <w:rPr>
          <w:rFonts w:ascii="Calibri"/>
          <w:spacing w:val="-6"/>
          <w:sz w:val="20"/>
          <w:vertAlign w:val="baseline"/>
        </w:rPr>
        <w:t> </w:t>
      </w:r>
      <w:r>
        <w:rPr>
          <w:rFonts w:ascii="Calibri"/>
          <w:sz w:val="20"/>
          <w:vertAlign w:val="baseline"/>
        </w:rPr>
        <w:t>at</w:t>
      </w:r>
      <w:r>
        <w:rPr>
          <w:rFonts w:ascii="Calibri"/>
          <w:spacing w:val="-9"/>
          <w:sz w:val="20"/>
          <w:vertAlign w:val="baseline"/>
        </w:rPr>
        <w:t> </w:t>
      </w:r>
      <w:r>
        <w:rPr>
          <w:rFonts w:ascii="Calibri"/>
          <w:sz w:val="20"/>
          <w:vertAlign w:val="baseline"/>
        </w:rPr>
        <w:t>p.</w:t>
      </w:r>
      <w:r>
        <w:rPr>
          <w:rFonts w:ascii="Calibri"/>
          <w:spacing w:val="-2"/>
          <w:sz w:val="20"/>
          <w:vertAlign w:val="baseline"/>
        </w:rPr>
        <w:t> </w:t>
      </w:r>
      <w:r>
        <w:rPr>
          <w:rFonts w:ascii="Calibri"/>
          <w:spacing w:val="-4"/>
          <w:sz w:val="20"/>
          <w:vertAlign w:val="baseline"/>
        </w:rPr>
        <w:t>455.</w:t>
      </w:r>
    </w:p>
    <w:p>
      <w:pPr>
        <w:spacing w:before="1"/>
        <w:ind w:left="308" w:right="0" w:firstLine="0"/>
        <w:jc w:val="left"/>
        <w:rPr>
          <w:rFonts w:ascii="Calibri"/>
          <w:sz w:val="20"/>
        </w:rPr>
      </w:pPr>
      <w:r>
        <w:rPr>
          <w:rFonts w:ascii="Calibri"/>
          <w:sz w:val="20"/>
          <w:vertAlign w:val="superscript"/>
        </w:rPr>
        <w:t>266</w:t>
      </w:r>
      <w:r>
        <w:rPr>
          <w:rFonts w:ascii="Calibri"/>
          <w:sz w:val="20"/>
          <w:vertAlign w:val="baseline"/>
        </w:rPr>
        <w:t>(1977)</w:t>
      </w:r>
      <w:r>
        <w:rPr>
          <w:rFonts w:ascii="Calibri"/>
          <w:spacing w:val="-2"/>
          <w:sz w:val="20"/>
          <w:vertAlign w:val="baseline"/>
        </w:rPr>
        <w:t> </w:t>
      </w:r>
      <w:r>
        <w:rPr>
          <w:rFonts w:ascii="Calibri"/>
          <w:sz w:val="20"/>
          <w:vertAlign w:val="baseline"/>
        </w:rPr>
        <w:t>18</w:t>
      </w:r>
      <w:r>
        <w:rPr>
          <w:rFonts w:ascii="Calibri"/>
          <w:spacing w:val="-4"/>
          <w:sz w:val="20"/>
          <w:vertAlign w:val="baseline"/>
        </w:rPr>
        <w:t> </w:t>
      </w:r>
      <w:r>
        <w:rPr>
          <w:rFonts w:ascii="Calibri"/>
          <w:sz w:val="20"/>
          <w:vertAlign w:val="baseline"/>
        </w:rPr>
        <w:t>ALR</w:t>
      </w:r>
      <w:r>
        <w:rPr>
          <w:rFonts w:ascii="Calibri"/>
          <w:spacing w:val="-6"/>
          <w:sz w:val="20"/>
          <w:vertAlign w:val="baseline"/>
        </w:rPr>
        <w:t> </w:t>
      </w:r>
      <w:r>
        <w:rPr>
          <w:rFonts w:ascii="Calibri"/>
          <w:spacing w:val="-5"/>
          <w:sz w:val="20"/>
          <w:vertAlign w:val="baseline"/>
        </w:rPr>
        <w:t>1.</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5"/>
        <w:jc w:val="both"/>
      </w:pPr>
      <w:r>
        <w:rPr/>
        <w:t>knowledge that the managing director intended to do so on his own account. The defendant then resigned and pursued the business possibilities offered by the contracts</w:t>
      </w:r>
      <w:r>
        <w:rPr>
          <w:spacing w:val="40"/>
        </w:rPr>
        <w:t> </w:t>
      </w:r>
      <w:r>
        <w:rPr/>
        <w:t>on his own account, taking great personal risk in so doing. When he made profits from the opportunity however, the company sought to recover the profits generated. But the apex court held that the repudiation of the contracts by the company meant that the director was entitled to pursue them on his own account without a conflict with his fiduciary responsibility to the company, even though the opportunity had come to his attention originally by means of the fiduciary office.</w:t>
      </w:r>
    </w:p>
    <w:p>
      <w:pPr>
        <w:pStyle w:val="BodyText"/>
        <w:spacing w:line="480" w:lineRule="auto" w:before="2"/>
        <w:ind w:right="234" w:firstLine="720"/>
        <w:jc w:val="both"/>
      </w:pPr>
      <w:r>
        <w:rPr/>
        <w:t>In</w:t>
      </w:r>
      <w:r>
        <w:rPr>
          <w:spacing w:val="-5"/>
        </w:rPr>
        <w:t> </w:t>
      </w:r>
      <w:r>
        <w:rPr/>
        <w:t>effect, the</w:t>
      </w:r>
      <w:r>
        <w:rPr>
          <w:spacing w:val="-2"/>
        </w:rPr>
        <w:t> </w:t>
      </w:r>
      <w:r>
        <w:rPr/>
        <w:t>Privy</w:t>
      </w:r>
      <w:r>
        <w:rPr>
          <w:spacing w:val="-5"/>
        </w:rPr>
        <w:t> </w:t>
      </w:r>
      <w:r>
        <w:rPr/>
        <w:t>Council</w:t>
      </w:r>
      <w:r>
        <w:rPr>
          <w:spacing w:val="-1"/>
        </w:rPr>
        <w:t> </w:t>
      </w:r>
      <w:r>
        <w:rPr/>
        <w:t>here</w:t>
      </w:r>
      <w:r>
        <w:rPr>
          <w:spacing w:val="-2"/>
        </w:rPr>
        <w:t> </w:t>
      </w:r>
      <w:r>
        <w:rPr/>
        <w:t>appeared</w:t>
      </w:r>
      <w:r>
        <w:rPr>
          <w:spacing w:val="-1"/>
        </w:rPr>
        <w:t> </w:t>
      </w:r>
      <w:r>
        <w:rPr/>
        <w:t>to accept a</w:t>
      </w:r>
      <w:r>
        <w:rPr>
          <w:spacing w:val="-2"/>
        </w:rPr>
        <w:t> </w:t>
      </w:r>
      <w:r>
        <w:rPr/>
        <w:t>board</w:t>
      </w:r>
      <w:r>
        <w:rPr>
          <w:spacing w:val="-1"/>
        </w:rPr>
        <w:t> </w:t>
      </w:r>
      <w:r>
        <w:rPr/>
        <w:t>decision</w:t>
      </w:r>
      <w:r>
        <w:rPr>
          <w:spacing w:val="-5"/>
        </w:rPr>
        <w:t> </w:t>
      </w:r>
      <w:r>
        <w:rPr/>
        <w:t>as</w:t>
      </w:r>
      <w:r>
        <w:rPr>
          <w:spacing w:val="-3"/>
        </w:rPr>
        <w:t> </w:t>
      </w:r>
      <w:r>
        <w:rPr/>
        <w:t>releasing the corporate interest in an opportunity, just like the Canadian Supreme Court in </w:t>
      </w:r>
      <w:r>
        <w:rPr>
          <w:b/>
        </w:rPr>
        <w:t>Peso </w:t>
      </w:r>
      <w:r>
        <w:rPr/>
        <w:t>above. The reason given for this decision by the apex court was that the board, ―fully informed as to all relevant facts, had reached a firm decision to renounce all interest in the exploitation of the licence and had assented to Mr Hudson taking over the venture for his own account‖.</w:t>
      </w:r>
      <w:r>
        <w:rPr>
          <w:vertAlign w:val="superscript"/>
        </w:rPr>
        <w:t>267</w:t>
      </w:r>
      <w:r>
        <w:rPr>
          <w:spacing w:val="24"/>
          <w:vertAlign w:val="baseline"/>
        </w:rPr>
        <w:t> </w:t>
      </w:r>
      <w:r>
        <w:rPr>
          <w:vertAlign w:val="baseline"/>
        </w:rPr>
        <w:t>Thereafter, there could</w:t>
      </w:r>
      <w:r>
        <w:rPr>
          <w:spacing w:val="26"/>
          <w:vertAlign w:val="baseline"/>
        </w:rPr>
        <w:t> </w:t>
      </w:r>
      <w:r>
        <w:rPr>
          <w:vertAlign w:val="baseline"/>
        </w:rPr>
        <w:t>not have</w:t>
      </w:r>
      <w:r>
        <w:rPr>
          <w:spacing w:val="25"/>
          <w:vertAlign w:val="baseline"/>
        </w:rPr>
        <w:t> </w:t>
      </w:r>
      <w:r>
        <w:rPr>
          <w:vertAlign w:val="baseline"/>
        </w:rPr>
        <w:t>been any sensible possibility</w:t>
      </w:r>
      <w:r>
        <w:rPr>
          <w:spacing w:val="40"/>
          <w:vertAlign w:val="baseline"/>
        </w:rPr>
        <w:t> </w:t>
      </w:r>
      <w:r>
        <w:rPr>
          <w:vertAlign w:val="baseline"/>
        </w:rPr>
        <w:t>of conflict of interest, even though the opportunity had come to Mr Hudson‘s attention originally by virtue of the office he held previously.</w:t>
      </w:r>
    </w:p>
    <w:p>
      <w:pPr>
        <w:pStyle w:val="BodyText"/>
        <w:spacing w:line="480" w:lineRule="auto" w:before="1"/>
        <w:ind w:right="182" w:firstLine="720"/>
        <w:jc w:val="both"/>
      </w:pPr>
      <w:r>
        <w:rPr/>
        <w:t>It has</w:t>
      </w:r>
      <w:r>
        <w:rPr>
          <w:spacing w:val="-2"/>
        </w:rPr>
        <w:t> </w:t>
      </w:r>
      <w:r>
        <w:rPr/>
        <w:t>been</w:t>
      </w:r>
      <w:r>
        <w:rPr>
          <w:spacing w:val="-5"/>
        </w:rPr>
        <w:t> </w:t>
      </w:r>
      <w:r>
        <w:rPr/>
        <w:t>suggested</w:t>
      </w:r>
      <w:r>
        <w:rPr>
          <w:vertAlign w:val="superscript"/>
        </w:rPr>
        <w:t>268</w:t>
      </w:r>
      <w:r>
        <w:rPr>
          <w:vertAlign w:val="baseline"/>
        </w:rPr>
        <w:t> that</w:t>
      </w:r>
      <w:r>
        <w:rPr>
          <w:spacing w:val="-4"/>
          <w:vertAlign w:val="baseline"/>
        </w:rPr>
        <w:t> </w:t>
      </w:r>
      <w:r>
        <w:rPr>
          <w:vertAlign w:val="baseline"/>
        </w:rPr>
        <w:t>this</w:t>
      </w:r>
      <w:r>
        <w:rPr>
          <w:spacing w:val="-2"/>
          <w:vertAlign w:val="baseline"/>
        </w:rPr>
        <w:t> </w:t>
      </w:r>
      <w:r>
        <w:rPr>
          <w:vertAlign w:val="baseline"/>
        </w:rPr>
        <w:t>rather surprising outlook</w:t>
      </w:r>
      <w:r>
        <w:rPr>
          <w:spacing w:val="-5"/>
          <w:vertAlign w:val="baseline"/>
        </w:rPr>
        <w:t> </w:t>
      </w:r>
      <w:r>
        <w:rPr>
          <w:vertAlign w:val="baseline"/>
        </w:rPr>
        <w:t>of</w:t>
      </w:r>
      <w:r>
        <w:rPr>
          <w:spacing w:val="-8"/>
          <w:vertAlign w:val="baseline"/>
        </w:rPr>
        <w:t> </w:t>
      </w:r>
      <w:r>
        <w:rPr>
          <w:vertAlign w:val="baseline"/>
        </w:rPr>
        <w:t>the</w:t>
      </w:r>
      <w:r>
        <w:rPr>
          <w:spacing w:val="-1"/>
          <w:vertAlign w:val="baseline"/>
        </w:rPr>
        <w:t> </w:t>
      </w:r>
      <w:r>
        <w:rPr>
          <w:vertAlign w:val="baseline"/>
        </w:rPr>
        <w:t>courts</w:t>
      </w:r>
      <w:r>
        <w:rPr>
          <w:spacing w:val="-2"/>
          <w:vertAlign w:val="baseline"/>
        </w:rPr>
        <w:t> </w:t>
      </w:r>
      <w:r>
        <w:rPr>
          <w:vertAlign w:val="baseline"/>
        </w:rPr>
        <w:t>in</w:t>
      </w:r>
      <w:r>
        <w:rPr>
          <w:spacing w:val="-5"/>
          <w:vertAlign w:val="baseline"/>
        </w:rPr>
        <w:t> </w:t>
      </w:r>
      <w:r>
        <w:rPr>
          <w:vertAlign w:val="baseline"/>
        </w:rPr>
        <w:t>the</w:t>
      </w:r>
      <w:r>
        <w:rPr>
          <w:spacing w:val="-1"/>
          <w:vertAlign w:val="baseline"/>
        </w:rPr>
        <w:t> </w:t>
      </w:r>
      <w:r>
        <w:rPr>
          <w:vertAlign w:val="baseline"/>
        </w:rPr>
        <w:t>two cases above may have been a bid to make the rule against conflicts more appropriate with</w:t>
      </w:r>
      <w:r>
        <w:rPr>
          <w:spacing w:val="-4"/>
          <w:vertAlign w:val="baseline"/>
        </w:rPr>
        <w:t> </w:t>
      </w:r>
      <w:r>
        <w:rPr>
          <w:vertAlign w:val="baseline"/>
        </w:rPr>
        <w:t>―modern</w:t>
      </w:r>
      <w:r>
        <w:rPr>
          <w:spacing w:val="-7"/>
          <w:vertAlign w:val="baseline"/>
        </w:rPr>
        <w:t> </w:t>
      </w:r>
      <w:r>
        <w:rPr>
          <w:vertAlign w:val="baseline"/>
        </w:rPr>
        <w:t>commercial</w:t>
      </w:r>
      <w:r>
        <w:rPr>
          <w:spacing w:val="-7"/>
          <w:vertAlign w:val="baseline"/>
        </w:rPr>
        <w:t> </w:t>
      </w:r>
      <w:r>
        <w:rPr>
          <w:vertAlign w:val="baseline"/>
        </w:rPr>
        <w:t>reality.‖</w:t>
      </w:r>
      <w:r>
        <w:rPr>
          <w:spacing w:val="-4"/>
          <w:vertAlign w:val="baseline"/>
        </w:rPr>
        <w:t> </w:t>
      </w:r>
      <w:r>
        <w:rPr>
          <w:vertAlign w:val="baseline"/>
        </w:rPr>
        <w:t>That is</w:t>
      </w:r>
      <w:r>
        <w:rPr>
          <w:spacing w:val="-5"/>
          <w:vertAlign w:val="baseline"/>
        </w:rPr>
        <w:t> </w:t>
      </w:r>
      <w:r>
        <w:rPr>
          <w:vertAlign w:val="baseline"/>
        </w:rPr>
        <w:t>to say, it is</w:t>
      </w:r>
      <w:r>
        <w:rPr>
          <w:spacing w:val="-4"/>
          <w:vertAlign w:val="baseline"/>
        </w:rPr>
        <w:t> </w:t>
      </w:r>
      <w:r>
        <w:rPr>
          <w:vertAlign w:val="baseline"/>
        </w:rPr>
        <w:t>considered</w:t>
      </w:r>
      <w:r>
        <w:rPr>
          <w:spacing w:val="-3"/>
          <w:vertAlign w:val="baseline"/>
        </w:rPr>
        <w:t> </w:t>
      </w:r>
      <w:r>
        <w:rPr>
          <w:vertAlign w:val="baseline"/>
        </w:rPr>
        <w:t>a</w:t>
      </w:r>
      <w:r>
        <w:rPr>
          <w:spacing w:val="-4"/>
          <w:vertAlign w:val="baseline"/>
        </w:rPr>
        <w:t> </w:t>
      </w:r>
      <w:r>
        <w:rPr>
          <w:vertAlign w:val="baseline"/>
        </w:rPr>
        <w:t>stifling</w:t>
      </w:r>
      <w:r>
        <w:rPr>
          <w:spacing w:val="-4"/>
          <w:vertAlign w:val="baseline"/>
        </w:rPr>
        <w:t> </w:t>
      </w:r>
      <w:r>
        <w:rPr>
          <w:vertAlign w:val="baseline"/>
        </w:rPr>
        <w:t>of</w:t>
      </w:r>
      <w:r>
        <w:rPr>
          <w:spacing w:val="-10"/>
          <w:vertAlign w:val="baseline"/>
        </w:rPr>
        <w:t> </w:t>
      </w:r>
      <w:r>
        <w:rPr>
          <w:vertAlign w:val="baseline"/>
        </w:rPr>
        <w:t>enterprise and impediment to free competition, particularly in a capitalist economy, to keep directors—especially</w:t>
      </w:r>
      <w:r>
        <w:rPr>
          <w:spacing w:val="-2"/>
          <w:vertAlign w:val="baseline"/>
        </w:rPr>
        <w:t> </w:t>
      </w:r>
      <w:r>
        <w:rPr>
          <w:vertAlign w:val="baseline"/>
        </w:rPr>
        <w:t>former</w:t>
      </w:r>
      <w:r>
        <w:rPr>
          <w:spacing w:val="-1"/>
          <w:vertAlign w:val="baseline"/>
        </w:rPr>
        <w:t> </w:t>
      </w:r>
      <w:r>
        <w:rPr>
          <w:vertAlign w:val="baseline"/>
        </w:rPr>
        <w:t>directors—bound</w:t>
      </w:r>
      <w:r>
        <w:rPr>
          <w:spacing w:val="-2"/>
          <w:vertAlign w:val="baseline"/>
        </w:rPr>
        <w:t> </w:t>
      </w:r>
      <w:r>
        <w:rPr>
          <w:vertAlign w:val="baseline"/>
        </w:rPr>
        <w:t>by</w:t>
      </w:r>
      <w:r>
        <w:rPr>
          <w:spacing w:val="-2"/>
          <w:vertAlign w:val="baseline"/>
        </w:rPr>
        <w:t> </w:t>
      </w:r>
      <w:r>
        <w:rPr>
          <w:vertAlign w:val="baseline"/>
        </w:rPr>
        <w:t>their loyalty</w:t>
      </w:r>
      <w:r>
        <w:rPr>
          <w:spacing w:val="-7"/>
          <w:vertAlign w:val="baseline"/>
        </w:rPr>
        <w:t> </w:t>
      </w:r>
      <w:r>
        <w:rPr>
          <w:vertAlign w:val="baseline"/>
        </w:rPr>
        <w:t>to</w:t>
      </w:r>
      <w:r>
        <w:rPr>
          <w:spacing w:val="-2"/>
          <w:vertAlign w:val="baseline"/>
        </w:rPr>
        <w:t> </w:t>
      </w:r>
      <w:r>
        <w:rPr>
          <w:vertAlign w:val="baseline"/>
        </w:rPr>
        <w:t>the</w:t>
      </w:r>
      <w:r>
        <w:rPr>
          <w:spacing w:val="-3"/>
          <w:vertAlign w:val="baseline"/>
        </w:rPr>
        <w:t> </w:t>
      </w:r>
      <w:r>
        <w:rPr>
          <w:vertAlign w:val="baseline"/>
        </w:rPr>
        <w:t>company</w:t>
      </w:r>
      <w:r>
        <w:rPr>
          <w:spacing w:val="-7"/>
          <w:vertAlign w:val="baseline"/>
        </w:rPr>
        <w:t> </w:t>
      </w:r>
      <w:r>
        <w:rPr>
          <w:vertAlign w:val="baseline"/>
        </w:rPr>
        <w:t>regarding opportunities already rejected by</w:t>
      </w:r>
      <w:r>
        <w:rPr>
          <w:spacing w:val="-5"/>
          <w:vertAlign w:val="baseline"/>
        </w:rPr>
        <w:t> </w:t>
      </w:r>
      <w:r>
        <w:rPr>
          <w:vertAlign w:val="baseline"/>
        </w:rPr>
        <w:t>their companieswhere the</w:t>
      </w:r>
      <w:r>
        <w:rPr>
          <w:spacing w:val="-1"/>
          <w:vertAlign w:val="baseline"/>
        </w:rPr>
        <w:t> </w:t>
      </w:r>
      <w:r>
        <w:rPr>
          <w:vertAlign w:val="baseline"/>
        </w:rPr>
        <w:t>rejection was bona fide. Yet, the fundamental question remains how can the courts be absolutely certain that the rejection</w:t>
      </w:r>
      <w:r>
        <w:rPr>
          <w:spacing w:val="56"/>
          <w:vertAlign w:val="baseline"/>
        </w:rPr>
        <w:t> </w:t>
      </w:r>
      <w:r>
        <w:rPr>
          <w:vertAlign w:val="baseline"/>
        </w:rPr>
        <w:t>of</w:t>
      </w:r>
      <w:r>
        <w:rPr>
          <w:spacing w:val="40"/>
          <w:vertAlign w:val="baseline"/>
        </w:rPr>
        <w:t> </w:t>
      </w:r>
      <w:r>
        <w:rPr>
          <w:vertAlign w:val="baseline"/>
        </w:rPr>
        <w:t>the</w:t>
      </w:r>
      <w:r>
        <w:rPr>
          <w:spacing w:val="60"/>
          <w:vertAlign w:val="baseline"/>
        </w:rPr>
        <w:t> </w:t>
      </w:r>
      <w:r>
        <w:rPr>
          <w:vertAlign w:val="baseline"/>
        </w:rPr>
        <w:t>opportunity</w:t>
      </w:r>
      <w:r>
        <w:rPr>
          <w:spacing w:val="40"/>
          <w:vertAlign w:val="baseline"/>
        </w:rPr>
        <w:t> </w:t>
      </w:r>
      <w:r>
        <w:rPr>
          <w:vertAlign w:val="baseline"/>
        </w:rPr>
        <w:t>was</w:t>
      </w:r>
      <w:r>
        <w:rPr>
          <w:spacing w:val="64"/>
          <w:vertAlign w:val="baseline"/>
        </w:rPr>
        <w:t> </w:t>
      </w:r>
      <w:r>
        <w:rPr>
          <w:vertAlign w:val="baseline"/>
        </w:rPr>
        <w:t>bona</w:t>
      </w:r>
      <w:r>
        <w:rPr>
          <w:spacing w:val="65"/>
          <w:vertAlign w:val="baseline"/>
        </w:rPr>
        <w:t> </w:t>
      </w:r>
      <w:r>
        <w:rPr>
          <w:vertAlign w:val="baseline"/>
        </w:rPr>
        <w:t>fide</w:t>
      </w:r>
      <w:r>
        <w:rPr>
          <w:spacing w:val="65"/>
          <w:vertAlign w:val="baseline"/>
        </w:rPr>
        <w:t> </w:t>
      </w:r>
      <w:r>
        <w:rPr>
          <w:vertAlign w:val="baseline"/>
        </w:rPr>
        <w:t>in</w:t>
      </w:r>
      <w:r>
        <w:rPr>
          <w:spacing w:val="66"/>
          <w:vertAlign w:val="baseline"/>
        </w:rPr>
        <w:t> </w:t>
      </w:r>
      <w:r>
        <w:rPr>
          <w:vertAlign w:val="baseline"/>
        </w:rPr>
        <w:t>the</w:t>
      </w:r>
      <w:r>
        <w:rPr>
          <w:spacing w:val="65"/>
          <w:vertAlign w:val="baseline"/>
        </w:rPr>
        <w:t> </w:t>
      </w:r>
      <w:r>
        <w:rPr>
          <w:vertAlign w:val="baseline"/>
        </w:rPr>
        <w:t>first</w:t>
      </w:r>
      <w:r>
        <w:rPr>
          <w:spacing w:val="66"/>
          <w:vertAlign w:val="baseline"/>
        </w:rPr>
        <w:t> </w:t>
      </w:r>
      <w:r>
        <w:rPr>
          <w:vertAlign w:val="baseline"/>
        </w:rPr>
        <w:t>place,</w:t>
      </w:r>
      <w:r>
        <w:rPr>
          <w:spacing w:val="63"/>
          <w:vertAlign w:val="baseline"/>
        </w:rPr>
        <w:t> </w:t>
      </w:r>
      <w:r>
        <w:rPr>
          <w:vertAlign w:val="baseline"/>
        </w:rPr>
        <w:t>considering</w:t>
      </w:r>
      <w:r>
        <w:rPr>
          <w:spacing w:val="66"/>
          <w:vertAlign w:val="baseline"/>
        </w:rPr>
        <w:t> </w:t>
      </w:r>
      <w:r>
        <w:rPr>
          <w:vertAlign w:val="baseline"/>
        </w:rPr>
        <w:t>it</w:t>
      </w:r>
      <w:r>
        <w:rPr>
          <w:spacing w:val="71"/>
          <w:vertAlign w:val="baseline"/>
        </w:rPr>
        <w:t> </w:t>
      </w:r>
      <w:r>
        <w:rPr>
          <w:vertAlign w:val="baseline"/>
        </w:rPr>
        <w:t>is</w:t>
      </w:r>
      <w:r>
        <w:rPr>
          <w:spacing w:val="59"/>
          <w:vertAlign w:val="baseline"/>
        </w:rPr>
        <w:t> </w:t>
      </w:r>
      <w:r>
        <w:rPr>
          <w:vertAlign w:val="baseline"/>
        </w:rPr>
        <w:t>the</w:t>
      </w:r>
    </w:p>
    <w:p>
      <w:pPr>
        <w:pStyle w:val="BodyText"/>
        <w:spacing w:before="8"/>
        <w:ind w:left="0"/>
        <w:rPr>
          <w:sz w:val="11"/>
        </w:rPr>
      </w:pPr>
      <w:r>
        <w:rPr/>
        <mc:AlternateContent>
          <mc:Choice Requires="wps">
            <w:drawing>
              <wp:anchor distT="0" distB="0" distL="0" distR="0" allowOverlap="1" layoutInCell="1" locked="0" behindDoc="1" simplePos="0" relativeHeight="487699968">
                <wp:simplePos x="0" y="0"/>
                <wp:positionH relativeFrom="page">
                  <wp:posOffset>1262481</wp:posOffset>
                </wp:positionH>
                <wp:positionV relativeFrom="paragraph">
                  <wp:posOffset>100917</wp:posOffset>
                </wp:positionV>
                <wp:extent cx="1829435" cy="9525"/>
                <wp:effectExtent l="0" t="0" r="0" b="0"/>
                <wp:wrapTopAndBottom/>
                <wp:docPr id="245" name="Graphic 245"/>
                <wp:cNvGraphicFramePr>
                  <a:graphicFrameLocks/>
                </wp:cNvGraphicFramePr>
                <a:graphic>
                  <a:graphicData uri="http://schemas.microsoft.com/office/word/2010/wordprocessingShape">
                    <wps:wsp>
                      <wps:cNvPr id="245" name="Graphic 24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7.94628pt;width:144.050pt;height:.71997pt;mso-position-horizontal-relative:page;mso-position-vertical-relative:paragraph;z-index:-15616512;mso-wrap-distance-left:0;mso-wrap-distance-right:0" id="docshape20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267</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4"/>
          <w:sz w:val="20"/>
          <w:vertAlign w:val="baseline"/>
        </w:rPr>
        <w:t> </w:t>
      </w:r>
      <w:r>
        <w:rPr>
          <w:rFonts w:ascii="Calibri"/>
          <w:spacing w:val="-5"/>
          <w:sz w:val="20"/>
          <w:vertAlign w:val="baseline"/>
        </w:rPr>
        <w:t>8.</w:t>
      </w:r>
    </w:p>
    <w:p>
      <w:pPr>
        <w:spacing w:before="1"/>
        <w:ind w:left="308" w:right="0" w:firstLine="0"/>
        <w:jc w:val="left"/>
        <w:rPr>
          <w:rFonts w:ascii="Calibri"/>
          <w:sz w:val="20"/>
        </w:rPr>
      </w:pPr>
      <w:r>
        <w:rPr>
          <w:rFonts w:ascii="Calibri"/>
          <w:sz w:val="20"/>
          <w:vertAlign w:val="superscript"/>
        </w:rPr>
        <w:t>268</w:t>
      </w:r>
      <w:r>
        <w:rPr>
          <w:rFonts w:ascii="Calibri"/>
          <w:spacing w:val="-1"/>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Corkery,</w:t>
      </w:r>
      <w:r>
        <w:rPr>
          <w:rFonts w:ascii="Calibri"/>
          <w:spacing w:val="-4"/>
          <w:sz w:val="20"/>
          <w:vertAlign w:val="baseline"/>
        </w:rPr>
        <w:t> </w:t>
      </w:r>
      <w:r>
        <w:rPr>
          <w:rFonts w:ascii="Calibri"/>
          <w:sz w:val="20"/>
          <w:vertAlign w:val="baseline"/>
        </w:rPr>
        <w:t>op.cit.</w:t>
      </w:r>
      <w:r>
        <w:rPr>
          <w:rFonts w:ascii="Calibri"/>
          <w:spacing w:val="-5"/>
          <w:sz w:val="20"/>
          <w:vertAlign w:val="baseline"/>
        </w:rPr>
        <w:t> </w:t>
      </w:r>
      <w:r>
        <w:rPr>
          <w:rFonts w:ascii="Calibri"/>
          <w:spacing w:val="-4"/>
          <w:sz w:val="20"/>
          <w:vertAlign w:val="baseline"/>
        </w:rPr>
        <w:t>p.85.</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2"/>
        <w:jc w:val="both"/>
      </w:pPr>
      <w:r>
        <w:rPr/>
        <w:t>directors‘</w:t>
      </w:r>
      <w:r>
        <w:rPr>
          <w:spacing w:val="-2"/>
        </w:rPr>
        <w:t> </w:t>
      </w:r>
      <w:r>
        <w:rPr/>
        <w:t>duty</w:t>
      </w:r>
      <w:r>
        <w:rPr>
          <w:spacing w:val="-4"/>
        </w:rPr>
        <w:t> </w:t>
      </w:r>
      <w:r>
        <w:rPr/>
        <w:t>to secure the interests</w:t>
      </w:r>
      <w:r>
        <w:rPr>
          <w:spacing w:val="-2"/>
        </w:rPr>
        <w:t> </w:t>
      </w:r>
      <w:r>
        <w:rPr/>
        <w:t>of</w:t>
      </w:r>
      <w:r>
        <w:rPr>
          <w:spacing w:val="-7"/>
        </w:rPr>
        <w:t> </w:t>
      </w:r>
      <w:r>
        <w:rPr/>
        <w:t>the company? A fortiori, the directors</w:t>
      </w:r>
      <w:r>
        <w:rPr>
          <w:spacing w:val="-2"/>
        </w:rPr>
        <w:t> </w:t>
      </w:r>
      <w:r>
        <w:rPr/>
        <w:t>would not be encouraged to do</w:t>
      </w:r>
      <w:r>
        <w:rPr>
          <w:spacing w:val="-1"/>
        </w:rPr>
        <w:t> </w:t>
      </w:r>
      <w:r>
        <w:rPr/>
        <w:t>their best to secure</w:t>
      </w:r>
      <w:r>
        <w:rPr>
          <w:spacing w:val="-2"/>
        </w:rPr>
        <w:t> </w:t>
      </w:r>
      <w:r>
        <w:rPr/>
        <w:t>the company‘s interests,</w:t>
      </w:r>
      <w:r>
        <w:rPr>
          <w:vertAlign w:val="superscript"/>
        </w:rPr>
        <w:t>269</w:t>
      </w:r>
      <w:r>
        <w:rPr>
          <w:vertAlign w:val="baseline"/>
        </w:rPr>
        <w:t> and, as Corkery</w:t>
      </w:r>
      <w:r>
        <w:rPr>
          <w:spacing w:val="-6"/>
          <w:vertAlign w:val="baseline"/>
        </w:rPr>
        <w:t> </w:t>
      </w:r>
      <w:r>
        <w:rPr>
          <w:vertAlign w:val="baseline"/>
        </w:rPr>
        <w:t>puts it, ―if a director stands to gain from</w:t>
      </w:r>
      <w:r>
        <w:rPr>
          <w:spacing w:val="-5"/>
          <w:vertAlign w:val="baseline"/>
        </w:rPr>
        <w:t> </w:t>
      </w:r>
      <w:r>
        <w:rPr>
          <w:vertAlign w:val="baseline"/>
        </w:rPr>
        <w:t>the rejection of</w:t>
      </w:r>
      <w:r>
        <w:rPr>
          <w:spacing w:val="-4"/>
          <w:vertAlign w:val="baseline"/>
        </w:rPr>
        <w:t> </w:t>
      </w:r>
      <w:r>
        <w:rPr>
          <w:vertAlign w:val="baseline"/>
        </w:rPr>
        <w:t>the opportunity, a shadow lies over the board‘s decision to reject.‖</w:t>
      </w:r>
      <w:r>
        <w:rPr>
          <w:vertAlign w:val="superscript"/>
        </w:rPr>
        <w:t>270</w:t>
      </w:r>
      <w:r>
        <w:rPr>
          <w:vertAlign w:val="baseline"/>
        </w:rPr>
        <w:t>It is further argued that impediments to a company exploiting any business opportunity, such as financial inability, the doctrine of </w:t>
      </w:r>
      <w:r>
        <w:rPr>
          <w:i/>
          <w:vertAlign w:val="baseline"/>
        </w:rPr>
        <w:t>ultra vires, </w:t>
      </w:r>
      <w:r>
        <w:rPr>
          <w:vertAlign w:val="baseline"/>
        </w:rPr>
        <w:t>or a specific decision to reject the opportunity, are surmountable hurdles and so, any director who makes use of the business opportunity in the above circumstances should still be made to account.</w:t>
      </w:r>
      <w:r>
        <w:rPr>
          <w:vertAlign w:val="superscript"/>
        </w:rPr>
        <w:t>271</w:t>
      </w:r>
    </w:p>
    <w:p>
      <w:pPr>
        <w:pStyle w:val="BodyText"/>
        <w:spacing w:line="480" w:lineRule="auto" w:before="2"/>
        <w:ind w:right="184" w:firstLine="720"/>
        <w:jc w:val="both"/>
      </w:pPr>
      <w:r>
        <w:rPr/>
        <mc:AlternateContent>
          <mc:Choice Requires="wps">
            <w:drawing>
              <wp:anchor distT="0" distB="0" distL="0" distR="0" allowOverlap="1" layoutInCell="1" locked="0" behindDoc="0" simplePos="0" relativeHeight="15841280">
                <wp:simplePos x="0" y="0"/>
                <wp:positionH relativeFrom="page">
                  <wp:posOffset>1262481</wp:posOffset>
                </wp:positionH>
                <wp:positionV relativeFrom="paragraph">
                  <wp:posOffset>5243940</wp:posOffset>
                </wp:positionV>
                <wp:extent cx="1829435" cy="9525"/>
                <wp:effectExtent l="0" t="0" r="0" b="0"/>
                <wp:wrapNone/>
                <wp:docPr id="246" name="Graphic 246"/>
                <wp:cNvGraphicFramePr>
                  <a:graphicFrameLocks/>
                </wp:cNvGraphicFramePr>
                <a:graphic>
                  <a:graphicData uri="http://schemas.microsoft.com/office/word/2010/wordprocessingShape">
                    <wps:wsp>
                      <wps:cNvPr id="246" name="Graphic 24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412.908722pt;width:144.050pt;height:.72003pt;mso-position-horizontal-relative:page;mso-position-vertical-relative:paragraph;z-index:15841280" id="docshape201" filled="true" fillcolor="#000000" stroked="false">
                <v:fill type="solid"/>
                <w10:wrap type="none"/>
              </v:rect>
            </w:pict>
          </mc:Fallback>
        </mc:AlternateContent>
      </w:r>
      <w:r>
        <w:rPr/>
        <w:t>In</w:t>
      </w:r>
      <w:r>
        <w:rPr>
          <w:spacing w:val="-1"/>
        </w:rPr>
        <w:t> </w:t>
      </w:r>
      <w:r>
        <w:rPr/>
        <w:t>the more recent decision in </w:t>
      </w:r>
      <w:r>
        <w:rPr>
          <w:b/>
        </w:rPr>
        <w:t>Foster</w:t>
      </w:r>
      <w:r>
        <w:rPr>
          <w:b/>
          <w:spacing w:val="-2"/>
        </w:rPr>
        <w:t> </w:t>
      </w:r>
      <w:r>
        <w:rPr>
          <w:b/>
        </w:rPr>
        <w:t>vs. Bryant</w:t>
      </w:r>
      <w:r>
        <w:rPr/>
        <w:t>,</w:t>
      </w:r>
      <w:r>
        <w:rPr>
          <w:vertAlign w:val="superscript"/>
        </w:rPr>
        <w:t>272</w:t>
      </w:r>
      <w:r>
        <w:rPr>
          <w:vertAlign w:val="baseline"/>
        </w:rPr>
        <w:t> the defendant director</w:t>
      </w:r>
      <w:r>
        <w:rPr>
          <w:spacing w:val="-4"/>
          <w:vertAlign w:val="baseline"/>
        </w:rPr>
        <w:t> </w:t>
      </w:r>
      <w:r>
        <w:rPr>
          <w:vertAlign w:val="baseline"/>
        </w:rPr>
        <w:t>of</w:t>
      </w:r>
      <w:r>
        <w:rPr>
          <w:spacing w:val="-4"/>
          <w:vertAlign w:val="baseline"/>
        </w:rPr>
        <w:t> </w:t>
      </w:r>
      <w:r>
        <w:rPr>
          <w:vertAlign w:val="baseline"/>
        </w:rPr>
        <w:t>the company was effectively forced to resign by his co-director, the majority shareholder, who excluded him from the company‘s operations. Before the defendant‘s resignation came into effect—while he was still technically a director but after he had tendered his resignation— one of the company‘s principal clients, who wanted to retain the services of the director, began to talk to the defendant about the way in which the defendant</w:t>
      </w:r>
      <w:r>
        <w:rPr>
          <w:spacing w:val="40"/>
          <w:vertAlign w:val="baseline"/>
        </w:rPr>
        <w:t> </w:t>
      </w:r>
      <w:r>
        <w:rPr>
          <w:vertAlign w:val="baseline"/>
        </w:rPr>
        <w:t>could work with this client. When the defendant‘s resignation took effect, he began to work for the client. The company sued the defendant on the basis that he had been a director when the business opportunity came to light and therefore any profits earned from</w:t>
      </w:r>
      <w:r>
        <w:rPr>
          <w:spacing w:val="-9"/>
          <w:vertAlign w:val="baseline"/>
        </w:rPr>
        <w:t> </w:t>
      </w:r>
      <w:r>
        <w:rPr>
          <w:vertAlign w:val="baseline"/>
        </w:rPr>
        <w:t>that opportunity</w:t>
      </w:r>
      <w:r>
        <w:rPr>
          <w:spacing w:val="-2"/>
          <w:vertAlign w:val="baseline"/>
        </w:rPr>
        <w:t> </w:t>
      </w:r>
      <w:r>
        <w:rPr>
          <w:vertAlign w:val="baseline"/>
        </w:rPr>
        <w:t>should be subject to an</w:t>
      </w:r>
      <w:r>
        <w:rPr>
          <w:spacing w:val="-5"/>
          <w:vertAlign w:val="baseline"/>
        </w:rPr>
        <w:t> </w:t>
      </w:r>
      <w:r>
        <w:rPr>
          <w:vertAlign w:val="baseline"/>
        </w:rPr>
        <w:t>account in favour of</w:t>
      </w:r>
      <w:r>
        <w:rPr>
          <w:spacing w:val="-8"/>
          <w:vertAlign w:val="baseline"/>
        </w:rPr>
        <w:t> </w:t>
      </w:r>
      <w:r>
        <w:rPr>
          <w:vertAlign w:val="baseline"/>
        </w:rPr>
        <w:t>the company. But Rix LJ sought to distinguish this case fromearlier decided cases on</w:t>
      </w:r>
      <w:r>
        <w:rPr>
          <w:spacing w:val="-2"/>
          <w:vertAlign w:val="baseline"/>
        </w:rPr>
        <w:t> </w:t>
      </w:r>
      <w:r>
        <w:rPr>
          <w:vertAlign w:val="baseline"/>
        </w:rPr>
        <w:t>the rule against conflicts, concluding that the position changed in this company after the defendant‘s resignation such</w:t>
      </w:r>
      <w:r>
        <w:rPr>
          <w:spacing w:val="-5"/>
          <w:vertAlign w:val="baseline"/>
        </w:rPr>
        <w:t> </w:t>
      </w:r>
      <w:r>
        <w:rPr>
          <w:vertAlign w:val="baseline"/>
        </w:rPr>
        <w:t>that he</w:t>
      </w:r>
      <w:r>
        <w:rPr>
          <w:spacing w:val="-1"/>
          <w:vertAlign w:val="baseline"/>
        </w:rPr>
        <w:t> </w:t>
      </w:r>
      <w:r>
        <w:rPr>
          <w:vertAlign w:val="baseline"/>
        </w:rPr>
        <w:t>was</w:t>
      </w:r>
      <w:r>
        <w:rPr>
          <w:spacing w:val="-2"/>
          <w:vertAlign w:val="baseline"/>
        </w:rPr>
        <w:t> </w:t>
      </w:r>
      <w:r>
        <w:rPr>
          <w:vertAlign w:val="baseline"/>
        </w:rPr>
        <w:t>excluded from</w:t>
      </w:r>
      <w:r>
        <w:rPr>
          <w:spacing w:val="-9"/>
          <w:vertAlign w:val="baseline"/>
        </w:rPr>
        <w:t> </w:t>
      </w:r>
      <w:r>
        <w:rPr>
          <w:vertAlign w:val="baseline"/>
        </w:rPr>
        <w:t>the business and thus had only</w:t>
      </w:r>
      <w:r>
        <w:rPr>
          <w:spacing w:val="-5"/>
          <w:vertAlign w:val="baseline"/>
        </w:rPr>
        <w:t> </w:t>
      </w:r>
      <w:r>
        <w:rPr>
          <w:vertAlign w:val="baseline"/>
        </w:rPr>
        <w:t>to act honestly in his</w:t>
      </w:r>
      <w:r>
        <w:rPr>
          <w:spacing w:val="-2"/>
          <w:vertAlign w:val="baseline"/>
        </w:rPr>
        <w:t> </w:t>
      </w:r>
      <w:r>
        <w:rPr>
          <w:vertAlign w:val="baseline"/>
        </w:rPr>
        <w:t>role as director, and therefore, he was not required to account for his subsequent profits. Therefore,</w:t>
      </w:r>
      <w:r>
        <w:rPr>
          <w:spacing w:val="-2"/>
          <w:vertAlign w:val="baseline"/>
        </w:rPr>
        <w:t> </w:t>
      </w:r>
      <w:r>
        <w:rPr>
          <w:vertAlign w:val="baseline"/>
        </w:rPr>
        <w:t>the principle against conflicts must be applied in</w:t>
      </w:r>
      <w:r>
        <w:rPr>
          <w:spacing w:val="-4"/>
          <w:vertAlign w:val="baseline"/>
        </w:rPr>
        <w:t> </w:t>
      </w:r>
      <w:r>
        <w:rPr>
          <w:vertAlign w:val="baseline"/>
        </w:rPr>
        <w:t>a ―fact-sensitive‖ way.</w:t>
      </w:r>
    </w:p>
    <w:p>
      <w:pPr>
        <w:spacing w:before="94"/>
        <w:ind w:left="308" w:right="0" w:firstLine="0"/>
        <w:jc w:val="left"/>
        <w:rPr>
          <w:rFonts w:ascii="Calibri"/>
          <w:sz w:val="20"/>
        </w:rPr>
      </w:pPr>
      <w:r>
        <w:rPr>
          <w:rFonts w:ascii="Calibri"/>
          <w:sz w:val="20"/>
          <w:vertAlign w:val="superscript"/>
        </w:rPr>
        <w:t>269</w:t>
      </w:r>
      <w:r>
        <w:rPr>
          <w:rFonts w:ascii="Calibri"/>
          <w:spacing w:val="17"/>
          <w:sz w:val="20"/>
          <w:vertAlign w:val="baseline"/>
        </w:rPr>
        <w:t> </w:t>
      </w:r>
      <w:r>
        <w:rPr>
          <w:rFonts w:ascii="Calibri"/>
          <w:sz w:val="20"/>
          <w:vertAlign w:val="baseline"/>
        </w:rPr>
        <w:t>See</w:t>
      </w:r>
      <w:r>
        <w:rPr>
          <w:rFonts w:ascii="Calibri"/>
          <w:spacing w:val="14"/>
          <w:sz w:val="20"/>
          <w:vertAlign w:val="baseline"/>
        </w:rPr>
        <w:t> </w:t>
      </w:r>
      <w:r>
        <w:rPr>
          <w:rFonts w:ascii="Calibri"/>
          <w:i/>
          <w:sz w:val="20"/>
          <w:vertAlign w:val="baseline"/>
        </w:rPr>
        <w:t>Industrial</w:t>
      </w:r>
      <w:r>
        <w:rPr>
          <w:rFonts w:ascii="Calibri"/>
          <w:i/>
          <w:spacing w:val="17"/>
          <w:sz w:val="20"/>
          <w:vertAlign w:val="baseline"/>
        </w:rPr>
        <w:t> </w:t>
      </w:r>
      <w:r>
        <w:rPr>
          <w:rFonts w:ascii="Calibri"/>
          <w:i/>
          <w:sz w:val="20"/>
          <w:vertAlign w:val="baseline"/>
        </w:rPr>
        <w:t>Development</w:t>
      </w:r>
      <w:r>
        <w:rPr>
          <w:rFonts w:ascii="Calibri"/>
          <w:i/>
          <w:spacing w:val="12"/>
          <w:sz w:val="20"/>
          <w:vertAlign w:val="baseline"/>
        </w:rPr>
        <w:t> </w:t>
      </w:r>
      <w:r>
        <w:rPr>
          <w:rFonts w:ascii="Calibri"/>
          <w:i/>
          <w:sz w:val="20"/>
          <w:vertAlign w:val="baseline"/>
        </w:rPr>
        <w:t>Consultants</w:t>
      </w:r>
      <w:r>
        <w:rPr>
          <w:rFonts w:ascii="Calibri"/>
          <w:i/>
          <w:spacing w:val="9"/>
          <w:sz w:val="20"/>
          <w:vertAlign w:val="baseline"/>
        </w:rPr>
        <w:t> </w:t>
      </w:r>
      <w:r>
        <w:rPr>
          <w:rFonts w:ascii="Calibri"/>
          <w:i/>
          <w:sz w:val="20"/>
          <w:vertAlign w:val="baseline"/>
        </w:rPr>
        <w:t>vs.</w:t>
      </w:r>
      <w:r>
        <w:rPr>
          <w:rFonts w:ascii="Calibri"/>
          <w:i/>
          <w:spacing w:val="14"/>
          <w:sz w:val="20"/>
          <w:vertAlign w:val="baseline"/>
        </w:rPr>
        <w:t> </w:t>
      </w:r>
      <w:r>
        <w:rPr>
          <w:rFonts w:ascii="Calibri"/>
          <w:i/>
          <w:sz w:val="20"/>
          <w:vertAlign w:val="baseline"/>
        </w:rPr>
        <w:t>Cooley</w:t>
      </w:r>
      <w:r>
        <w:rPr>
          <w:rFonts w:ascii="Calibri"/>
          <w:i/>
          <w:spacing w:val="13"/>
          <w:sz w:val="20"/>
          <w:vertAlign w:val="baseline"/>
        </w:rPr>
        <w:t> </w:t>
      </w:r>
      <w:r>
        <w:rPr>
          <w:rFonts w:ascii="Calibri"/>
          <w:sz w:val="20"/>
          <w:vertAlign w:val="baseline"/>
        </w:rPr>
        <w:t>(1972)</w:t>
      </w:r>
      <w:r>
        <w:rPr>
          <w:rFonts w:ascii="Calibri"/>
          <w:spacing w:val="13"/>
          <w:sz w:val="20"/>
          <w:vertAlign w:val="baseline"/>
        </w:rPr>
        <w:t> </w:t>
      </w:r>
      <w:r>
        <w:rPr>
          <w:rFonts w:ascii="Calibri"/>
          <w:sz w:val="20"/>
          <w:vertAlign w:val="baseline"/>
        </w:rPr>
        <w:t>2</w:t>
      </w:r>
      <w:r>
        <w:rPr>
          <w:rFonts w:ascii="Calibri"/>
          <w:spacing w:val="15"/>
          <w:sz w:val="20"/>
          <w:vertAlign w:val="baseline"/>
        </w:rPr>
        <w:t> </w:t>
      </w:r>
      <w:r>
        <w:rPr>
          <w:rFonts w:ascii="Calibri"/>
          <w:sz w:val="20"/>
          <w:vertAlign w:val="baseline"/>
        </w:rPr>
        <w:t>All</w:t>
      </w:r>
      <w:r>
        <w:rPr>
          <w:rFonts w:ascii="Calibri"/>
          <w:spacing w:val="14"/>
          <w:sz w:val="20"/>
          <w:vertAlign w:val="baseline"/>
        </w:rPr>
        <w:t> </w:t>
      </w:r>
      <w:r>
        <w:rPr>
          <w:rFonts w:ascii="Calibri"/>
          <w:sz w:val="20"/>
          <w:vertAlign w:val="baseline"/>
        </w:rPr>
        <w:t>ER</w:t>
      </w:r>
      <w:r>
        <w:rPr>
          <w:rFonts w:ascii="Calibri"/>
          <w:spacing w:val="16"/>
          <w:sz w:val="20"/>
          <w:vertAlign w:val="baseline"/>
        </w:rPr>
        <w:t> </w:t>
      </w:r>
      <w:r>
        <w:rPr>
          <w:rFonts w:ascii="Calibri"/>
          <w:sz w:val="20"/>
          <w:vertAlign w:val="baseline"/>
        </w:rPr>
        <w:t>162,</w:t>
      </w:r>
      <w:r>
        <w:rPr>
          <w:rFonts w:ascii="Calibri"/>
          <w:spacing w:val="15"/>
          <w:sz w:val="20"/>
          <w:vertAlign w:val="baseline"/>
        </w:rPr>
        <w:t> </w:t>
      </w:r>
      <w:r>
        <w:rPr>
          <w:rFonts w:ascii="Calibri"/>
          <w:sz w:val="20"/>
          <w:vertAlign w:val="baseline"/>
        </w:rPr>
        <w:t>particularly</w:t>
      </w:r>
      <w:r>
        <w:rPr>
          <w:rFonts w:ascii="Calibri"/>
          <w:spacing w:val="16"/>
          <w:sz w:val="20"/>
          <w:vertAlign w:val="baseline"/>
        </w:rPr>
        <w:t> </w:t>
      </w:r>
      <w:r>
        <w:rPr>
          <w:rFonts w:ascii="Calibri"/>
          <w:sz w:val="20"/>
          <w:vertAlign w:val="baseline"/>
        </w:rPr>
        <w:t>at</w:t>
      </w:r>
      <w:r>
        <w:rPr>
          <w:rFonts w:ascii="Calibri"/>
          <w:spacing w:val="11"/>
          <w:sz w:val="20"/>
          <w:vertAlign w:val="baseline"/>
        </w:rPr>
        <w:t> </w:t>
      </w:r>
      <w:r>
        <w:rPr>
          <w:rFonts w:ascii="Calibri"/>
          <w:sz w:val="20"/>
          <w:vertAlign w:val="baseline"/>
        </w:rPr>
        <w:t>176</w:t>
      </w:r>
      <w:r>
        <w:rPr>
          <w:rFonts w:ascii="Calibri"/>
          <w:spacing w:val="15"/>
          <w:sz w:val="20"/>
          <w:vertAlign w:val="baseline"/>
        </w:rPr>
        <w:t> </w:t>
      </w:r>
      <w:r>
        <w:rPr>
          <w:rFonts w:ascii="Calibri"/>
          <w:sz w:val="20"/>
          <w:vertAlign w:val="baseline"/>
        </w:rPr>
        <w:t>and</w:t>
      </w:r>
      <w:r>
        <w:rPr>
          <w:rFonts w:ascii="Calibri"/>
          <w:spacing w:val="12"/>
          <w:sz w:val="20"/>
          <w:vertAlign w:val="baseline"/>
        </w:rPr>
        <w:t> </w:t>
      </w:r>
      <w:r>
        <w:rPr>
          <w:rFonts w:ascii="Calibri"/>
          <w:spacing w:val="-4"/>
          <w:sz w:val="20"/>
          <w:vertAlign w:val="baseline"/>
        </w:rPr>
        <w:t>also</w:t>
      </w:r>
    </w:p>
    <w:p>
      <w:pPr>
        <w:spacing w:before="1"/>
        <w:ind w:left="308" w:right="0" w:firstLine="0"/>
        <w:jc w:val="left"/>
        <w:rPr>
          <w:rFonts w:ascii="Calibri"/>
          <w:sz w:val="20"/>
        </w:rPr>
      </w:pPr>
      <w:r>
        <w:rPr>
          <w:rFonts w:ascii="Calibri"/>
          <w:i/>
          <w:sz w:val="20"/>
        </w:rPr>
        <w:t>Irving</w:t>
      </w:r>
      <w:r>
        <w:rPr>
          <w:rFonts w:ascii="Calibri"/>
          <w:i/>
          <w:spacing w:val="-5"/>
          <w:sz w:val="20"/>
        </w:rPr>
        <w:t> </w:t>
      </w:r>
      <w:r>
        <w:rPr>
          <w:rFonts w:ascii="Calibri"/>
          <w:i/>
          <w:sz w:val="20"/>
        </w:rPr>
        <w:t>Trust</w:t>
      </w:r>
      <w:r>
        <w:rPr>
          <w:rFonts w:ascii="Calibri"/>
          <w:i/>
          <w:spacing w:val="-2"/>
          <w:sz w:val="20"/>
        </w:rPr>
        <w:t> </w:t>
      </w:r>
      <w:r>
        <w:rPr>
          <w:rFonts w:ascii="Calibri"/>
          <w:i/>
          <w:sz w:val="20"/>
        </w:rPr>
        <w:t>Co.</w:t>
      </w:r>
      <w:r>
        <w:rPr>
          <w:rFonts w:ascii="Calibri"/>
          <w:i/>
          <w:spacing w:val="-5"/>
          <w:sz w:val="20"/>
        </w:rPr>
        <w:t> </w:t>
      </w:r>
      <w:r>
        <w:rPr>
          <w:rFonts w:ascii="Calibri"/>
          <w:i/>
          <w:sz w:val="20"/>
        </w:rPr>
        <w:t>vs.</w:t>
      </w:r>
      <w:r>
        <w:rPr>
          <w:rFonts w:ascii="Calibri"/>
          <w:i/>
          <w:spacing w:val="-5"/>
          <w:sz w:val="20"/>
        </w:rPr>
        <w:t> </w:t>
      </w:r>
      <w:r>
        <w:rPr>
          <w:rFonts w:ascii="Calibri"/>
          <w:i/>
          <w:sz w:val="20"/>
        </w:rPr>
        <w:t>Deutsche</w:t>
      </w:r>
      <w:r>
        <w:rPr>
          <w:rFonts w:ascii="Calibri"/>
          <w:i/>
          <w:spacing w:val="-5"/>
          <w:sz w:val="20"/>
        </w:rPr>
        <w:t> </w:t>
      </w:r>
      <w:r>
        <w:rPr>
          <w:rFonts w:ascii="Calibri"/>
          <w:sz w:val="20"/>
        </w:rPr>
        <w:t>(1934)</w:t>
      </w:r>
      <w:r>
        <w:rPr>
          <w:rFonts w:ascii="Calibri"/>
          <w:spacing w:val="-1"/>
          <w:sz w:val="20"/>
        </w:rPr>
        <w:t> </w:t>
      </w:r>
      <w:r>
        <w:rPr>
          <w:rFonts w:ascii="Calibri"/>
          <w:sz w:val="20"/>
        </w:rPr>
        <w:t>73</w:t>
      </w:r>
      <w:r>
        <w:rPr>
          <w:rFonts w:ascii="Calibri"/>
          <w:spacing w:val="-3"/>
          <w:sz w:val="20"/>
        </w:rPr>
        <w:t> </w:t>
      </w:r>
      <w:r>
        <w:rPr>
          <w:rFonts w:ascii="Calibri"/>
          <w:sz w:val="20"/>
        </w:rPr>
        <w:t>F</w:t>
      </w:r>
      <w:r>
        <w:rPr>
          <w:rFonts w:ascii="Calibri"/>
          <w:spacing w:val="-8"/>
          <w:sz w:val="20"/>
        </w:rPr>
        <w:t> </w:t>
      </w:r>
      <w:r>
        <w:rPr>
          <w:rFonts w:ascii="Calibri"/>
          <w:sz w:val="20"/>
        </w:rPr>
        <w:t>2d.</w:t>
      </w:r>
      <w:r>
        <w:rPr>
          <w:rFonts w:ascii="Calibri"/>
          <w:spacing w:val="-5"/>
          <w:sz w:val="20"/>
        </w:rPr>
        <w:t> </w:t>
      </w:r>
      <w:r>
        <w:rPr>
          <w:rFonts w:ascii="Calibri"/>
          <w:sz w:val="20"/>
        </w:rPr>
        <w:t>121,</w:t>
      </w:r>
      <w:r>
        <w:rPr>
          <w:rFonts w:ascii="Calibri"/>
          <w:spacing w:val="-3"/>
          <w:sz w:val="20"/>
        </w:rPr>
        <w:t> </w:t>
      </w:r>
      <w:r>
        <w:rPr>
          <w:rFonts w:ascii="Calibri"/>
          <w:sz w:val="20"/>
        </w:rPr>
        <w:t>124</w:t>
      </w:r>
      <w:r>
        <w:rPr>
          <w:rFonts w:ascii="Calibri"/>
          <w:spacing w:val="-3"/>
          <w:sz w:val="20"/>
        </w:rPr>
        <w:t> </w:t>
      </w:r>
      <w:r>
        <w:rPr>
          <w:rFonts w:ascii="Calibri"/>
          <w:sz w:val="20"/>
        </w:rPr>
        <w:t>of</w:t>
      </w:r>
      <w:r>
        <w:rPr>
          <w:rFonts w:ascii="Calibri"/>
          <w:spacing w:val="-6"/>
          <w:sz w:val="20"/>
        </w:rPr>
        <w:t> </w:t>
      </w:r>
      <w:r>
        <w:rPr>
          <w:rFonts w:ascii="Calibri"/>
          <w:sz w:val="20"/>
        </w:rPr>
        <w:t>the</w:t>
      </w:r>
      <w:r>
        <w:rPr>
          <w:rFonts w:ascii="Calibri"/>
          <w:spacing w:val="-11"/>
          <w:sz w:val="20"/>
        </w:rPr>
        <w:t> </w:t>
      </w:r>
      <w:r>
        <w:rPr>
          <w:rFonts w:ascii="Calibri"/>
          <w:sz w:val="20"/>
        </w:rPr>
        <w:t>American</w:t>
      </w:r>
      <w:r>
        <w:rPr>
          <w:rFonts w:ascii="Calibri"/>
          <w:spacing w:val="-7"/>
          <w:sz w:val="20"/>
        </w:rPr>
        <w:t> </w:t>
      </w:r>
      <w:r>
        <w:rPr>
          <w:rFonts w:ascii="Calibri"/>
          <w:spacing w:val="-2"/>
          <w:sz w:val="20"/>
        </w:rPr>
        <w:t>court.</w:t>
      </w:r>
    </w:p>
    <w:p>
      <w:pPr>
        <w:spacing w:before="0"/>
        <w:ind w:left="308" w:right="5398" w:firstLine="0"/>
        <w:jc w:val="left"/>
        <w:rPr>
          <w:rFonts w:ascii="Calibri"/>
          <w:sz w:val="20"/>
        </w:rPr>
      </w:pPr>
      <w:r>
        <w:rPr>
          <w:rFonts w:ascii="Calibri"/>
          <w:sz w:val="20"/>
          <w:vertAlign w:val="superscript"/>
        </w:rPr>
        <w:t>270</w:t>
      </w:r>
      <w:r>
        <w:rPr>
          <w:rFonts w:ascii="Calibri"/>
          <w:sz w:val="20"/>
          <w:vertAlign w:val="baseline"/>
        </w:rPr>
        <w:t>Corkery, F.J. op.cit.at p.93.</w:t>
      </w:r>
      <w:r>
        <w:rPr>
          <w:rFonts w:ascii="Calibri"/>
          <w:spacing w:val="80"/>
          <w:sz w:val="20"/>
          <w:vertAlign w:val="baseline"/>
        </w:rPr>
        <w:t> </w:t>
      </w:r>
      <w:r>
        <w:rPr>
          <w:rFonts w:ascii="Calibri"/>
          <w:sz w:val="20"/>
          <w:vertAlign w:val="superscript"/>
        </w:rPr>
        <w:t>271</w:t>
      </w:r>
      <w:r>
        <w:rPr>
          <w:rFonts w:ascii="Calibri"/>
          <w:sz w:val="20"/>
          <w:vertAlign w:val="baseline"/>
        </w:rPr>
        <w:t>Prentice,</w:t>
      </w:r>
      <w:r>
        <w:rPr>
          <w:rFonts w:ascii="Calibri"/>
          <w:spacing w:val="-9"/>
          <w:sz w:val="20"/>
          <w:vertAlign w:val="baseline"/>
        </w:rPr>
        <w:t> </w:t>
      </w:r>
      <w:r>
        <w:rPr>
          <w:rFonts w:ascii="Calibri"/>
          <w:sz w:val="20"/>
          <w:vertAlign w:val="baseline"/>
        </w:rPr>
        <w:t>D.D.</w:t>
      </w:r>
      <w:r>
        <w:rPr>
          <w:rFonts w:ascii="Calibri"/>
          <w:spacing w:val="-6"/>
          <w:sz w:val="20"/>
          <w:vertAlign w:val="baseline"/>
        </w:rPr>
        <w:t> </w:t>
      </w:r>
      <w:r>
        <w:rPr>
          <w:rFonts w:ascii="Calibri"/>
          <w:sz w:val="20"/>
          <w:vertAlign w:val="baseline"/>
        </w:rPr>
        <w:t>(1967).Op.cit.,</w:t>
      </w:r>
      <w:r>
        <w:rPr>
          <w:rFonts w:ascii="Calibri"/>
          <w:spacing w:val="-5"/>
          <w:sz w:val="20"/>
          <w:vertAlign w:val="baseline"/>
        </w:rPr>
        <w:t> </w:t>
      </w:r>
      <w:r>
        <w:rPr>
          <w:rFonts w:ascii="Calibri"/>
          <w:sz w:val="20"/>
          <w:vertAlign w:val="baseline"/>
        </w:rPr>
        <w:t>at</w:t>
      </w:r>
      <w:r>
        <w:rPr>
          <w:rFonts w:ascii="Calibri"/>
          <w:spacing w:val="-9"/>
          <w:sz w:val="20"/>
          <w:vertAlign w:val="baseline"/>
        </w:rPr>
        <w:t> </w:t>
      </w:r>
      <w:r>
        <w:rPr>
          <w:rFonts w:ascii="Calibri"/>
          <w:sz w:val="20"/>
          <w:vertAlign w:val="baseline"/>
        </w:rPr>
        <w:t>p.</w:t>
      </w:r>
      <w:r>
        <w:rPr>
          <w:rFonts w:ascii="Calibri"/>
          <w:spacing w:val="-1"/>
          <w:sz w:val="20"/>
          <w:vertAlign w:val="baseline"/>
        </w:rPr>
        <w:t> </w:t>
      </w:r>
      <w:r>
        <w:rPr>
          <w:rFonts w:ascii="Calibri"/>
          <w:sz w:val="20"/>
          <w:vertAlign w:val="baseline"/>
        </w:rPr>
        <w:t>454. </w:t>
      </w:r>
      <w:r>
        <w:rPr>
          <w:rFonts w:ascii="Calibri"/>
          <w:sz w:val="20"/>
          <w:vertAlign w:val="superscript"/>
        </w:rPr>
        <w:t>272</w:t>
      </w:r>
      <w:r>
        <w:rPr>
          <w:rFonts w:ascii="Calibri"/>
          <w:sz w:val="20"/>
          <w:vertAlign w:val="baseline"/>
        </w:rPr>
        <w:t> (2007) Bus LR 1565.</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3" w:firstLine="720"/>
        <w:jc w:val="both"/>
      </w:pPr>
      <w:r>
        <w:rPr/>
        <w:t>The CLRSG may have been persuaded by court decisions such as those mentioned above, that show a softening of the rule, for it recommended making authorisation easier for interested directors. The group considered the previous framework regarding personal</w:t>
      </w:r>
      <w:r>
        <w:rPr>
          <w:spacing w:val="-3"/>
        </w:rPr>
        <w:t> </w:t>
      </w:r>
      <w:r>
        <w:rPr/>
        <w:t>exploitation</w:t>
      </w:r>
      <w:r>
        <w:rPr>
          <w:spacing w:val="-3"/>
        </w:rPr>
        <w:t> </w:t>
      </w:r>
      <w:r>
        <w:rPr/>
        <w:t>of</w:t>
      </w:r>
      <w:r>
        <w:rPr>
          <w:spacing w:val="-6"/>
        </w:rPr>
        <w:t> </w:t>
      </w:r>
      <w:r>
        <w:rPr/>
        <w:t>corporate</w:t>
      </w:r>
      <w:r>
        <w:rPr>
          <w:spacing w:val="-4"/>
        </w:rPr>
        <w:t> </w:t>
      </w:r>
      <w:r>
        <w:rPr/>
        <w:t>opportunities impractical, due to requirement</w:t>
      </w:r>
      <w:r>
        <w:rPr>
          <w:spacing w:val="40"/>
        </w:rPr>
        <w:t> </w:t>
      </w:r>
      <w:r>
        <w:rPr/>
        <w:t>for</w:t>
      </w:r>
      <w:r>
        <w:rPr>
          <w:spacing w:val="38"/>
        </w:rPr>
        <w:t> </w:t>
      </w:r>
      <w:r>
        <w:rPr/>
        <w:t>member</w:t>
      </w:r>
      <w:r>
        <w:rPr>
          <w:spacing w:val="38"/>
        </w:rPr>
        <w:t> </w:t>
      </w:r>
      <w:r>
        <w:rPr/>
        <w:t>approval</w:t>
      </w:r>
      <w:r>
        <w:rPr>
          <w:spacing w:val="38"/>
        </w:rPr>
        <w:t> </w:t>
      </w:r>
      <w:r>
        <w:rPr/>
        <w:t>in</w:t>
      </w:r>
      <w:r>
        <w:rPr>
          <w:spacing w:val="37"/>
        </w:rPr>
        <w:t> </w:t>
      </w:r>
      <w:r>
        <w:rPr/>
        <w:t>all</w:t>
      </w:r>
      <w:r>
        <w:rPr>
          <w:spacing w:val="33"/>
        </w:rPr>
        <w:t> </w:t>
      </w:r>
      <w:r>
        <w:rPr/>
        <w:t>cases,</w:t>
      </w:r>
      <w:r>
        <w:rPr>
          <w:spacing w:val="38"/>
        </w:rPr>
        <w:t> </w:t>
      </w:r>
      <w:r>
        <w:rPr/>
        <w:t>so</w:t>
      </w:r>
      <w:r>
        <w:rPr>
          <w:spacing w:val="37"/>
        </w:rPr>
        <w:t> </w:t>
      </w:r>
      <w:r>
        <w:rPr/>
        <w:t>that</w:t>
      </w:r>
      <w:r>
        <w:rPr>
          <w:spacing w:val="37"/>
        </w:rPr>
        <w:t> </w:t>
      </w:r>
      <w:r>
        <w:rPr/>
        <w:t>the</w:t>
      </w:r>
      <w:r>
        <w:rPr>
          <w:spacing w:val="36"/>
        </w:rPr>
        <w:t> </w:t>
      </w:r>
      <w:r>
        <w:rPr/>
        <w:t>framework</w:t>
      </w:r>
      <w:r>
        <w:rPr>
          <w:spacing w:val="37"/>
        </w:rPr>
        <w:t> </w:t>
      </w:r>
      <w:r>
        <w:rPr/>
        <w:t>was</w:t>
      </w:r>
      <w:r>
        <w:rPr>
          <w:spacing w:val="35"/>
        </w:rPr>
        <w:t> </w:t>
      </w:r>
      <w:r>
        <w:rPr/>
        <w:t>said</w:t>
      </w:r>
      <w:r>
        <w:rPr>
          <w:spacing w:val="37"/>
        </w:rPr>
        <w:t> </w:t>
      </w:r>
      <w:r>
        <w:rPr/>
        <w:t>to</w:t>
      </w:r>
      <w:r>
        <w:rPr>
          <w:spacing w:val="40"/>
        </w:rPr>
        <w:t> </w:t>
      </w:r>
      <w:r>
        <w:rPr/>
        <w:t>be</w:t>
      </w:r>
    </w:p>
    <w:p>
      <w:pPr>
        <w:pStyle w:val="BodyText"/>
        <w:spacing w:line="480" w:lineRule="auto" w:before="1"/>
        <w:ind w:right="171"/>
        <w:jc w:val="both"/>
      </w:pPr>
      <w:r>
        <w:rPr/>
        <w:t>―unduly strict‖ and ―inconsistent with the principle that it is for the board to make business assessments and stifles entrepreneurship.‖</w:t>
      </w:r>
      <w:r>
        <w:rPr>
          <w:vertAlign w:val="superscript"/>
        </w:rPr>
        <w:t>273</w:t>
      </w:r>
      <w:r>
        <w:rPr>
          <w:vertAlign w:val="baseline"/>
        </w:rPr>
        <w:t> It therefore proposed, and Parliament accepted, that statute should allow the company‘s rights to be waived by a disinterested board.</w:t>
      </w:r>
      <w:r>
        <w:rPr>
          <w:vertAlign w:val="superscript"/>
        </w:rPr>
        <w:t>274</w:t>
      </w:r>
      <w:r>
        <w:rPr>
          <w:vertAlign w:val="baseline"/>
        </w:rPr>
        <w:t>In fact, the idea behind the content of s.175 is actually to </w:t>
      </w:r>
      <w:r>
        <w:rPr>
          <w:i/>
          <w:vertAlign w:val="baseline"/>
        </w:rPr>
        <w:t>allow </w:t>
      </w:r>
      <w:r>
        <w:rPr>
          <w:vertAlign w:val="baseline"/>
        </w:rPr>
        <w:t>conflicts, provided there is disclosure and authorisation.</w:t>
      </w:r>
      <w:r>
        <w:rPr>
          <w:vertAlign w:val="superscript"/>
        </w:rPr>
        <w:t>275</w:t>
      </w:r>
      <w:r>
        <w:rPr>
          <w:vertAlign w:val="baseline"/>
        </w:rPr>
        <w:t> Thus, changes were made in order</w:t>
      </w:r>
      <w:r>
        <w:rPr>
          <w:spacing w:val="-4"/>
          <w:vertAlign w:val="baseline"/>
        </w:rPr>
        <w:t> </w:t>
      </w:r>
      <w:r>
        <w:rPr>
          <w:vertAlign w:val="baseline"/>
        </w:rPr>
        <w:t>to facilitate</w:t>
      </w:r>
      <w:r>
        <w:rPr>
          <w:spacing w:val="-3"/>
          <w:vertAlign w:val="baseline"/>
        </w:rPr>
        <w:t> </w:t>
      </w:r>
      <w:r>
        <w:rPr>
          <w:vertAlign w:val="baseline"/>
        </w:rPr>
        <w:t>the</w:t>
      </w:r>
      <w:r>
        <w:rPr>
          <w:spacing w:val="-3"/>
          <w:vertAlign w:val="baseline"/>
        </w:rPr>
        <w:t> </w:t>
      </w:r>
      <w:r>
        <w:rPr>
          <w:vertAlign w:val="baseline"/>
        </w:rPr>
        <w:t>exploitation</w:t>
      </w:r>
      <w:r>
        <w:rPr>
          <w:spacing w:val="-6"/>
          <w:vertAlign w:val="baseline"/>
        </w:rPr>
        <w:t> </w:t>
      </w:r>
      <w:r>
        <w:rPr>
          <w:vertAlign w:val="baseline"/>
        </w:rPr>
        <w:t>of</w:t>
      </w:r>
      <w:r>
        <w:rPr>
          <w:spacing w:val="-8"/>
          <w:vertAlign w:val="baseline"/>
        </w:rPr>
        <w:t> </w:t>
      </w:r>
      <w:r>
        <w:rPr>
          <w:vertAlign w:val="baseline"/>
        </w:rPr>
        <w:t>corporate</w:t>
      </w:r>
      <w:r>
        <w:rPr>
          <w:spacing w:val="-6"/>
          <w:vertAlign w:val="baseline"/>
        </w:rPr>
        <w:t> </w:t>
      </w:r>
      <w:r>
        <w:rPr>
          <w:vertAlign w:val="baseline"/>
        </w:rPr>
        <w:t>opportunities ―which</w:t>
      </w:r>
      <w:r>
        <w:rPr>
          <w:spacing w:val="-2"/>
          <w:vertAlign w:val="baseline"/>
        </w:rPr>
        <w:t> </w:t>
      </w:r>
      <w:r>
        <w:rPr>
          <w:vertAlign w:val="baseline"/>
        </w:rPr>
        <w:t>might otherwise be left to waste because of the expense of convening a general meeting.‖</w:t>
      </w:r>
      <w:r>
        <w:rPr>
          <w:vertAlign w:val="superscript"/>
        </w:rPr>
        <w:t>276</w:t>
      </w:r>
    </w:p>
    <w:p>
      <w:pPr>
        <w:pStyle w:val="BodyText"/>
        <w:spacing w:line="480" w:lineRule="auto" w:before="1"/>
        <w:ind w:right="187" w:firstLine="720"/>
        <w:jc w:val="both"/>
      </w:pPr>
      <w:r>
        <w:rPr/>
        <w:t>Consequently, the Companies Act now allows disinterested or non-conflicted boards of private companies to consider proposals on such conflicts and decide whether or not</w:t>
      </w:r>
      <w:r>
        <w:rPr>
          <w:spacing w:val="-1"/>
        </w:rPr>
        <w:t> </w:t>
      </w:r>
      <w:r>
        <w:rPr/>
        <w:t>to authorise</w:t>
      </w:r>
      <w:r>
        <w:rPr>
          <w:spacing w:val="-2"/>
        </w:rPr>
        <w:t> </w:t>
      </w:r>
      <w:r>
        <w:rPr/>
        <w:t>them, provided</w:t>
      </w:r>
      <w:r>
        <w:rPr>
          <w:spacing w:val="-1"/>
        </w:rPr>
        <w:t> </w:t>
      </w:r>
      <w:r>
        <w:rPr/>
        <w:t>there</w:t>
      </w:r>
      <w:r>
        <w:rPr>
          <w:spacing w:val="-2"/>
        </w:rPr>
        <w:t> </w:t>
      </w:r>
      <w:r>
        <w:rPr/>
        <w:t>are no provisions</w:t>
      </w:r>
      <w:r>
        <w:rPr>
          <w:spacing w:val="-3"/>
        </w:rPr>
        <w:t> </w:t>
      </w:r>
      <w:r>
        <w:rPr/>
        <w:t>within</w:t>
      </w:r>
      <w:r>
        <w:rPr>
          <w:spacing w:val="-1"/>
        </w:rPr>
        <w:t> </w:t>
      </w:r>
      <w:r>
        <w:rPr/>
        <w:t>the</w:t>
      </w:r>
      <w:r>
        <w:rPr>
          <w:spacing w:val="-2"/>
        </w:rPr>
        <w:t> </w:t>
      </w:r>
      <w:r>
        <w:rPr/>
        <w:t>articles inconsistent with this board power. As for public companies, the articles have to be explicit that the board does have the power to consider and authorise any such conflicts. In other words, the articles of public companies have to contain such a provision in order for the board</w:t>
      </w:r>
      <w:r>
        <w:rPr>
          <w:spacing w:val="40"/>
        </w:rPr>
        <w:t> </w:t>
      </w:r>
      <w:r>
        <w:rPr/>
        <w:t>to have the power to act in that manner. It is also interesting to note that not only is the authorising board required to be ―disinterested‖, but each of its members, while authorising,</w:t>
      </w:r>
      <w:r>
        <w:rPr>
          <w:spacing w:val="46"/>
        </w:rPr>
        <w:t> </w:t>
      </w:r>
      <w:r>
        <w:rPr/>
        <w:t>is</w:t>
      </w:r>
      <w:r>
        <w:rPr>
          <w:spacing w:val="40"/>
        </w:rPr>
        <w:t> </w:t>
      </w:r>
      <w:r>
        <w:rPr/>
        <w:t>still</w:t>
      </w:r>
      <w:r>
        <w:rPr>
          <w:spacing w:val="43"/>
        </w:rPr>
        <w:t> </w:t>
      </w:r>
      <w:r>
        <w:rPr/>
        <w:t>held</w:t>
      </w:r>
      <w:r>
        <w:rPr>
          <w:spacing w:val="41"/>
        </w:rPr>
        <w:t> </w:t>
      </w:r>
      <w:r>
        <w:rPr/>
        <w:t>to</w:t>
      </w:r>
      <w:r>
        <w:rPr>
          <w:spacing w:val="47"/>
        </w:rPr>
        <w:t> </w:t>
      </w:r>
      <w:r>
        <w:rPr/>
        <w:t>his</w:t>
      </w:r>
      <w:r>
        <w:rPr>
          <w:spacing w:val="40"/>
        </w:rPr>
        <w:t> </w:t>
      </w:r>
      <w:r>
        <w:rPr/>
        <w:t>responsibilities</w:t>
      </w:r>
      <w:r>
        <w:rPr>
          <w:spacing w:val="40"/>
        </w:rPr>
        <w:t> </w:t>
      </w:r>
      <w:r>
        <w:rPr/>
        <w:t>of</w:t>
      </w:r>
      <w:r>
        <w:rPr>
          <w:spacing w:val="34"/>
        </w:rPr>
        <w:t> </w:t>
      </w:r>
      <w:r>
        <w:rPr/>
        <w:t>acting</w:t>
      </w:r>
      <w:r>
        <w:rPr>
          <w:spacing w:val="46"/>
        </w:rPr>
        <w:t> </w:t>
      </w:r>
      <w:r>
        <w:rPr/>
        <w:t>in</w:t>
      </w:r>
      <w:r>
        <w:rPr>
          <w:spacing w:val="42"/>
        </w:rPr>
        <w:t> </w:t>
      </w:r>
      <w:r>
        <w:rPr/>
        <w:t>good</w:t>
      </w:r>
      <w:r>
        <w:rPr>
          <w:spacing w:val="37"/>
        </w:rPr>
        <w:t> </w:t>
      </w:r>
      <w:r>
        <w:rPr/>
        <w:t>faith</w:t>
      </w:r>
      <w:r>
        <w:rPr>
          <w:spacing w:val="42"/>
        </w:rPr>
        <w:t> </w:t>
      </w:r>
      <w:r>
        <w:rPr/>
        <w:t>in</w:t>
      </w:r>
      <w:r>
        <w:rPr>
          <w:spacing w:val="37"/>
        </w:rPr>
        <w:t> </w:t>
      </w:r>
      <w:r>
        <w:rPr/>
        <w:t>the</w:t>
      </w:r>
      <w:r>
        <w:rPr>
          <w:spacing w:val="41"/>
        </w:rPr>
        <w:t> </w:t>
      </w:r>
      <w:r>
        <w:rPr/>
        <w:t>way</w:t>
      </w:r>
      <w:r>
        <w:rPr>
          <w:spacing w:val="37"/>
        </w:rPr>
        <w:t> </w:t>
      </w:r>
      <w:r>
        <w:rPr>
          <w:spacing w:val="-5"/>
        </w:rPr>
        <w:t>he</w:t>
      </w:r>
    </w:p>
    <w:p>
      <w:pPr>
        <w:pStyle w:val="BodyText"/>
        <w:spacing w:before="97"/>
        <w:ind w:left="0"/>
        <w:rPr>
          <w:sz w:val="20"/>
        </w:rPr>
      </w:pPr>
      <w:r>
        <w:rPr/>
        <mc:AlternateContent>
          <mc:Choice Requires="wps">
            <w:drawing>
              <wp:anchor distT="0" distB="0" distL="0" distR="0" allowOverlap="1" layoutInCell="1" locked="0" behindDoc="1" simplePos="0" relativeHeight="487700992">
                <wp:simplePos x="0" y="0"/>
                <wp:positionH relativeFrom="page">
                  <wp:posOffset>1262481</wp:posOffset>
                </wp:positionH>
                <wp:positionV relativeFrom="paragraph">
                  <wp:posOffset>223002</wp:posOffset>
                </wp:positionV>
                <wp:extent cx="1829435" cy="9525"/>
                <wp:effectExtent l="0" t="0" r="0" b="0"/>
                <wp:wrapTopAndBottom/>
                <wp:docPr id="247" name="Graphic 247"/>
                <wp:cNvGraphicFramePr>
                  <a:graphicFrameLocks/>
                </wp:cNvGraphicFramePr>
                <a:graphic>
                  <a:graphicData uri="http://schemas.microsoft.com/office/word/2010/wordprocessingShape">
                    <wps:wsp>
                      <wps:cNvPr id="247" name="Graphic 24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59248pt;width:144.050pt;height:.71997pt;mso-position-horizontal-relative:page;mso-position-vertical-relative:paragraph;z-index:-15615488;mso-wrap-distance-left:0;mso-wrap-distance-right:0" id="docshape202" filled="true" fillcolor="#000000" stroked="false">
                <v:fill type="solid"/>
                <w10:wrap type="topAndBottom"/>
              </v:rect>
            </w:pict>
          </mc:Fallback>
        </mc:AlternateContent>
      </w:r>
    </w:p>
    <w:p>
      <w:pPr>
        <w:spacing w:line="235" w:lineRule="auto" w:before="106"/>
        <w:ind w:left="308" w:right="227" w:firstLine="0"/>
        <w:jc w:val="both"/>
        <w:rPr>
          <w:rFonts w:ascii="Calibri"/>
          <w:sz w:val="20"/>
        </w:rPr>
      </w:pPr>
      <w:r>
        <w:rPr>
          <w:rFonts w:ascii="Calibri"/>
          <w:sz w:val="20"/>
          <w:vertAlign w:val="superscript"/>
        </w:rPr>
        <w:t>273</w:t>
      </w:r>
      <w:r>
        <w:rPr>
          <w:rFonts w:ascii="Calibri"/>
          <w:sz w:val="20"/>
          <w:vertAlign w:val="baseline"/>
        </w:rPr>
        <w:t> Company Law Review Steering Group, </w:t>
      </w:r>
      <w:r>
        <w:rPr>
          <w:rFonts w:ascii="Calibri"/>
          <w:i/>
          <w:sz w:val="20"/>
          <w:vertAlign w:val="baseline"/>
        </w:rPr>
        <w:t>Modern Company Law for a Competitive Economy: The Final Report</w:t>
      </w:r>
      <w:r>
        <w:rPr>
          <w:rFonts w:ascii="Calibri"/>
          <w:sz w:val="20"/>
          <w:vertAlign w:val="baseline"/>
        </w:rPr>
        <w:t>, Volume 1, London, DTI, 2001, p. 46</w:t>
      </w:r>
    </w:p>
    <w:p>
      <w:pPr>
        <w:spacing w:before="2"/>
        <w:ind w:left="308" w:right="0" w:firstLine="0"/>
        <w:jc w:val="both"/>
        <w:rPr>
          <w:rFonts w:ascii="Calibri"/>
          <w:sz w:val="20"/>
        </w:rPr>
      </w:pPr>
      <w:r>
        <w:rPr>
          <w:rFonts w:ascii="Calibri"/>
          <w:sz w:val="20"/>
          <w:vertAlign w:val="superscript"/>
        </w:rPr>
        <w:t>274</w:t>
      </w:r>
      <w:r>
        <w:rPr>
          <w:rFonts w:ascii="Calibri"/>
          <w:spacing w:val="-2"/>
          <w:sz w:val="20"/>
          <w:vertAlign w:val="baseline"/>
        </w:rPr>
        <w:t> </w:t>
      </w:r>
      <w:r>
        <w:rPr>
          <w:rFonts w:ascii="Calibri"/>
          <w:sz w:val="20"/>
          <w:vertAlign w:val="baseline"/>
        </w:rPr>
        <w:t>Refer</w:t>
      </w:r>
      <w:r>
        <w:rPr>
          <w:rFonts w:ascii="Calibri"/>
          <w:spacing w:val="-6"/>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s.175(5)(a)&amp;(b)</w:t>
      </w:r>
      <w:r>
        <w:rPr>
          <w:rFonts w:ascii="Calibri"/>
          <w:spacing w:val="-7"/>
          <w:sz w:val="20"/>
          <w:vertAlign w:val="baseline"/>
        </w:rPr>
        <w:t> </w:t>
      </w:r>
      <w:r>
        <w:rPr>
          <w:rFonts w:ascii="Calibri"/>
          <w:sz w:val="20"/>
          <w:vertAlign w:val="baseline"/>
        </w:rPr>
        <w:t>and</w:t>
      </w:r>
      <w:r>
        <w:rPr>
          <w:rFonts w:ascii="Calibri"/>
          <w:spacing w:val="-7"/>
          <w:sz w:val="20"/>
          <w:vertAlign w:val="baseline"/>
        </w:rPr>
        <w:t> </w:t>
      </w:r>
      <w:r>
        <w:rPr>
          <w:rFonts w:ascii="Calibri"/>
          <w:spacing w:val="-2"/>
          <w:sz w:val="20"/>
          <w:vertAlign w:val="baseline"/>
        </w:rPr>
        <w:t>(6)(a)&amp;(b).</w:t>
      </w:r>
    </w:p>
    <w:p>
      <w:pPr>
        <w:spacing w:before="2"/>
        <w:ind w:left="308" w:right="223" w:firstLine="0"/>
        <w:jc w:val="both"/>
        <w:rPr>
          <w:rFonts w:ascii="Calibri"/>
          <w:sz w:val="20"/>
        </w:rPr>
      </w:pPr>
      <w:r>
        <w:rPr>
          <w:rFonts w:ascii="Calibri"/>
          <w:sz w:val="20"/>
          <w:vertAlign w:val="superscript"/>
        </w:rPr>
        <w:t>275</w:t>
      </w:r>
      <w:r>
        <w:rPr>
          <w:rFonts w:ascii="Calibri"/>
          <w:sz w:val="20"/>
          <w:vertAlign w:val="baseline"/>
        </w:rPr>
        <w:t>Per Lord Goldsmith of the Lords Grand Committee.</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11, quoting from the Committee Report in the Hansard of 6</w:t>
      </w:r>
      <w:r>
        <w:rPr>
          <w:rFonts w:ascii="Calibri"/>
          <w:sz w:val="20"/>
          <w:vertAlign w:val="superscript"/>
        </w:rPr>
        <w:t>th</w:t>
      </w:r>
      <w:r>
        <w:rPr>
          <w:rFonts w:ascii="Calibri"/>
          <w:sz w:val="20"/>
          <w:vertAlign w:val="baseline"/>
        </w:rPr>
        <w:t> February 2006, column 288.Retrieved December 23</w:t>
      </w:r>
      <w:r>
        <w:rPr>
          <w:rFonts w:ascii="Calibri"/>
          <w:sz w:val="20"/>
          <w:vertAlign w:val="superscript"/>
        </w:rPr>
        <w:t>rd</w:t>
      </w:r>
      <w:r>
        <w:rPr>
          <w:rFonts w:ascii="Calibri"/>
          <w:sz w:val="20"/>
          <w:vertAlign w:val="baseline"/>
        </w:rPr>
        <w:t> 2013, from </w:t>
      </w:r>
      <w:hyperlink r:id="rId12">
        <w:r>
          <w:rPr>
            <w:rFonts w:ascii="Calibri"/>
            <w:color w:val="0000FF"/>
            <w:sz w:val="20"/>
            <w:u w:val="single" w:color="0000FF"/>
            <w:vertAlign w:val="baseline"/>
          </w:rPr>
          <w:t>http://www.berr.gov.uk/files/file40139.pdf</w:t>
        </w:r>
        <w:r>
          <w:rPr>
            <w:rFonts w:ascii="Calibri"/>
            <w:sz w:val="20"/>
            <w:vertAlign w:val="baseline"/>
          </w:rPr>
          <w:t>.</w:t>
        </w:r>
      </w:hyperlink>
    </w:p>
    <w:p>
      <w:pPr>
        <w:spacing w:before="2"/>
        <w:ind w:left="308" w:right="0" w:firstLine="0"/>
        <w:jc w:val="both"/>
        <w:rPr>
          <w:rFonts w:ascii="Calibri"/>
          <w:sz w:val="20"/>
        </w:rPr>
      </w:pPr>
      <w:r>
        <w:rPr>
          <w:rFonts w:ascii="Calibri"/>
          <w:sz w:val="20"/>
          <w:vertAlign w:val="superscript"/>
        </w:rPr>
        <w:t>276</w:t>
      </w:r>
      <w:r>
        <w:rPr>
          <w:rFonts w:ascii="Calibri"/>
          <w:sz w:val="20"/>
          <w:vertAlign w:val="baseline"/>
        </w:rPr>
        <w:t>Arden,</w:t>
      </w:r>
      <w:r>
        <w:rPr>
          <w:rFonts w:ascii="Calibri"/>
          <w:spacing w:val="-5"/>
          <w:sz w:val="20"/>
          <w:vertAlign w:val="baseline"/>
        </w:rPr>
        <w:t> </w:t>
      </w:r>
      <w:r>
        <w:rPr>
          <w:rFonts w:ascii="Calibri"/>
          <w:sz w:val="20"/>
          <w:vertAlign w:val="baseline"/>
        </w:rPr>
        <w:t>D.B.E.</w:t>
      </w:r>
      <w:r>
        <w:rPr>
          <w:rFonts w:ascii="Calibri"/>
          <w:spacing w:val="-1"/>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8"/>
          <w:sz w:val="20"/>
          <w:vertAlign w:val="baseline"/>
        </w:rPr>
        <w:t> </w:t>
      </w:r>
      <w:r>
        <w:rPr>
          <w:rFonts w:ascii="Calibri"/>
          <w:spacing w:val="-4"/>
          <w:sz w:val="20"/>
          <w:vertAlign w:val="baseline"/>
        </w:rPr>
        <w:t>169.</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0"/>
        <w:jc w:val="both"/>
      </w:pPr>
      <w:r>
        <w:rPr/>
        <w:t>considers that authorisation is the course of action most likely to promote the success of the company.</w:t>
      </w:r>
      <w:r>
        <w:rPr>
          <w:vertAlign w:val="superscript"/>
        </w:rPr>
        <w:t>277</w:t>
      </w:r>
      <w:r>
        <w:rPr>
          <w:vertAlign w:val="baseline"/>
        </w:rPr>
        <w:t> In either type of companies, where the shareholders wish to retain the power of</w:t>
      </w:r>
      <w:r>
        <w:rPr>
          <w:spacing w:val="-4"/>
          <w:vertAlign w:val="baseline"/>
        </w:rPr>
        <w:t> </w:t>
      </w:r>
      <w:r>
        <w:rPr>
          <w:vertAlign w:val="baseline"/>
        </w:rPr>
        <w:t>authorisation, the articles can be drafted to reflect that preference. Where there are no disinterested directors left on the board, the Act is silent. Presumably, the matter would then have to be decided by the general meeting as per common law.</w:t>
      </w:r>
      <w:r>
        <w:rPr>
          <w:vertAlign w:val="superscript"/>
        </w:rPr>
        <w:t>278</w:t>
      </w:r>
      <w:r>
        <w:rPr>
          <w:vertAlign w:val="baseline"/>
        </w:rPr>
        <w:t> However, where the company‘s articles contain provisions for dealing with conflicts of interests, directors will not be in breach of</w:t>
      </w:r>
      <w:r>
        <w:rPr>
          <w:spacing w:val="-1"/>
          <w:vertAlign w:val="baseline"/>
        </w:rPr>
        <w:t> </w:t>
      </w:r>
      <w:r>
        <w:rPr>
          <w:vertAlign w:val="baseline"/>
        </w:rPr>
        <w:t>duty if</w:t>
      </w:r>
      <w:r>
        <w:rPr>
          <w:spacing w:val="-1"/>
          <w:vertAlign w:val="baseline"/>
        </w:rPr>
        <w:t> </w:t>
      </w:r>
      <w:r>
        <w:rPr>
          <w:vertAlign w:val="baseline"/>
        </w:rPr>
        <w:t>they act in accordance with those provisions.</w:t>
      </w:r>
      <w:r>
        <w:rPr>
          <w:vertAlign w:val="superscript"/>
        </w:rPr>
        <w:t>279</w:t>
      </w:r>
    </w:p>
    <w:p>
      <w:pPr>
        <w:pStyle w:val="BodyText"/>
        <w:spacing w:line="480" w:lineRule="auto" w:before="1"/>
        <w:ind w:right="228" w:firstLine="720"/>
        <w:jc w:val="both"/>
      </w:pPr>
      <w:r>
        <w:rPr/>
        <w:t>There seem to be other ‗escape routes‘ for the ‗conflicting director‘ under the Act, besides the</w:t>
      </w:r>
      <w:r>
        <w:rPr>
          <w:spacing w:val="-1"/>
        </w:rPr>
        <w:t> </w:t>
      </w:r>
      <w:r>
        <w:rPr/>
        <w:t>disclosure and authorisation</w:t>
      </w:r>
      <w:r>
        <w:rPr>
          <w:spacing w:val="-5"/>
        </w:rPr>
        <w:t> </w:t>
      </w:r>
      <w:r>
        <w:rPr/>
        <w:t>procedures</w:t>
      </w:r>
      <w:r>
        <w:rPr>
          <w:spacing w:val="-2"/>
        </w:rPr>
        <w:t> </w:t>
      </w:r>
      <w:r>
        <w:rPr/>
        <w:t>set out in s. 175. S.1157 allows the court to wholly or partially excuse directors for breach of duty—including duty to avoid conflict of interest—on reasonable grounds. Though discretionary, this power of the</w:t>
      </w:r>
      <w:r>
        <w:rPr>
          <w:spacing w:val="-1"/>
        </w:rPr>
        <w:t> </w:t>
      </w:r>
      <w:r>
        <w:rPr/>
        <w:t>court is exercised having regard to the</w:t>
      </w:r>
      <w:r>
        <w:rPr>
          <w:spacing w:val="-1"/>
        </w:rPr>
        <w:t> </w:t>
      </w:r>
      <w:r>
        <w:rPr/>
        <w:t>circumstances</w:t>
      </w:r>
      <w:r>
        <w:rPr>
          <w:spacing w:val="-2"/>
        </w:rPr>
        <w:t> </w:t>
      </w:r>
      <w:r>
        <w:rPr/>
        <w:t>of</w:t>
      </w:r>
      <w:r>
        <w:rPr>
          <w:spacing w:val="-8"/>
        </w:rPr>
        <w:t> </w:t>
      </w:r>
      <w:r>
        <w:rPr/>
        <w:t>the</w:t>
      </w:r>
      <w:r>
        <w:rPr>
          <w:spacing w:val="-1"/>
        </w:rPr>
        <w:t> </w:t>
      </w:r>
      <w:r>
        <w:rPr/>
        <w:t>case</w:t>
      </w:r>
      <w:r>
        <w:rPr>
          <w:spacing w:val="-1"/>
        </w:rPr>
        <w:t> </w:t>
      </w:r>
      <w:r>
        <w:rPr/>
        <w:t>and in all cases, the good faith of</w:t>
      </w:r>
      <w:r>
        <w:rPr>
          <w:spacing w:val="-2"/>
        </w:rPr>
        <w:t> </w:t>
      </w:r>
      <w:r>
        <w:rPr/>
        <w:t>the director. In </w:t>
      </w:r>
      <w:r>
        <w:rPr>
          <w:b/>
        </w:rPr>
        <w:t>Coleman Taymar Ltd vs. Oakes,</w:t>
      </w:r>
      <w:r>
        <w:rPr>
          <w:vertAlign w:val="superscript"/>
        </w:rPr>
        <w:t>280</w:t>
      </w:r>
      <w:r>
        <w:rPr>
          <w:vertAlign w:val="baseline"/>
        </w:rPr>
        <w:t>the plaintiff company was giving up business in the UK, and it was clear to the defendant that his role as director and employee was coming to an end. He therefore negotiated to take over</w:t>
      </w:r>
      <w:r>
        <w:rPr>
          <w:spacing w:val="80"/>
          <w:vertAlign w:val="baseline"/>
        </w:rPr>
        <w:t> </w:t>
      </w:r>
      <w:r>
        <w:rPr>
          <w:vertAlign w:val="baseline"/>
        </w:rPr>
        <w:t>leases that the company was giving up, with a view to setting up in the same line of business, recruited some of the company‘s staff, and canvassed the customers of the company, without seeking and obtaining permission. When he was sued by the company,</w:t>
      </w:r>
      <w:r>
        <w:rPr>
          <w:spacing w:val="65"/>
          <w:vertAlign w:val="baseline"/>
        </w:rPr>
        <w:t> </w:t>
      </w:r>
      <w:r>
        <w:rPr>
          <w:vertAlign w:val="baseline"/>
        </w:rPr>
        <w:t>the</w:t>
      </w:r>
      <w:r>
        <w:rPr>
          <w:spacing w:val="67"/>
          <w:vertAlign w:val="baseline"/>
        </w:rPr>
        <w:t> </w:t>
      </w:r>
      <w:r>
        <w:rPr>
          <w:vertAlign w:val="baseline"/>
        </w:rPr>
        <w:t>court</w:t>
      </w:r>
      <w:r>
        <w:rPr>
          <w:spacing w:val="68"/>
          <w:vertAlign w:val="baseline"/>
        </w:rPr>
        <w:t> </w:t>
      </w:r>
      <w:r>
        <w:rPr>
          <w:vertAlign w:val="baseline"/>
        </w:rPr>
        <w:t>held</w:t>
      </w:r>
      <w:r>
        <w:rPr>
          <w:spacing w:val="63"/>
          <w:vertAlign w:val="baseline"/>
        </w:rPr>
        <w:t> </w:t>
      </w:r>
      <w:r>
        <w:rPr>
          <w:vertAlign w:val="baseline"/>
        </w:rPr>
        <w:t>that</w:t>
      </w:r>
      <w:r>
        <w:rPr>
          <w:spacing w:val="68"/>
          <w:vertAlign w:val="baseline"/>
        </w:rPr>
        <w:t> </w:t>
      </w:r>
      <w:r>
        <w:rPr>
          <w:vertAlign w:val="baseline"/>
        </w:rPr>
        <w:t>preliminary</w:t>
      </w:r>
      <w:r>
        <w:rPr>
          <w:spacing w:val="58"/>
          <w:vertAlign w:val="baseline"/>
        </w:rPr>
        <w:t> </w:t>
      </w:r>
      <w:r>
        <w:rPr>
          <w:vertAlign w:val="baseline"/>
        </w:rPr>
        <w:t>activity</w:t>
      </w:r>
      <w:r>
        <w:rPr>
          <w:spacing w:val="58"/>
          <w:vertAlign w:val="baseline"/>
        </w:rPr>
        <w:t> </w:t>
      </w:r>
      <w:r>
        <w:rPr>
          <w:vertAlign w:val="baseline"/>
        </w:rPr>
        <w:t>short</w:t>
      </w:r>
      <w:r>
        <w:rPr>
          <w:spacing w:val="68"/>
          <w:vertAlign w:val="baseline"/>
        </w:rPr>
        <w:t> </w:t>
      </w:r>
      <w:r>
        <w:rPr>
          <w:vertAlign w:val="baseline"/>
        </w:rPr>
        <w:t>of</w:t>
      </w:r>
      <w:r>
        <w:rPr>
          <w:spacing w:val="40"/>
          <w:vertAlign w:val="baseline"/>
        </w:rPr>
        <w:t> </w:t>
      </w:r>
      <w:r>
        <w:rPr>
          <w:vertAlign w:val="baseline"/>
        </w:rPr>
        <w:t>active</w:t>
      </w:r>
      <w:r>
        <w:rPr>
          <w:spacing w:val="62"/>
          <w:vertAlign w:val="baseline"/>
        </w:rPr>
        <w:t> </w:t>
      </w:r>
      <w:r>
        <w:rPr>
          <w:vertAlign w:val="baseline"/>
        </w:rPr>
        <w:t>competition</w:t>
      </w:r>
      <w:r>
        <w:rPr>
          <w:spacing w:val="63"/>
          <w:vertAlign w:val="baseline"/>
        </w:rPr>
        <w:t> </w:t>
      </w:r>
      <w:r>
        <w:rPr>
          <w:vertAlign w:val="baseline"/>
        </w:rPr>
        <w:t>was</w:t>
      </w:r>
    </w:p>
    <w:p>
      <w:pPr>
        <w:pStyle w:val="BodyText"/>
        <w:spacing w:line="20" w:lineRule="exact"/>
        <w:rPr>
          <w:sz w:val="2"/>
        </w:rPr>
      </w:pPr>
      <w:r>
        <w:rPr>
          <w:sz w:val="2"/>
        </w:rPr>
        <mc:AlternateContent>
          <mc:Choice Requires="wps">
            <w:drawing>
              <wp:inline distT="0" distB="0" distL="0" distR="0">
                <wp:extent cx="1829435" cy="9525"/>
                <wp:effectExtent l="0" t="0" r="0" b="0"/>
                <wp:docPr id="248" name="Group 248"/>
                <wp:cNvGraphicFramePr>
                  <a:graphicFrameLocks/>
                </wp:cNvGraphicFramePr>
                <a:graphic>
                  <a:graphicData uri="http://schemas.microsoft.com/office/word/2010/wordprocessingGroup">
                    <wpg:wgp>
                      <wpg:cNvPr id="248" name="Group 248"/>
                      <wpg:cNvGrpSpPr/>
                      <wpg:grpSpPr>
                        <a:xfrm>
                          <a:off x="0" y="0"/>
                          <a:ext cx="1829435" cy="9525"/>
                          <a:chExt cx="1829435" cy="9525"/>
                        </a:xfrm>
                      </wpg:grpSpPr>
                      <wps:wsp>
                        <wps:cNvPr id="249" name="Graphic 24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44.050pt;height:.75pt;mso-position-horizontal-relative:char;mso-position-vertical-relative:line" id="docshapegroup203" coordorigin="0,0" coordsize="2881,15">
                <v:rect style="position:absolute;left:0;top:0;width:2881;height:15" id="docshape204" filled="true" fillcolor="#000000" stroked="false">
                  <v:fill type="solid"/>
                </v:rect>
              </v:group>
            </w:pict>
          </mc:Fallback>
        </mc:AlternateContent>
      </w:r>
      <w:r>
        <w:rPr>
          <w:sz w:val="2"/>
        </w:rPr>
      </w:r>
    </w:p>
    <w:p>
      <w:pPr>
        <w:spacing w:before="83"/>
        <w:ind w:left="308" w:right="230" w:firstLine="0"/>
        <w:jc w:val="both"/>
        <w:rPr>
          <w:rFonts w:ascii="Calibri"/>
          <w:sz w:val="20"/>
        </w:rPr>
      </w:pPr>
      <w:r>
        <w:rPr>
          <w:rFonts w:ascii="Calibri"/>
          <w:sz w:val="20"/>
          <w:vertAlign w:val="superscript"/>
        </w:rPr>
        <w:t>277</w:t>
      </w:r>
      <w:r>
        <w:rPr>
          <w:rFonts w:ascii="Calibri"/>
          <w:sz w:val="20"/>
          <w:vertAlign w:val="baseline"/>
        </w:rPr>
        <w:t>Per</w:t>
      </w:r>
      <w:r>
        <w:rPr>
          <w:rFonts w:ascii="Calibri"/>
          <w:spacing w:val="-1"/>
          <w:sz w:val="20"/>
          <w:vertAlign w:val="baseline"/>
        </w:rPr>
        <w:t> </w:t>
      </w:r>
      <w:r>
        <w:rPr>
          <w:rFonts w:ascii="Calibri"/>
          <w:sz w:val="20"/>
          <w:vertAlign w:val="baseline"/>
        </w:rPr>
        <w:t>Lord</w:t>
      </w:r>
      <w:r>
        <w:rPr>
          <w:rFonts w:ascii="Calibri"/>
          <w:spacing w:val="-3"/>
          <w:sz w:val="20"/>
          <w:vertAlign w:val="baseline"/>
        </w:rPr>
        <w:t> </w:t>
      </w:r>
      <w:r>
        <w:rPr>
          <w:rFonts w:ascii="Calibri"/>
          <w:sz w:val="20"/>
          <w:vertAlign w:val="baseline"/>
        </w:rPr>
        <w:t>Goldsmith of</w:t>
      </w:r>
      <w:r>
        <w:rPr>
          <w:rFonts w:ascii="Calibri"/>
          <w:spacing w:val="-2"/>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Lords</w:t>
      </w:r>
      <w:r>
        <w:rPr>
          <w:rFonts w:ascii="Calibri"/>
          <w:spacing w:val="-5"/>
          <w:sz w:val="20"/>
          <w:vertAlign w:val="baseline"/>
        </w:rPr>
        <w:t> </w:t>
      </w:r>
      <w:r>
        <w:rPr>
          <w:rFonts w:ascii="Calibri"/>
          <w:sz w:val="20"/>
          <w:vertAlign w:val="baseline"/>
        </w:rPr>
        <w:t>Grand Committee.Quoted</w:t>
      </w:r>
      <w:r>
        <w:rPr>
          <w:rFonts w:ascii="Calibri"/>
          <w:spacing w:val="-3"/>
          <w:sz w:val="20"/>
          <w:vertAlign w:val="baseline"/>
        </w:rPr>
        <w:t> </w:t>
      </w:r>
      <w:r>
        <w:rPr>
          <w:rFonts w:ascii="Calibri"/>
          <w:sz w:val="20"/>
          <w:vertAlign w:val="baseline"/>
        </w:rPr>
        <w:t>in </w:t>
      </w:r>
      <w:r>
        <w:rPr>
          <w:rFonts w:ascii="Calibri"/>
          <w:i/>
          <w:sz w:val="20"/>
          <w:vertAlign w:val="baseline"/>
        </w:rPr>
        <w:t>Companies Act 2006: Duties</w:t>
      </w:r>
      <w:r>
        <w:rPr>
          <w:rFonts w:ascii="Calibri"/>
          <w:i/>
          <w:spacing w:val="-5"/>
          <w:sz w:val="20"/>
          <w:vertAlign w:val="baseline"/>
        </w:rPr>
        <w:t> </w:t>
      </w:r>
      <w:r>
        <w:rPr>
          <w:rFonts w:ascii="Calibri"/>
          <w:i/>
          <w:sz w:val="20"/>
          <w:vertAlign w:val="baseline"/>
        </w:rPr>
        <w:t>of Company Directors</w:t>
      </w:r>
      <w:r>
        <w:rPr>
          <w:rFonts w:ascii="Calibri"/>
          <w:sz w:val="20"/>
          <w:vertAlign w:val="baseline"/>
        </w:rPr>
        <w:t>, Ministerial Statements published by the Department of Trade and Industry (DTI), (June 2007)</w:t>
      </w:r>
    </w:p>
    <w:p>
      <w:pPr>
        <w:spacing w:before="2"/>
        <w:ind w:left="308" w:right="225" w:firstLine="0"/>
        <w:jc w:val="both"/>
        <w:rPr>
          <w:rFonts w:ascii="Calibri" w:hAnsi="Calibri"/>
          <w:sz w:val="20"/>
        </w:rPr>
      </w:pPr>
      <w:r>
        <w:rPr>
          <w:rFonts w:ascii="Calibri" w:hAnsi="Calibri"/>
          <w:sz w:val="20"/>
        </w:rPr>
        <w:t>p. 11, quoting from the Committee’s Report in the Hansard of February 9 2006, column 327.Retrieved December 23</w:t>
      </w:r>
      <w:r>
        <w:rPr>
          <w:rFonts w:ascii="Calibri" w:hAnsi="Calibri"/>
          <w:sz w:val="20"/>
          <w:vertAlign w:val="superscript"/>
        </w:rPr>
        <w:t>rd</w:t>
      </w:r>
      <w:r>
        <w:rPr>
          <w:rFonts w:ascii="Calibri" w:hAnsi="Calibri"/>
          <w:sz w:val="20"/>
          <w:vertAlign w:val="baseline"/>
        </w:rPr>
        <w:t> 2013, from </w:t>
      </w:r>
      <w:hyperlink r:id="rId12">
        <w:r>
          <w:rPr>
            <w:rFonts w:ascii="Calibri" w:hAnsi="Calibri"/>
            <w:color w:val="0000FF"/>
            <w:sz w:val="20"/>
            <w:u w:val="single" w:color="0000FF"/>
            <w:vertAlign w:val="baseline"/>
          </w:rPr>
          <w:t>http://www.berr.gov.uk/files/file40139.pdf</w:t>
        </w:r>
        <w:r>
          <w:rPr>
            <w:rFonts w:ascii="Calibri" w:hAnsi="Calibri"/>
            <w:sz w:val="20"/>
            <w:vertAlign w:val="baseline"/>
          </w:rPr>
          <w:t>.</w:t>
        </w:r>
      </w:hyperlink>
    </w:p>
    <w:p>
      <w:pPr>
        <w:spacing w:line="240" w:lineRule="auto" w:before="1"/>
        <w:ind w:left="308" w:right="228" w:firstLine="0"/>
        <w:jc w:val="both"/>
        <w:rPr>
          <w:rFonts w:ascii="Calibri"/>
          <w:sz w:val="20"/>
        </w:rPr>
      </w:pPr>
      <w:r>
        <w:rPr>
          <w:rFonts w:ascii="Calibri"/>
          <w:sz w:val="20"/>
          <w:vertAlign w:val="superscript"/>
        </w:rPr>
        <w:t>278</w:t>
      </w:r>
      <w:r>
        <w:rPr>
          <w:rFonts w:ascii="Calibri"/>
          <w:sz w:val="20"/>
          <w:vertAlign w:val="baseline"/>
        </w:rPr>
        <w:t>S.180(4) preserves the common law rule as to authorization by the company. Since the Act does not explicitly prohibit interested members from voting on authorization, the assumption is that a conflicted director, if he happens also to be a member, is entitled to vote on the authorization of the conflict. Cf. the rule on ratification under s.239.</w:t>
      </w:r>
    </w:p>
    <w:p>
      <w:pPr>
        <w:spacing w:line="240" w:lineRule="auto" w:before="0"/>
        <w:ind w:left="308" w:right="224" w:firstLine="0"/>
        <w:jc w:val="both"/>
        <w:rPr>
          <w:rFonts w:ascii="Calibri"/>
          <w:sz w:val="20"/>
        </w:rPr>
      </w:pPr>
      <w:r>
        <w:rPr>
          <w:rFonts w:ascii="Calibri"/>
          <w:sz w:val="20"/>
          <w:vertAlign w:val="superscript"/>
        </w:rPr>
        <w:t>279</w:t>
      </w:r>
      <w:r>
        <w:rPr>
          <w:rFonts w:ascii="Calibri"/>
          <w:sz w:val="20"/>
          <w:vertAlign w:val="baseline"/>
        </w:rPr>
        <w:t>Per Lord Sainsbury of Turville of the House of Lords.Quoted in </w:t>
      </w:r>
      <w:r>
        <w:rPr>
          <w:rFonts w:ascii="Calibri"/>
          <w:i/>
          <w:sz w:val="20"/>
          <w:vertAlign w:val="baseline"/>
        </w:rPr>
        <w:t>Companies Act 2006: Duties of</w:t>
      </w:r>
      <w:r>
        <w:rPr>
          <w:rFonts w:ascii="Calibri"/>
          <w:i/>
          <w:spacing w:val="40"/>
          <w:sz w:val="20"/>
          <w:vertAlign w:val="baseline"/>
        </w:rPr>
        <w:t> </w:t>
      </w:r>
      <w:r>
        <w:rPr>
          <w:rFonts w:ascii="Calibri"/>
          <w:i/>
          <w:sz w:val="20"/>
          <w:vertAlign w:val="baseline"/>
        </w:rPr>
        <w:t>Company Directors</w:t>
      </w:r>
      <w:r>
        <w:rPr>
          <w:rFonts w:ascii="Calibri"/>
          <w:sz w:val="20"/>
          <w:vertAlign w:val="baseline"/>
        </w:rPr>
        <w:t>, Ministerial Statements published by the Department of Trade and Industry (DTI), (June 2007) p. 11, quoting from the Lords Report in the Hansard of 23</w:t>
      </w:r>
      <w:r>
        <w:rPr>
          <w:rFonts w:ascii="Calibri"/>
          <w:sz w:val="20"/>
          <w:vertAlign w:val="superscript"/>
        </w:rPr>
        <w:t>rd</w:t>
      </w:r>
      <w:r>
        <w:rPr>
          <w:rFonts w:ascii="Calibri"/>
          <w:sz w:val="20"/>
          <w:vertAlign w:val="baseline"/>
        </w:rPr>
        <w:t> May 2006, column</w:t>
      </w:r>
      <w:r>
        <w:rPr>
          <w:rFonts w:ascii="Calibri"/>
          <w:spacing w:val="80"/>
          <w:sz w:val="20"/>
          <w:vertAlign w:val="baseline"/>
        </w:rPr>
        <w:t> </w:t>
      </w:r>
      <w:r>
        <w:rPr>
          <w:rFonts w:ascii="Calibri"/>
          <w:sz w:val="20"/>
          <w:vertAlign w:val="baseline"/>
        </w:rPr>
        <w:t>722.Retrieved December 23</w:t>
      </w:r>
      <w:r>
        <w:rPr>
          <w:rFonts w:ascii="Calibri"/>
          <w:sz w:val="20"/>
          <w:vertAlign w:val="superscript"/>
        </w:rPr>
        <w:t>rd</w:t>
      </w:r>
      <w:r>
        <w:rPr>
          <w:rFonts w:ascii="Calibri"/>
          <w:sz w:val="20"/>
          <w:vertAlign w:val="baseline"/>
        </w:rPr>
        <w:t> 2013,</w:t>
      </w:r>
      <w:r>
        <w:rPr>
          <w:rFonts w:ascii="Calibri"/>
          <w:spacing w:val="-1"/>
          <w:sz w:val="20"/>
          <w:vertAlign w:val="baseline"/>
        </w:rPr>
        <w:t> </w:t>
      </w:r>
      <w:r>
        <w:rPr>
          <w:rFonts w:ascii="Calibri"/>
          <w:sz w:val="20"/>
          <w:vertAlign w:val="baseline"/>
        </w:rPr>
        <w:t>from </w:t>
      </w:r>
      <w:hyperlink r:id="rId12">
        <w:r>
          <w:rPr>
            <w:rFonts w:ascii="Calibri"/>
            <w:color w:val="0000FF"/>
            <w:sz w:val="20"/>
            <w:u w:val="single" w:color="0000FF"/>
            <w:vertAlign w:val="baseline"/>
          </w:rPr>
          <w:t>http://www.berr.gov.uk/files/file40139.pdf</w:t>
        </w:r>
        <w:r>
          <w:rPr>
            <w:rFonts w:ascii="Calibri"/>
            <w:sz w:val="20"/>
            <w:vertAlign w:val="baseline"/>
          </w:rPr>
          <w:t>.</w:t>
        </w:r>
      </w:hyperlink>
      <w:r>
        <w:rPr>
          <w:rFonts w:ascii="Calibri"/>
          <w:sz w:val="20"/>
          <w:vertAlign w:val="baseline"/>
        </w:rPr>
        <w:t> This</w:t>
      </w:r>
      <w:r>
        <w:rPr>
          <w:rFonts w:ascii="Calibri"/>
          <w:spacing w:val="-1"/>
          <w:sz w:val="20"/>
          <w:vertAlign w:val="baseline"/>
        </w:rPr>
        <w:t> </w:t>
      </w:r>
      <w:r>
        <w:rPr>
          <w:rFonts w:ascii="Calibri"/>
          <w:sz w:val="20"/>
          <w:vertAlign w:val="baseline"/>
        </w:rPr>
        <w:t>is</w:t>
      </w:r>
      <w:r>
        <w:rPr>
          <w:rFonts w:ascii="Calibri"/>
          <w:spacing w:val="-1"/>
          <w:sz w:val="20"/>
          <w:vertAlign w:val="baseline"/>
        </w:rPr>
        <w:t> </w:t>
      </w:r>
      <w:r>
        <w:rPr>
          <w:rFonts w:ascii="Calibri"/>
          <w:sz w:val="20"/>
          <w:vertAlign w:val="baseline"/>
        </w:rPr>
        <w:t>reflected in </w:t>
      </w:r>
      <w:r>
        <w:rPr>
          <w:rFonts w:ascii="Calibri"/>
          <w:spacing w:val="-2"/>
          <w:sz w:val="20"/>
          <w:vertAlign w:val="baseline"/>
        </w:rPr>
        <w:t>s.180(4)(b).</w:t>
      </w:r>
    </w:p>
    <w:p>
      <w:pPr>
        <w:spacing w:before="2"/>
        <w:ind w:left="308" w:right="0" w:firstLine="0"/>
        <w:jc w:val="both"/>
        <w:rPr>
          <w:rFonts w:ascii="Calibri"/>
          <w:sz w:val="20"/>
        </w:rPr>
      </w:pPr>
      <w:r>
        <w:rPr>
          <w:rFonts w:ascii="Calibri"/>
          <w:sz w:val="20"/>
          <w:vertAlign w:val="superscript"/>
        </w:rPr>
        <w:t>280</w:t>
      </w:r>
      <w:r>
        <w:rPr>
          <w:rFonts w:ascii="Calibri"/>
          <w:sz w:val="20"/>
          <w:vertAlign w:val="baseline"/>
        </w:rPr>
        <w:t>(2001) 2</w:t>
      </w:r>
      <w:r>
        <w:rPr>
          <w:rFonts w:ascii="Calibri"/>
          <w:spacing w:val="-6"/>
          <w:sz w:val="20"/>
          <w:vertAlign w:val="baseline"/>
        </w:rPr>
        <w:t> </w:t>
      </w:r>
      <w:r>
        <w:rPr>
          <w:rFonts w:ascii="Calibri"/>
          <w:sz w:val="20"/>
          <w:vertAlign w:val="baseline"/>
        </w:rPr>
        <w:t>BCLC</w:t>
      </w:r>
      <w:r>
        <w:rPr>
          <w:rFonts w:ascii="Calibri"/>
          <w:spacing w:val="-1"/>
          <w:sz w:val="20"/>
          <w:vertAlign w:val="baseline"/>
        </w:rPr>
        <w:t> </w:t>
      </w:r>
      <w:r>
        <w:rPr>
          <w:rFonts w:ascii="Calibri"/>
          <w:spacing w:val="-4"/>
          <w:sz w:val="20"/>
          <w:vertAlign w:val="baseline"/>
        </w:rPr>
        <w:t>749.</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30"/>
        <w:jc w:val="both"/>
      </w:pPr>
      <w:r>
        <w:rPr/>
        <w:t>permissible, but that his actions went beyond preliminary activity. The court awarded</w:t>
      </w:r>
      <w:r>
        <w:rPr>
          <w:spacing w:val="40"/>
        </w:rPr>
        <w:t> </w:t>
      </w:r>
      <w:r>
        <w:rPr/>
        <w:t>his former company £2 damages for breach of his contract of employment, with an inquiry as to any benefit that might have accrued to the director from his activities, but applied s.727 of the Companies Act 1985 (now s.1157) to excuse any breach of directors‘ duties.</w:t>
      </w:r>
    </w:p>
    <w:p>
      <w:pPr>
        <w:pStyle w:val="BodyText"/>
        <w:spacing w:line="480" w:lineRule="auto" w:before="1"/>
        <w:ind w:right="186" w:firstLine="720"/>
        <w:jc w:val="both"/>
      </w:pPr>
      <w:r>
        <w:rPr/>
        <w:t>Further, s.239 allows the ratification by a company of conduct by a directoramounting to negligence, default, breach of duty or breach of trust in relationto the company.</w:t>
      </w:r>
      <w:r>
        <w:rPr>
          <w:vertAlign w:val="superscript"/>
        </w:rPr>
        <w:t>281</w:t>
      </w:r>
      <w:r>
        <w:rPr>
          <w:vertAlign w:val="baseline"/>
        </w:rPr>
        <w:t> This would also cover any</w:t>
      </w:r>
      <w:r>
        <w:rPr>
          <w:spacing w:val="-2"/>
          <w:vertAlign w:val="baseline"/>
        </w:rPr>
        <w:t> </w:t>
      </w:r>
      <w:r>
        <w:rPr>
          <w:vertAlign w:val="baseline"/>
        </w:rPr>
        <w:t>conflicts of interest situations. However, the resolution must be made by</w:t>
      </w:r>
      <w:r>
        <w:rPr>
          <w:spacing w:val="-1"/>
          <w:vertAlign w:val="baseline"/>
        </w:rPr>
        <w:t> </w:t>
      </w:r>
      <w:r>
        <w:rPr>
          <w:vertAlign w:val="baseline"/>
        </w:rPr>
        <w:t>the members and, although</w:t>
      </w:r>
      <w:r>
        <w:rPr>
          <w:spacing w:val="-1"/>
          <w:vertAlign w:val="baseline"/>
        </w:rPr>
        <w:t> </w:t>
      </w:r>
      <w:r>
        <w:rPr>
          <w:vertAlign w:val="baseline"/>
        </w:rPr>
        <w:t>the affected director may</w:t>
      </w:r>
      <w:r>
        <w:rPr>
          <w:spacing w:val="-1"/>
          <w:vertAlign w:val="baseline"/>
        </w:rPr>
        <w:t> </w:t>
      </w:r>
      <w:r>
        <w:rPr>
          <w:vertAlign w:val="baseline"/>
        </w:rPr>
        <w:t>attend and be counted for quorum if he happens to be a member, his votes as well as those of any members connected to him, cannot count. This rule was not previously the case under</w:t>
      </w:r>
      <w:r>
        <w:rPr>
          <w:spacing w:val="-6"/>
          <w:vertAlign w:val="baseline"/>
        </w:rPr>
        <w:t> </w:t>
      </w:r>
      <w:r>
        <w:rPr>
          <w:vertAlign w:val="baseline"/>
        </w:rPr>
        <w:t>common</w:t>
      </w:r>
      <w:r>
        <w:rPr>
          <w:spacing w:val="-6"/>
          <w:vertAlign w:val="baseline"/>
        </w:rPr>
        <w:t> </w:t>
      </w:r>
      <w:r>
        <w:rPr>
          <w:vertAlign w:val="baseline"/>
        </w:rPr>
        <w:t>law.</w:t>
      </w:r>
      <w:r>
        <w:rPr>
          <w:spacing w:val="-1"/>
          <w:vertAlign w:val="baseline"/>
        </w:rPr>
        <w:t> </w:t>
      </w:r>
      <w:r>
        <w:rPr>
          <w:vertAlign w:val="baseline"/>
        </w:rPr>
        <w:t>‗Interestedness‘</w:t>
      </w:r>
      <w:r>
        <w:rPr>
          <w:spacing w:val="-1"/>
          <w:vertAlign w:val="baseline"/>
        </w:rPr>
        <w:t> </w:t>
      </w:r>
      <w:r>
        <w:rPr>
          <w:vertAlign w:val="baseline"/>
        </w:rPr>
        <w:t>in</w:t>
      </w:r>
      <w:r>
        <w:rPr>
          <w:spacing w:val="-6"/>
          <w:vertAlign w:val="baseline"/>
        </w:rPr>
        <w:t> </w:t>
      </w:r>
      <w:r>
        <w:rPr>
          <w:vertAlign w:val="baseline"/>
        </w:rPr>
        <w:t>the</w:t>
      </w:r>
      <w:r>
        <w:rPr>
          <w:spacing w:val="-7"/>
          <w:vertAlign w:val="baseline"/>
        </w:rPr>
        <w:t> </w:t>
      </w:r>
      <w:r>
        <w:rPr>
          <w:vertAlign w:val="baseline"/>
        </w:rPr>
        <w:t>case</w:t>
      </w:r>
      <w:r>
        <w:rPr>
          <w:spacing w:val="-7"/>
          <w:vertAlign w:val="baseline"/>
        </w:rPr>
        <w:t> </w:t>
      </w:r>
      <w:r>
        <w:rPr>
          <w:vertAlign w:val="baseline"/>
        </w:rPr>
        <w:t>of</w:t>
      </w:r>
      <w:r>
        <w:rPr>
          <w:spacing w:val="-9"/>
          <w:vertAlign w:val="baseline"/>
        </w:rPr>
        <w:t> </w:t>
      </w:r>
      <w:r>
        <w:rPr>
          <w:vertAlign w:val="baseline"/>
        </w:rPr>
        <w:t>‗connected</w:t>
      </w:r>
      <w:r>
        <w:rPr>
          <w:spacing w:val="-6"/>
          <w:vertAlign w:val="baseline"/>
        </w:rPr>
        <w:t> </w:t>
      </w:r>
      <w:r>
        <w:rPr>
          <w:vertAlign w:val="baseline"/>
        </w:rPr>
        <w:t>persons‘</w:t>
      </w:r>
      <w:r>
        <w:rPr>
          <w:spacing w:val="-6"/>
          <w:vertAlign w:val="baseline"/>
        </w:rPr>
        <w:t> </w:t>
      </w:r>
      <w:r>
        <w:rPr>
          <w:vertAlign w:val="baseline"/>
        </w:rPr>
        <w:t>in</w:t>
      </w:r>
      <w:r>
        <w:rPr>
          <w:spacing w:val="-6"/>
          <w:vertAlign w:val="baseline"/>
        </w:rPr>
        <w:t> </w:t>
      </w:r>
      <w:r>
        <w:rPr>
          <w:vertAlign w:val="baseline"/>
        </w:rPr>
        <w:t>any</w:t>
      </w:r>
      <w:r>
        <w:rPr>
          <w:spacing w:val="-6"/>
          <w:vertAlign w:val="baseline"/>
        </w:rPr>
        <w:t> </w:t>
      </w:r>
      <w:r>
        <w:rPr>
          <w:vertAlign w:val="baseline"/>
        </w:rPr>
        <w:t>case, is</w:t>
      </w:r>
      <w:r>
        <w:rPr>
          <w:spacing w:val="-5"/>
          <w:vertAlign w:val="baseline"/>
        </w:rPr>
        <w:t> </w:t>
      </w:r>
      <w:r>
        <w:rPr>
          <w:vertAlign w:val="baseline"/>
        </w:rPr>
        <w:t>an issue for the court to decide.</w:t>
      </w:r>
      <w:r>
        <w:rPr>
          <w:vertAlign w:val="superscript"/>
        </w:rPr>
        <w:t>282</w:t>
      </w:r>
    </w:p>
    <w:p>
      <w:pPr>
        <w:pStyle w:val="BodyText"/>
        <w:spacing w:line="480" w:lineRule="auto" w:before="1"/>
        <w:ind w:right="183" w:firstLine="720"/>
        <w:jc w:val="both"/>
      </w:pPr>
      <w:r>
        <w:rPr/>
        <w:t>The requirement for ‗disinterestedness,‘ both in the board and the general meeting, may pose problems in special circumstances, particularly in small, private companies. Where there happens to be a sole director</w:t>
      </w:r>
      <w:r>
        <w:rPr>
          <w:vertAlign w:val="superscript"/>
        </w:rPr>
        <w:t>283</w:t>
      </w:r>
      <w:r>
        <w:rPr>
          <w:vertAlign w:val="baseline"/>
        </w:rPr>
        <w:t> and he is the one involved, the general meeting would have to act, even where the articles say it is the preserve of the board because the latter would have been incapacitated.Where the interests are unified, that is, there is no ‗outsider‘, the question would hardly</w:t>
      </w:r>
      <w:r>
        <w:rPr>
          <w:spacing w:val="-3"/>
          <w:vertAlign w:val="baseline"/>
        </w:rPr>
        <w:t> </w:t>
      </w:r>
      <w:r>
        <w:rPr>
          <w:vertAlign w:val="baseline"/>
        </w:rPr>
        <w:t>ever come up for consideration, as there would be nobody to cry foul that there has been a breach of duty. It has been suggested</w:t>
      </w:r>
      <w:r>
        <w:rPr>
          <w:vertAlign w:val="superscript"/>
        </w:rPr>
        <w:t>284</w:t>
      </w:r>
      <w:r>
        <w:rPr>
          <w:spacing w:val="47"/>
          <w:vertAlign w:val="baseline"/>
        </w:rPr>
        <w:t> </w:t>
      </w:r>
      <w:r>
        <w:rPr>
          <w:vertAlign w:val="baseline"/>
        </w:rPr>
        <w:t>that</w:t>
      </w:r>
      <w:r>
        <w:rPr>
          <w:spacing w:val="55"/>
          <w:vertAlign w:val="baseline"/>
        </w:rPr>
        <w:t> </w:t>
      </w:r>
      <w:r>
        <w:rPr>
          <w:vertAlign w:val="baseline"/>
        </w:rPr>
        <w:t>in</w:t>
      </w:r>
      <w:r>
        <w:rPr>
          <w:spacing w:val="44"/>
          <w:vertAlign w:val="baseline"/>
        </w:rPr>
        <w:t> </w:t>
      </w:r>
      <w:r>
        <w:rPr>
          <w:vertAlign w:val="baseline"/>
        </w:rPr>
        <w:t>exceptional</w:t>
      </w:r>
      <w:r>
        <w:rPr>
          <w:spacing w:val="41"/>
          <w:vertAlign w:val="baseline"/>
        </w:rPr>
        <w:t> </w:t>
      </w:r>
      <w:r>
        <w:rPr>
          <w:vertAlign w:val="baseline"/>
        </w:rPr>
        <w:t>cases</w:t>
      </w:r>
      <w:r>
        <w:rPr>
          <w:spacing w:val="42"/>
          <w:vertAlign w:val="baseline"/>
        </w:rPr>
        <w:t> </w:t>
      </w:r>
      <w:r>
        <w:rPr>
          <w:vertAlign w:val="baseline"/>
        </w:rPr>
        <w:t>whereby</w:t>
      </w:r>
      <w:r>
        <w:rPr>
          <w:spacing w:val="45"/>
          <w:vertAlign w:val="baseline"/>
        </w:rPr>
        <w:t> </w:t>
      </w:r>
      <w:r>
        <w:rPr>
          <w:vertAlign w:val="baseline"/>
        </w:rPr>
        <w:t>all</w:t>
      </w:r>
      <w:r>
        <w:rPr>
          <w:spacing w:val="45"/>
          <w:vertAlign w:val="baseline"/>
        </w:rPr>
        <w:t> </w:t>
      </w:r>
      <w:r>
        <w:rPr>
          <w:vertAlign w:val="baseline"/>
        </w:rPr>
        <w:t>directors'</w:t>
      </w:r>
      <w:r>
        <w:rPr>
          <w:spacing w:val="40"/>
          <w:vertAlign w:val="baseline"/>
        </w:rPr>
        <w:t> </w:t>
      </w:r>
      <w:r>
        <w:rPr>
          <w:vertAlign w:val="baseline"/>
        </w:rPr>
        <w:t>and</w:t>
      </w:r>
      <w:r>
        <w:rPr>
          <w:spacing w:val="50"/>
          <w:vertAlign w:val="baseline"/>
        </w:rPr>
        <w:t> </w:t>
      </w:r>
      <w:r>
        <w:rPr>
          <w:vertAlign w:val="baseline"/>
        </w:rPr>
        <w:t>members'</w:t>
      </w:r>
      <w:r>
        <w:rPr>
          <w:spacing w:val="44"/>
          <w:vertAlign w:val="baseline"/>
        </w:rPr>
        <w:t> </w:t>
      </w:r>
      <w:r>
        <w:rPr>
          <w:vertAlign w:val="baseline"/>
        </w:rPr>
        <w:t>votes</w:t>
      </w:r>
      <w:r>
        <w:rPr>
          <w:spacing w:val="43"/>
          <w:vertAlign w:val="baseline"/>
        </w:rPr>
        <w:t> </w:t>
      </w:r>
      <w:r>
        <w:rPr>
          <w:spacing w:val="-5"/>
          <w:vertAlign w:val="baseline"/>
        </w:rPr>
        <w:t>are</w:t>
      </w:r>
    </w:p>
    <w:p>
      <w:pPr>
        <w:pStyle w:val="BodyText"/>
        <w:spacing w:before="97"/>
        <w:ind w:left="0"/>
        <w:rPr>
          <w:sz w:val="20"/>
        </w:rPr>
      </w:pPr>
      <w:r>
        <w:rPr/>
        <mc:AlternateContent>
          <mc:Choice Requires="wps">
            <w:drawing>
              <wp:anchor distT="0" distB="0" distL="0" distR="0" allowOverlap="1" layoutInCell="1" locked="0" behindDoc="1" simplePos="0" relativeHeight="487702016">
                <wp:simplePos x="0" y="0"/>
                <wp:positionH relativeFrom="page">
                  <wp:posOffset>1262481</wp:posOffset>
                </wp:positionH>
                <wp:positionV relativeFrom="paragraph">
                  <wp:posOffset>223002</wp:posOffset>
                </wp:positionV>
                <wp:extent cx="1829435" cy="9525"/>
                <wp:effectExtent l="0" t="0" r="0" b="0"/>
                <wp:wrapTopAndBottom/>
                <wp:docPr id="250" name="Graphic 250"/>
                <wp:cNvGraphicFramePr>
                  <a:graphicFrameLocks/>
                </wp:cNvGraphicFramePr>
                <a:graphic>
                  <a:graphicData uri="http://schemas.microsoft.com/office/word/2010/wordprocessingShape">
                    <wps:wsp>
                      <wps:cNvPr id="250" name="Graphic 25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59248pt;width:144.050pt;height:.71997pt;mso-position-horizontal-relative:page;mso-position-vertical-relative:paragraph;z-index:-15614464;mso-wrap-distance-left:0;mso-wrap-distance-right:0" id="docshape205" filled="true" fillcolor="#000000" stroked="false">
                <v:fill type="solid"/>
                <w10:wrap type="topAndBottom"/>
              </v:rect>
            </w:pict>
          </mc:Fallback>
        </mc:AlternateContent>
      </w:r>
    </w:p>
    <w:p>
      <w:pPr>
        <w:spacing w:line="235" w:lineRule="auto" w:before="106"/>
        <w:ind w:left="308" w:right="0" w:firstLine="0"/>
        <w:jc w:val="left"/>
        <w:rPr>
          <w:rFonts w:ascii="Calibri" w:hAnsi="Calibri"/>
          <w:sz w:val="20"/>
        </w:rPr>
      </w:pPr>
      <w:r>
        <w:rPr>
          <w:rFonts w:ascii="Calibri" w:hAnsi="Calibri"/>
          <w:sz w:val="20"/>
          <w:vertAlign w:val="superscript"/>
        </w:rPr>
        <w:t>281</w:t>
      </w:r>
      <w:r>
        <w:rPr>
          <w:rFonts w:ascii="Calibri" w:hAnsi="Calibri"/>
          <w:spacing w:val="27"/>
          <w:sz w:val="20"/>
          <w:vertAlign w:val="baseline"/>
        </w:rPr>
        <w:t> </w:t>
      </w:r>
      <w:r>
        <w:rPr>
          <w:rFonts w:ascii="Calibri" w:hAnsi="Calibri"/>
          <w:sz w:val="20"/>
          <w:vertAlign w:val="baseline"/>
        </w:rPr>
        <w:t>Note</w:t>
      </w:r>
      <w:r>
        <w:rPr>
          <w:rFonts w:ascii="Calibri" w:hAnsi="Calibri"/>
          <w:spacing w:val="25"/>
          <w:sz w:val="20"/>
          <w:vertAlign w:val="baseline"/>
        </w:rPr>
        <w:t> </w:t>
      </w:r>
      <w:r>
        <w:rPr>
          <w:rFonts w:ascii="Calibri" w:hAnsi="Calibri"/>
          <w:sz w:val="20"/>
          <w:vertAlign w:val="baseline"/>
        </w:rPr>
        <w:t>that</w:t>
      </w:r>
      <w:r>
        <w:rPr>
          <w:rFonts w:ascii="Calibri" w:hAnsi="Calibri"/>
          <w:spacing w:val="24"/>
          <w:sz w:val="20"/>
          <w:vertAlign w:val="baseline"/>
        </w:rPr>
        <w:t> </w:t>
      </w:r>
      <w:r>
        <w:rPr>
          <w:rFonts w:ascii="Calibri" w:hAnsi="Calibri"/>
          <w:sz w:val="20"/>
          <w:vertAlign w:val="baseline"/>
        </w:rPr>
        <w:t>it</w:t>
      </w:r>
      <w:r>
        <w:rPr>
          <w:rFonts w:ascii="Calibri" w:hAnsi="Calibri"/>
          <w:spacing w:val="24"/>
          <w:sz w:val="20"/>
          <w:vertAlign w:val="baseline"/>
        </w:rPr>
        <w:t> </w:t>
      </w:r>
      <w:r>
        <w:rPr>
          <w:rFonts w:ascii="Calibri" w:hAnsi="Calibri"/>
          <w:sz w:val="20"/>
          <w:vertAlign w:val="baseline"/>
        </w:rPr>
        <w:t>is</w:t>
      </w:r>
      <w:r>
        <w:rPr>
          <w:rFonts w:ascii="Calibri" w:hAnsi="Calibri"/>
          <w:spacing w:val="23"/>
          <w:sz w:val="20"/>
          <w:vertAlign w:val="baseline"/>
        </w:rPr>
        <w:t> </w:t>
      </w:r>
      <w:r>
        <w:rPr>
          <w:rFonts w:ascii="Calibri" w:hAnsi="Calibri"/>
          <w:sz w:val="20"/>
          <w:vertAlign w:val="baseline"/>
        </w:rPr>
        <w:t>“authorisation”</w:t>
      </w:r>
      <w:r>
        <w:rPr>
          <w:rFonts w:ascii="Calibri" w:hAnsi="Calibri"/>
          <w:spacing w:val="22"/>
          <w:sz w:val="20"/>
          <w:vertAlign w:val="baseline"/>
        </w:rPr>
        <w:t> </w:t>
      </w:r>
      <w:r>
        <w:rPr>
          <w:rFonts w:ascii="Calibri" w:hAnsi="Calibri"/>
          <w:sz w:val="20"/>
          <w:vertAlign w:val="baseline"/>
        </w:rPr>
        <w:t>in</w:t>
      </w:r>
      <w:r>
        <w:rPr>
          <w:rFonts w:ascii="Calibri" w:hAnsi="Calibri"/>
          <w:spacing w:val="25"/>
          <w:sz w:val="20"/>
          <w:vertAlign w:val="baseline"/>
        </w:rPr>
        <w:t> </w:t>
      </w:r>
      <w:r>
        <w:rPr>
          <w:rFonts w:ascii="Calibri" w:hAnsi="Calibri"/>
          <w:sz w:val="20"/>
          <w:vertAlign w:val="baseline"/>
        </w:rPr>
        <w:t>the</w:t>
      </w:r>
      <w:r>
        <w:rPr>
          <w:rFonts w:ascii="Calibri" w:hAnsi="Calibri"/>
          <w:spacing w:val="25"/>
          <w:sz w:val="20"/>
          <w:vertAlign w:val="baseline"/>
        </w:rPr>
        <w:t> </w:t>
      </w:r>
      <w:r>
        <w:rPr>
          <w:rFonts w:ascii="Calibri" w:hAnsi="Calibri"/>
          <w:sz w:val="20"/>
          <w:vertAlign w:val="baseline"/>
        </w:rPr>
        <w:t>case</w:t>
      </w:r>
      <w:r>
        <w:rPr>
          <w:rFonts w:ascii="Calibri" w:hAnsi="Calibri"/>
          <w:spacing w:val="25"/>
          <w:sz w:val="20"/>
          <w:vertAlign w:val="baseline"/>
        </w:rPr>
        <w:t> </w:t>
      </w:r>
      <w:r>
        <w:rPr>
          <w:rFonts w:ascii="Calibri" w:hAnsi="Calibri"/>
          <w:sz w:val="20"/>
          <w:vertAlign w:val="baseline"/>
        </w:rPr>
        <w:t>of</w:t>
      </w:r>
      <w:r>
        <w:rPr>
          <w:rFonts w:ascii="Calibri" w:hAnsi="Calibri"/>
          <w:spacing w:val="26"/>
          <w:sz w:val="20"/>
          <w:vertAlign w:val="baseline"/>
        </w:rPr>
        <w:t> </w:t>
      </w:r>
      <w:r>
        <w:rPr>
          <w:rFonts w:ascii="Calibri" w:hAnsi="Calibri"/>
          <w:sz w:val="20"/>
          <w:vertAlign w:val="baseline"/>
        </w:rPr>
        <w:t>s.</w:t>
      </w:r>
      <w:r>
        <w:rPr>
          <w:rFonts w:ascii="Calibri" w:hAnsi="Calibri"/>
          <w:spacing w:val="27"/>
          <w:sz w:val="20"/>
          <w:vertAlign w:val="baseline"/>
        </w:rPr>
        <w:t> </w:t>
      </w:r>
      <w:r>
        <w:rPr>
          <w:rFonts w:ascii="Calibri" w:hAnsi="Calibri"/>
          <w:sz w:val="20"/>
          <w:vertAlign w:val="baseline"/>
        </w:rPr>
        <w:t>175,</w:t>
      </w:r>
      <w:r>
        <w:rPr>
          <w:rFonts w:ascii="Calibri" w:hAnsi="Calibri"/>
          <w:spacing w:val="23"/>
          <w:sz w:val="20"/>
          <w:vertAlign w:val="baseline"/>
        </w:rPr>
        <w:t> </w:t>
      </w:r>
      <w:r>
        <w:rPr>
          <w:rFonts w:ascii="Calibri" w:hAnsi="Calibri"/>
          <w:sz w:val="20"/>
          <w:vertAlign w:val="baseline"/>
        </w:rPr>
        <w:t>but</w:t>
      </w:r>
      <w:r>
        <w:rPr>
          <w:rFonts w:ascii="Calibri" w:hAnsi="Calibri"/>
          <w:spacing w:val="24"/>
          <w:sz w:val="20"/>
          <w:vertAlign w:val="baseline"/>
        </w:rPr>
        <w:t> </w:t>
      </w:r>
      <w:r>
        <w:rPr>
          <w:rFonts w:ascii="Calibri" w:hAnsi="Calibri"/>
          <w:sz w:val="20"/>
          <w:vertAlign w:val="baseline"/>
        </w:rPr>
        <w:t>“ratification”</w:t>
      </w:r>
      <w:r>
        <w:rPr>
          <w:rFonts w:ascii="Calibri" w:hAnsi="Calibri"/>
          <w:spacing w:val="27"/>
          <w:sz w:val="20"/>
          <w:vertAlign w:val="baseline"/>
        </w:rPr>
        <w:t> </w:t>
      </w:r>
      <w:r>
        <w:rPr>
          <w:rFonts w:ascii="Calibri" w:hAnsi="Calibri"/>
          <w:sz w:val="20"/>
          <w:vertAlign w:val="baseline"/>
        </w:rPr>
        <w:t>in</w:t>
      </w:r>
      <w:r>
        <w:rPr>
          <w:rFonts w:ascii="Calibri" w:hAnsi="Calibri"/>
          <w:spacing w:val="25"/>
          <w:sz w:val="20"/>
          <w:vertAlign w:val="baseline"/>
        </w:rPr>
        <w:t> </w:t>
      </w:r>
      <w:r>
        <w:rPr>
          <w:rFonts w:ascii="Calibri" w:hAnsi="Calibri"/>
          <w:sz w:val="20"/>
          <w:vertAlign w:val="baseline"/>
        </w:rPr>
        <w:t>the</w:t>
      </w:r>
      <w:r>
        <w:rPr>
          <w:rFonts w:ascii="Calibri" w:hAnsi="Calibri"/>
          <w:spacing w:val="25"/>
          <w:sz w:val="20"/>
          <w:vertAlign w:val="baseline"/>
        </w:rPr>
        <w:t> </w:t>
      </w:r>
      <w:r>
        <w:rPr>
          <w:rFonts w:ascii="Calibri" w:hAnsi="Calibri"/>
          <w:sz w:val="20"/>
          <w:vertAlign w:val="baseline"/>
        </w:rPr>
        <w:t>case</w:t>
      </w:r>
      <w:r>
        <w:rPr>
          <w:rFonts w:ascii="Calibri" w:hAnsi="Calibri"/>
          <w:spacing w:val="25"/>
          <w:sz w:val="20"/>
          <w:vertAlign w:val="baseline"/>
        </w:rPr>
        <w:t> </w:t>
      </w:r>
      <w:r>
        <w:rPr>
          <w:rFonts w:ascii="Calibri" w:hAnsi="Calibri"/>
          <w:sz w:val="20"/>
          <w:vertAlign w:val="baseline"/>
        </w:rPr>
        <w:t>of</w:t>
      </w:r>
      <w:r>
        <w:rPr>
          <w:rFonts w:ascii="Calibri" w:hAnsi="Calibri"/>
          <w:spacing w:val="26"/>
          <w:sz w:val="20"/>
          <w:vertAlign w:val="baseline"/>
        </w:rPr>
        <w:t> </w:t>
      </w:r>
      <w:r>
        <w:rPr>
          <w:rFonts w:ascii="Calibri" w:hAnsi="Calibri"/>
          <w:sz w:val="20"/>
          <w:vertAlign w:val="baseline"/>
        </w:rPr>
        <w:t>s.239.</w:t>
      </w:r>
      <w:r>
        <w:rPr>
          <w:rFonts w:ascii="Calibri" w:hAnsi="Calibri"/>
          <w:spacing w:val="22"/>
          <w:sz w:val="20"/>
          <w:vertAlign w:val="baseline"/>
        </w:rPr>
        <w:t> </w:t>
      </w:r>
      <w:r>
        <w:rPr>
          <w:rFonts w:ascii="Calibri" w:hAnsi="Calibri"/>
          <w:sz w:val="20"/>
          <w:vertAlign w:val="baseline"/>
        </w:rPr>
        <w:t>In</w:t>
      </w:r>
      <w:r>
        <w:rPr>
          <w:rFonts w:ascii="Calibri" w:hAnsi="Calibri"/>
          <w:spacing w:val="25"/>
          <w:sz w:val="20"/>
          <w:vertAlign w:val="baseline"/>
        </w:rPr>
        <w:t> </w:t>
      </w:r>
      <w:r>
        <w:rPr>
          <w:rFonts w:ascii="Calibri" w:hAnsi="Calibri"/>
          <w:sz w:val="20"/>
          <w:vertAlign w:val="baseline"/>
        </w:rPr>
        <w:t>the former occurs before the conduct while the latter takes place after.</w:t>
      </w:r>
    </w:p>
    <w:p>
      <w:pPr>
        <w:spacing w:before="2"/>
        <w:ind w:left="308" w:right="0" w:firstLine="0"/>
        <w:jc w:val="left"/>
        <w:rPr>
          <w:rFonts w:ascii="Calibri"/>
          <w:sz w:val="20"/>
        </w:rPr>
      </w:pPr>
      <w:r>
        <w:rPr>
          <w:rFonts w:ascii="Calibri"/>
          <w:sz w:val="20"/>
          <w:vertAlign w:val="superscript"/>
        </w:rPr>
        <w:t>282</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op.cit.at</w:t>
      </w:r>
      <w:r>
        <w:rPr>
          <w:rFonts w:ascii="Calibri"/>
          <w:spacing w:val="-8"/>
          <w:sz w:val="20"/>
          <w:vertAlign w:val="baseline"/>
        </w:rPr>
        <w:t> </w:t>
      </w:r>
      <w:r>
        <w:rPr>
          <w:rFonts w:ascii="Calibri"/>
          <w:spacing w:val="-2"/>
          <w:sz w:val="20"/>
          <w:vertAlign w:val="baseline"/>
        </w:rPr>
        <w:t>p.602.</w:t>
      </w:r>
    </w:p>
    <w:p>
      <w:pPr>
        <w:spacing w:before="2"/>
        <w:ind w:left="308" w:right="509" w:firstLine="0"/>
        <w:jc w:val="left"/>
        <w:rPr>
          <w:rFonts w:ascii="Calibri"/>
          <w:sz w:val="20"/>
        </w:rPr>
      </w:pPr>
      <w:r>
        <w:rPr>
          <w:rFonts w:ascii="Calibri"/>
          <w:sz w:val="20"/>
          <w:vertAlign w:val="superscript"/>
        </w:rPr>
        <w:t>283</w:t>
      </w:r>
      <w:r>
        <w:rPr>
          <w:rFonts w:ascii="Calibri"/>
          <w:sz w:val="20"/>
          <w:vertAlign w:val="baseline"/>
        </w:rPr>
        <w:t> Under the</w:t>
      </w:r>
      <w:r>
        <w:rPr>
          <w:rFonts w:ascii="Calibri"/>
          <w:spacing w:val="-3"/>
          <w:sz w:val="20"/>
          <w:vertAlign w:val="baseline"/>
        </w:rPr>
        <w:t> </w:t>
      </w:r>
      <w:r>
        <w:rPr>
          <w:rFonts w:ascii="Calibri"/>
          <w:sz w:val="20"/>
          <w:vertAlign w:val="baseline"/>
        </w:rPr>
        <w:t>new</w:t>
      </w:r>
      <w:r>
        <w:rPr>
          <w:rFonts w:ascii="Calibri"/>
          <w:spacing w:val="-4"/>
          <w:sz w:val="20"/>
          <w:vertAlign w:val="baseline"/>
        </w:rPr>
        <w:t> </w:t>
      </w:r>
      <w:r>
        <w:rPr>
          <w:rFonts w:ascii="Calibri"/>
          <w:sz w:val="20"/>
          <w:vertAlign w:val="baseline"/>
        </w:rPr>
        <w:t>Companies Act,</w:t>
      </w:r>
      <w:r>
        <w:rPr>
          <w:rFonts w:ascii="Calibri"/>
          <w:spacing w:val="-2"/>
          <w:sz w:val="20"/>
          <w:vertAlign w:val="baseline"/>
        </w:rPr>
        <w:t> </w:t>
      </w:r>
      <w:r>
        <w:rPr>
          <w:rFonts w:ascii="Calibri"/>
          <w:sz w:val="20"/>
          <w:vertAlign w:val="baseline"/>
        </w:rPr>
        <w:t>a</w:t>
      </w:r>
      <w:r>
        <w:rPr>
          <w:rFonts w:ascii="Calibri"/>
          <w:spacing w:val="-4"/>
          <w:sz w:val="20"/>
          <w:vertAlign w:val="baseline"/>
        </w:rPr>
        <w:t> </w:t>
      </w:r>
      <w:r>
        <w:rPr>
          <w:rFonts w:ascii="Calibri"/>
          <w:sz w:val="20"/>
          <w:vertAlign w:val="baseline"/>
        </w:rPr>
        <w:t>private</w:t>
      </w:r>
      <w:r>
        <w:rPr>
          <w:rFonts w:ascii="Calibri"/>
          <w:spacing w:val="-3"/>
          <w:sz w:val="20"/>
          <w:vertAlign w:val="baseline"/>
        </w:rPr>
        <w:t> </w:t>
      </w:r>
      <w:r>
        <w:rPr>
          <w:rFonts w:ascii="Calibri"/>
          <w:sz w:val="20"/>
          <w:vertAlign w:val="baseline"/>
        </w:rPr>
        <w:t>company</w:t>
      </w:r>
      <w:r>
        <w:rPr>
          <w:rFonts w:ascii="Calibri"/>
          <w:spacing w:val="-4"/>
          <w:sz w:val="20"/>
          <w:vertAlign w:val="baseline"/>
        </w:rPr>
        <w:t> </w:t>
      </w:r>
      <w:r>
        <w:rPr>
          <w:rFonts w:ascii="Calibri"/>
          <w:sz w:val="20"/>
          <w:vertAlign w:val="baseline"/>
        </w:rPr>
        <w:t>need not</w:t>
      </w:r>
      <w:r>
        <w:rPr>
          <w:rFonts w:ascii="Calibri"/>
          <w:spacing w:val="-4"/>
          <w:sz w:val="20"/>
          <w:vertAlign w:val="baseline"/>
        </w:rPr>
        <w:t> </w:t>
      </w:r>
      <w:r>
        <w:rPr>
          <w:rFonts w:ascii="Calibri"/>
          <w:sz w:val="20"/>
          <w:vertAlign w:val="baseline"/>
        </w:rPr>
        <w:t>have</w:t>
      </w:r>
      <w:r>
        <w:rPr>
          <w:rFonts w:ascii="Calibri"/>
          <w:spacing w:val="-3"/>
          <w:sz w:val="20"/>
          <w:vertAlign w:val="baseline"/>
        </w:rPr>
        <w:t> </w:t>
      </w:r>
      <w:r>
        <w:rPr>
          <w:rFonts w:ascii="Calibri"/>
          <w:sz w:val="20"/>
          <w:vertAlign w:val="baseline"/>
        </w:rPr>
        <w:t>more</w:t>
      </w:r>
      <w:r>
        <w:rPr>
          <w:rFonts w:ascii="Calibri"/>
          <w:spacing w:val="-3"/>
          <w:sz w:val="20"/>
          <w:vertAlign w:val="baseline"/>
        </w:rPr>
        <w:t> </w:t>
      </w:r>
      <w:r>
        <w:rPr>
          <w:rFonts w:ascii="Calibri"/>
          <w:sz w:val="20"/>
          <w:vertAlign w:val="baseline"/>
        </w:rPr>
        <w:t>than</w:t>
      </w:r>
      <w:r>
        <w:rPr>
          <w:rFonts w:ascii="Calibri"/>
          <w:spacing w:val="-4"/>
          <w:sz w:val="20"/>
          <w:vertAlign w:val="baseline"/>
        </w:rPr>
        <w:t> </w:t>
      </w:r>
      <w:r>
        <w:rPr>
          <w:rFonts w:ascii="Calibri"/>
          <w:sz w:val="20"/>
          <w:vertAlign w:val="baseline"/>
        </w:rPr>
        <w:t>one</w:t>
      </w:r>
      <w:r>
        <w:rPr>
          <w:rFonts w:ascii="Calibri"/>
          <w:spacing w:val="-3"/>
          <w:sz w:val="20"/>
          <w:vertAlign w:val="baseline"/>
        </w:rPr>
        <w:t> </w:t>
      </w:r>
      <w:r>
        <w:rPr>
          <w:rFonts w:ascii="Calibri"/>
          <w:sz w:val="20"/>
          <w:vertAlign w:val="baseline"/>
        </w:rPr>
        <w:t>director.</w:t>
      </w:r>
      <w:r>
        <w:rPr>
          <w:rFonts w:ascii="Calibri"/>
          <w:spacing w:val="-2"/>
          <w:sz w:val="20"/>
          <w:vertAlign w:val="baseline"/>
        </w:rPr>
        <w:t> </w:t>
      </w:r>
      <w:r>
        <w:rPr>
          <w:rFonts w:ascii="Calibri"/>
          <w:sz w:val="20"/>
          <w:vertAlign w:val="baseline"/>
        </w:rPr>
        <w:t>See s.154(1) CA.</w:t>
      </w:r>
    </w:p>
    <w:p>
      <w:pPr>
        <w:spacing w:before="1"/>
        <w:ind w:left="308" w:right="224" w:firstLine="0"/>
        <w:jc w:val="both"/>
        <w:rPr>
          <w:rFonts w:ascii="Calibri"/>
          <w:sz w:val="20"/>
        </w:rPr>
      </w:pPr>
      <w:r>
        <w:rPr>
          <w:rFonts w:ascii="Calibri"/>
          <w:sz w:val="20"/>
          <w:vertAlign w:val="superscript"/>
        </w:rPr>
        <w:t>284</w:t>
      </w:r>
      <w:r>
        <w:rPr>
          <w:rFonts w:ascii="Calibri"/>
          <w:sz w:val="20"/>
          <w:vertAlign w:val="baseline"/>
        </w:rPr>
        <w:t> See Brown, E. (2010). A Case of Split Loyalty?Multiple Directorships and Conflicts of Interests under the Companies Act 2006.</w:t>
      </w:r>
      <w:r>
        <w:rPr>
          <w:rFonts w:ascii="Calibri"/>
          <w:i/>
          <w:sz w:val="20"/>
          <w:vertAlign w:val="baseline"/>
        </w:rPr>
        <w:t>Butterworths Journal of International Banking and Financial Law</w:t>
      </w:r>
      <w:r>
        <w:rPr>
          <w:rFonts w:ascii="Calibri"/>
          <w:sz w:val="20"/>
          <w:vertAlign w:val="baseline"/>
        </w:rPr>
        <w:t>, 584 at 585.Retrieved December 24 2013 from </w:t>
      </w:r>
      <w:hyperlink r:id="rId43">
        <w:r>
          <w:rPr>
            <w:rFonts w:ascii="Calibri"/>
            <w:color w:val="0000FF"/>
            <w:sz w:val="20"/>
            <w:u w:val="single" w:color="0000FF"/>
            <w:vertAlign w:val="baseline"/>
          </w:rPr>
          <w:t>www.essexcourt.net/uploads/publications/JIBFL_</w:t>
        </w:r>
        <w:r>
          <w:rPr>
            <w:rFonts w:ascii="Calibri"/>
            <w:b/>
            <w:color w:val="0000FF"/>
            <w:sz w:val="20"/>
            <w:u w:val="single" w:color="0000FF"/>
            <w:vertAlign w:val="baseline"/>
          </w:rPr>
          <w:t>brown</w:t>
        </w:r>
        <w:r>
          <w:rPr>
            <w:rFonts w:ascii="Calibri"/>
            <w:color w:val="0000FF"/>
            <w:sz w:val="20"/>
            <w:u w:val="single" w:color="0000FF"/>
            <w:vertAlign w:val="baseline"/>
          </w:rPr>
          <w:t>.pdf</w:t>
        </w:r>
      </w:hyperlink>
      <w:r>
        <w:rPr>
          <w:rFonts w:ascii="Calibri"/>
          <w:sz w:val="20"/>
          <w:vertAlign w:val="baseline"/>
        </w:rPr>
        <w:t>.</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94"/>
        <w:jc w:val="both"/>
      </w:pPr>
      <w:r>
        <w:rPr/>
        <w:t>excluded, the appropriate course would be for</w:t>
      </w:r>
      <w:r>
        <w:rPr>
          <w:spacing w:val="-2"/>
        </w:rPr>
        <w:t> </w:t>
      </w:r>
      <w:r>
        <w:rPr/>
        <w:t>the existing directors</w:t>
      </w:r>
      <w:r>
        <w:rPr>
          <w:spacing w:val="-5"/>
        </w:rPr>
        <w:t> </w:t>
      </w:r>
      <w:r>
        <w:rPr/>
        <w:t>to appoint sufficient additional directors that are not in a conflict position.</w:t>
      </w:r>
    </w:p>
    <w:p>
      <w:pPr>
        <w:pStyle w:val="BodyText"/>
        <w:spacing w:line="480" w:lineRule="auto"/>
        <w:ind w:right="179" w:firstLine="720"/>
        <w:jc w:val="both"/>
      </w:pPr>
      <w:r>
        <w:rPr/>
        <w:t>While some commentators view this new power of boards under s.175 as being proper and consistent with their role as entrepreneurs within the company,</w:t>
      </w:r>
      <w:r>
        <w:rPr>
          <w:vertAlign w:val="superscript"/>
        </w:rPr>
        <w:t>285</w:t>
      </w:r>
      <w:r>
        <w:rPr>
          <w:vertAlign w:val="baseline"/>
        </w:rPr>
        <w:t>--in other words, the right persons to decide these matters—as well as a welcome development,</w:t>
      </w:r>
      <w:r>
        <w:rPr>
          <w:vertAlign w:val="superscript"/>
        </w:rPr>
        <w:t>286</w:t>
      </w:r>
      <w:r>
        <w:rPr>
          <w:vertAlign w:val="baseline"/>
        </w:rPr>
        <w:t> others have expressed worry in the past that this sort of policy has the potential to chip away at the duties directors owe the company and that</w:t>
      </w:r>
    </w:p>
    <w:p>
      <w:pPr>
        <w:spacing w:line="240" w:lineRule="auto" w:before="1"/>
        <w:ind w:left="2007" w:right="1891" w:firstLine="0"/>
        <w:jc w:val="both"/>
        <w:rPr>
          <w:i/>
          <w:sz w:val="24"/>
        </w:rPr>
      </w:pPr>
      <w:r>
        <w:rPr>
          <w:i/>
          <w:sz w:val="24"/>
        </w:rPr>
        <w:t>It is dangerous to allow directors to be judges in</w:t>
      </w:r>
      <w:r>
        <w:rPr>
          <w:i/>
          <w:spacing w:val="40"/>
          <w:sz w:val="24"/>
        </w:rPr>
        <w:t> </w:t>
      </w:r>
      <w:r>
        <w:rPr>
          <w:i/>
          <w:sz w:val="24"/>
        </w:rPr>
        <w:t>their own cause. Surely the board, open to influence from even absent directors, should not delineate the scope of board-members‘ fiduciary duties.</w:t>
      </w:r>
      <w:r>
        <w:rPr>
          <w:i/>
          <w:spacing w:val="40"/>
          <w:sz w:val="24"/>
        </w:rPr>
        <w:t> </w:t>
      </w:r>
      <w:r>
        <w:rPr>
          <w:i/>
          <w:sz w:val="24"/>
        </w:rPr>
        <w:t>Absolution should come only from a majority of fully informed members...</w:t>
      </w:r>
      <w:r>
        <w:rPr>
          <w:i/>
          <w:sz w:val="24"/>
          <w:vertAlign w:val="superscript"/>
        </w:rPr>
        <w:t>287</w:t>
      </w:r>
    </w:p>
    <w:p>
      <w:pPr>
        <w:pStyle w:val="BodyText"/>
        <w:spacing w:before="3"/>
        <w:ind w:left="0"/>
        <w:rPr>
          <w:i/>
        </w:rPr>
      </w:pPr>
    </w:p>
    <w:p>
      <w:pPr>
        <w:pStyle w:val="BodyText"/>
        <w:spacing w:line="480" w:lineRule="auto"/>
        <w:ind w:right="182"/>
        <w:jc w:val="both"/>
      </w:pPr>
      <w:r>
        <w:rPr/>
        <w:t>This writer quite agrees with the view of Corkery</w:t>
      </w:r>
      <w:r>
        <w:rPr>
          <w:vertAlign w:val="superscript"/>
        </w:rPr>
        <w:t>288</w:t>
      </w:r>
      <w:r>
        <w:rPr>
          <w:vertAlign w:val="baseline"/>
        </w:rPr>
        <w:t> that a watering down of the authorisation</w:t>
      </w:r>
      <w:r>
        <w:rPr>
          <w:spacing w:val="-6"/>
          <w:vertAlign w:val="baseline"/>
        </w:rPr>
        <w:t> </w:t>
      </w:r>
      <w:r>
        <w:rPr>
          <w:vertAlign w:val="baseline"/>
        </w:rPr>
        <w:t>regime, as</w:t>
      </w:r>
      <w:r>
        <w:rPr>
          <w:spacing w:val="-3"/>
          <w:vertAlign w:val="baseline"/>
        </w:rPr>
        <w:t> </w:t>
      </w:r>
      <w:r>
        <w:rPr>
          <w:vertAlign w:val="baseline"/>
        </w:rPr>
        <w:t>appears</w:t>
      </w:r>
      <w:r>
        <w:rPr>
          <w:spacing w:val="-3"/>
          <w:vertAlign w:val="baseline"/>
        </w:rPr>
        <w:t> </w:t>
      </w:r>
      <w:r>
        <w:rPr>
          <w:vertAlign w:val="baseline"/>
        </w:rPr>
        <w:t>to</w:t>
      </w:r>
      <w:r>
        <w:rPr>
          <w:spacing w:val="-1"/>
          <w:vertAlign w:val="baseline"/>
        </w:rPr>
        <w:t> </w:t>
      </w:r>
      <w:r>
        <w:rPr>
          <w:vertAlign w:val="baseline"/>
        </w:rPr>
        <w:t>be</w:t>
      </w:r>
      <w:r>
        <w:rPr>
          <w:spacing w:val="-2"/>
          <w:vertAlign w:val="baseline"/>
        </w:rPr>
        <w:t> </w:t>
      </w:r>
      <w:r>
        <w:rPr>
          <w:vertAlign w:val="baseline"/>
        </w:rPr>
        <w:t>the</w:t>
      </w:r>
      <w:r>
        <w:rPr>
          <w:spacing w:val="-2"/>
          <w:vertAlign w:val="baseline"/>
        </w:rPr>
        <w:t> </w:t>
      </w:r>
      <w:r>
        <w:rPr>
          <w:vertAlign w:val="baseline"/>
        </w:rPr>
        <w:t>case in</w:t>
      </w:r>
      <w:r>
        <w:rPr>
          <w:spacing w:val="-1"/>
          <w:vertAlign w:val="baseline"/>
        </w:rPr>
        <w:t> </w:t>
      </w:r>
      <w:r>
        <w:rPr>
          <w:vertAlign w:val="baseline"/>
        </w:rPr>
        <w:t>s. 175, may</w:t>
      </w:r>
      <w:r>
        <w:rPr>
          <w:spacing w:val="-6"/>
          <w:vertAlign w:val="baseline"/>
        </w:rPr>
        <w:t> </w:t>
      </w:r>
      <w:r>
        <w:rPr>
          <w:vertAlign w:val="baseline"/>
        </w:rPr>
        <w:t>invite boardroom</w:t>
      </w:r>
      <w:r>
        <w:rPr>
          <w:spacing w:val="-6"/>
          <w:vertAlign w:val="baseline"/>
        </w:rPr>
        <w:t> </w:t>
      </w:r>
      <w:r>
        <w:rPr>
          <w:vertAlign w:val="baseline"/>
        </w:rPr>
        <w:t>mischief. This</w:t>
      </w:r>
      <w:r>
        <w:rPr>
          <w:spacing w:val="-1"/>
          <w:vertAlign w:val="baseline"/>
        </w:rPr>
        <w:t> </w:t>
      </w:r>
      <w:r>
        <w:rPr>
          <w:vertAlign w:val="baseline"/>
        </w:rPr>
        <w:t>is</w:t>
      </w:r>
      <w:r>
        <w:rPr>
          <w:spacing w:val="-1"/>
          <w:vertAlign w:val="baseline"/>
        </w:rPr>
        <w:t> </w:t>
      </w:r>
      <w:r>
        <w:rPr>
          <w:vertAlign w:val="baseline"/>
        </w:rPr>
        <w:t>because management is</w:t>
      </w:r>
      <w:r>
        <w:rPr>
          <w:spacing w:val="-5"/>
          <w:vertAlign w:val="baseline"/>
        </w:rPr>
        <w:t> </w:t>
      </w:r>
      <w:r>
        <w:rPr>
          <w:vertAlign w:val="baseline"/>
        </w:rPr>
        <w:t>already</w:t>
      </w:r>
      <w:r>
        <w:rPr>
          <w:spacing w:val="-7"/>
          <w:vertAlign w:val="baseline"/>
        </w:rPr>
        <w:t> </w:t>
      </w:r>
      <w:r>
        <w:rPr>
          <w:vertAlign w:val="baseline"/>
        </w:rPr>
        <w:t>powerful</w:t>
      </w:r>
      <w:r>
        <w:rPr>
          <w:spacing w:val="-7"/>
          <w:vertAlign w:val="baseline"/>
        </w:rPr>
        <w:t> </w:t>
      </w:r>
      <w:r>
        <w:rPr>
          <w:vertAlign w:val="baseline"/>
        </w:rPr>
        <w:t>as</w:t>
      </w:r>
      <w:r>
        <w:rPr>
          <w:spacing w:val="-1"/>
          <w:vertAlign w:val="baseline"/>
        </w:rPr>
        <w:t> </w:t>
      </w:r>
      <w:r>
        <w:rPr>
          <w:vertAlign w:val="baseline"/>
        </w:rPr>
        <w:t>it is</w:t>
      </w:r>
      <w:r>
        <w:rPr>
          <w:spacing w:val="-5"/>
          <w:vertAlign w:val="baseline"/>
        </w:rPr>
        <w:t> </w:t>
      </w:r>
      <w:r>
        <w:rPr>
          <w:vertAlign w:val="baseline"/>
        </w:rPr>
        <w:t>and it is</w:t>
      </w:r>
      <w:r>
        <w:rPr>
          <w:spacing w:val="-5"/>
          <w:vertAlign w:val="baseline"/>
        </w:rPr>
        <w:t> </w:t>
      </w:r>
      <w:r>
        <w:rPr>
          <w:vertAlign w:val="baseline"/>
        </w:rPr>
        <w:t>the</w:t>
      </w:r>
      <w:r>
        <w:rPr>
          <w:spacing w:val="-4"/>
          <w:vertAlign w:val="baseline"/>
        </w:rPr>
        <w:t> </w:t>
      </w:r>
      <w:r>
        <w:rPr>
          <w:vertAlign w:val="baseline"/>
        </w:rPr>
        <w:t>general</w:t>
      </w:r>
      <w:r>
        <w:rPr>
          <w:spacing w:val="-3"/>
          <w:vertAlign w:val="baseline"/>
        </w:rPr>
        <w:t> </w:t>
      </w:r>
      <w:r>
        <w:rPr>
          <w:vertAlign w:val="baseline"/>
        </w:rPr>
        <w:t>meeting</w:t>
      </w:r>
      <w:r>
        <w:rPr>
          <w:spacing w:val="-3"/>
          <w:vertAlign w:val="baseline"/>
        </w:rPr>
        <w:t> </w:t>
      </w:r>
      <w:r>
        <w:rPr>
          <w:vertAlign w:val="baseline"/>
        </w:rPr>
        <w:t>that is often</w:t>
      </w:r>
      <w:r>
        <w:rPr>
          <w:spacing w:val="-1"/>
          <w:vertAlign w:val="baseline"/>
        </w:rPr>
        <w:t> </w:t>
      </w:r>
      <w:r>
        <w:rPr>
          <w:vertAlign w:val="baseline"/>
        </w:rPr>
        <w:t>at a disadvantaged position—chiefly</w:t>
      </w:r>
      <w:r>
        <w:rPr>
          <w:spacing w:val="-1"/>
          <w:vertAlign w:val="baseline"/>
        </w:rPr>
        <w:t> </w:t>
      </w:r>
      <w:r>
        <w:rPr>
          <w:vertAlign w:val="baseline"/>
        </w:rPr>
        <w:t>due to having limited information—yet the law is</w:t>
      </w:r>
      <w:r>
        <w:rPr>
          <w:spacing w:val="-3"/>
          <w:vertAlign w:val="baseline"/>
        </w:rPr>
        <w:t> </w:t>
      </w:r>
      <w:r>
        <w:rPr>
          <w:vertAlign w:val="baseline"/>
        </w:rPr>
        <w:t>taking</w:t>
      </w:r>
      <w:r>
        <w:rPr>
          <w:spacing w:val="-1"/>
          <w:vertAlign w:val="baseline"/>
        </w:rPr>
        <w:t> </w:t>
      </w:r>
      <w:r>
        <w:rPr>
          <w:vertAlign w:val="baseline"/>
        </w:rPr>
        <w:t>away</w:t>
      </w:r>
      <w:r>
        <w:rPr>
          <w:spacing w:val="-11"/>
          <w:vertAlign w:val="baseline"/>
        </w:rPr>
        <w:t> </w:t>
      </w:r>
      <w:r>
        <w:rPr>
          <w:vertAlign w:val="baseline"/>
        </w:rPr>
        <w:t>an</w:t>
      </w:r>
      <w:r>
        <w:rPr>
          <w:spacing w:val="-6"/>
          <w:vertAlign w:val="baseline"/>
        </w:rPr>
        <w:t> </w:t>
      </w:r>
      <w:r>
        <w:rPr>
          <w:vertAlign w:val="baseline"/>
        </w:rPr>
        <w:t>oversight power</w:t>
      </w:r>
      <w:r>
        <w:rPr>
          <w:spacing w:val="-9"/>
          <w:vertAlign w:val="baseline"/>
        </w:rPr>
        <w:t> </w:t>
      </w:r>
      <w:r>
        <w:rPr>
          <w:vertAlign w:val="baseline"/>
        </w:rPr>
        <w:t>that hitherto belonged</w:t>
      </w:r>
      <w:r>
        <w:rPr>
          <w:spacing w:val="-1"/>
          <w:vertAlign w:val="baseline"/>
        </w:rPr>
        <w:t> </w:t>
      </w:r>
      <w:r>
        <w:rPr>
          <w:vertAlign w:val="baseline"/>
        </w:rPr>
        <w:t>to</w:t>
      </w:r>
      <w:r>
        <w:rPr>
          <w:spacing w:val="-1"/>
          <w:vertAlign w:val="baseline"/>
        </w:rPr>
        <w:t> </w:t>
      </w:r>
      <w:r>
        <w:rPr>
          <w:vertAlign w:val="baseline"/>
        </w:rPr>
        <w:t>the</w:t>
      </w:r>
      <w:r>
        <w:rPr>
          <w:spacing w:val="-2"/>
          <w:vertAlign w:val="baseline"/>
        </w:rPr>
        <w:t> </w:t>
      </w:r>
      <w:r>
        <w:rPr>
          <w:vertAlign w:val="baseline"/>
        </w:rPr>
        <w:t>general</w:t>
      </w:r>
      <w:r>
        <w:rPr>
          <w:spacing w:val="-6"/>
          <w:vertAlign w:val="baseline"/>
        </w:rPr>
        <w:t> </w:t>
      </w:r>
      <w:r>
        <w:rPr>
          <w:vertAlign w:val="baseline"/>
        </w:rPr>
        <w:t>meeting. It</w:t>
      </w:r>
      <w:r>
        <w:rPr>
          <w:spacing w:val="-1"/>
          <w:vertAlign w:val="baseline"/>
        </w:rPr>
        <w:t> </w:t>
      </w:r>
      <w:r>
        <w:rPr>
          <w:vertAlign w:val="baseline"/>
        </w:rPr>
        <w:t>is conceded</w:t>
      </w:r>
      <w:r>
        <w:rPr>
          <w:spacing w:val="-2"/>
          <w:vertAlign w:val="baseline"/>
        </w:rPr>
        <w:t> </w:t>
      </w:r>
      <w:r>
        <w:rPr>
          <w:vertAlign w:val="baseline"/>
        </w:rPr>
        <w:t>that</w:t>
      </w:r>
      <w:r>
        <w:rPr>
          <w:spacing w:val="-2"/>
          <w:vertAlign w:val="baseline"/>
        </w:rPr>
        <w:t> </w:t>
      </w:r>
      <w:r>
        <w:rPr>
          <w:vertAlign w:val="baseline"/>
        </w:rPr>
        <w:t>the</w:t>
      </w:r>
      <w:r>
        <w:rPr>
          <w:spacing w:val="-3"/>
          <w:vertAlign w:val="baseline"/>
        </w:rPr>
        <w:t> </w:t>
      </w:r>
      <w:r>
        <w:rPr>
          <w:vertAlign w:val="baseline"/>
        </w:rPr>
        <w:t>board</w:t>
      </w:r>
      <w:r>
        <w:rPr>
          <w:spacing w:val="-2"/>
          <w:vertAlign w:val="baseline"/>
        </w:rPr>
        <w:t> </w:t>
      </w:r>
      <w:r>
        <w:rPr>
          <w:vertAlign w:val="baseline"/>
        </w:rPr>
        <w:t>is ideally</w:t>
      </w:r>
      <w:r>
        <w:rPr>
          <w:spacing w:val="-7"/>
          <w:vertAlign w:val="baseline"/>
        </w:rPr>
        <w:t> </w:t>
      </w:r>
      <w:r>
        <w:rPr>
          <w:vertAlign w:val="baseline"/>
        </w:rPr>
        <w:t>the most appropriate</w:t>
      </w:r>
      <w:r>
        <w:rPr>
          <w:spacing w:val="-3"/>
          <w:vertAlign w:val="baseline"/>
        </w:rPr>
        <w:t> </w:t>
      </w:r>
      <w:r>
        <w:rPr>
          <w:vertAlign w:val="baseline"/>
        </w:rPr>
        <w:t>organ</w:t>
      </w:r>
      <w:r>
        <w:rPr>
          <w:spacing w:val="-7"/>
          <w:vertAlign w:val="baseline"/>
        </w:rPr>
        <w:t> </w:t>
      </w:r>
      <w:r>
        <w:rPr>
          <w:vertAlign w:val="baseline"/>
        </w:rPr>
        <w:t>to decide matters</w:t>
      </w:r>
      <w:r>
        <w:rPr>
          <w:spacing w:val="-4"/>
          <w:vertAlign w:val="baseline"/>
        </w:rPr>
        <w:t> </w:t>
      </w:r>
      <w:r>
        <w:rPr>
          <w:vertAlign w:val="baseline"/>
        </w:rPr>
        <w:t>regarding the exploitation of its property, etc. Yet if disclosure is left to the board, it is quite possible that in most cases, the latter would not even report the issue to the general meeting, especially where most members, or an influential member, of the board benefited.</w:t>
      </w:r>
      <w:r>
        <w:rPr>
          <w:spacing w:val="30"/>
          <w:vertAlign w:val="baseline"/>
        </w:rPr>
        <w:t> </w:t>
      </w:r>
      <w:r>
        <w:rPr>
          <w:vertAlign w:val="baseline"/>
        </w:rPr>
        <w:t>In</w:t>
      </w:r>
      <w:r>
        <w:rPr>
          <w:spacing w:val="27"/>
          <w:vertAlign w:val="baseline"/>
        </w:rPr>
        <w:t> </w:t>
      </w:r>
      <w:r>
        <w:rPr>
          <w:vertAlign w:val="baseline"/>
        </w:rPr>
        <w:t>fact,</w:t>
      </w:r>
      <w:r>
        <w:rPr>
          <w:spacing w:val="30"/>
          <w:vertAlign w:val="baseline"/>
        </w:rPr>
        <w:t> </w:t>
      </w:r>
      <w:r>
        <w:rPr>
          <w:vertAlign w:val="baseline"/>
        </w:rPr>
        <w:t>Cokery</w:t>
      </w:r>
      <w:r>
        <w:rPr>
          <w:spacing w:val="23"/>
          <w:vertAlign w:val="baseline"/>
        </w:rPr>
        <w:t> </w:t>
      </w:r>
      <w:r>
        <w:rPr>
          <w:vertAlign w:val="baseline"/>
        </w:rPr>
        <w:t>is</w:t>
      </w:r>
      <w:r>
        <w:rPr>
          <w:spacing w:val="25"/>
          <w:vertAlign w:val="baseline"/>
        </w:rPr>
        <w:t> </w:t>
      </w:r>
      <w:r>
        <w:rPr>
          <w:vertAlign w:val="baseline"/>
        </w:rPr>
        <w:t>of</w:t>
      </w:r>
      <w:r>
        <w:rPr>
          <w:spacing w:val="20"/>
          <w:vertAlign w:val="baseline"/>
        </w:rPr>
        <w:t> </w:t>
      </w:r>
      <w:r>
        <w:rPr>
          <w:vertAlign w:val="baseline"/>
        </w:rPr>
        <w:t>the</w:t>
      </w:r>
      <w:r>
        <w:rPr>
          <w:spacing w:val="27"/>
          <w:vertAlign w:val="baseline"/>
        </w:rPr>
        <w:t> </w:t>
      </w:r>
      <w:r>
        <w:rPr>
          <w:vertAlign w:val="baseline"/>
        </w:rPr>
        <w:t>view</w:t>
      </w:r>
      <w:r>
        <w:rPr>
          <w:spacing w:val="27"/>
          <w:vertAlign w:val="baseline"/>
        </w:rPr>
        <w:t> </w:t>
      </w:r>
      <w:r>
        <w:rPr>
          <w:vertAlign w:val="baseline"/>
        </w:rPr>
        <w:t>that</w:t>
      </w:r>
      <w:r>
        <w:rPr>
          <w:spacing w:val="33"/>
          <w:vertAlign w:val="baseline"/>
        </w:rPr>
        <w:t> </w:t>
      </w:r>
      <w:r>
        <w:rPr>
          <w:vertAlign w:val="baseline"/>
        </w:rPr>
        <w:t>directors,</w:t>
      </w:r>
      <w:r>
        <w:rPr>
          <w:spacing w:val="25"/>
          <w:vertAlign w:val="baseline"/>
        </w:rPr>
        <w:t> </w:t>
      </w:r>
      <w:r>
        <w:rPr>
          <w:vertAlign w:val="baseline"/>
        </w:rPr>
        <w:t>even</w:t>
      </w:r>
      <w:r>
        <w:rPr>
          <w:spacing w:val="23"/>
          <w:vertAlign w:val="baseline"/>
        </w:rPr>
        <w:t> </w:t>
      </w:r>
      <w:r>
        <w:rPr>
          <w:vertAlign w:val="baseline"/>
        </w:rPr>
        <w:t>abstaining</w:t>
      </w:r>
      <w:r>
        <w:rPr>
          <w:spacing w:val="27"/>
          <w:vertAlign w:val="baseline"/>
        </w:rPr>
        <w:t> </w:t>
      </w:r>
      <w:r>
        <w:rPr>
          <w:vertAlign w:val="baseline"/>
        </w:rPr>
        <w:t>or</w:t>
      </w:r>
      <w:r>
        <w:rPr>
          <w:spacing w:val="24"/>
          <w:vertAlign w:val="baseline"/>
        </w:rPr>
        <w:t> </w:t>
      </w:r>
      <w:r>
        <w:rPr>
          <w:vertAlign w:val="baseline"/>
        </w:rPr>
        <w:t>absent,</w:t>
      </w:r>
      <w:r>
        <w:rPr>
          <w:spacing w:val="30"/>
          <w:vertAlign w:val="baseline"/>
        </w:rPr>
        <w:t> </w:t>
      </w:r>
      <w:r>
        <w:rPr>
          <w:vertAlign w:val="baseline"/>
        </w:rPr>
        <w:t>can</w:t>
      </w:r>
    </w:p>
    <w:p>
      <w:pPr>
        <w:pStyle w:val="BodyText"/>
        <w:spacing w:before="126"/>
        <w:ind w:left="0"/>
        <w:rPr>
          <w:sz w:val="20"/>
        </w:rPr>
      </w:pPr>
      <w:r>
        <w:rPr/>
        <mc:AlternateContent>
          <mc:Choice Requires="wps">
            <w:drawing>
              <wp:anchor distT="0" distB="0" distL="0" distR="0" allowOverlap="1" layoutInCell="1" locked="0" behindDoc="1" simplePos="0" relativeHeight="487702528">
                <wp:simplePos x="0" y="0"/>
                <wp:positionH relativeFrom="page">
                  <wp:posOffset>1262481</wp:posOffset>
                </wp:positionH>
                <wp:positionV relativeFrom="paragraph">
                  <wp:posOffset>241529</wp:posOffset>
                </wp:positionV>
                <wp:extent cx="1829435" cy="9525"/>
                <wp:effectExtent l="0" t="0" r="0" b="0"/>
                <wp:wrapTopAndBottom/>
                <wp:docPr id="251" name="Graphic 251"/>
                <wp:cNvGraphicFramePr>
                  <a:graphicFrameLocks/>
                </wp:cNvGraphicFramePr>
                <a:graphic>
                  <a:graphicData uri="http://schemas.microsoft.com/office/word/2010/wordprocessingShape">
                    <wps:wsp>
                      <wps:cNvPr id="251" name="Graphic 25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018076pt;width:144.050pt;height:.71997pt;mso-position-horizontal-relative:page;mso-position-vertical-relative:paragraph;z-index:-15613952;mso-wrap-distance-left:0;mso-wrap-distance-right:0" id="docshape206"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285</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7"/>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(2012).Op.cit.</w:t>
      </w:r>
      <w:r>
        <w:rPr>
          <w:rFonts w:ascii="Calibri"/>
          <w:spacing w:val="-3"/>
          <w:sz w:val="20"/>
          <w:vertAlign w:val="baseline"/>
        </w:rPr>
        <w:t> </w:t>
      </w:r>
      <w:r>
        <w:rPr>
          <w:rFonts w:ascii="Calibri"/>
          <w:sz w:val="20"/>
          <w:vertAlign w:val="baseline"/>
        </w:rPr>
        <w:t>at</w:t>
      </w:r>
      <w:r>
        <w:rPr>
          <w:rFonts w:ascii="Calibri"/>
          <w:spacing w:val="-9"/>
          <w:sz w:val="20"/>
          <w:vertAlign w:val="baseline"/>
        </w:rPr>
        <w:t> </w:t>
      </w:r>
      <w:r>
        <w:rPr>
          <w:rFonts w:ascii="Calibri"/>
          <w:sz w:val="20"/>
          <w:vertAlign w:val="baseline"/>
        </w:rPr>
        <w:t>p.</w:t>
      </w:r>
      <w:r>
        <w:rPr>
          <w:rFonts w:ascii="Calibri"/>
          <w:spacing w:val="-6"/>
          <w:sz w:val="20"/>
          <w:vertAlign w:val="baseline"/>
        </w:rPr>
        <w:t> </w:t>
      </w:r>
      <w:r>
        <w:rPr>
          <w:rFonts w:ascii="Calibri"/>
          <w:sz w:val="20"/>
          <w:vertAlign w:val="baseline"/>
        </w:rPr>
        <w:t>602,</w:t>
      </w:r>
      <w:r>
        <w:rPr>
          <w:rFonts w:ascii="Calibri"/>
          <w:spacing w:val="-6"/>
          <w:sz w:val="20"/>
          <w:vertAlign w:val="baseline"/>
        </w:rPr>
        <w:t> </w:t>
      </w:r>
      <w:r>
        <w:rPr>
          <w:rFonts w:ascii="Calibri"/>
          <w:sz w:val="20"/>
          <w:vertAlign w:val="baseline"/>
        </w:rPr>
        <w:t>footnote</w:t>
      </w:r>
      <w:r>
        <w:rPr>
          <w:rFonts w:ascii="Calibri"/>
          <w:spacing w:val="-3"/>
          <w:sz w:val="20"/>
          <w:vertAlign w:val="baseline"/>
        </w:rPr>
        <w:t> </w:t>
      </w:r>
      <w:r>
        <w:rPr>
          <w:rFonts w:ascii="Calibri"/>
          <w:spacing w:val="-4"/>
          <w:sz w:val="20"/>
          <w:vertAlign w:val="baseline"/>
        </w:rPr>
        <w:t>351;</w:t>
      </w:r>
    </w:p>
    <w:p>
      <w:pPr>
        <w:spacing w:line="240" w:lineRule="auto" w:before="1"/>
        <w:ind w:left="308" w:right="221" w:firstLine="0"/>
        <w:jc w:val="both"/>
        <w:rPr>
          <w:rFonts w:ascii="Calibri" w:hAnsi="Calibri"/>
          <w:sz w:val="20"/>
        </w:rPr>
      </w:pPr>
      <w:r>
        <w:rPr>
          <w:rFonts w:ascii="Calibri" w:hAnsi="Calibri"/>
          <w:sz w:val="20"/>
          <w:vertAlign w:val="superscript"/>
        </w:rPr>
        <w:t>286</w:t>
      </w:r>
      <w:r>
        <w:rPr>
          <w:rFonts w:ascii="Calibri" w:hAnsi="Calibri"/>
          <w:sz w:val="20"/>
          <w:vertAlign w:val="baseline"/>
        </w:rPr>
        <w:t> Fitzpatrick, C. (2011). The Companies Act 2006 and its Implications for Company Directors.Being an essay for the 2011 Undergraduate Awards (Ireland) Competition, submitted to the University of Ulster, Ireland.Retrieved</w:t>
      </w:r>
      <w:r>
        <w:rPr>
          <w:rFonts w:ascii="Calibri" w:hAnsi="Calibri"/>
          <w:spacing w:val="-3"/>
          <w:sz w:val="20"/>
          <w:vertAlign w:val="baseline"/>
        </w:rPr>
        <w:t> </w:t>
      </w:r>
      <w:r>
        <w:rPr>
          <w:rFonts w:ascii="Calibri" w:hAnsi="Calibri"/>
          <w:sz w:val="20"/>
          <w:vertAlign w:val="baseline"/>
        </w:rPr>
        <w:t>December</w:t>
      </w:r>
      <w:r>
        <w:rPr>
          <w:rFonts w:ascii="Calibri" w:hAnsi="Calibri"/>
          <w:spacing w:val="-2"/>
          <w:sz w:val="20"/>
          <w:vertAlign w:val="baseline"/>
        </w:rPr>
        <w:t> </w:t>
      </w:r>
      <w:r>
        <w:rPr>
          <w:rFonts w:ascii="Calibri" w:hAnsi="Calibri"/>
          <w:sz w:val="20"/>
          <w:vertAlign w:val="baseline"/>
        </w:rPr>
        <w:t>4,</w:t>
      </w:r>
      <w:r>
        <w:rPr>
          <w:rFonts w:ascii="Calibri" w:hAnsi="Calibri"/>
          <w:spacing w:val="-5"/>
          <w:sz w:val="20"/>
          <w:vertAlign w:val="baseline"/>
        </w:rPr>
        <w:t> </w:t>
      </w:r>
      <w:r>
        <w:rPr>
          <w:rFonts w:ascii="Calibri" w:hAnsi="Calibri"/>
          <w:sz w:val="20"/>
          <w:vertAlign w:val="baseline"/>
        </w:rPr>
        <w:t>2013,</w:t>
      </w:r>
      <w:r>
        <w:rPr>
          <w:rFonts w:ascii="Calibri" w:hAnsi="Calibri"/>
          <w:spacing w:val="-5"/>
          <w:sz w:val="20"/>
          <w:vertAlign w:val="baseline"/>
        </w:rPr>
        <w:t> </w:t>
      </w:r>
      <w:r>
        <w:rPr>
          <w:rFonts w:ascii="Calibri" w:hAnsi="Calibri"/>
          <w:sz w:val="20"/>
          <w:vertAlign w:val="baseline"/>
        </w:rPr>
        <w:t>from </w:t>
      </w:r>
      <w:hyperlink r:id="rId57">
        <w:r>
          <w:rPr>
            <w:rFonts w:ascii="Calibri" w:hAnsi="Calibri"/>
            <w:color w:val="0000FF"/>
            <w:sz w:val="20"/>
            <w:u w:val="single" w:color="0000FF"/>
            <w:vertAlign w:val="baseline"/>
          </w:rPr>
          <w:t>http://www.scribd.com/doc/104560914/The-Companies-Act-</w:t>
        </w:r>
      </w:hyperlink>
      <w:r>
        <w:rPr>
          <w:rFonts w:ascii="Calibri" w:hAnsi="Calibri"/>
          <w:color w:val="0000FF"/>
          <w:sz w:val="20"/>
          <w:vertAlign w:val="baseline"/>
        </w:rPr>
        <w:t> </w:t>
      </w:r>
      <w:hyperlink r:id="rId57">
        <w:r>
          <w:rPr>
            <w:rFonts w:ascii="Calibri" w:hAnsi="Calibri"/>
            <w:color w:val="0000FF"/>
            <w:sz w:val="20"/>
            <w:u w:val="single" w:color="0000FF"/>
            <w:vertAlign w:val="baseline"/>
          </w:rPr>
          <w:t>2006-and-its-implications-for-Company-Directors</w:t>
        </w:r>
      </w:hyperlink>
      <w:r>
        <w:rPr>
          <w:rFonts w:ascii="Calibri" w:hAnsi="Calibri"/>
          <w:color w:val="0000FF"/>
          <w:sz w:val="20"/>
          <w:vertAlign w:val="baseline"/>
        </w:rPr>
        <w:t> </w:t>
      </w:r>
      <w:r>
        <w:rPr>
          <w:rFonts w:ascii="Calibri" w:hAnsi="Calibri"/>
          <w:sz w:val="20"/>
          <w:vertAlign w:val="baseline"/>
        </w:rPr>
        <w:t>and GC100. (2008). Companies Act 2006: Directors’ Conflicts of Interests. Para 2.7, p. 4. Retrieved December 20, 2013 from </w:t>
      </w:r>
      <w:hyperlink r:id="rId58">
        <w:r>
          <w:rPr>
            <w:rFonts w:ascii="Calibri" w:hAnsi="Calibri"/>
            <w:color w:val="0000FF"/>
            <w:spacing w:val="-2"/>
            <w:sz w:val="20"/>
            <w:u w:val="single" w:color="0000FF"/>
            <w:vertAlign w:val="baseline"/>
          </w:rPr>
          <w:t>www.linklaters.com/pdfs/publications/.../</w:t>
        </w:r>
        <w:r>
          <w:rPr>
            <w:rFonts w:ascii="Calibri" w:hAnsi="Calibri"/>
            <w:b/>
            <w:color w:val="0000FF"/>
            <w:spacing w:val="-2"/>
            <w:sz w:val="20"/>
            <w:u w:val="single" w:color="0000FF"/>
            <w:vertAlign w:val="baseline"/>
          </w:rPr>
          <w:t>GC100</w:t>
        </w:r>
        <w:r>
          <w:rPr>
            <w:rFonts w:ascii="Calibri" w:hAnsi="Calibri"/>
            <w:color w:val="0000FF"/>
            <w:spacing w:val="-2"/>
            <w:sz w:val="20"/>
            <w:u w:val="single" w:color="0000FF"/>
            <w:vertAlign w:val="baseline"/>
          </w:rPr>
          <w:t>briefingpaper.pdf</w:t>
        </w:r>
      </w:hyperlink>
      <w:r>
        <w:rPr>
          <w:rFonts w:ascii="Calibri" w:hAnsi="Calibri"/>
          <w:spacing w:val="-2"/>
          <w:sz w:val="20"/>
          <w:vertAlign w:val="baseline"/>
        </w:rPr>
        <w:t>.</w:t>
      </w:r>
    </w:p>
    <w:p>
      <w:pPr>
        <w:spacing w:line="244" w:lineRule="exact" w:before="0"/>
        <w:ind w:left="308" w:right="0" w:firstLine="0"/>
        <w:jc w:val="both"/>
        <w:rPr>
          <w:rFonts w:ascii="Calibri"/>
          <w:sz w:val="20"/>
        </w:rPr>
      </w:pPr>
      <w:r>
        <w:rPr>
          <w:rFonts w:ascii="Calibri"/>
          <w:sz w:val="20"/>
          <w:vertAlign w:val="superscript"/>
        </w:rPr>
        <w:t>287</w:t>
      </w:r>
      <w:r>
        <w:rPr>
          <w:rFonts w:ascii="Calibri"/>
          <w:sz w:val="20"/>
          <w:vertAlign w:val="baseline"/>
        </w:rPr>
        <w:t>Corkery,</w:t>
      </w:r>
      <w:r>
        <w:rPr>
          <w:rFonts w:ascii="Calibri"/>
          <w:spacing w:val="-6"/>
          <w:sz w:val="20"/>
          <w:vertAlign w:val="baseline"/>
        </w:rPr>
        <w:t> </w:t>
      </w:r>
      <w:r>
        <w:rPr>
          <w:rFonts w:ascii="Calibri"/>
          <w:sz w:val="20"/>
          <w:vertAlign w:val="baseline"/>
        </w:rPr>
        <w:t>F.J.</w:t>
      </w:r>
      <w:r>
        <w:rPr>
          <w:rFonts w:ascii="Calibri"/>
          <w:spacing w:val="-7"/>
          <w:sz w:val="20"/>
          <w:vertAlign w:val="baseline"/>
        </w:rPr>
        <w:t> </w:t>
      </w:r>
      <w:r>
        <w:rPr>
          <w:rFonts w:ascii="Calibri"/>
          <w:sz w:val="20"/>
          <w:vertAlign w:val="baseline"/>
        </w:rPr>
        <w:t>op.cit.at</w:t>
      </w:r>
      <w:r>
        <w:rPr>
          <w:rFonts w:ascii="Calibri"/>
          <w:spacing w:val="-2"/>
          <w:sz w:val="20"/>
          <w:vertAlign w:val="baseline"/>
        </w:rPr>
        <w:t> </w:t>
      </w:r>
      <w:r>
        <w:rPr>
          <w:rFonts w:ascii="Calibri"/>
          <w:spacing w:val="-4"/>
          <w:sz w:val="20"/>
          <w:vertAlign w:val="baseline"/>
        </w:rPr>
        <w:t>p.88.</w:t>
      </w:r>
    </w:p>
    <w:p>
      <w:pPr>
        <w:spacing w:before="0"/>
        <w:ind w:left="308" w:right="0" w:firstLine="0"/>
        <w:jc w:val="both"/>
        <w:rPr>
          <w:rFonts w:ascii="Calibri"/>
          <w:sz w:val="20"/>
        </w:rPr>
      </w:pPr>
      <w:r>
        <w:rPr>
          <w:rFonts w:ascii="Calibri"/>
          <w:sz w:val="20"/>
          <w:vertAlign w:val="superscript"/>
        </w:rPr>
        <w:t>288</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pacing w:val="-2"/>
          <w:sz w:val="20"/>
          <w:vertAlign w:val="baseline"/>
        </w:rPr>
        <w:t>p.85.</w:t>
      </w:r>
    </w:p>
    <w:p>
      <w:pPr>
        <w:spacing w:after="0"/>
        <w:jc w:val="both"/>
        <w:rPr>
          <w:rFonts w:ascii="Calibri"/>
          <w:sz w:val="20"/>
        </w:rPr>
        <w:sectPr>
          <w:pgSz w:w="11910" w:h="16840"/>
          <w:pgMar w:header="0" w:footer="1003" w:top="1320" w:bottom="1200" w:left="1680" w:right="1180"/>
        </w:sectPr>
      </w:pPr>
    </w:p>
    <w:p>
      <w:pPr>
        <w:pStyle w:val="BodyText"/>
        <w:spacing w:line="480" w:lineRule="auto" w:before="110"/>
        <w:ind w:right="185"/>
        <w:jc w:val="both"/>
      </w:pPr>
      <w:r>
        <w:rPr/>
        <w:t>still influence board decisions.</w:t>
      </w:r>
      <w:r>
        <w:rPr>
          <w:vertAlign w:val="superscript"/>
        </w:rPr>
        <w:t>289</w:t>
      </w:r>
      <w:r>
        <w:rPr>
          <w:vertAlign w:val="baseline"/>
        </w:rPr>
        <w:t> However, it is most reassuring that s. 180(1) allows companies which desire to, to reflect in their articles that disclosure be made to the general meeting as well and s.232 voids any provision in the articles which purports to exempt a director of</w:t>
      </w:r>
      <w:r>
        <w:rPr>
          <w:spacing w:val="-5"/>
          <w:vertAlign w:val="baseline"/>
        </w:rPr>
        <w:t> </w:t>
      </w:r>
      <w:r>
        <w:rPr>
          <w:vertAlign w:val="baseline"/>
        </w:rPr>
        <w:t>a company from</w:t>
      </w:r>
      <w:r>
        <w:rPr>
          <w:spacing w:val="-2"/>
          <w:vertAlign w:val="baseline"/>
        </w:rPr>
        <w:t> </w:t>
      </w:r>
      <w:r>
        <w:rPr>
          <w:vertAlign w:val="baseline"/>
        </w:rPr>
        <w:t>any liability in connection</w:t>
      </w:r>
      <w:r>
        <w:rPr>
          <w:spacing w:val="-2"/>
          <w:vertAlign w:val="baseline"/>
        </w:rPr>
        <w:t> </w:t>
      </w:r>
      <w:r>
        <w:rPr>
          <w:vertAlign w:val="baseline"/>
        </w:rPr>
        <w:t>with</w:t>
      </w:r>
      <w:r>
        <w:rPr>
          <w:spacing w:val="-2"/>
          <w:vertAlign w:val="baseline"/>
        </w:rPr>
        <w:t> </w:t>
      </w:r>
      <w:r>
        <w:rPr>
          <w:vertAlign w:val="baseline"/>
        </w:rPr>
        <w:t>any breach</w:t>
      </w:r>
      <w:r>
        <w:rPr>
          <w:spacing w:val="-2"/>
          <w:vertAlign w:val="baseline"/>
        </w:rPr>
        <w:t> </w:t>
      </w:r>
      <w:r>
        <w:rPr>
          <w:vertAlign w:val="baseline"/>
        </w:rPr>
        <w:t>of duty or breach of trust in relation to the company.</w:t>
      </w:r>
    </w:p>
    <w:p>
      <w:pPr>
        <w:pStyle w:val="Heading2"/>
        <w:numPr>
          <w:ilvl w:val="2"/>
          <w:numId w:val="18"/>
        </w:numPr>
        <w:tabs>
          <w:tab w:pos="1027" w:val="left" w:leader="none"/>
        </w:tabs>
        <w:spacing w:line="240" w:lineRule="auto" w:before="207" w:after="0"/>
        <w:ind w:left="1027" w:right="0" w:hanging="719"/>
        <w:jc w:val="both"/>
      </w:pPr>
      <w:bookmarkStart w:name="_TOC_250015" w:id="37"/>
      <w:r>
        <w:rPr/>
        <w:t>Duty Not</w:t>
      </w:r>
      <w:r>
        <w:rPr>
          <w:spacing w:val="-4"/>
        </w:rPr>
        <w:t> </w:t>
      </w:r>
      <w:r>
        <w:rPr/>
        <w:t>to</w:t>
      </w:r>
      <w:r>
        <w:rPr>
          <w:spacing w:val="-5"/>
        </w:rPr>
        <w:t> </w:t>
      </w:r>
      <w:r>
        <w:rPr/>
        <w:t>Accept</w:t>
      </w:r>
      <w:r>
        <w:rPr>
          <w:spacing w:val="-3"/>
        </w:rPr>
        <w:t> </w:t>
      </w:r>
      <w:r>
        <w:rPr/>
        <w:t>Benefits</w:t>
      </w:r>
      <w:r>
        <w:rPr>
          <w:spacing w:val="-2"/>
        </w:rPr>
        <w:t> </w:t>
      </w:r>
      <w:r>
        <w:rPr/>
        <w:t>from</w:t>
      </w:r>
      <w:r>
        <w:rPr>
          <w:spacing w:val="-3"/>
        </w:rPr>
        <w:t> </w:t>
      </w:r>
      <w:r>
        <w:rPr/>
        <w:t>Third</w:t>
      </w:r>
      <w:r>
        <w:rPr>
          <w:spacing w:val="1"/>
        </w:rPr>
        <w:t> </w:t>
      </w:r>
      <w:bookmarkEnd w:id="37"/>
      <w:r>
        <w:rPr>
          <w:spacing w:val="-2"/>
        </w:rPr>
        <w:t>Parties</w:t>
      </w:r>
    </w:p>
    <w:p>
      <w:pPr>
        <w:pStyle w:val="BodyText"/>
        <w:spacing w:line="480" w:lineRule="auto" w:before="132"/>
        <w:ind w:right="181"/>
        <w:jc w:val="both"/>
      </w:pPr>
      <w:r>
        <w:rPr/>
        <w:t>Like the section before and after it, s. 176 encapsulates an aspect of the fiduciary rule against making unauthorised gains arising from conflicts of interests while serving the company as part of the general ―no-profit‖ rule recognised by common law. Thus, ―A director of a company must not accept a benefit from a third party conferred by reason of—(a) his being a director, or (b) his doing (or not doing) anything as director.‖</w:t>
      </w:r>
      <w:r>
        <w:rPr>
          <w:vertAlign w:val="superscript"/>
        </w:rPr>
        <w:t>290</w:t>
      </w:r>
    </w:p>
    <w:p>
      <w:pPr>
        <w:pStyle w:val="BodyText"/>
        <w:spacing w:line="480" w:lineRule="auto" w:before="2"/>
        <w:ind w:right="181" w:firstLine="720"/>
        <w:jc w:val="both"/>
      </w:pPr>
      <w:r>
        <w:rPr/>
        <w:t>The</w:t>
      </w:r>
      <w:r>
        <w:rPr>
          <w:spacing w:val="-2"/>
        </w:rPr>
        <w:t> </w:t>
      </w:r>
      <w:r>
        <w:rPr/>
        <w:t>word</w:t>
      </w:r>
      <w:r>
        <w:rPr>
          <w:spacing w:val="-1"/>
        </w:rPr>
        <w:t> </w:t>
      </w:r>
      <w:r>
        <w:rPr/>
        <w:t>―benefit‖</w:t>
      </w:r>
      <w:r>
        <w:rPr>
          <w:spacing w:val="-2"/>
        </w:rPr>
        <w:t> </w:t>
      </w:r>
      <w:r>
        <w:rPr/>
        <w:t>was deliberately</w:t>
      </w:r>
      <w:r>
        <w:rPr>
          <w:spacing w:val="-5"/>
        </w:rPr>
        <w:t> </w:t>
      </w:r>
      <w:r>
        <w:rPr/>
        <w:t>used for the government intends it to</w:t>
      </w:r>
      <w:r>
        <w:rPr>
          <w:spacing w:val="-1"/>
        </w:rPr>
        <w:t> </w:t>
      </w:r>
      <w:r>
        <w:rPr/>
        <w:t>admit a wide interpretation, including non-financial</w:t>
      </w:r>
      <w:r>
        <w:rPr>
          <w:spacing w:val="-7"/>
        </w:rPr>
        <w:t> </w:t>
      </w:r>
      <w:r>
        <w:rPr/>
        <w:t>gains, gifts and other advantages.</w:t>
      </w:r>
      <w:r>
        <w:rPr>
          <w:vertAlign w:val="superscript"/>
        </w:rPr>
        <w:t>291</w:t>
      </w:r>
      <w:r>
        <w:rPr>
          <w:vertAlign w:val="baseline"/>
        </w:rPr>
        <w:t>Such</w:t>
      </w:r>
      <w:r>
        <w:rPr>
          <w:spacing w:val="-2"/>
          <w:vertAlign w:val="baseline"/>
        </w:rPr>
        <w:t> </w:t>
      </w:r>
      <w:r>
        <w:rPr>
          <w:vertAlign w:val="baseline"/>
        </w:rPr>
        <w:t>a third party benefit could be a commission paid to a director personally in the course of his negotiating</w:t>
      </w:r>
      <w:r>
        <w:rPr>
          <w:spacing w:val="-2"/>
          <w:vertAlign w:val="baseline"/>
        </w:rPr>
        <w:t> </w:t>
      </w:r>
      <w:r>
        <w:rPr>
          <w:vertAlign w:val="baseline"/>
        </w:rPr>
        <w:t>a</w:t>
      </w:r>
      <w:r>
        <w:rPr>
          <w:spacing w:val="-3"/>
          <w:vertAlign w:val="baseline"/>
        </w:rPr>
        <w:t> </w:t>
      </w:r>
      <w:r>
        <w:rPr>
          <w:vertAlign w:val="baseline"/>
        </w:rPr>
        <w:t>business</w:t>
      </w:r>
      <w:r>
        <w:rPr>
          <w:spacing w:val="-4"/>
          <w:vertAlign w:val="baseline"/>
        </w:rPr>
        <w:t> </w:t>
      </w:r>
      <w:r>
        <w:rPr>
          <w:vertAlign w:val="baseline"/>
        </w:rPr>
        <w:t>transaction</w:t>
      </w:r>
      <w:r>
        <w:rPr>
          <w:spacing w:val="-7"/>
          <w:vertAlign w:val="baseline"/>
        </w:rPr>
        <w:t> </w:t>
      </w:r>
      <w:r>
        <w:rPr>
          <w:vertAlign w:val="baseline"/>
        </w:rPr>
        <w:t>on</w:t>
      </w:r>
      <w:r>
        <w:rPr>
          <w:spacing w:val="-4"/>
          <w:vertAlign w:val="baseline"/>
        </w:rPr>
        <w:t> </w:t>
      </w:r>
      <w:r>
        <w:rPr>
          <w:vertAlign w:val="baseline"/>
        </w:rPr>
        <w:t>his</w:t>
      </w:r>
      <w:r>
        <w:rPr>
          <w:spacing w:val="-4"/>
          <w:vertAlign w:val="baseline"/>
        </w:rPr>
        <w:t> </w:t>
      </w:r>
      <w:r>
        <w:rPr>
          <w:vertAlign w:val="baseline"/>
        </w:rPr>
        <w:t>company‘s behalf. Or it could even</w:t>
      </w:r>
      <w:r>
        <w:rPr>
          <w:spacing w:val="-1"/>
          <w:vertAlign w:val="baseline"/>
        </w:rPr>
        <w:t> </w:t>
      </w:r>
      <w:r>
        <w:rPr>
          <w:vertAlign w:val="baseline"/>
        </w:rPr>
        <w:t>be</w:t>
      </w:r>
      <w:r>
        <w:rPr>
          <w:spacing w:val="-3"/>
          <w:vertAlign w:val="baseline"/>
        </w:rPr>
        <w:t> </w:t>
      </w:r>
      <w:r>
        <w:rPr>
          <w:vertAlign w:val="baseline"/>
        </w:rPr>
        <w:t>profit arising from</w:t>
      </w:r>
      <w:r>
        <w:rPr>
          <w:spacing w:val="-6"/>
          <w:vertAlign w:val="baseline"/>
        </w:rPr>
        <w:t> </w:t>
      </w:r>
      <w:r>
        <w:rPr>
          <w:vertAlign w:val="baseline"/>
        </w:rPr>
        <w:t>his taking</w:t>
      </w:r>
      <w:r>
        <w:rPr>
          <w:spacing w:val="-1"/>
          <w:vertAlign w:val="baseline"/>
        </w:rPr>
        <w:t> </w:t>
      </w:r>
      <w:r>
        <w:rPr>
          <w:vertAlign w:val="baseline"/>
        </w:rPr>
        <w:t>up in his personal</w:t>
      </w:r>
      <w:r>
        <w:rPr>
          <w:spacing w:val="-1"/>
          <w:vertAlign w:val="baseline"/>
        </w:rPr>
        <w:t> </w:t>
      </w:r>
      <w:r>
        <w:rPr>
          <w:vertAlign w:val="baseline"/>
        </w:rPr>
        <w:t>capacity, a business</w:t>
      </w:r>
      <w:r>
        <w:rPr>
          <w:spacing w:val="-3"/>
          <w:vertAlign w:val="baseline"/>
        </w:rPr>
        <w:t> </w:t>
      </w:r>
      <w:r>
        <w:rPr>
          <w:vertAlign w:val="baseline"/>
        </w:rPr>
        <w:t>opportunity</w:t>
      </w:r>
      <w:r>
        <w:rPr>
          <w:spacing w:val="-6"/>
          <w:vertAlign w:val="baseline"/>
        </w:rPr>
        <w:t> </w:t>
      </w:r>
      <w:r>
        <w:rPr>
          <w:vertAlign w:val="baseline"/>
        </w:rPr>
        <w:t>that had come to him in his capacity as a director of the company, since it came to him ―by</w:t>
      </w:r>
      <w:r>
        <w:rPr>
          <w:spacing w:val="-2"/>
          <w:vertAlign w:val="baseline"/>
        </w:rPr>
        <w:t> </w:t>
      </w:r>
      <w:r>
        <w:rPr>
          <w:vertAlign w:val="baseline"/>
        </w:rPr>
        <w:t>reason of his</w:t>
      </w:r>
      <w:r>
        <w:rPr>
          <w:spacing w:val="39"/>
          <w:vertAlign w:val="baseline"/>
        </w:rPr>
        <w:t> </w:t>
      </w:r>
      <w:r>
        <w:rPr>
          <w:vertAlign w:val="baseline"/>
        </w:rPr>
        <w:t>being a director.‖ Or</w:t>
      </w:r>
      <w:r>
        <w:rPr>
          <w:spacing w:val="37"/>
          <w:vertAlign w:val="baseline"/>
        </w:rPr>
        <w:t> </w:t>
      </w:r>
      <w:r>
        <w:rPr>
          <w:vertAlign w:val="baseline"/>
        </w:rPr>
        <w:t>it</w:t>
      </w:r>
      <w:r>
        <w:rPr>
          <w:spacing w:val="37"/>
          <w:vertAlign w:val="baseline"/>
        </w:rPr>
        <w:t> </w:t>
      </w:r>
      <w:r>
        <w:rPr>
          <w:vertAlign w:val="baseline"/>
        </w:rPr>
        <w:t>could</w:t>
      </w:r>
      <w:r>
        <w:rPr>
          <w:spacing w:val="36"/>
          <w:vertAlign w:val="baseline"/>
        </w:rPr>
        <w:t> </w:t>
      </w:r>
      <w:r>
        <w:rPr>
          <w:vertAlign w:val="baseline"/>
        </w:rPr>
        <w:t>simply be in the form of free services or waiver of some sort.Thus, free medical service by a doctor for example, or even the waiver of</w:t>
      </w:r>
      <w:r>
        <w:rPr>
          <w:spacing w:val="40"/>
          <w:vertAlign w:val="baseline"/>
        </w:rPr>
        <w:t> </w:t>
      </w:r>
      <w:r>
        <w:rPr>
          <w:vertAlign w:val="baseline"/>
        </w:rPr>
        <w:t>some</w:t>
      </w:r>
      <w:r>
        <w:rPr>
          <w:spacing w:val="18"/>
          <w:vertAlign w:val="baseline"/>
        </w:rPr>
        <w:t> </w:t>
      </w:r>
      <w:r>
        <w:rPr>
          <w:vertAlign w:val="baseline"/>
        </w:rPr>
        <w:t>fee</w:t>
      </w:r>
      <w:r>
        <w:rPr>
          <w:spacing w:val="13"/>
          <w:vertAlign w:val="baseline"/>
        </w:rPr>
        <w:t> </w:t>
      </w:r>
      <w:r>
        <w:rPr>
          <w:vertAlign w:val="baseline"/>
        </w:rPr>
        <w:t>or</w:t>
      </w:r>
      <w:r>
        <w:rPr>
          <w:spacing w:val="20"/>
          <w:vertAlign w:val="baseline"/>
        </w:rPr>
        <w:t> </w:t>
      </w:r>
      <w:r>
        <w:rPr>
          <w:vertAlign w:val="baseline"/>
        </w:rPr>
        <w:t>levy that</w:t>
      </w:r>
      <w:r>
        <w:rPr>
          <w:spacing w:val="19"/>
          <w:vertAlign w:val="baseline"/>
        </w:rPr>
        <w:t> </w:t>
      </w:r>
      <w:r>
        <w:rPr>
          <w:vertAlign w:val="baseline"/>
        </w:rPr>
        <w:t>ought</w:t>
      </w:r>
      <w:r>
        <w:rPr>
          <w:spacing w:val="14"/>
          <w:vertAlign w:val="baseline"/>
        </w:rPr>
        <w:t> </w:t>
      </w:r>
      <w:r>
        <w:rPr>
          <w:vertAlign w:val="baseline"/>
        </w:rPr>
        <w:t>to</w:t>
      </w:r>
      <w:r>
        <w:rPr>
          <w:spacing w:val="19"/>
          <w:vertAlign w:val="baseline"/>
        </w:rPr>
        <w:t> </w:t>
      </w:r>
      <w:r>
        <w:rPr>
          <w:vertAlign w:val="baseline"/>
        </w:rPr>
        <w:t>have</w:t>
      </w:r>
      <w:r>
        <w:rPr>
          <w:spacing w:val="22"/>
          <w:vertAlign w:val="baseline"/>
        </w:rPr>
        <w:t> </w:t>
      </w:r>
      <w:r>
        <w:rPr>
          <w:vertAlign w:val="baseline"/>
        </w:rPr>
        <w:t>been paid</w:t>
      </w:r>
      <w:r>
        <w:rPr>
          <w:spacing w:val="19"/>
          <w:vertAlign w:val="baseline"/>
        </w:rPr>
        <w:t> </w:t>
      </w:r>
      <w:r>
        <w:rPr>
          <w:vertAlign w:val="baseline"/>
        </w:rPr>
        <w:t>by</w:t>
      </w:r>
      <w:r>
        <w:rPr>
          <w:spacing w:val="14"/>
          <w:vertAlign w:val="baseline"/>
        </w:rPr>
        <w:t> </w:t>
      </w:r>
      <w:r>
        <w:rPr>
          <w:vertAlign w:val="baseline"/>
        </w:rPr>
        <w:t>the</w:t>
      </w:r>
      <w:r>
        <w:rPr>
          <w:spacing w:val="13"/>
          <w:vertAlign w:val="baseline"/>
        </w:rPr>
        <w:t> </w:t>
      </w:r>
      <w:r>
        <w:rPr>
          <w:vertAlign w:val="baseline"/>
        </w:rPr>
        <w:t>director,</w:t>
      </w:r>
      <w:r>
        <w:rPr>
          <w:spacing w:val="16"/>
          <w:vertAlign w:val="baseline"/>
        </w:rPr>
        <w:t> </w:t>
      </w:r>
      <w:r>
        <w:rPr>
          <w:vertAlign w:val="baseline"/>
        </w:rPr>
        <w:t>would</w:t>
      </w:r>
      <w:r>
        <w:rPr>
          <w:spacing w:val="14"/>
          <w:vertAlign w:val="baseline"/>
        </w:rPr>
        <w:t> </w:t>
      </w:r>
      <w:r>
        <w:rPr>
          <w:vertAlign w:val="baseline"/>
        </w:rPr>
        <w:t>all</w:t>
      </w:r>
      <w:r>
        <w:rPr>
          <w:spacing w:val="15"/>
          <w:vertAlign w:val="baseline"/>
        </w:rPr>
        <w:t> </w:t>
      </w:r>
      <w:r>
        <w:rPr>
          <w:vertAlign w:val="baseline"/>
        </w:rPr>
        <w:t>fall</w:t>
      </w:r>
      <w:r>
        <w:rPr>
          <w:spacing w:val="15"/>
          <w:vertAlign w:val="baseline"/>
        </w:rPr>
        <w:t> </w:t>
      </w:r>
      <w:r>
        <w:rPr>
          <w:vertAlign w:val="baseline"/>
        </w:rPr>
        <w:t>within</w:t>
      </w:r>
      <w:r>
        <w:rPr>
          <w:spacing w:val="14"/>
          <w:vertAlign w:val="baseline"/>
        </w:rPr>
        <w:t> </w:t>
      </w:r>
      <w:r>
        <w:rPr>
          <w:vertAlign w:val="baseline"/>
        </w:rPr>
        <w:t>the</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151"/>
        <w:ind w:left="0"/>
        <w:rPr>
          <w:sz w:val="20"/>
        </w:rPr>
      </w:pPr>
      <w:r>
        <w:rPr/>
        <mc:AlternateContent>
          <mc:Choice Requires="wps">
            <w:drawing>
              <wp:anchor distT="0" distB="0" distL="0" distR="0" allowOverlap="1" layoutInCell="1" locked="0" behindDoc="1" simplePos="0" relativeHeight="487703040">
                <wp:simplePos x="0" y="0"/>
                <wp:positionH relativeFrom="page">
                  <wp:posOffset>1262481</wp:posOffset>
                </wp:positionH>
                <wp:positionV relativeFrom="paragraph">
                  <wp:posOffset>257170</wp:posOffset>
                </wp:positionV>
                <wp:extent cx="1829435" cy="9525"/>
                <wp:effectExtent l="0" t="0" r="0" b="0"/>
                <wp:wrapTopAndBottom/>
                <wp:docPr id="252" name="Graphic 252"/>
                <wp:cNvGraphicFramePr>
                  <a:graphicFrameLocks/>
                </wp:cNvGraphicFramePr>
                <a:graphic>
                  <a:graphicData uri="http://schemas.microsoft.com/office/word/2010/wordprocessingShape">
                    <wps:wsp>
                      <wps:cNvPr id="252" name="Graphic 25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24964pt;width:144.050pt;height:.71997pt;mso-position-horizontal-relative:page;mso-position-vertical-relative:paragraph;z-index:-15613440;mso-wrap-distance-left:0;mso-wrap-distance-right:0" id="docshape20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289</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pacing w:val="-2"/>
          <w:sz w:val="20"/>
          <w:vertAlign w:val="baseline"/>
        </w:rPr>
        <w:t>p.87.</w:t>
      </w:r>
    </w:p>
    <w:p>
      <w:pPr>
        <w:spacing w:before="1"/>
        <w:ind w:left="308" w:right="0" w:firstLine="0"/>
        <w:jc w:val="left"/>
        <w:rPr>
          <w:rFonts w:ascii="Calibri"/>
          <w:sz w:val="20"/>
        </w:rPr>
      </w:pPr>
      <w:r>
        <w:rPr>
          <w:rFonts w:ascii="Calibri"/>
          <w:spacing w:val="-2"/>
          <w:sz w:val="20"/>
          <w:vertAlign w:val="superscript"/>
        </w:rPr>
        <w:t>290</w:t>
      </w:r>
      <w:r>
        <w:rPr>
          <w:rFonts w:ascii="Calibri"/>
          <w:spacing w:val="-2"/>
          <w:sz w:val="20"/>
          <w:vertAlign w:val="baseline"/>
        </w:rPr>
        <w:t>S.176(1).</w:t>
      </w:r>
    </w:p>
    <w:p>
      <w:pPr>
        <w:spacing w:before="1"/>
        <w:ind w:left="308" w:right="226" w:firstLine="0"/>
        <w:jc w:val="both"/>
        <w:rPr>
          <w:rFonts w:ascii="Calibri"/>
          <w:sz w:val="20"/>
        </w:rPr>
      </w:pPr>
      <w:r>
        <w:rPr>
          <w:rFonts w:ascii="Calibri"/>
          <w:sz w:val="20"/>
          <w:vertAlign w:val="superscript"/>
        </w:rPr>
        <w:t>291</w:t>
      </w:r>
      <w:r>
        <w:rPr>
          <w:rFonts w:ascii="Calibri"/>
          <w:sz w:val="20"/>
          <w:vertAlign w:val="baseline"/>
        </w:rPr>
        <w:t>Per</w:t>
      </w:r>
      <w:r>
        <w:rPr>
          <w:rFonts w:ascii="Calibri"/>
          <w:spacing w:val="-2"/>
          <w:sz w:val="20"/>
          <w:vertAlign w:val="baseline"/>
        </w:rPr>
        <w:t> </w:t>
      </w:r>
      <w:r>
        <w:rPr>
          <w:rFonts w:ascii="Calibri"/>
          <w:sz w:val="20"/>
          <w:vertAlign w:val="baseline"/>
        </w:rPr>
        <w:t>Lord</w:t>
      </w:r>
      <w:r>
        <w:rPr>
          <w:rFonts w:ascii="Calibri"/>
          <w:spacing w:val="-4"/>
          <w:sz w:val="20"/>
          <w:vertAlign w:val="baseline"/>
        </w:rPr>
        <w:t> </w:t>
      </w:r>
      <w:r>
        <w:rPr>
          <w:rFonts w:ascii="Calibri"/>
          <w:sz w:val="20"/>
          <w:vertAlign w:val="baseline"/>
        </w:rPr>
        <w:t>Goldsmith</w:t>
      </w:r>
      <w:r>
        <w:rPr>
          <w:rFonts w:ascii="Calibri"/>
          <w:spacing w:val="-4"/>
          <w:sz w:val="20"/>
          <w:vertAlign w:val="baseline"/>
        </w:rPr>
        <w:t> </w:t>
      </w:r>
      <w:r>
        <w:rPr>
          <w:rFonts w:ascii="Calibri"/>
          <w:sz w:val="20"/>
          <w:vertAlign w:val="baseline"/>
        </w:rPr>
        <w:t>of the</w:t>
      </w:r>
      <w:r>
        <w:rPr>
          <w:rFonts w:ascii="Calibri"/>
          <w:spacing w:val="-3"/>
          <w:sz w:val="20"/>
          <w:vertAlign w:val="baseline"/>
        </w:rPr>
        <w:t> </w:t>
      </w:r>
      <w:r>
        <w:rPr>
          <w:rFonts w:ascii="Calibri"/>
          <w:sz w:val="20"/>
          <w:vertAlign w:val="baseline"/>
        </w:rPr>
        <w:t>Lords</w:t>
      </w:r>
      <w:r>
        <w:rPr>
          <w:rFonts w:ascii="Calibri"/>
          <w:spacing w:val="-6"/>
          <w:sz w:val="20"/>
          <w:vertAlign w:val="baseline"/>
        </w:rPr>
        <w:t> </w:t>
      </w:r>
      <w:r>
        <w:rPr>
          <w:rFonts w:ascii="Calibri"/>
          <w:sz w:val="20"/>
          <w:vertAlign w:val="baseline"/>
        </w:rPr>
        <w:t>Grand Committee at the Committee hearing on</w:t>
      </w:r>
      <w:r>
        <w:rPr>
          <w:rFonts w:ascii="Calibri"/>
          <w:spacing w:val="-4"/>
          <w:sz w:val="20"/>
          <w:vertAlign w:val="baseline"/>
        </w:rPr>
        <w:t> </w:t>
      </w:r>
      <w:r>
        <w:rPr>
          <w:rFonts w:ascii="Calibri"/>
          <w:sz w:val="20"/>
          <w:vertAlign w:val="baseline"/>
        </w:rPr>
        <w:t>9 February,</w:t>
      </w:r>
      <w:r>
        <w:rPr>
          <w:rFonts w:ascii="Calibri"/>
          <w:spacing w:val="-1"/>
          <w:sz w:val="20"/>
          <w:vertAlign w:val="baseline"/>
        </w:rPr>
        <w:t> </w:t>
      </w:r>
      <w:r>
        <w:rPr>
          <w:rFonts w:ascii="Calibri"/>
          <w:sz w:val="20"/>
          <w:vertAlign w:val="baseline"/>
        </w:rPr>
        <w:t>2006.</w:t>
      </w:r>
      <w:r>
        <w:rPr>
          <w:rFonts w:ascii="Calibri"/>
          <w:spacing w:val="-2"/>
          <w:sz w:val="20"/>
          <w:vertAlign w:val="baseline"/>
        </w:rPr>
        <w:t> </w:t>
      </w:r>
      <w:r>
        <w:rPr>
          <w:rFonts w:ascii="Calibri"/>
          <w:sz w:val="20"/>
          <w:vertAlign w:val="baseline"/>
        </w:rPr>
        <w:t>See Hansard, Column 330. </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12,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after="0"/>
        <w:jc w:val="both"/>
        <w:rPr>
          <w:rFonts w:ascii="Calibri"/>
          <w:sz w:val="20"/>
        </w:rPr>
        <w:sectPr>
          <w:pgSz w:w="11910" w:h="16840"/>
          <w:pgMar w:header="0" w:footer="1003" w:top="1280" w:bottom="1200" w:left="1680" w:right="1180"/>
        </w:sectPr>
      </w:pPr>
    </w:p>
    <w:p>
      <w:pPr>
        <w:pStyle w:val="BodyText"/>
        <w:spacing w:line="480" w:lineRule="auto" w:before="70"/>
        <w:ind w:right="194"/>
        <w:jc w:val="both"/>
      </w:pPr>
      <w:r>
        <w:rPr/>
        <w:t>prohibition. But in all cases, it must reasonably be regarded as likely to give rise to a conflict of interest.</w:t>
      </w:r>
      <w:r>
        <w:rPr>
          <w:vertAlign w:val="superscript"/>
        </w:rPr>
        <w:t>292</w:t>
      </w:r>
    </w:p>
    <w:p>
      <w:pPr>
        <w:pStyle w:val="BodyText"/>
        <w:spacing w:line="480" w:lineRule="auto"/>
        <w:ind w:right="183" w:firstLine="720"/>
        <w:jc w:val="both"/>
      </w:pPr>
      <w:r>
        <w:rPr/>
        <w:t>It has</w:t>
      </w:r>
      <w:r>
        <w:rPr>
          <w:spacing w:val="-3"/>
        </w:rPr>
        <w:t> </w:t>
      </w:r>
      <w:r>
        <w:rPr/>
        <w:t>been</w:t>
      </w:r>
      <w:r>
        <w:rPr>
          <w:spacing w:val="-1"/>
        </w:rPr>
        <w:t> </w:t>
      </w:r>
      <w:r>
        <w:rPr/>
        <w:t>suggested</w:t>
      </w:r>
      <w:r>
        <w:rPr>
          <w:spacing w:val="-6"/>
        </w:rPr>
        <w:t> </w:t>
      </w:r>
      <w:r>
        <w:rPr/>
        <w:t>that moderate</w:t>
      </w:r>
      <w:r>
        <w:rPr>
          <w:spacing w:val="-2"/>
        </w:rPr>
        <w:t> </w:t>
      </w:r>
      <w:r>
        <w:rPr/>
        <w:t>corporate</w:t>
      </w:r>
      <w:r>
        <w:rPr>
          <w:spacing w:val="-2"/>
        </w:rPr>
        <w:t> </w:t>
      </w:r>
      <w:r>
        <w:rPr/>
        <w:t>entertainment would</w:t>
      </w:r>
      <w:r>
        <w:rPr>
          <w:spacing w:val="-1"/>
        </w:rPr>
        <w:t> </w:t>
      </w:r>
      <w:r>
        <w:rPr/>
        <w:t>be</w:t>
      </w:r>
      <w:r>
        <w:rPr>
          <w:spacing w:val="-2"/>
        </w:rPr>
        <w:t> </w:t>
      </w:r>
      <w:r>
        <w:rPr/>
        <w:t>unlikely</w:t>
      </w:r>
      <w:r>
        <w:rPr>
          <w:spacing w:val="-6"/>
        </w:rPr>
        <w:t> </w:t>
      </w:r>
      <w:r>
        <w:rPr/>
        <w:t>to come under this duty.</w:t>
      </w:r>
      <w:r>
        <w:rPr>
          <w:vertAlign w:val="superscript"/>
        </w:rPr>
        <w:t>293</w:t>
      </w:r>
      <w:r>
        <w:rPr>
          <w:vertAlign w:val="baseline"/>
        </w:rPr>
        <w:t> However, a commentator</w:t>
      </w:r>
      <w:r>
        <w:rPr>
          <w:vertAlign w:val="superscript"/>
        </w:rPr>
        <w:t>294</w:t>
      </w:r>
      <w:r>
        <w:rPr>
          <w:vertAlign w:val="baseline"/>
        </w:rPr>
        <w:t> has expressed worry that a ‗too wide‘ interpretation may blur the dividing line between benefits that are prohibited and corporate hospitality, which is generally considered innocuous. The latter refers to any free entertainment offered by a company to its customers or trading partners, e.g. at major sporting or other public events, as a way of winning over their favour and maintaining good, lasting business relationships.</w:t>
      </w:r>
      <w:r>
        <w:rPr>
          <w:vertAlign w:val="superscript"/>
        </w:rPr>
        <w:t>295</w:t>
      </w:r>
      <w:r>
        <w:rPr>
          <w:vertAlign w:val="baseline"/>
        </w:rPr>
        <w:t> Companies usually have guidelines respecting such corporate hospitality, so that a director would have to ensure that the acceptance of any such hospitality by him from his company‘s trading partner or client, is appropriate under the circumstances.</w:t>
      </w:r>
    </w:p>
    <w:p>
      <w:pPr>
        <w:pStyle w:val="BodyText"/>
        <w:spacing w:line="480" w:lineRule="auto" w:before="2"/>
        <w:ind w:right="180" w:firstLine="720"/>
        <w:jc w:val="both"/>
      </w:pPr>
      <w:r>
        <w:rPr/>
        <w:t>The prohibition in s.176(1) also admits bribery. The law has clearly</w:t>
      </w:r>
      <w:r>
        <w:rPr>
          <w:spacing w:val="-2"/>
        </w:rPr>
        <w:t> </w:t>
      </w:r>
      <w:r>
        <w:rPr/>
        <w:t>always been against bribery, considering the act of giving and receiving it has been criminalized in every</w:t>
      </w:r>
      <w:r>
        <w:rPr>
          <w:spacing w:val="-5"/>
        </w:rPr>
        <w:t> </w:t>
      </w:r>
      <w:r>
        <w:rPr/>
        <w:t>known</w:t>
      </w:r>
      <w:r>
        <w:rPr>
          <w:spacing w:val="-1"/>
        </w:rPr>
        <w:t> </w:t>
      </w:r>
      <w:r>
        <w:rPr/>
        <w:t>legal</w:t>
      </w:r>
      <w:r>
        <w:rPr>
          <w:spacing w:val="-9"/>
        </w:rPr>
        <w:t> </w:t>
      </w:r>
      <w:r>
        <w:rPr/>
        <w:t>system. The</w:t>
      </w:r>
      <w:r>
        <w:rPr>
          <w:spacing w:val="-1"/>
        </w:rPr>
        <w:t> </w:t>
      </w:r>
      <w:r>
        <w:rPr/>
        <w:t>Bribery Act 2010</w:t>
      </w:r>
      <w:r>
        <w:rPr>
          <w:spacing w:val="-5"/>
        </w:rPr>
        <w:t> </w:t>
      </w:r>
      <w:r>
        <w:rPr/>
        <w:t>takes</w:t>
      </w:r>
      <w:r>
        <w:rPr>
          <w:spacing w:val="-2"/>
        </w:rPr>
        <w:t> </w:t>
      </w:r>
      <w:r>
        <w:rPr/>
        <w:t>special</w:t>
      </w:r>
      <w:r>
        <w:rPr>
          <w:spacing w:val="-5"/>
        </w:rPr>
        <w:t> </w:t>
      </w:r>
      <w:r>
        <w:rPr/>
        <w:t>cognizance</w:t>
      </w:r>
      <w:r>
        <w:rPr>
          <w:spacing w:val="-1"/>
        </w:rPr>
        <w:t> </w:t>
      </w:r>
      <w:r>
        <w:rPr/>
        <w:t>of</w:t>
      </w:r>
      <w:r>
        <w:rPr>
          <w:spacing w:val="-8"/>
        </w:rPr>
        <w:t> </w:t>
      </w:r>
      <w:r>
        <w:rPr/>
        <w:t>the</w:t>
      </w:r>
      <w:r>
        <w:rPr>
          <w:spacing w:val="-1"/>
        </w:rPr>
        <w:t> </w:t>
      </w:r>
      <w:r>
        <w:rPr/>
        <w:t>offence of bribery perpetuated using the corporation. In order to discourage third parties, particularly corporations, from offering bribes, the new Bribery Act criminalizes the failure of a commercial organisation, such as a company, to prevent bribery on its</w:t>
      </w:r>
      <w:r>
        <w:rPr>
          <w:spacing w:val="40"/>
        </w:rPr>
        <w:t> </w:t>
      </w:r>
      <w:r>
        <w:rPr/>
        <w:t>behalf.</w:t>
      </w:r>
      <w:r>
        <w:rPr>
          <w:spacing w:val="40"/>
        </w:rPr>
        <w:t> </w:t>
      </w:r>
      <w:r>
        <w:rPr/>
        <w:t>Such an organisation can be guilty of</w:t>
      </w:r>
      <w:r>
        <w:rPr>
          <w:spacing w:val="-2"/>
        </w:rPr>
        <w:t> </w:t>
      </w:r>
      <w:r>
        <w:rPr/>
        <w:t>the offence if the bribery is carried out by an employee, an agent, a subsidiary, or another third-party, as found in s.8 of the law, unless</w:t>
      </w:r>
      <w:r>
        <w:rPr>
          <w:spacing w:val="49"/>
        </w:rPr>
        <w:t> </w:t>
      </w:r>
      <w:r>
        <w:rPr/>
        <w:t>the</w:t>
      </w:r>
      <w:r>
        <w:rPr>
          <w:spacing w:val="2"/>
        </w:rPr>
        <w:t> </w:t>
      </w:r>
      <w:r>
        <w:rPr/>
        <w:t>commercial</w:t>
      </w:r>
      <w:r>
        <w:rPr>
          <w:spacing w:val="-5"/>
        </w:rPr>
        <w:t> </w:t>
      </w:r>
      <w:r>
        <w:rPr/>
        <w:t>organisation</w:t>
      </w:r>
      <w:r>
        <w:rPr>
          <w:spacing w:val="-1"/>
        </w:rPr>
        <w:t> </w:t>
      </w:r>
      <w:r>
        <w:rPr/>
        <w:t>can</w:t>
      </w:r>
      <w:r>
        <w:rPr>
          <w:spacing w:val="-2"/>
        </w:rPr>
        <w:t> </w:t>
      </w:r>
      <w:r>
        <w:rPr/>
        <w:t>show</w:t>
      </w:r>
      <w:r>
        <w:rPr>
          <w:spacing w:val="-1"/>
        </w:rPr>
        <w:t> </w:t>
      </w:r>
      <w:r>
        <w:rPr/>
        <w:t>that</w:t>
      </w:r>
      <w:r>
        <w:rPr>
          <w:spacing w:val="3"/>
        </w:rPr>
        <w:t> </w:t>
      </w:r>
      <w:r>
        <w:rPr/>
        <w:t>it</w:t>
      </w:r>
      <w:r>
        <w:rPr>
          <w:spacing w:val="7"/>
        </w:rPr>
        <w:t> </w:t>
      </w:r>
      <w:r>
        <w:rPr/>
        <w:t>had</w:t>
      </w:r>
      <w:r>
        <w:rPr>
          <w:spacing w:val="2"/>
        </w:rPr>
        <w:t> </w:t>
      </w:r>
      <w:r>
        <w:rPr/>
        <w:t>in</w:t>
      </w:r>
      <w:r>
        <w:rPr>
          <w:spacing w:val="3"/>
        </w:rPr>
        <w:t> </w:t>
      </w:r>
      <w:r>
        <w:rPr/>
        <w:t>place</w:t>
      </w:r>
      <w:r>
        <w:rPr>
          <w:spacing w:val="6"/>
        </w:rPr>
        <w:t> </w:t>
      </w:r>
      <w:r>
        <w:rPr/>
        <w:t>―adequate</w:t>
      </w:r>
      <w:r>
        <w:rPr>
          <w:spacing w:val="-2"/>
        </w:rPr>
        <w:t> procedures</w:t>
      </w:r>
    </w:p>
    <w:p>
      <w:pPr>
        <w:pStyle w:val="BodyText"/>
        <w:spacing w:before="97"/>
        <w:ind w:left="0"/>
        <w:rPr>
          <w:sz w:val="20"/>
        </w:rPr>
      </w:pPr>
      <w:r>
        <w:rPr/>
        <mc:AlternateContent>
          <mc:Choice Requires="wps">
            <w:drawing>
              <wp:anchor distT="0" distB="0" distL="0" distR="0" allowOverlap="1" layoutInCell="1" locked="0" behindDoc="1" simplePos="0" relativeHeight="487703552">
                <wp:simplePos x="0" y="0"/>
                <wp:positionH relativeFrom="page">
                  <wp:posOffset>1262481</wp:posOffset>
                </wp:positionH>
                <wp:positionV relativeFrom="paragraph">
                  <wp:posOffset>223002</wp:posOffset>
                </wp:positionV>
                <wp:extent cx="1829435" cy="9525"/>
                <wp:effectExtent l="0" t="0" r="0" b="0"/>
                <wp:wrapTopAndBottom/>
                <wp:docPr id="253" name="Graphic 253"/>
                <wp:cNvGraphicFramePr>
                  <a:graphicFrameLocks/>
                </wp:cNvGraphicFramePr>
                <a:graphic>
                  <a:graphicData uri="http://schemas.microsoft.com/office/word/2010/wordprocessingShape">
                    <wps:wsp>
                      <wps:cNvPr id="253" name="Graphic 25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59248pt;width:144.050pt;height:.71997pt;mso-position-horizontal-relative:page;mso-position-vertical-relative:paragraph;z-index:-15612928;mso-wrap-distance-left:0;mso-wrap-distance-right:0" id="docshape208"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292</w:t>
      </w:r>
      <w:r>
        <w:rPr>
          <w:rFonts w:ascii="Calibri"/>
          <w:spacing w:val="2"/>
          <w:sz w:val="20"/>
          <w:vertAlign w:val="baseline"/>
        </w:rPr>
        <w:t> </w:t>
      </w:r>
      <w:r>
        <w:rPr>
          <w:rFonts w:ascii="Calibri"/>
          <w:sz w:val="20"/>
          <w:vertAlign w:val="baseline"/>
        </w:rPr>
        <w:t>See</w:t>
      </w:r>
      <w:r>
        <w:rPr>
          <w:rFonts w:ascii="Calibri"/>
          <w:spacing w:val="-2"/>
          <w:sz w:val="20"/>
          <w:vertAlign w:val="baseline"/>
        </w:rPr>
        <w:t> s.176(4).</w:t>
      </w:r>
    </w:p>
    <w:p>
      <w:pPr>
        <w:spacing w:line="240" w:lineRule="auto" w:before="0"/>
        <w:ind w:left="308" w:right="0" w:firstLine="0"/>
        <w:jc w:val="left"/>
        <w:rPr>
          <w:rFonts w:ascii="Calibri" w:hAnsi="Calibri"/>
          <w:sz w:val="20"/>
        </w:rPr>
      </w:pPr>
      <w:r>
        <w:rPr>
          <w:rFonts w:ascii="Calibri" w:hAnsi="Calibri"/>
          <w:sz w:val="20"/>
          <w:vertAlign w:val="superscript"/>
        </w:rPr>
        <w:t>293</w:t>
      </w:r>
      <w:r>
        <w:rPr>
          <w:rFonts w:ascii="Calibri" w:hAnsi="Calibri"/>
          <w:sz w:val="20"/>
          <w:vertAlign w:val="baseline"/>
        </w:rPr>
        <w:t>A</w:t>
      </w:r>
      <w:r>
        <w:rPr>
          <w:rFonts w:ascii="Calibri" w:hAnsi="Calibri"/>
          <w:spacing w:val="40"/>
          <w:sz w:val="20"/>
          <w:vertAlign w:val="baseline"/>
        </w:rPr>
        <w:t> </w:t>
      </w:r>
      <w:r>
        <w:rPr>
          <w:rFonts w:ascii="Calibri" w:hAnsi="Calibri"/>
          <w:sz w:val="20"/>
          <w:vertAlign w:val="baseline"/>
        </w:rPr>
        <w:t>Guide</w:t>
      </w:r>
      <w:r>
        <w:rPr>
          <w:rFonts w:ascii="Calibri" w:hAnsi="Calibri"/>
          <w:spacing w:val="40"/>
          <w:sz w:val="20"/>
          <w:vertAlign w:val="baseline"/>
        </w:rPr>
        <w:t> </w:t>
      </w:r>
      <w:r>
        <w:rPr>
          <w:rFonts w:ascii="Calibri" w:hAnsi="Calibri"/>
          <w:sz w:val="20"/>
          <w:vertAlign w:val="baseline"/>
        </w:rPr>
        <w:t>to</w:t>
      </w:r>
      <w:r>
        <w:rPr>
          <w:rFonts w:ascii="Calibri" w:hAnsi="Calibri"/>
          <w:spacing w:val="40"/>
          <w:sz w:val="20"/>
          <w:vertAlign w:val="baseline"/>
        </w:rPr>
        <w:t> </w:t>
      </w:r>
      <w:r>
        <w:rPr>
          <w:rFonts w:ascii="Calibri" w:hAnsi="Calibri"/>
          <w:sz w:val="20"/>
          <w:vertAlign w:val="baseline"/>
        </w:rPr>
        <w:t>a</w:t>
      </w:r>
      <w:r>
        <w:rPr>
          <w:rFonts w:ascii="Calibri" w:hAnsi="Calibri"/>
          <w:spacing w:val="40"/>
          <w:sz w:val="20"/>
          <w:vertAlign w:val="baseline"/>
        </w:rPr>
        <w:t> </w:t>
      </w:r>
      <w:r>
        <w:rPr>
          <w:rFonts w:ascii="Calibri" w:hAnsi="Calibri"/>
          <w:sz w:val="20"/>
          <w:vertAlign w:val="baseline"/>
        </w:rPr>
        <w:t>Director’s</w:t>
      </w:r>
      <w:r>
        <w:rPr>
          <w:rFonts w:ascii="Calibri" w:hAnsi="Calibri"/>
          <w:spacing w:val="40"/>
          <w:sz w:val="20"/>
          <w:vertAlign w:val="baseline"/>
        </w:rPr>
        <w:t> </w:t>
      </w:r>
      <w:r>
        <w:rPr>
          <w:rFonts w:ascii="Calibri" w:hAnsi="Calibri"/>
          <w:sz w:val="20"/>
          <w:vertAlign w:val="baseline"/>
        </w:rPr>
        <w:t>Duties.(2012).Lewis</w:t>
      </w:r>
      <w:r>
        <w:rPr>
          <w:rFonts w:ascii="Calibri" w:hAnsi="Calibri"/>
          <w:spacing w:val="40"/>
          <w:sz w:val="20"/>
          <w:vertAlign w:val="baseline"/>
        </w:rPr>
        <w:t> </w:t>
      </w:r>
      <w:r>
        <w:rPr>
          <w:rFonts w:ascii="Calibri" w:hAnsi="Calibri"/>
          <w:sz w:val="20"/>
          <w:vertAlign w:val="baseline"/>
        </w:rPr>
        <w:t>Silkin</w:t>
      </w:r>
      <w:r>
        <w:rPr>
          <w:rFonts w:ascii="Calibri" w:hAnsi="Calibri"/>
          <w:spacing w:val="40"/>
          <w:sz w:val="20"/>
          <w:vertAlign w:val="baseline"/>
        </w:rPr>
        <w:t> </w:t>
      </w:r>
      <w:r>
        <w:rPr>
          <w:rFonts w:ascii="Calibri" w:hAnsi="Calibri"/>
          <w:sz w:val="20"/>
          <w:vertAlign w:val="baseline"/>
        </w:rPr>
        <w:t>LLP.pp.5-6.</w:t>
      </w:r>
      <w:r>
        <w:rPr>
          <w:rFonts w:ascii="Calibri" w:hAnsi="Calibri"/>
          <w:spacing w:val="40"/>
          <w:sz w:val="20"/>
          <w:vertAlign w:val="baseline"/>
        </w:rPr>
        <w:t> </w:t>
      </w:r>
      <w:r>
        <w:rPr>
          <w:rFonts w:ascii="Calibri" w:hAnsi="Calibri"/>
          <w:sz w:val="20"/>
          <w:vertAlign w:val="baseline"/>
        </w:rPr>
        <w:t>Retrieved</w:t>
      </w:r>
      <w:r>
        <w:rPr>
          <w:rFonts w:ascii="Calibri" w:hAnsi="Calibri"/>
          <w:spacing w:val="40"/>
          <w:sz w:val="20"/>
          <w:vertAlign w:val="baseline"/>
        </w:rPr>
        <w:t> </w:t>
      </w:r>
      <w:r>
        <w:rPr>
          <w:rFonts w:ascii="Calibri" w:hAnsi="Calibri"/>
          <w:sz w:val="20"/>
          <w:vertAlign w:val="baseline"/>
        </w:rPr>
        <w:t>January</w:t>
      </w:r>
      <w:r>
        <w:rPr>
          <w:rFonts w:ascii="Calibri" w:hAnsi="Calibri"/>
          <w:spacing w:val="40"/>
          <w:sz w:val="20"/>
          <w:vertAlign w:val="baseline"/>
        </w:rPr>
        <w:t> </w:t>
      </w:r>
      <w:r>
        <w:rPr>
          <w:rFonts w:ascii="Calibri" w:hAnsi="Calibri"/>
          <w:sz w:val="20"/>
          <w:vertAlign w:val="baseline"/>
        </w:rPr>
        <w:t>24,</w:t>
      </w:r>
      <w:r>
        <w:rPr>
          <w:rFonts w:ascii="Calibri" w:hAnsi="Calibri"/>
          <w:spacing w:val="40"/>
          <w:sz w:val="20"/>
          <w:vertAlign w:val="baseline"/>
        </w:rPr>
        <w:t> </w:t>
      </w:r>
      <w:r>
        <w:rPr>
          <w:rFonts w:ascii="Calibri" w:hAnsi="Calibri"/>
          <w:sz w:val="20"/>
          <w:vertAlign w:val="baseline"/>
        </w:rPr>
        <w:t>2014,</w:t>
      </w:r>
      <w:r>
        <w:rPr>
          <w:rFonts w:ascii="Calibri" w:hAnsi="Calibri"/>
          <w:spacing w:val="40"/>
          <w:sz w:val="20"/>
          <w:vertAlign w:val="baseline"/>
        </w:rPr>
        <w:t> </w:t>
      </w:r>
      <w:r>
        <w:rPr>
          <w:rFonts w:ascii="Calibri" w:hAnsi="Calibri"/>
          <w:sz w:val="20"/>
          <w:vertAlign w:val="baseline"/>
        </w:rPr>
        <w:t>from </w:t>
      </w:r>
      <w:hyperlink r:id="rId59">
        <w:r>
          <w:rPr>
            <w:rFonts w:ascii="Calibri" w:hAnsi="Calibri"/>
            <w:color w:val="0000FF"/>
            <w:spacing w:val="-2"/>
            <w:sz w:val="20"/>
            <w:u w:val="single" w:color="0000FF"/>
            <w:vertAlign w:val="baseline"/>
          </w:rPr>
          <w:t>http://www.lewissilkin.com/en/Knowledge/2012/January/~/media/Knowledge%20PDFs/Corporate/Gui</w:t>
        </w:r>
      </w:hyperlink>
      <w:r>
        <w:rPr>
          <w:rFonts w:ascii="Calibri" w:hAnsi="Calibri"/>
          <w:color w:val="0000FF"/>
          <w:spacing w:val="-2"/>
          <w:sz w:val="20"/>
          <w:vertAlign w:val="baseline"/>
        </w:rPr>
        <w:t> </w:t>
      </w:r>
      <w:hyperlink r:id="rId59">
        <w:r>
          <w:rPr>
            <w:rFonts w:ascii="Calibri" w:hAnsi="Calibri"/>
            <w:color w:val="0000FF"/>
            <w:spacing w:val="-2"/>
            <w:sz w:val="20"/>
            <w:u w:val="single" w:color="0000FF"/>
            <w:vertAlign w:val="baseline"/>
          </w:rPr>
          <w:t>de%20to%20Directors%20Duties.ashx</w:t>
        </w:r>
      </w:hyperlink>
    </w:p>
    <w:p>
      <w:pPr>
        <w:tabs>
          <w:tab w:pos="1810" w:val="left" w:leader="none"/>
          <w:tab w:pos="4295" w:val="left" w:leader="none"/>
          <w:tab w:pos="5846" w:val="left" w:leader="none"/>
          <w:tab w:pos="7027" w:val="left" w:leader="none"/>
          <w:tab w:pos="8410" w:val="left" w:leader="none"/>
        </w:tabs>
        <w:spacing w:before="1"/>
        <w:ind w:left="308" w:right="231" w:firstLine="0"/>
        <w:jc w:val="both"/>
        <w:rPr>
          <w:rFonts w:ascii="Calibri" w:hAnsi="Calibri"/>
          <w:sz w:val="20"/>
        </w:rPr>
      </w:pPr>
      <w:r>
        <w:rPr>
          <w:rFonts w:ascii="Calibri" w:hAnsi="Calibri"/>
          <w:sz w:val="20"/>
          <w:vertAlign w:val="superscript"/>
        </w:rPr>
        <w:t>294</w:t>
      </w:r>
      <w:r>
        <w:rPr>
          <w:rFonts w:ascii="Calibri" w:hAnsi="Calibri"/>
          <w:sz w:val="20"/>
          <w:vertAlign w:val="baseline"/>
        </w:rPr>
        <w:t>Chivers,</w:t>
      </w:r>
      <w:r>
        <w:rPr>
          <w:rFonts w:ascii="Calibri" w:hAnsi="Calibri"/>
          <w:spacing w:val="-5"/>
          <w:sz w:val="20"/>
          <w:vertAlign w:val="baseline"/>
        </w:rPr>
        <w:t> </w:t>
      </w:r>
      <w:r>
        <w:rPr>
          <w:rFonts w:ascii="Calibri" w:hAnsi="Calibri"/>
          <w:sz w:val="20"/>
          <w:vertAlign w:val="baseline"/>
        </w:rPr>
        <w:t>D.</w:t>
      </w:r>
      <w:r>
        <w:rPr>
          <w:rFonts w:ascii="Calibri" w:hAnsi="Calibri"/>
          <w:spacing w:val="-1"/>
          <w:sz w:val="20"/>
          <w:vertAlign w:val="baseline"/>
        </w:rPr>
        <w:t> </w:t>
      </w:r>
      <w:r>
        <w:rPr>
          <w:rFonts w:ascii="Calibri" w:hAnsi="Calibri"/>
          <w:sz w:val="20"/>
          <w:vertAlign w:val="baseline"/>
        </w:rPr>
        <w:t>(2007).</w:t>
      </w:r>
      <w:r>
        <w:rPr>
          <w:rFonts w:ascii="Calibri" w:hAnsi="Calibri"/>
          <w:spacing w:val="-1"/>
          <w:sz w:val="20"/>
          <w:vertAlign w:val="baseline"/>
        </w:rPr>
        <w:t> </w:t>
      </w:r>
      <w:r>
        <w:rPr>
          <w:rFonts w:ascii="Calibri" w:hAnsi="Calibri"/>
          <w:sz w:val="20"/>
          <w:vertAlign w:val="baseline"/>
        </w:rPr>
        <w:t>The</w:t>
      </w:r>
      <w:r>
        <w:rPr>
          <w:rFonts w:ascii="Calibri" w:hAnsi="Calibri"/>
          <w:spacing w:val="-2"/>
          <w:sz w:val="20"/>
          <w:vertAlign w:val="baseline"/>
        </w:rPr>
        <w:t> </w:t>
      </w:r>
      <w:r>
        <w:rPr>
          <w:rFonts w:ascii="Calibri" w:hAnsi="Calibri"/>
          <w:sz w:val="20"/>
          <w:vertAlign w:val="baseline"/>
        </w:rPr>
        <w:t>Companies’</w:t>
      </w:r>
      <w:r>
        <w:rPr>
          <w:rFonts w:ascii="Calibri" w:hAnsi="Calibri"/>
          <w:spacing w:val="-5"/>
          <w:sz w:val="20"/>
          <w:vertAlign w:val="baseline"/>
        </w:rPr>
        <w:t> </w:t>
      </w:r>
      <w:r>
        <w:rPr>
          <w:rFonts w:ascii="Calibri" w:hAnsi="Calibri"/>
          <w:sz w:val="20"/>
          <w:vertAlign w:val="baseline"/>
        </w:rPr>
        <w:t>Act</w:t>
      </w:r>
      <w:r>
        <w:rPr>
          <w:rFonts w:ascii="Calibri" w:hAnsi="Calibri"/>
          <w:spacing w:val="-3"/>
          <w:sz w:val="20"/>
          <w:vertAlign w:val="baseline"/>
        </w:rPr>
        <w:t> </w:t>
      </w:r>
      <w:r>
        <w:rPr>
          <w:rFonts w:ascii="Calibri" w:hAnsi="Calibri"/>
          <w:sz w:val="20"/>
          <w:vertAlign w:val="baseline"/>
        </w:rPr>
        <w:t>2006: Directors’</w:t>
      </w:r>
      <w:r>
        <w:rPr>
          <w:rFonts w:ascii="Calibri" w:hAnsi="Calibri"/>
          <w:spacing w:val="-5"/>
          <w:sz w:val="20"/>
          <w:vertAlign w:val="baseline"/>
        </w:rPr>
        <w:t> </w:t>
      </w:r>
      <w:r>
        <w:rPr>
          <w:rFonts w:ascii="Calibri" w:hAnsi="Calibri"/>
          <w:sz w:val="20"/>
          <w:vertAlign w:val="baseline"/>
        </w:rPr>
        <w:t>Duties</w:t>
      </w:r>
      <w:r>
        <w:rPr>
          <w:rFonts w:ascii="Calibri" w:hAnsi="Calibri"/>
          <w:spacing w:val="-4"/>
          <w:sz w:val="20"/>
          <w:vertAlign w:val="baseline"/>
        </w:rPr>
        <w:t> </w:t>
      </w:r>
      <w:r>
        <w:rPr>
          <w:rFonts w:ascii="Calibri" w:hAnsi="Calibri"/>
          <w:sz w:val="20"/>
          <w:vertAlign w:val="baseline"/>
        </w:rPr>
        <w:t>Guidance. The</w:t>
      </w:r>
      <w:r>
        <w:rPr>
          <w:rFonts w:ascii="Calibri" w:hAnsi="Calibri"/>
          <w:spacing w:val="-2"/>
          <w:sz w:val="20"/>
          <w:vertAlign w:val="baseline"/>
        </w:rPr>
        <w:t> </w:t>
      </w:r>
      <w:r>
        <w:rPr>
          <w:rFonts w:ascii="Calibri" w:hAnsi="Calibri"/>
          <w:sz w:val="20"/>
          <w:vertAlign w:val="baseline"/>
        </w:rPr>
        <w:t>Corporate</w:t>
      </w:r>
      <w:r>
        <w:rPr>
          <w:rFonts w:ascii="Calibri" w:hAnsi="Calibri"/>
          <w:spacing w:val="-2"/>
          <w:sz w:val="20"/>
          <w:vertAlign w:val="baseline"/>
        </w:rPr>
        <w:t> </w:t>
      </w:r>
      <w:r>
        <w:rPr>
          <w:rFonts w:ascii="Calibri" w:hAnsi="Calibri"/>
          <w:sz w:val="20"/>
          <w:vertAlign w:val="baseline"/>
        </w:rPr>
        <w:t>Responsibility </w:t>
      </w:r>
      <w:r>
        <w:rPr>
          <w:rFonts w:ascii="Calibri" w:hAnsi="Calibri"/>
          <w:spacing w:val="-2"/>
          <w:sz w:val="20"/>
          <w:vertAlign w:val="baseline"/>
        </w:rPr>
        <w:t>(CORE)</w:t>
      </w:r>
      <w:r>
        <w:rPr>
          <w:rFonts w:ascii="Calibri" w:hAnsi="Calibri"/>
          <w:sz w:val="20"/>
          <w:vertAlign w:val="baseline"/>
        </w:rPr>
        <w:tab/>
      </w:r>
      <w:r>
        <w:rPr>
          <w:rFonts w:ascii="Calibri" w:hAnsi="Calibri"/>
          <w:spacing w:val="-2"/>
          <w:sz w:val="20"/>
          <w:vertAlign w:val="baseline"/>
        </w:rPr>
        <w:t>Coalition.Retrieved</w:t>
      </w:r>
      <w:r>
        <w:rPr>
          <w:rFonts w:ascii="Calibri" w:hAnsi="Calibri"/>
          <w:sz w:val="20"/>
          <w:vertAlign w:val="baseline"/>
        </w:rPr>
        <w:tab/>
      </w:r>
      <w:r>
        <w:rPr>
          <w:rFonts w:ascii="Calibri" w:hAnsi="Calibri"/>
          <w:spacing w:val="-2"/>
          <w:sz w:val="20"/>
          <w:vertAlign w:val="baseline"/>
        </w:rPr>
        <w:t>January</w:t>
      </w:r>
      <w:r>
        <w:rPr>
          <w:rFonts w:ascii="Calibri" w:hAnsi="Calibri"/>
          <w:sz w:val="20"/>
          <w:vertAlign w:val="baseline"/>
        </w:rPr>
        <w:tab/>
      </w:r>
      <w:r>
        <w:rPr>
          <w:rFonts w:ascii="Calibri" w:hAnsi="Calibri"/>
          <w:spacing w:val="-4"/>
          <w:sz w:val="20"/>
          <w:vertAlign w:val="baseline"/>
        </w:rPr>
        <w:t>22,</w:t>
      </w:r>
      <w:r>
        <w:rPr>
          <w:rFonts w:ascii="Calibri" w:hAnsi="Calibri"/>
          <w:sz w:val="20"/>
          <w:vertAlign w:val="baseline"/>
        </w:rPr>
        <w:tab/>
      </w:r>
      <w:r>
        <w:rPr>
          <w:rFonts w:ascii="Calibri" w:hAnsi="Calibri"/>
          <w:spacing w:val="-2"/>
          <w:sz w:val="20"/>
          <w:vertAlign w:val="baseline"/>
        </w:rPr>
        <w:t>2014,</w:t>
      </w:r>
      <w:r>
        <w:rPr>
          <w:rFonts w:ascii="Calibri" w:hAnsi="Calibri"/>
          <w:sz w:val="20"/>
          <w:vertAlign w:val="baseline"/>
        </w:rPr>
        <w:tab/>
      </w:r>
      <w:r>
        <w:rPr>
          <w:rFonts w:ascii="Calibri" w:hAnsi="Calibri"/>
          <w:spacing w:val="-4"/>
          <w:sz w:val="20"/>
          <w:vertAlign w:val="baseline"/>
        </w:rPr>
        <w:t>from </w:t>
      </w:r>
      <w:hyperlink r:id="rId60">
        <w:r>
          <w:rPr>
            <w:rFonts w:ascii="Calibri" w:hAnsi="Calibri"/>
            <w:color w:val="006FC0"/>
            <w:spacing w:val="-2"/>
            <w:sz w:val="20"/>
            <w:u w:val="single" w:color="006FC0"/>
            <w:vertAlign w:val="baseline"/>
          </w:rPr>
          <w:t>www.thegrid.org.uk/.../hfl/documents/directors_guidance_2006_act.pdf</w:t>
        </w:r>
        <w:r>
          <w:rPr>
            <w:rFonts w:ascii="Calibri" w:hAnsi="Calibri"/>
            <w:color w:val="006FC0"/>
            <w:spacing w:val="-2"/>
            <w:sz w:val="20"/>
            <w:vertAlign w:val="baseline"/>
          </w:rPr>
          <w:t>.</w:t>
        </w:r>
      </w:hyperlink>
    </w:p>
    <w:p>
      <w:pPr>
        <w:spacing w:before="1"/>
        <w:ind w:left="308" w:right="0" w:firstLine="0"/>
        <w:jc w:val="both"/>
        <w:rPr>
          <w:rFonts w:ascii="Calibri"/>
          <w:sz w:val="20"/>
        </w:rPr>
      </w:pPr>
      <w:r>
        <w:rPr>
          <w:rFonts w:ascii="Calibri"/>
          <w:sz w:val="20"/>
          <w:vertAlign w:val="superscript"/>
        </w:rPr>
        <w:t>295</w:t>
      </w:r>
      <w:r>
        <w:rPr>
          <w:rFonts w:ascii="Calibri"/>
          <w:sz w:val="20"/>
          <w:vertAlign w:val="baseline"/>
        </w:rPr>
        <w:t>Encarta</w:t>
      </w:r>
      <w:r>
        <w:rPr>
          <w:rFonts w:ascii="Calibri"/>
          <w:spacing w:val="-10"/>
          <w:sz w:val="20"/>
          <w:vertAlign w:val="baseline"/>
        </w:rPr>
        <w:t> </w:t>
      </w:r>
      <w:r>
        <w:rPr>
          <w:rFonts w:ascii="Calibri"/>
          <w:sz w:val="20"/>
          <w:vertAlign w:val="baseline"/>
        </w:rPr>
        <w:t>Dictionaries</w:t>
      </w:r>
      <w:r>
        <w:rPr>
          <w:rFonts w:ascii="Calibri"/>
          <w:spacing w:val="-11"/>
          <w:sz w:val="20"/>
          <w:vertAlign w:val="baseline"/>
        </w:rPr>
        <w:t> </w:t>
      </w:r>
      <w:r>
        <w:rPr>
          <w:rFonts w:ascii="Calibri"/>
          <w:sz w:val="20"/>
          <w:vertAlign w:val="baseline"/>
        </w:rPr>
        <w:t>(2009).Microsoft</w:t>
      </w:r>
      <w:r>
        <w:rPr>
          <w:rFonts w:ascii="Calibri"/>
          <w:spacing w:val="-10"/>
          <w:sz w:val="20"/>
          <w:vertAlign w:val="baseline"/>
        </w:rPr>
        <w:t> </w:t>
      </w:r>
      <w:r>
        <w:rPr>
          <w:rFonts w:ascii="Calibri"/>
          <w:sz w:val="20"/>
          <w:vertAlign w:val="baseline"/>
        </w:rPr>
        <w:t>Encarta</w:t>
      </w:r>
      <w:r>
        <w:rPr>
          <w:rFonts w:ascii="Calibri"/>
          <w:spacing w:val="-8"/>
          <w:sz w:val="20"/>
          <w:vertAlign w:val="baseline"/>
        </w:rPr>
        <w:t> </w:t>
      </w:r>
      <w:r>
        <w:rPr>
          <w:rFonts w:ascii="Calibri"/>
          <w:sz w:val="20"/>
          <w:vertAlign w:val="baseline"/>
        </w:rPr>
        <w:t>Premium</w:t>
      </w:r>
      <w:r>
        <w:rPr>
          <w:rFonts w:ascii="Calibri"/>
          <w:spacing w:val="-8"/>
          <w:sz w:val="20"/>
          <w:vertAlign w:val="baseline"/>
        </w:rPr>
        <w:t> </w:t>
      </w:r>
      <w:r>
        <w:rPr>
          <w:rFonts w:ascii="Calibri"/>
          <w:spacing w:val="-4"/>
          <w:sz w:val="20"/>
          <w:vertAlign w:val="baseline"/>
        </w:rPr>
        <w:t>DVD.</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2"/>
        <w:jc w:val="both"/>
      </w:pPr>
      <w:r>
        <w:rPr/>
        <w:t>designed to prevent persons associated with [the organisation] from undertaking such conduct.‖</w:t>
      </w:r>
      <w:r>
        <w:rPr>
          <w:vertAlign w:val="superscript"/>
        </w:rPr>
        <w:t>296</w:t>
      </w:r>
      <w:r>
        <w:rPr>
          <w:vertAlign w:val="baseline"/>
        </w:rPr>
        <w:t> Such procedures may include, not only making provisions in the articles,</w:t>
      </w:r>
      <w:r>
        <w:rPr>
          <w:spacing w:val="80"/>
          <w:vertAlign w:val="baseline"/>
        </w:rPr>
        <w:t> </w:t>
      </w:r>
      <w:r>
        <w:rPr>
          <w:vertAlign w:val="baseline"/>
        </w:rPr>
        <w:t>but also organizing programmes meant to sensitize directors and other employees on</w:t>
      </w:r>
      <w:r>
        <w:rPr>
          <w:spacing w:val="-2"/>
          <w:vertAlign w:val="baseline"/>
        </w:rPr>
        <w:t> </w:t>
      </w:r>
      <w:r>
        <w:rPr>
          <w:vertAlign w:val="baseline"/>
        </w:rPr>
        <w:t>the issue</w:t>
      </w:r>
      <w:r>
        <w:rPr>
          <w:spacing w:val="-2"/>
          <w:vertAlign w:val="baseline"/>
        </w:rPr>
        <w:t> </w:t>
      </w:r>
      <w:r>
        <w:rPr>
          <w:vertAlign w:val="baseline"/>
        </w:rPr>
        <w:t>and putting in place</w:t>
      </w:r>
      <w:r>
        <w:rPr>
          <w:spacing w:val="-2"/>
          <w:vertAlign w:val="baseline"/>
        </w:rPr>
        <w:t> </w:t>
      </w:r>
      <w:r>
        <w:rPr>
          <w:vertAlign w:val="baseline"/>
        </w:rPr>
        <w:t>a system</w:t>
      </w:r>
      <w:r>
        <w:rPr>
          <w:spacing w:val="-2"/>
          <w:vertAlign w:val="baseline"/>
        </w:rPr>
        <w:t> </w:t>
      </w:r>
      <w:r>
        <w:rPr>
          <w:vertAlign w:val="baseline"/>
        </w:rPr>
        <w:t>meant to prevent such</w:t>
      </w:r>
      <w:r>
        <w:rPr>
          <w:spacing w:val="-6"/>
          <w:vertAlign w:val="baseline"/>
        </w:rPr>
        <w:t> </w:t>
      </w:r>
      <w:r>
        <w:rPr>
          <w:vertAlign w:val="baseline"/>
        </w:rPr>
        <w:t>conducts. For</w:t>
      </w:r>
      <w:r>
        <w:rPr>
          <w:spacing w:val="-1"/>
          <w:vertAlign w:val="baseline"/>
        </w:rPr>
        <w:t> </w:t>
      </w:r>
      <w:r>
        <w:rPr>
          <w:vertAlign w:val="baseline"/>
        </w:rPr>
        <w:t>example, as</w:t>
      </w:r>
      <w:r>
        <w:rPr>
          <w:spacing w:val="-3"/>
          <w:vertAlign w:val="baseline"/>
        </w:rPr>
        <w:t> </w:t>
      </w:r>
      <w:r>
        <w:rPr>
          <w:vertAlign w:val="baseline"/>
        </w:rPr>
        <w:t>part of their hospitality policy, companiesmay consider maintaining a register of gifts, whichshould be made available for reporting to the board of directors.</w:t>
      </w:r>
      <w:r>
        <w:rPr>
          <w:vertAlign w:val="superscript"/>
        </w:rPr>
        <w:t>297</w:t>
      </w:r>
      <w:r>
        <w:rPr>
          <w:vertAlign w:val="baseline"/>
        </w:rPr>
        <w:t>Setting guidelines and informing its directors, particularly on the issue of corporate hospitality, makes sense because, when a breach occurs, it is usually the company that would sue. Thus, if it does set down guidelines for its directors to follow, they can better guard against breach of this duty, since they would have known the limits their company was prepared to tolerate.</w:t>
      </w:r>
    </w:p>
    <w:p>
      <w:pPr>
        <w:pStyle w:val="BodyText"/>
        <w:spacing w:line="480" w:lineRule="auto" w:before="2"/>
        <w:ind w:right="181" w:firstLine="777"/>
        <w:jc w:val="both"/>
      </w:pPr>
      <w:r>
        <w:rPr/>
        <w:t>Conducts such as the receiving of commissions or other ―benefit,‖ whether financial or otherwise, from </w:t>
      </w:r>
      <w:r>
        <w:rPr>
          <w:i/>
        </w:rPr>
        <w:t>outsiders</w:t>
      </w:r>
      <w:r>
        <w:rPr/>
        <w:t>, during the course of discharging the duties of the office of</w:t>
      </w:r>
      <w:r>
        <w:rPr>
          <w:spacing w:val="-3"/>
        </w:rPr>
        <w:t> </w:t>
      </w:r>
      <w:r>
        <w:rPr/>
        <w:t>company</w:t>
      </w:r>
      <w:r>
        <w:rPr>
          <w:spacing w:val="-5"/>
        </w:rPr>
        <w:t> </w:t>
      </w:r>
      <w:r>
        <w:rPr/>
        <w:t>director, receive special attention because the idea is that a director is not allowed to exploit his position in the company for personal benefit, having accepted to serve it in a fiduciary capacity. If the director were to be free to accept benefits from third parties, especially those dealing with his company, there would undoubtedly be a clash of interests</w:t>
      </w:r>
      <w:r>
        <w:rPr>
          <w:vertAlign w:val="superscript"/>
        </w:rPr>
        <w:t>298</w:t>
      </w:r>
      <w:r>
        <w:rPr>
          <w:vertAlign w:val="baseline"/>
        </w:rPr>
        <w:t> in that the director could then be persuaded by the gift/benefit/favour/advantage received from the third parties, to act favourably towards them</w:t>
      </w:r>
      <w:r>
        <w:rPr>
          <w:spacing w:val="-10"/>
          <w:vertAlign w:val="baseline"/>
        </w:rPr>
        <w:t> </w:t>
      </w:r>
      <w:r>
        <w:rPr>
          <w:vertAlign w:val="baseline"/>
        </w:rPr>
        <w:t>to</w:t>
      </w:r>
      <w:r>
        <w:rPr>
          <w:spacing w:val="-2"/>
          <w:vertAlign w:val="baseline"/>
        </w:rPr>
        <w:t> </w:t>
      </w:r>
      <w:r>
        <w:rPr>
          <w:vertAlign w:val="baseline"/>
        </w:rPr>
        <w:t>the</w:t>
      </w:r>
      <w:r>
        <w:rPr>
          <w:spacing w:val="-3"/>
          <w:vertAlign w:val="baseline"/>
        </w:rPr>
        <w:t> </w:t>
      </w:r>
      <w:r>
        <w:rPr>
          <w:vertAlign w:val="baseline"/>
        </w:rPr>
        <w:t>detriment of</w:t>
      </w:r>
      <w:r>
        <w:rPr>
          <w:spacing w:val="-9"/>
          <w:vertAlign w:val="baseline"/>
        </w:rPr>
        <w:t> </w:t>
      </w:r>
      <w:r>
        <w:rPr>
          <w:vertAlign w:val="baseline"/>
        </w:rPr>
        <w:t>the</w:t>
      </w:r>
      <w:r>
        <w:rPr>
          <w:spacing w:val="-3"/>
          <w:vertAlign w:val="baseline"/>
        </w:rPr>
        <w:t> </w:t>
      </w:r>
      <w:r>
        <w:rPr>
          <w:vertAlign w:val="baseline"/>
        </w:rPr>
        <w:t>company, instead</w:t>
      </w:r>
      <w:r>
        <w:rPr>
          <w:spacing w:val="-2"/>
          <w:vertAlign w:val="baseline"/>
        </w:rPr>
        <w:t> </w:t>
      </w:r>
      <w:r>
        <w:rPr>
          <w:vertAlign w:val="baseline"/>
        </w:rPr>
        <w:t>of</w:t>
      </w:r>
      <w:r>
        <w:rPr>
          <w:spacing w:val="-9"/>
          <w:vertAlign w:val="baseline"/>
        </w:rPr>
        <w:t> </w:t>
      </w:r>
      <w:r>
        <w:rPr>
          <w:vertAlign w:val="baseline"/>
        </w:rPr>
        <w:t>watching</w:t>
      </w:r>
      <w:r>
        <w:rPr>
          <w:spacing w:val="-2"/>
          <w:vertAlign w:val="baseline"/>
        </w:rPr>
        <w:t> </w:t>
      </w:r>
      <w:r>
        <w:rPr>
          <w:vertAlign w:val="baseline"/>
        </w:rPr>
        <w:t>out</w:t>
      </w:r>
      <w:r>
        <w:rPr>
          <w:spacing w:val="-2"/>
          <w:vertAlign w:val="baseline"/>
        </w:rPr>
        <w:t> </w:t>
      </w:r>
      <w:r>
        <w:rPr>
          <w:vertAlign w:val="baseline"/>
        </w:rPr>
        <w:t>solely</w:t>
      </w:r>
      <w:r>
        <w:rPr>
          <w:spacing w:val="-6"/>
          <w:vertAlign w:val="baseline"/>
        </w:rPr>
        <w:t> </w:t>
      </w:r>
      <w:r>
        <w:rPr>
          <w:vertAlign w:val="baseline"/>
        </w:rPr>
        <w:t>for its</w:t>
      </w:r>
      <w:r>
        <w:rPr>
          <w:spacing w:val="-4"/>
          <w:vertAlign w:val="baseline"/>
        </w:rPr>
        <w:t> </w:t>
      </w:r>
      <w:r>
        <w:rPr>
          <w:vertAlign w:val="baseline"/>
        </w:rPr>
        <w:t>best interests or success.</w:t>
      </w:r>
    </w:p>
    <w:p>
      <w:pPr>
        <w:pStyle w:val="BodyText"/>
        <w:ind w:left="0"/>
        <w:rPr>
          <w:sz w:val="20"/>
        </w:rPr>
      </w:pPr>
    </w:p>
    <w:p>
      <w:pPr>
        <w:pStyle w:val="BodyText"/>
        <w:ind w:left="0"/>
        <w:rPr>
          <w:sz w:val="20"/>
        </w:rPr>
      </w:pPr>
    </w:p>
    <w:p>
      <w:pPr>
        <w:pStyle w:val="BodyText"/>
        <w:spacing w:before="98"/>
        <w:ind w:left="0"/>
        <w:rPr>
          <w:sz w:val="20"/>
        </w:rPr>
      </w:pPr>
      <w:r>
        <w:rPr/>
        <mc:AlternateContent>
          <mc:Choice Requires="wps">
            <w:drawing>
              <wp:anchor distT="0" distB="0" distL="0" distR="0" allowOverlap="1" layoutInCell="1" locked="0" behindDoc="1" simplePos="0" relativeHeight="487704064">
                <wp:simplePos x="0" y="0"/>
                <wp:positionH relativeFrom="page">
                  <wp:posOffset>1262481</wp:posOffset>
                </wp:positionH>
                <wp:positionV relativeFrom="paragraph">
                  <wp:posOffset>223534</wp:posOffset>
                </wp:positionV>
                <wp:extent cx="1829435" cy="9525"/>
                <wp:effectExtent l="0" t="0" r="0" b="0"/>
                <wp:wrapTopAndBottom/>
                <wp:docPr id="254" name="Graphic 254"/>
                <wp:cNvGraphicFramePr>
                  <a:graphicFrameLocks/>
                </wp:cNvGraphicFramePr>
                <a:graphic>
                  <a:graphicData uri="http://schemas.microsoft.com/office/word/2010/wordprocessingShape">
                    <wps:wsp>
                      <wps:cNvPr id="254" name="Graphic 254"/>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601141pt;width:144.050pt;height:.72003pt;mso-position-horizontal-relative:page;mso-position-vertical-relative:paragraph;z-index:-15612416;mso-wrap-distance-left:0;mso-wrap-distance-right:0" id="docshape209"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296</w:t>
      </w:r>
      <w:r>
        <w:rPr>
          <w:rFonts w:ascii="Calibri"/>
          <w:spacing w:val="1"/>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s.7(2)</w:t>
      </w:r>
      <w:r>
        <w:rPr>
          <w:rFonts w:ascii="Calibri"/>
          <w:spacing w:val="-3"/>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5"/>
          <w:sz w:val="20"/>
          <w:vertAlign w:val="baseline"/>
        </w:rPr>
        <w:t> </w:t>
      </w:r>
      <w:r>
        <w:rPr>
          <w:rFonts w:ascii="Calibri"/>
          <w:sz w:val="20"/>
          <w:vertAlign w:val="baseline"/>
        </w:rPr>
        <w:t>Bribery</w:t>
      </w:r>
      <w:r>
        <w:rPr>
          <w:rFonts w:ascii="Calibri"/>
          <w:spacing w:val="-5"/>
          <w:sz w:val="20"/>
          <w:vertAlign w:val="baseline"/>
        </w:rPr>
        <w:t> </w:t>
      </w:r>
      <w:r>
        <w:rPr>
          <w:rFonts w:ascii="Calibri"/>
          <w:sz w:val="20"/>
          <w:vertAlign w:val="baseline"/>
        </w:rPr>
        <w:t>Act </w:t>
      </w:r>
      <w:r>
        <w:rPr>
          <w:rFonts w:ascii="Calibri"/>
          <w:spacing w:val="-2"/>
          <w:sz w:val="20"/>
          <w:vertAlign w:val="baseline"/>
        </w:rPr>
        <w:t>2010.</w:t>
      </w:r>
    </w:p>
    <w:p>
      <w:pPr>
        <w:spacing w:line="242" w:lineRule="auto" w:before="21"/>
        <w:ind w:left="308" w:right="224" w:firstLine="0"/>
        <w:jc w:val="both"/>
        <w:rPr>
          <w:rFonts w:ascii="Calibri"/>
          <w:sz w:val="20"/>
        </w:rPr>
      </w:pPr>
      <w:r>
        <w:rPr>
          <w:rFonts w:ascii="Calibri"/>
          <w:sz w:val="20"/>
          <w:vertAlign w:val="superscript"/>
        </w:rPr>
        <w:t>297</w:t>
      </w:r>
      <w:r>
        <w:rPr>
          <w:rFonts w:ascii="Calibri"/>
          <w:sz w:val="20"/>
          <w:vertAlign w:val="baseline"/>
        </w:rPr>
        <w:t>Breslin, B., Ezickson, D. and Kocoras, J. (2010). The Bribery Act 2010: Raising the Bar Above the US Foreign</w:t>
      </w:r>
      <w:r>
        <w:rPr>
          <w:rFonts w:ascii="Calibri"/>
          <w:spacing w:val="-3"/>
          <w:sz w:val="20"/>
          <w:vertAlign w:val="baseline"/>
        </w:rPr>
        <w:t> </w:t>
      </w:r>
      <w:r>
        <w:rPr>
          <w:rFonts w:ascii="Calibri"/>
          <w:sz w:val="20"/>
          <w:vertAlign w:val="baseline"/>
        </w:rPr>
        <w:t>Corrupt</w:t>
      </w:r>
      <w:r>
        <w:rPr>
          <w:rFonts w:ascii="Calibri"/>
          <w:spacing w:val="-3"/>
          <w:sz w:val="20"/>
          <w:vertAlign w:val="baseline"/>
        </w:rPr>
        <w:t> </w:t>
      </w:r>
      <w:r>
        <w:rPr>
          <w:rFonts w:ascii="Calibri"/>
          <w:sz w:val="20"/>
          <w:vertAlign w:val="baseline"/>
        </w:rPr>
        <w:t>Practices</w:t>
      </w:r>
      <w:r>
        <w:rPr>
          <w:rFonts w:ascii="Calibri"/>
          <w:spacing w:val="-4"/>
          <w:sz w:val="20"/>
          <w:vertAlign w:val="baseline"/>
        </w:rPr>
        <w:t> </w:t>
      </w:r>
      <w:r>
        <w:rPr>
          <w:rFonts w:ascii="Calibri"/>
          <w:sz w:val="20"/>
          <w:vertAlign w:val="baseline"/>
        </w:rPr>
        <w:t>Act. </w:t>
      </w:r>
      <w:r>
        <w:rPr>
          <w:rFonts w:ascii="Calibri"/>
          <w:i/>
          <w:sz w:val="20"/>
          <w:vertAlign w:val="baseline"/>
        </w:rPr>
        <w:t>The</w:t>
      </w:r>
      <w:r>
        <w:rPr>
          <w:rFonts w:ascii="Calibri"/>
          <w:i/>
          <w:spacing w:val="-3"/>
          <w:sz w:val="20"/>
          <w:vertAlign w:val="baseline"/>
        </w:rPr>
        <w:t> </w:t>
      </w:r>
      <w:r>
        <w:rPr>
          <w:rFonts w:ascii="Calibri"/>
          <w:i/>
          <w:sz w:val="20"/>
          <w:vertAlign w:val="baseline"/>
        </w:rPr>
        <w:t>Company</w:t>
      </w:r>
      <w:r>
        <w:rPr>
          <w:rFonts w:ascii="Calibri"/>
          <w:i/>
          <w:spacing w:val="-2"/>
          <w:sz w:val="20"/>
          <w:vertAlign w:val="baseline"/>
        </w:rPr>
        <w:t> </w:t>
      </w:r>
      <w:r>
        <w:rPr>
          <w:rFonts w:ascii="Calibri"/>
          <w:i/>
          <w:sz w:val="20"/>
          <w:vertAlign w:val="baseline"/>
        </w:rPr>
        <w:t>Lawyer</w:t>
      </w:r>
      <w:r>
        <w:rPr>
          <w:rFonts w:ascii="Calibri"/>
          <w:sz w:val="20"/>
          <w:vertAlign w:val="baseline"/>
        </w:rPr>
        <w:t>,</w:t>
      </w:r>
      <w:r>
        <w:rPr>
          <w:rFonts w:ascii="Calibri"/>
          <w:spacing w:val="-5"/>
          <w:sz w:val="20"/>
          <w:vertAlign w:val="baseline"/>
        </w:rPr>
        <w:t> </w:t>
      </w:r>
      <w:r>
        <w:rPr>
          <w:rFonts w:ascii="Calibri"/>
          <w:sz w:val="20"/>
          <w:vertAlign w:val="baseline"/>
        </w:rPr>
        <w:t>31(11):</w:t>
      </w:r>
      <w:r>
        <w:rPr>
          <w:rFonts w:ascii="Calibri"/>
          <w:spacing w:val="-3"/>
          <w:sz w:val="20"/>
          <w:vertAlign w:val="baseline"/>
        </w:rPr>
        <w:t> </w:t>
      </w:r>
      <w:r>
        <w:rPr>
          <w:rFonts w:ascii="Calibri"/>
          <w:sz w:val="20"/>
          <w:vertAlign w:val="baseline"/>
        </w:rPr>
        <w:t>362-369, at</w:t>
      </w:r>
      <w:r>
        <w:rPr>
          <w:rFonts w:ascii="Calibri"/>
          <w:spacing w:val="-3"/>
          <w:sz w:val="20"/>
          <w:vertAlign w:val="baseline"/>
        </w:rPr>
        <w:t> </w:t>
      </w:r>
      <w:r>
        <w:rPr>
          <w:rFonts w:ascii="Calibri"/>
          <w:sz w:val="20"/>
          <w:vertAlign w:val="baseline"/>
        </w:rPr>
        <w:t>365. Retrieved</w:t>
      </w:r>
      <w:r>
        <w:rPr>
          <w:rFonts w:ascii="Calibri"/>
          <w:spacing w:val="-2"/>
          <w:sz w:val="20"/>
          <w:vertAlign w:val="baseline"/>
        </w:rPr>
        <w:t> </w:t>
      </w:r>
      <w:r>
        <w:rPr>
          <w:rFonts w:ascii="Calibri"/>
          <w:sz w:val="20"/>
          <w:vertAlign w:val="baseline"/>
        </w:rPr>
        <w:t>January</w:t>
      </w:r>
      <w:r>
        <w:rPr>
          <w:rFonts w:ascii="Calibri"/>
          <w:spacing w:val="-2"/>
          <w:sz w:val="20"/>
          <w:vertAlign w:val="baseline"/>
        </w:rPr>
        <w:t> </w:t>
      </w:r>
      <w:r>
        <w:rPr>
          <w:rFonts w:ascii="Calibri"/>
          <w:sz w:val="20"/>
          <w:vertAlign w:val="baseline"/>
        </w:rPr>
        <w:t>23,</w:t>
      </w:r>
      <w:r>
        <w:rPr>
          <w:rFonts w:ascii="Calibri"/>
          <w:spacing w:val="-5"/>
          <w:sz w:val="20"/>
          <w:vertAlign w:val="baseline"/>
        </w:rPr>
        <w:t> </w:t>
      </w:r>
      <w:r>
        <w:rPr>
          <w:rFonts w:ascii="Calibri"/>
          <w:sz w:val="20"/>
          <w:vertAlign w:val="baseline"/>
        </w:rPr>
        <w:t>2014 from </w:t>
      </w:r>
      <w:hyperlink r:id="rId61">
        <w:r>
          <w:rPr>
            <w:rFonts w:ascii="Calibri"/>
            <w:color w:val="0000FF"/>
            <w:sz w:val="20"/>
            <w:u w:val="single" w:color="0000FF"/>
            <w:vertAlign w:val="baseline"/>
          </w:rPr>
          <w:t>http://www.mwe.com/info/pubs/Company%20Lawyer%20Issue%2011.pdf</w:t>
        </w:r>
        <w:r>
          <w:rPr>
            <w:rFonts w:ascii="Calibri"/>
            <w:sz w:val="20"/>
            <w:vertAlign w:val="baseline"/>
          </w:rPr>
          <w:t>.</w:t>
        </w:r>
      </w:hyperlink>
    </w:p>
    <w:p>
      <w:pPr>
        <w:spacing w:before="0"/>
        <w:ind w:left="308" w:right="232" w:firstLine="0"/>
        <w:jc w:val="both"/>
        <w:rPr>
          <w:rFonts w:ascii="Calibri"/>
          <w:sz w:val="20"/>
        </w:rPr>
      </w:pPr>
      <w:r>
        <w:rPr>
          <w:rFonts w:ascii="Calibri"/>
          <w:sz w:val="20"/>
          <w:vertAlign w:val="superscript"/>
        </w:rPr>
        <w:t>298</w:t>
      </w:r>
      <w:r>
        <w:rPr>
          <w:rFonts w:ascii="Calibri"/>
          <w:sz w:val="20"/>
          <w:vertAlign w:val="baseline"/>
        </w:rPr>
        <w:t> Or even of </w:t>
      </w:r>
      <w:r>
        <w:rPr>
          <w:rFonts w:ascii="Calibri"/>
          <w:i/>
          <w:sz w:val="20"/>
          <w:vertAlign w:val="baseline"/>
        </w:rPr>
        <w:t>duties</w:t>
      </w:r>
      <w:r>
        <w:rPr>
          <w:rFonts w:ascii="Calibri"/>
          <w:sz w:val="20"/>
          <w:vertAlign w:val="baseline"/>
        </w:rPr>
        <w:t>. S.176(5) recognizes that the duty in the section is also infringed if the acceptance</w:t>
      </w:r>
      <w:r>
        <w:rPr>
          <w:rFonts w:ascii="Calibri"/>
          <w:spacing w:val="40"/>
          <w:sz w:val="20"/>
          <w:vertAlign w:val="baseline"/>
        </w:rPr>
        <w:t> </w:t>
      </w:r>
      <w:r>
        <w:rPr>
          <w:rFonts w:ascii="Calibri"/>
          <w:sz w:val="20"/>
          <w:vertAlign w:val="baseline"/>
        </w:rPr>
        <w:t>of the benefit can reasonably be regarded as likely to result in a conflict of duties.</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1" w:firstLine="720"/>
        <w:jc w:val="both"/>
      </w:pPr>
      <w:r>
        <w:rPr/>
        <w:t>Since the receipt of</w:t>
      </w:r>
      <w:r>
        <w:rPr>
          <w:spacing w:val="-2"/>
        </w:rPr>
        <w:t> </w:t>
      </w:r>
      <w:r>
        <w:rPr/>
        <w:t>such benefits is prohibited, the company is always entitled to sue the director for what he received or its worth, for the director in fact holds it in trust for the company. The Privy Council in </w:t>
      </w:r>
      <w:r>
        <w:rPr>
          <w:b/>
        </w:rPr>
        <w:t>Attorney-General for Hong Kong vs. Reid</w:t>
      </w:r>
      <w:r>
        <w:rPr>
          <w:vertAlign w:val="superscript"/>
        </w:rPr>
        <w:t>299</w:t>
      </w:r>
      <w:r>
        <w:rPr>
          <w:vertAlign w:val="baseline"/>
        </w:rPr>
        <w:t>established</w:t>
      </w:r>
      <w:r>
        <w:rPr>
          <w:spacing w:val="-2"/>
          <w:vertAlign w:val="baseline"/>
        </w:rPr>
        <w:t> </w:t>
      </w:r>
      <w:r>
        <w:rPr>
          <w:vertAlign w:val="baseline"/>
        </w:rPr>
        <w:t>the modern</w:t>
      </w:r>
      <w:r>
        <w:rPr>
          <w:spacing w:val="-7"/>
          <w:vertAlign w:val="baseline"/>
        </w:rPr>
        <w:t> </w:t>
      </w:r>
      <w:r>
        <w:rPr>
          <w:vertAlign w:val="baseline"/>
        </w:rPr>
        <w:t>principle</w:t>
      </w:r>
      <w:r>
        <w:rPr>
          <w:spacing w:val="-3"/>
          <w:vertAlign w:val="baseline"/>
        </w:rPr>
        <w:t> </w:t>
      </w:r>
      <w:r>
        <w:rPr>
          <w:vertAlign w:val="baseline"/>
        </w:rPr>
        <w:t>that a</w:t>
      </w:r>
      <w:r>
        <w:rPr>
          <w:spacing w:val="-3"/>
          <w:vertAlign w:val="baseline"/>
        </w:rPr>
        <w:t> </w:t>
      </w:r>
      <w:r>
        <w:rPr>
          <w:vertAlign w:val="baseline"/>
        </w:rPr>
        <w:t>bribe</w:t>
      </w:r>
      <w:r>
        <w:rPr>
          <w:spacing w:val="-3"/>
          <w:vertAlign w:val="baseline"/>
        </w:rPr>
        <w:t> </w:t>
      </w:r>
      <w:r>
        <w:rPr>
          <w:vertAlign w:val="baseline"/>
        </w:rPr>
        <w:t>received</w:t>
      </w:r>
      <w:r>
        <w:rPr>
          <w:spacing w:val="-2"/>
          <w:vertAlign w:val="baseline"/>
        </w:rPr>
        <w:t> </w:t>
      </w:r>
      <w:r>
        <w:rPr>
          <w:vertAlign w:val="baseline"/>
        </w:rPr>
        <w:t>by</w:t>
      </w:r>
      <w:r>
        <w:rPr>
          <w:spacing w:val="-7"/>
          <w:vertAlign w:val="baseline"/>
        </w:rPr>
        <w:t> </w:t>
      </w:r>
      <w:r>
        <w:rPr>
          <w:vertAlign w:val="baseline"/>
        </w:rPr>
        <w:t>a fiduciary</w:t>
      </w:r>
      <w:r>
        <w:rPr>
          <w:spacing w:val="-7"/>
          <w:vertAlign w:val="baseline"/>
        </w:rPr>
        <w:t> </w:t>
      </w:r>
      <w:r>
        <w:rPr>
          <w:vertAlign w:val="baseline"/>
        </w:rPr>
        <w:t>must be held on constructive trust from the moment of its receipt and consequently that any property acquired with that bribe is also held on constructive trust.</w:t>
      </w:r>
      <w:r>
        <w:rPr>
          <w:vertAlign w:val="superscript"/>
        </w:rPr>
        <w:t>300</w:t>
      </w:r>
      <w:r>
        <w:rPr>
          <w:spacing w:val="40"/>
          <w:vertAlign w:val="baseline"/>
        </w:rPr>
        <w:t> </w:t>
      </w:r>
      <w:r>
        <w:rPr>
          <w:vertAlign w:val="baseline"/>
        </w:rPr>
        <w:t>It also appears that the company can institute an</w:t>
      </w:r>
      <w:r>
        <w:rPr>
          <w:spacing w:val="-4"/>
          <w:vertAlign w:val="baseline"/>
        </w:rPr>
        <w:t> </w:t>
      </w:r>
      <w:r>
        <w:rPr>
          <w:vertAlign w:val="baseline"/>
        </w:rPr>
        <w:t>action against such a director whenever it finds out, even if</w:t>
      </w:r>
      <w:r>
        <w:rPr>
          <w:spacing w:val="-2"/>
          <w:vertAlign w:val="baseline"/>
        </w:rPr>
        <w:t> </w:t>
      </w:r>
      <w:r>
        <w:rPr>
          <w:vertAlign w:val="baseline"/>
        </w:rPr>
        <w:t>the director has already left its employ. In </w:t>
      </w:r>
      <w:r>
        <w:rPr>
          <w:b/>
          <w:vertAlign w:val="baseline"/>
        </w:rPr>
        <w:t>Boston Deep Sea Fishing Co. vs. Ansell</w:t>
      </w:r>
      <w:r>
        <w:rPr>
          <w:vertAlign w:val="baseline"/>
        </w:rPr>
        <w:t>,</w:t>
      </w:r>
      <w:r>
        <w:rPr>
          <w:vertAlign w:val="superscript"/>
        </w:rPr>
        <w:t>301</w:t>
      </w:r>
      <w:r>
        <w:rPr>
          <w:vertAlign w:val="baseline"/>
        </w:rPr>
        <w:t> a director of</w:t>
      </w:r>
      <w:r>
        <w:rPr>
          <w:spacing w:val="-7"/>
          <w:vertAlign w:val="baseline"/>
        </w:rPr>
        <w:t> </w:t>
      </w:r>
      <w:r>
        <w:rPr>
          <w:vertAlign w:val="baseline"/>
        </w:rPr>
        <w:t>a fishing company contracted for the building of</w:t>
      </w:r>
      <w:r>
        <w:rPr>
          <w:spacing w:val="-2"/>
          <w:vertAlign w:val="baseline"/>
        </w:rPr>
        <w:t> </w:t>
      </w:r>
      <w:r>
        <w:rPr>
          <w:vertAlign w:val="baseline"/>
        </w:rPr>
        <w:t>fishing vessels on its behalf. In the course of negotiations, he received a commission from the shipbuilders without disclosing this to the company. Although the company had already dismissed him from office for some other misconduct before it found out about the secret commission, the court held him liable to account to the company for the commission he received.</w:t>
      </w:r>
    </w:p>
    <w:p>
      <w:pPr>
        <w:pStyle w:val="BodyText"/>
        <w:spacing w:line="480" w:lineRule="auto" w:before="2"/>
        <w:ind w:right="186" w:firstLine="720"/>
        <w:jc w:val="both"/>
      </w:pPr>
      <w:r>
        <w:rPr/>
        <w:t>The rule codified in s.176 potentially</w:t>
      </w:r>
      <w:r>
        <w:rPr>
          <w:spacing w:val="-2"/>
        </w:rPr>
        <w:t> </w:t>
      </w:r>
      <w:r>
        <w:rPr/>
        <w:t>covers cases involving any</w:t>
      </w:r>
      <w:r>
        <w:rPr>
          <w:spacing w:val="-2"/>
        </w:rPr>
        <w:t> </w:t>
      </w:r>
      <w:r>
        <w:rPr/>
        <w:t>secret profits as well as those involving any secret gain made by a director in the course of a takeover bid, reconstruction</w:t>
      </w:r>
      <w:r>
        <w:rPr>
          <w:spacing w:val="-1"/>
        </w:rPr>
        <w:t> </w:t>
      </w:r>
      <w:r>
        <w:rPr/>
        <w:t>or amalgamation involving the company</w:t>
      </w:r>
      <w:r>
        <w:rPr>
          <w:spacing w:val="-1"/>
        </w:rPr>
        <w:t> </w:t>
      </w:r>
      <w:r>
        <w:rPr/>
        <w:t>and generally</w:t>
      </w:r>
      <w:r>
        <w:rPr>
          <w:spacing w:val="-1"/>
        </w:rPr>
        <w:t> </w:t>
      </w:r>
      <w:r>
        <w:rPr/>
        <w:t>profit derived through the use of confidential information which comes to the director‘s knowledge through his position on the board.</w:t>
      </w:r>
      <w:r>
        <w:rPr>
          <w:vertAlign w:val="superscript"/>
        </w:rPr>
        <w:t>302</w:t>
      </w:r>
      <w:r>
        <w:rPr>
          <w:vertAlign w:val="baseline"/>
        </w:rPr>
        <w:t> Where the gain happens to be some property or information, s. 175 may also apply simultaneously.</w:t>
      </w:r>
      <w:r>
        <w:rPr>
          <w:vertAlign w:val="superscript"/>
        </w:rPr>
        <w:t>303</w:t>
      </w:r>
      <w:r>
        <w:rPr>
          <w:vertAlign w:val="baseline"/>
        </w:rPr>
        <w:t> In every case, it is no defence for the director to show that he had acted all the while in good faith.</w:t>
      </w:r>
      <w:r>
        <w:rPr>
          <w:vertAlign w:val="superscript"/>
        </w:rPr>
        <w:t>304</w:t>
      </w:r>
    </w:p>
    <w:p>
      <w:pPr>
        <w:pStyle w:val="BodyText"/>
        <w:spacing w:line="480" w:lineRule="auto" w:before="2"/>
        <w:ind w:right="193" w:firstLine="720"/>
        <w:jc w:val="both"/>
      </w:pPr>
      <w:r>
        <w:rPr/>
        <w:t>The duty as codified in the Act is as it was under the common law. Perhaps the only</w:t>
      </w:r>
      <w:r>
        <w:rPr>
          <w:spacing w:val="34"/>
        </w:rPr>
        <w:t> </w:t>
      </w:r>
      <w:r>
        <w:rPr/>
        <w:t>changes—or</w:t>
      </w:r>
      <w:r>
        <w:rPr>
          <w:spacing w:val="44"/>
        </w:rPr>
        <w:t> </w:t>
      </w:r>
      <w:r>
        <w:rPr/>
        <w:t>improvement—is</w:t>
      </w:r>
      <w:r>
        <w:rPr>
          <w:spacing w:val="36"/>
        </w:rPr>
        <w:t> </w:t>
      </w:r>
      <w:r>
        <w:rPr/>
        <w:t>the</w:t>
      </w:r>
      <w:r>
        <w:rPr>
          <w:spacing w:val="42"/>
        </w:rPr>
        <w:t> </w:t>
      </w:r>
      <w:r>
        <w:rPr/>
        <w:t>fact</w:t>
      </w:r>
      <w:r>
        <w:rPr>
          <w:spacing w:val="43"/>
        </w:rPr>
        <w:t> </w:t>
      </w:r>
      <w:r>
        <w:rPr/>
        <w:t>that</w:t>
      </w:r>
      <w:r>
        <w:rPr>
          <w:spacing w:val="39"/>
        </w:rPr>
        <w:t> </w:t>
      </w:r>
      <w:r>
        <w:rPr/>
        <w:t>―third</w:t>
      </w:r>
      <w:r>
        <w:rPr>
          <w:spacing w:val="39"/>
        </w:rPr>
        <w:t> </w:t>
      </w:r>
      <w:r>
        <w:rPr/>
        <w:t>party‖</w:t>
      </w:r>
      <w:r>
        <w:rPr>
          <w:spacing w:val="42"/>
        </w:rPr>
        <w:t> </w:t>
      </w:r>
      <w:r>
        <w:rPr/>
        <w:t>has</w:t>
      </w:r>
      <w:r>
        <w:rPr>
          <w:spacing w:val="40"/>
        </w:rPr>
        <w:t> </w:t>
      </w:r>
      <w:r>
        <w:rPr/>
        <w:t>been</w:t>
      </w:r>
      <w:r>
        <w:rPr>
          <w:spacing w:val="35"/>
        </w:rPr>
        <w:t> </w:t>
      </w:r>
      <w:r>
        <w:rPr/>
        <w:t>defined</w:t>
      </w:r>
      <w:r>
        <w:rPr>
          <w:spacing w:val="38"/>
        </w:rPr>
        <w:t> </w:t>
      </w:r>
      <w:r>
        <w:rPr>
          <w:spacing w:val="-5"/>
        </w:rPr>
        <w:t>and</w:t>
      </w:r>
    </w:p>
    <w:p>
      <w:pPr>
        <w:pStyle w:val="BodyText"/>
        <w:spacing w:before="28"/>
        <w:ind w:left="0"/>
        <w:rPr>
          <w:sz w:val="20"/>
        </w:rPr>
      </w:pPr>
      <w:r>
        <w:rPr/>
        <mc:AlternateContent>
          <mc:Choice Requires="wps">
            <w:drawing>
              <wp:anchor distT="0" distB="0" distL="0" distR="0" allowOverlap="1" layoutInCell="1" locked="0" behindDoc="1" simplePos="0" relativeHeight="487704576">
                <wp:simplePos x="0" y="0"/>
                <wp:positionH relativeFrom="page">
                  <wp:posOffset>1262481</wp:posOffset>
                </wp:positionH>
                <wp:positionV relativeFrom="paragraph">
                  <wp:posOffset>179090</wp:posOffset>
                </wp:positionV>
                <wp:extent cx="1829435" cy="9525"/>
                <wp:effectExtent l="0" t="0" r="0" b="0"/>
                <wp:wrapTopAndBottom/>
                <wp:docPr id="255" name="Graphic 255"/>
                <wp:cNvGraphicFramePr>
                  <a:graphicFrameLocks/>
                </wp:cNvGraphicFramePr>
                <a:graphic>
                  <a:graphicData uri="http://schemas.microsoft.com/office/word/2010/wordprocessingShape">
                    <wps:wsp>
                      <wps:cNvPr id="255" name="Graphic 25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01592pt;width:144.050pt;height:.71997pt;mso-position-horizontal-relative:page;mso-position-vertical-relative:paragraph;z-index:-15611904;mso-wrap-distance-left:0;mso-wrap-distance-right:0" id="docshape21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299</w:t>
      </w:r>
      <w:r>
        <w:rPr>
          <w:rFonts w:ascii="Calibri"/>
          <w:sz w:val="20"/>
          <w:vertAlign w:val="baseline"/>
        </w:rPr>
        <w:t>(1994) 1</w:t>
      </w:r>
      <w:r>
        <w:rPr>
          <w:rFonts w:ascii="Calibri"/>
          <w:spacing w:val="-2"/>
          <w:sz w:val="20"/>
          <w:vertAlign w:val="baseline"/>
        </w:rPr>
        <w:t> </w:t>
      </w:r>
      <w:r>
        <w:rPr>
          <w:rFonts w:ascii="Calibri"/>
          <w:sz w:val="20"/>
          <w:vertAlign w:val="baseline"/>
        </w:rPr>
        <w:t>AC</w:t>
      </w:r>
      <w:r>
        <w:rPr>
          <w:rFonts w:ascii="Calibri"/>
          <w:spacing w:val="-7"/>
          <w:sz w:val="20"/>
          <w:vertAlign w:val="baseline"/>
        </w:rPr>
        <w:t> </w:t>
      </w:r>
      <w:r>
        <w:rPr>
          <w:rFonts w:ascii="Calibri"/>
          <w:spacing w:val="-4"/>
          <w:sz w:val="20"/>
          <w:vertAlign w:val="baseline"/>
        </w:rPr>
        <w:t>324.</w:t>
      </w:r>
    </w:p>
    <w:p>
      <w:pPr>
        <w:spacing w:before="1"/>
        <w:ind w:left="308" w:right="0" w:firstLine="0"/>
        <w:jc w:val="left"/>
        <w:rPr>
          <w:rFonts w:ascii="Calibri"/>
          <w:sz w:val="20"/>
        </w:rPr>
      </w:pPr>
      <w:r>
        <w:rPr>
          <w:rFonts w:ascii="Calibri"/>
          <w:sz w:val="20"/>
          <w:vertAlign w:val="superscript"/>
        </w:rPr>
        <w:t>300</w:t>
      </w:r>
      <w:r>
        <w:rPr>
          <w:rFonts w:ascii="Calibri"/>
          <w:sz w:val="20"/>
          <w:vertAlign w:val="baseline"/>
        </w:rPr>
        <w:t>Hudson,</w:t>
      </w:r>
      <w:r>
        <w:rPr>
          <w:rFonts w:ascii="Calibri"/>
          <w:spacing w:val="-6"/>
          <w:sz w:val="20"/>
          <w:vertAlign w:val="baseline"/>
        </w:rPr>
        <w:t> </w:t>
      </w:r>
      <w:r>
        <w:rPr>
          <w:rFonts w:ascii="Calibri"/>
          <w:sz w:val="20"/>
          <w:vertAlign w:val="baseline"/>
        </w:rPr>
        <w:t>A.</w:t>
      </w:r>
      <w:r>
        <w:rPr>
          <w:rFonts w:ascii="Calibri"/>
          <w:spacing w:val="-2"/>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3"/>
          <w:sz w:val="20"/>
          <w:vertAlign w:val="baseline"/>
        </w:rPr>
        <w:t> </w:t>
      </w:r>
      <w:r>
        <w:rPr>
          <w:rFonts w:ascii="Calibri"/>
          <w:spacing w:val="-4"/>
          <w:sz w:val="20"/>
          <w:vertAlign w:val="baseline"/>
        </w:rPr>
        <w:t>p.44.</w:t>
      </w:r>
    </w:p>
    <w:p>
      <w:pPr>
        <w:spacing w:before="1"/>
        <w:ind w:left="308" w:right="0" w:firstLine="0"/>
        <w:jc w:val="left"/>
        <w:rPr>
          <w:rFonts w:ascii="Calibri"/>
          <w:sz w:val="20"/>
        </w:rPr>
      </w:pPr>
      <w:r>
        <w:rPr>
          <w:rFonts w:ascii="Calibri"/>
          <w:sz w:val="20"/>
          <w:vertAlign w:val="superscript"/>
        </w:rPr>
        <w:t>301</w:t>
      </w:r>
      <w:r>
        <w:rPr>
          <w:rFonts w:ascii="Calibri"/>
          <w:sz w:val="20"/>
          <w:vertAlign w:val="baseline"/>
        </w:rPr>
        <w:t>(1888)</w:t>
      </w:r>
      <w:r>
        <w:rPr>
          <w:rFonts w:ascii="Calibri"/>
          <w:spacing w:val="-2"/>
          <w:sz w:val="20"/>
          <w:vertAlign w:val="baseline"/>
        </w:rPr>
        <w:t> </w:t>
      </w:r>
      <w:r>
        <w:rPr>
          <w:rFonts w:ascii="Calibri"/>
          <w:sz w:val="20"/>
          <w:vertAlign w:val="baseline"/>
        </w:rPr>
        <w:t>39</w:t>
      </w:r>
      <w:r>
        <w:rPr>
          <w:rFonts w:ascii="Calibri"/>
          <w:spacing w:val="-4"/>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D.</w:t>
      </w:r>
      <w:r>
        <w:rPr>
          <w:rFonts w:ascii="Calibri"/>
          <w:spacing w:val="-5"/>
          <w:sz w:val="20"/>
          <w:vertAlign w:val="baseline"/>
        </w:rPr>
        <w:t> </w:t>
      </w:r>
      <w:r>
        <w:rPr>
          <w:rFonts w:ascii="Calibri"/>
          <w:sz w:val="20"/>
          <w:vertAlign w:val="baseline"/>
        </w:rPr>
        <w:t>339,</w:t>
      </w:r>
      <w:r>
        <w:rPr>
          <w:rFonts w:ascii="Calibri"/>
          <w:spacing w:val="-4"/>
          <w:sz w:val="20"/>
          <w:vertAlign w:val="baseline"/>
        </w:rPr>
        <w:t> </w:t>
      </w:r>
      <w:r>
        <w:rPr>
          <w:rFonts w:ascii="Calibri"/>
          <w:spacing w:val="-5"/>
          <w:sz w:val="20"/>
          <w:vertAlign w:val="baseline"/>
        </w:rPr>
        <w:t>CA.</w:t>
      </w:r>
    </w:p>
    <w:p>
      <w:pPr>
        <w:spacing w:before="1"/>
        <w:ind w:left="308" w:right="0" w:firstLine="0"/>
        <w:jc w:val="left"/>
        <w:rPr>
          <w:rFonts w:ascii="Calibri"/>
          <w:sz w:val="20"/>
        </w:rPr>
      </w:pPr>
      <w:r>
        <w:rPr>
          <w:rFonts w:ascii="Calibri"/>
          <w:sz w:val="20"/>
          <w:vertAlign w:val="superscript"/>
        </w:rPr>
        <w:t>302</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5"/>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w:t>
      </w:r>
      <w:r>
        <w:rPr>
          <w:rFonts w:ascii="Calibri"/>
          <w:spacing w:val="-5"/>
          <w:sz w:val="20"/>
          <w:vertAlign w:val="baseline"/>
        </w:rPr>
        <w:t> </w:t>
      </w:r>
      <w:r>
        <w:rPr>
          <w:rFonts w:ascii="Calibri"/>
          <w:sz w:val="20"/>
          <w:vertAlign w:val="baseline"/>
        </w:rPr>
        <w:t>op.cit.at</w:t>
      </w:r>
      <w:r>
        <w:rPr>
          <w:rFonts w:ascii="Calibri"/>
          <w:spacing w:val="-2"/>
          <w:sz w:val="20"/>
          <w:vertAlign w:val="baseline"/>
        </w:rPr>
        <w:t> </w:t>
      </w:r>
      <w:r>
        <w:rPr>
          <w:rFonts w:ascii="Calibri"/>
          <w:sz w:val="20"/>
          <w:vertAlign w:val="baseline"/>
        </w:rPr>
        <w:t>p. </w:t>
      </w:r>
      <w:r>
        <w:rPr>
          <w:rFonts w:ascii="Calibri"/>
          <w:spacing w:val="-4"/>
          <w:sz w:val="20"/>
          <w:vertAlign w:val="baseline"/>
        </w:rPr>
        <w:t>652.</w:t>
      </w:r>
    </w:p>
    <w:p>
      <w:pPr>
        <w:spacing w:before="0"/>
        <w:ind w:left="308" w:right="0" w:firstLine="0"/>
        <w:jc w:val="left"/>
        <w:rPr>
          <w:rFonts w:ascii="Calibri"/>
          <w:sz w:val="20"/>
        </w:rPr>
      </w:pPr>
      <w:r>
        <w:rPr>
          <w:rFonts w:ascii="Calibri"/>
          <w:sz w:val="20"/>
          <w:vertAlign w:val="superscript"/>
        </w:rPr>
        <w:t>303</w:t>
      </w:r>
      <w:r>
        <w:rPr>
          <w:rFonts w:ascii="Calibri"/>
          <w:sz w:val="20"/>
          <w:vertAlign w:val="baseline"/>
        </w:rPr>
        <w:t> S.179</w:t>
      </w:r>
      <w:r>
        <w:rPr>
          <w:rFonts w:ascii="Calibri"/>
          <w:spacing w:val="-8"/>
          <w:sz w:val="20"/>
          <w:vertAlign w:val="baseline"/>
        </w:rPr>
        <w:t> </w:t>
      </w:r>
      <w:r>
        <w:rPr>
          <w:rFonts w:ascii="Calibri"/>
          <w:sz w:val="20"/>
          <w:vertAlign w:val="baseline"/>
        </w:rPr>
        <w:t>recognizes</w:t>
      </w:r>
      <w:r>
        <w:rPr>
          <w:rFonts w:ascii="Calibri"/>
          <w:spacing w:val="-3"/>
          <w:sz w:val="20"/>
          <w:vertAlign w:val="baseline"/>
        </w:rPr>
        <w:t> </w:t>
      </w:r>
      <w:r>
        <w:rPr>
          <w:rFonts w:ascii="Calibri"/>
          <w:sz w:val="20"/>
          <w:vertAlign w:val="baseline"/>
        </w:rPr>
        <w:t>that</w:t>
      </w:r>
      <w:r>
        <w:rPr>
          <w:rFonts w:ascii="Calibri"/>
          <w:spacing w:val="-7"/>
          <w:sz w:val="20"/>
          <w:vertAlign w:val="baseline"/>
        </w:rPr>
        <w:t> </w:t>
      </w:r>
      <w:r>
        <w:rPr>
          <w:rFonts w:ascii="Calibri"/>
          <w:sz w:val="20"/>
          <w:vertAlign w:val="baseline"/>
        </w:rPr>
        <w:t>more</w:t>
      </w:r>
      <w:r>
        <w:rPr>
          <w:rFonts w:ascii="Calibri"/>
          <w:spacing w:val="-1"/>
          <w:sz w:val="20"/>
          <w:vertAlign w:val="baseline"/>
        </w:rPr>
        <w:t> </w:t>
      </w:r>
      <w:r>
        <w:rPr>
          <w:rFonts w:ascii="Calibri"/>
          <w:sz w:val="20"/>
          <w:vertAlign w:val="baseline"/>
        </w:rPr>
        <w:t>than</w:t>
      </w:r>
      <w:r>
        <w:rPr>
          <w:rFonts w:ascii="Calibri"/>
          <w:spacing w:val="-1"/>
          <w:sz w:val="20"/>
          <w:vertAlign w:val="baseline"/>
        </w:rPr>
        <w:t> </w:t>
      </w:r>
      <w:r>
        <w:rPr>
          <w:rFonts w:ascii="Calibri"/>
          <w:sz w:val="20"/>
          <w:vertAlign w:val="baseline"/>
        </w:rPr>
        <w:t>one</w:t>
      </w:r>
      <w:r>
        <w:rPr>
          <w:rFonts w:ascii="Calibri"/>
          <w:spacing w:val="-1"/>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general</w:t>
      </w:r>
      <w:r>
        <w:rPr>
          <w:rFonts w:ascii="Calibri"/>
          <w:spacing w:val="-5"/>
          <w:sz w:val="20"/>
          <w:vertAlign w:val="baseline"/>
        </w:rPr>
        <w:t> </w:t>
      </w:r>
      <w:r>
        <w:rPr>
          <w:rFonts w:ascii="Calibri"/>
          <w:sz w:val="20"/>
          <w:vertAlign w:val="baseline"/>
        </w:rPr>
        <w:t>duties</w:t>
      </w:r>
      <w:r>
        <w:rPr>
          <w:rFonts w:ascii="Calibri"/>
          <w:spacing w:val="-8"/>
          <w:sz w:val="20"/>
          <w:vertAlign w:val="baseline"/>
        </w:rPr>
        <w:t> </w:t>
      </w:r>
      <w:r>
        <w:rPr>
          <w:rFonts w:ascii="Calibri"/>
          <w:sz w:val="20"/>
          <w:vertAlign w:val="baseline"/>
        </w:rPr>
        <w:t>may</w:t>
      </w:r>
      <w:r>
        <w:rPr>
          <w:rFonts w:ascii="Calibri"/>
          <w:spacing w:val="-6"/>
          <w:sz w:val="20"/>
          <w:vertAlign w:val="baseline"/>
        </w:rPr>
        <w:t> </w:t>
      </w:r>
      <w:r>
        <w:rPr>
          <w:rFonts w:ascii="Calibri"/>
          <w:sz w:val="20"/>
          <w:vertAlign w:val="baseline"/>
        </w:rPr>
        <w:t>apply</w:t>
      </w:r>
      <w:r>
        <w:rPr>
          <w:rFonts w:ascii="Calibri"/>
          <w:spacing w:val="-6"/>
          <w:sz w:val="20"/>
          <w:vertAlign w:val="baseline"/>
        </w:rPr>
        <w:t> </w:t>
      </w:r>
      <w:r>
        <w:rPr>
          <w:rFonts w:ascii="Calibri"/>
          <w:sz w:val="20"/>
          <w:vertAlign w:val="baseline"/>
        </w:rPr>
        <w:t>in</w:t>
      </w:r>
      <w:r>
        <w:rPr>
          <w:rFonts w:ascii="Calibri"/>
          <w:spacing w:val="-7"/>
          <w:sz w:val="20"/>
          <w:vertAlign w:val="baseline"/>
        </w:rPr>
        <w:t> </w:t>
      </w:r>
      <w:r>
        <w:rPr>
          <w:rFonts w:ascii="Calibri"/>
          <w:sz w:val="20"/>
          <w:vertAlign w:val="baseline"/>
        </w:rPr>
        <w:t>any</w:t>
      </w:r>
      <w:r>
        <w:rPr>
          <w:rFonts w:ascii="Calibri"/>
          <w:spacing w:val="-6"/>
          <w:sz w:val="20"/>
          <w:vertAlign w:val="baseline"/>
        </w:rPr>
        <w:t> </w:t>
      </w:r>
      <w:r>
        <w:rPr>
          <w:rFonts w:ascii="Calibri"/>
          <w:sz w:val="20"/>
          <w:vertAlign w:val="baseline"/>
        </w:rPr>
        <w:t>given</w:t>
      </w:r>
      <w:r>
        <w:rPr>
          <w:rFonts w:ascii="Calibri"/>
          <w:spacing w:val="-6"/>
          <w:sz w:val="20"/>
          <w:vertAlign w:val="baseline"/>
        </w:rPr>
        <w:t> </w:t>
      </w:r>
      <w:r>
        <w:rPr>
          <w:rFonts w:ascii="Calibri"/>
          <w:spacing w:val="-2"/>
          <w:sz w:val="20"/>
          <w:vertAlign w:val="baseline"/>
        </w:rPr>
        <w:t>case.</w:t>
      </w:r>
    </w:p>
    <w:p>
      <w:pPr>
        <w:spacing w:before="1"/>
        <w:ind w:left="308" w:right="0" w:firstLine="0"/>
        <w:jc w:val="left"/>
        <w:rPr>
          <w:rFonts w:ascii="Calibri"/>
          <w:sz w:val="20"/>
        </w:rPr>
      </w:pPr>
      <w:r>
        <w:rPr>
          <w:rFonts w:ascii="Calibri"/>
          <w:sz w:val="20"/>
          <w:vertAlign w:val="superscript"/>
        </w:rPr>
        <w:t>304</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5"/>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w:t>
      </w:r>
      <w:r>
        <w:rPr>
          <w:rFonts w:ascii="Calibri"/>
          <w:spacing w:val="-5"/>
          <w:sz w:val="20"/>
          <w:vertAlign w:val="baseline"/>
        </w:rPr>
        <w:t> </w:t>
      </w:r>
      <w:r>
        <w:rPr>
          <w:rFonts w:ascii="Calibri"/>
          <w:sz w:val="20"/>
          <w:vertAlign w:val="baseline"/>
        </w:rPr>
        <w:t>op.cit.at</w:t>
      </w:r>
      <w:r>
        <w:rPr>
          <w:rFonts w:ascii="Calibri"/>
          <w:spacing w:val="-2"/>
          <w:sz w:val="20"/>
          <w:vertAlign w:val="baseline"/>
        </w:rPr>
        <w:t> </w:t>
      </w:r>
      <w:r>
        <w:rPr>
          <w:rFonts w:ascii="Calibri"/>
          <w:sz w:val="20"/>
          <w:vertAlign w:val="baseline"/>
        </w:rPr>
        <w:t>p. </w:t>
      </w:r>
      <w:r>
        <w:rPr>
          <w:rFonts w:ascii="Calibri"/>
          <w:spacing w:val="-4"/>
          <w:sz w:val="20"/>
          <w:vertAlign w:val="baseline"/>
        </w:rPr>
        <w:t>651.</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4"/>
        <w:jc w:val="both"/>
      </w:pPr>
      <w:r>
        <w:rPr/>
        <w:t>instances when the duty would not be said to have been infringed, have also been delineated to some extent. Thus, it is now clear that, apart from the company, an associated body corporate or a person acting on behalf of the company or an associated body corporate, every other person is a ―third party‖ within the context of the rule contemplated.</w:t>
      </w:r>
      <w:r>
        <w:rPr>
          <w:vertAlign w:val="superscript"/>
        </w:rPr>
        <w:t>305</w:t>
      </w:r>
      <w:r>
        <w:rPr>
          <w:vertAlign w:val="baseline"/>
        </w:rPr>
        <w:t> From the tenor of the section, instances where the duty would not be said to have been breached are:</w:t>
      </w:r>
      <w:r>
        <w:rPr>
          <w:vertAlign w:val="superscript"/>
        </w:rPr>
        <w:t>306</w:t>
      </w:r>
    </w:p>
    <w:p>
      <w:pPr>
        <w:pStyle w:val="ListParagraph"/>
        <w:numPr>
          <w:ilvl w:val="3"/>
          <w:numId w:val="18"/>
        </w:numPr>
        <w:tabs>
          <w:tab w:pos="1028" w:val="left" w:leader="none"/>
        </w:tabs>
        <w:spacing w:line="242" w:lineRule="auto" w:before="1" w:after="0"/>
        <w:ind w:left="1028" w:right="237" w:hanging="360"/>
        <w:jc w:val="left"/>
        <w:rPr>
          <w:sz w:val="24"/>
        </w:rPr>
      </w:pPr>
      <w:r>
        <w:rPr>
          <w:sz w:val="24"/>
        </w:rPr>
        <w:t>where the</w:t>
      </w:r>
      <w:r>
        <w:rPr>
          <w:spacing w:val="27"/>
          <w:sz w:val="24"/>
        </w:rPr>
        <w:t> </w:t>
      </w:r>
      <w:r>
        <w:rPr>
          <w:sz w:val="24"/>
        </w:rPr>
        <w:t>benefits come</w:t>
      </w:r>
      <w:r>
        <w:rPr>
          <w:spacing w:val="27"/>
          <w:sz w:val="24"/>
        </w:rPr>
        <w:t> </w:t>
      </w:r>
      <w:r>
        <w:rPr>
          <w:sz w:val="24"/>
        </w:rPr>
        <w:t>from the company, an associated body corporate or a person acting on behalf of the company or an associated body corporate;</w:t>
      </w:r>
    </w:p>
    <w:p>
      <w:pPr>
        <w:pStyle w:val="ListParagraph"/>
        <w:numPr>
          <w:ilvl w:val="3"/>
          <w:numId w:val="18"/>
        </w:numPr>
        <w:tabs>
          <w:tab w:pos="1028" w:val="left" w:leader="none"/>
        </w:tabs>
        <w:spacing w:line="242" w:lineRule="auto" w:before="0" w:after="0"/>
        <w:ind w:left="1028" w:right="246" w:hanging="360"/>
        <w:jc w:val="left"/>
        <w:rPr>
          <w:sz w:val="24"/>
        </w:rPr>
      </w:pPr>
      <w:r>
        <w:rPr>
          <w:sz w:val="24"/>
        </w:rPr>
        <w:t>Where</w:t>
      </w:r>
      <w:r>
        <w:rPr>
          <w:spacing w:val="32"/>
          <w:sz w:val="24"/>
        </w:rPr>
        <w:t> </w:t>
      </w:r>
      <w:r>
        <w:rPr>
          <w:sz w:val="24"/>
        </w:rPr>
        <w:t>a</w:t>
      </w:r>
      <w:r>
        <w:rPr>
          <w:spacing w:val="36"/>
          <w:sz w:val="24"/>
        </w:rPr>
        <w:t> </w:t>
      </w:r>
      <w:r>
        <w:rPr>
          <w:sz w:val="24"/>
        </w:rPr>
        <w:t>director</w:t>
      </w:r>
      <w:r>
        <w:rPr>
          <w:spacing w:val="34"/>
          <w:sz w:val="24"/>
        </w:rPr>
        <w:t> </w:t>
      </w:r>
      <w:r>
        <w:rPr>
          <w:sz w:val="24"/>
        </w:rPr>
        <w:t>receives</w:t>
      </w:r>
      <w:r>
        <w:rPr>
          <w:spacing w:val="35"/>
          <w:sz w:val="24"/>
        </w:rPr>
        <w:t> </w:t>
      </w:r>
      <w:r>
        <w:rPr>
          <w:sz w:val="24"/>
        </w:rPr>
        <w:t>benefits</w:t>
      </w:r>
      <w:r>
        <w:rPr>
          <w:spacing w:val="35"/>
          <w:sz w:val="24"/>
        </w:rPr>
        <w:t> </w:t>
      </w:r>
      <w:r>
        <w:rPr>
          <w:sz w:val="24"/>
        </w:rPr>
        <w:t>from</w:t>
      </w:r>
      <w:r>
        <w:rPr>
          <w:spacing w:val="29"/>
          <w:sz w:val="24"/>
        </w:rPr>
        <w:t> </w:t>
      </w:r>
      <w:r>
        <w:rPr>
          <w:sz w:val="24"/>
        </w:rPr>
        <w:t>a</w:t>
      </w:r>
      <w:r>
        <w:rPr>
          <w:spacing w:val="32"/>
          <w:sz w:val="24"/>
        </w:rPr>
        <w:t> </w:t>
      </w:r>
      <w:r>
        <w:rPr>
          <w:sz w:val="24"/>
        </w:rPr>
        <w:t>person</w:t>
      </w:r>
      <w:r>
        <w:rPr>
          <w:spacing w:val="33"/>
          <w:sz w:val="24"/>
        </w:rPr>
        <w:t> </w:t>
      </w:r>
      <w:r>
        <w:rPr>
          <w:sz w:val="24"/>
        </w:rPr>
        <w:t>by</w:t>
      </w:r>
      <w:r>
        <w:rPr>
          <w:spacing w:val="28"/>
          <w:sz w:val="24"/>
        </w:rPr>
        <w:t> </w:t>
      </w:r>
      <w:r>
        <w:rPr>
          <w:sz w:val="24"/>
        </w:rPr>
        <w:t>whom</w:t>
      </w:r>
      <w:r>
        <w:rPr>
          <w:spacing w:val="29"/>
          <w:sz w:val="24"/>
        </w:rPr>
        <w:t> </w:t>
      </w:r>
      <w:r>
        <w:rPr>
          <w:sz w:val="24"/>
        </w:rPr>
        <w:t>his</w:t>
      </w:r>
      <w:r>
        <w:rPr>
          <w:spacing w:val="35"/>
          <w:sz w:val="24"/>
        </w:rPr>
        <w:t> </w:t>
      </w:r>
      <w:r>
        <w:rPr>
          <w:sz w:val="24"/>
        </w:rPr>
        <w:t>services</w:t>
      </w:r>
      <w:r>
        <w:rPr>
          <w:spacing w:val="31"/>
          <w:sz w:val="24"/>
        </w:rPr>
        <w:t> </w:t>
      </w:r>
      <w:r>
        <w:rPr>
          <w:sz w:val="24"/>
        </w:rPr>
        <w:t>(as</w:t>
      </w:r>
      <w:r>
        <w:rPr>
          <w:spacing w:val="31"/>
          <w:sz w:val="24"/>
        </w:rPr>
        <w:t> </w:t>
      </w:r>
      <w:r>
        <w:rPr>
          <w:sz w:val="24"/>
        </w:rPr>
        <w:t>a director or otherwise) are provided to the company; and</w:t>
      </w:r>
    </w:p>
    <w:p>
      <w:pPr>
        <w:pStyle w:val="ListParagraph"/>
        <w:numPr>
          <w:ilvl w:val="3"/>
          <w:numId w:val="18"/>
        </w:numPr>
        <w:tabs>
          <w:tab w:pos="1028" w:val="left" w:leader="none"/>
        </w:tabs>
        <w:spacing w:line="242" w:lineRule="auto" w:before="0" w:after="0"/>
        <w:ind w:left="1028" w:right="230" w:hanging="360"/>
        <w:jc w:val="left"/>
        <w:rPr>
          <w:sz w:val="24"/>
        </w:rPr>
      </w:pPr>
      <w:r>
        <w:rPr>
          <w:sz w:val="24"/>
        </w:rPr>
        <w:t>Where the acceptance of the benefit cannot reasonably be regarded as likely to</w:t>
      </w:r>
      <w:r>
        <w:rPr>
          <w:spacing w:val="40"/>
          <w:sz w:val="24"/>
        </w:rPr>
        <w:t> </w:t>
      </w:r>
      <w:r>
        <w:rPr>
          <w:sz w:val="24"/>
        </w:rPr>
        <w:t>give rise to a conflict of interest.</w:t>
      </w:r>
    </w:p>
    <w:p>
      <w:pPr>
        <w:pStyle w:val="BodyText"/>
        <w:spacing w:line="480" w:lineRule="auto" w:before="263"/>
        <w:ind w:right="229"/>
        <w:jc w:val="both"/>
      </w:pPr>
      <w:r>
        <w:rPr/>
        <w:t>An associated body corporate is the company‘s holding or subsidiary company or a fellow</w:t>
      </w:r>
      <w:r>
        <w:rPr>
          <w:spacing w:val="-1"/>
        </w:rPr>
        <w:t> </w:t>
      </w:r>
      <w:r>
        <w:rPr/>
        <w:t>subsidiary</w:t>
      </w:r>
      <w:r>
        <w:rPr>
          <w:spacing w:val="-5"/>
        </w:rPr>
        <w:t> </w:t>
      </w:r>
      <w:r>
        <w:rPr/>
        <w:t>of</w:t>
      </w:r>
      <w:r>
        <w:rPr>
          <w:spacing w:val="-8"/>
        </w:rPr>
        <w:t> </w:t>
      </w:r>
      <w:r>
        <w:rPr/>
        <w:t>the</w:t>
      </w:r>
      <w:r>
        <w:rPr>
          <w:spacing w:val="-1"/>
        </w:rPr>
        <w:t> </w:t>
      </w:r>
      <w:r>
        <w:rPr/>
        <w:t>same holding company.</w:t>
      </w:r>
      <w:r>
        <w:rPr>
          <w:vertAlign w:val="superscript"/>
        </w:rPr>
        <w:t>307</w:t>
      </w:r>
      <w:r>
        <w:rPr>
          <w:vertAlign w:val="baseline"/>
        </w:rPr>
        <w:t> While</w:t>
      </w:r>
      <w:r>
        <w:rPr>
          <w:spacing w:val="-1"/>
          <w:vertAlign w:val="baseline"/>
        </w:rPr>
        <w:t> </w:t>
      </w:r>
      <w:r>
        <w:rPr>
          <w:vertAlign w:val="baseline"/>
        </w:rPr>
        <w:t>the</w:t>
      </w:r>
      <w:r>
        <w:rPr>
          <w:spacing w:val="-1"/>
          <w:vertAlign w:val="baseline"/>
        </w:rPr>
        <w:t> </w:t>
      </w:r>
      <w:r>
        <w:rPr>
          <w:vertAlign w:val="baseline"/>
        </w:rPr>
        <w:t>exception in the latter case is quite understandable in the context of group companies, the exception in the case of receiving benefits from</w:t>
      </w:r>
      <w:r>
        <w:rPr>
          <w:spacing w:val="-4"/>
          <w:vertAlign w:val="baseline"/>
        </w:rPr>
        <w:t> </w:t>
      </w:r>
      <w:r>
        <w:rPr>
          <w:vertAlign w:val="baseline"/>
        </w:rPr>
        <w:t>a person through whom</w:t>
      </w:r>
      <w:r>
        <w:rPr>
          <w:spacing w:val="-4"/>
          <w:vertAlign w:val="baseline"/>
        </w:rPr>
        <w:t> </w:t>
      </w:r>
      <w:r>
        <w:rPr>
          <w:vertAlign w:val="baseline"/>
        </w:rPr>
        <w:t>the director came to his office, whether corporate or natural, is arguable. The director owes his duties to the company, not his nominator. If nominee directors are allowed to get away with corporate benefits in this context, their allegiance would go to their nominators rather than the company, and the nominators could potentially become shadow directors, if their influence on their nominees is considerable.</w:t>
      </w:r>
    </w:p>
    <w:p>
      <w:pPr>
        <w:pStyle w:val="BodyText"/>
        <w:spacing w:before="1"/>
        <w:ind w:left="1028"/>
        <w:jc w:val="both"/>
      </w:pPr>
      <w:r>
        <w:rPr/>
        <w:t>S.176</w:t>
      </w:r>
      <w:r>
        <w:rPr>
          <w:spacing w:val="79"/>
        </w:rPr>
        <w:t> </w:t>
      </w:r>
      <w:r>
        <w:rPr/>
        <w:t>makes</w:t>
      </w:r>
      <w:r>
        <w:rPr>
          <w:spacing w:val="53"/>
          <w:w w:val="150"/>
        </w:rPr>
        <w:t> </w:t>
      </w:r>
      <w:r>
        <w:rPr/>
        <w:t>no</w:t>
      </w:r>
      <w:r>
        <w:rPr>
          <w:spacing w:val="79"/>
        </w:rPr>
        <w:t> </w:t>
      </w:r>
      <w:r>
        <w:rPr/>
        <w:t>provision</w:t>
      </w:r>
      <w:r>
        <w:rPr>
          <w:spacing w:val="75"/>
        </w:rPr>
        <w:t> </w:t>
      </w:r>
      <w:r>
        <w:rPr/>
        <w:t>for</w:t>
      </w:r>
      <w:r>
        <w:rPr>
          <w:spacing w:val="51"/>
          <w:w w:val="150"/>
        </w:rPr>
        <w:t> </w:t>
      </w:r>
      <w:r>
        <w:rPr/>
        <w:t>board</w:t>
      </w:r>
      <w:r>
        <w:rPr>
          <w:spacing w:val="75"/>
        </w:rPr>
        <w:t> </w:t>
      </w:r>
      <w:r>
        <w:rPr/>
        <w:t>authorisation,</w:t>
      </w:r>
      <w:r>
        <w:rPr>
          <w:spacing w:val="78"/>
        </w:rPr>
        <w:t> </w:t>
      </w:r>
      <w:r>
        <w:rPr/>
        <w:t>unlike</w:t>
      </w:r>
      <w:r>
        <w:rPr>
          <w:spacing w:val="74"/>
        </w:rPr>
        <w:t> </w:t>
      </w:r>
      <w:r>
        <w:rPr/>
        <w:t>s.175</w:t>
      </w:r>
      <w:r>
        <w:rPr>
          <w:spacing w:val="50"/>
          <w:w w:val="150"/>
        </w:rPr>
        <w:t> </w:t>
      </w:r>
      <w:r>
        <w:rPr/>
        <w:t>before</w:t>
      </w:r>
      <w:r>
        <w:rPr>
          <w:spacing w:val="79"/>
        </w:rPr>
        <w:t> </w:t>
      </w:r>
      <w:r>
        <w:rPr>
          <w:spacing w:val="-5"/>
        </w:rPr>
        <w:t>it.</w:t>
      </w:r>
    </w:p>
    <w:p>
      <w:pPr>
        <w:pStyle w:val="BodyText"/>
        <w:ind w:left="0"/>
      </w:pPr>
    </w:p>
    <w:p>
      <w:pPr>
        <w:pStyle w:val="BodyText"/>
        <w:spacing w:line="480" w:lineRule="auto"/>
        <w:ind w:right="236"/>
        <w:jc w:val="both"/>
      </w:pPr>
      <w:r>
        <w:rPr/>
        <w:t>However, the availability of shareholder authorisation at common law is preserved by s.180(4). Further, s.232 also significantly curtails the power of the company to make provisions in the articles exempting or limiting a director‘s liability for breach of any duty.</w:t>
      </w:r>
      <w:r>
        <w:rPr>
          <w:spacing w:val="2"/>
        </w:rPr>
        <w:t> </w:t>
      </w:r>
      <w:r>
        <w:rPr/>
        <w:t>At</w:t>
      </w:r>
      <w:r>
        <w:rPr>
          <w:spacing w:val="2"/>
        </w:rPr>
        <w:t> </w:t>
      </w:r>
      <w:r>
        <w:rPr/>
        <w:t>least,</w:t>
      </w:r>
      <w:r>
        <w:rPr>
          <w:spacing w:val="5"/>
        </w:rPr>
        <w:t> </w:t>
      </w:r>
      <w:r>
        <w:rPr/>
        <w:t>it</w:t>
      </w:r>
      <w:r>
        <w:rPr>
          <w:spacing w:val="2"/>
        </w:rPr>
        <w:t> </w:t>
      </w:r>
      <w:r>
        <w:rPr/>
        <w:t>would</w:t>
      </w:r>
      <w:r>
        <w:rPr>
          <w:spacing w:val="2"/>
        </w:rPr>
        <w:t> </w:t>
      </w:r>
      <w:r>
        <w:rPr/>
        <w:t>be</w:t>
      </w:r>
      <w:r>
        <w:rPr>
          <w:spacing w:val="-3"/>
        </w:rPr>
        <w:t> </w:t>
      </w:r>
      <w:r>
        <w:rPr/>
        <w:t>safe</w:t>
      </w:r>
      <w:r>
        <w:rPr>
          <w:spacing w:val="-3"/>
        </w:rPr>
        <w:t> </w:t>
      </w:r>
      <w:r>
        <w:rPr/>
        <w:t>to</w:t>
      </w:r>
      <w:r>
        <w:rPr>
          <w:spacing w:val="2"/>
        </w:rPr>
        <w:t> </w:t>
      </w:r>
      <w:r>
        <w:rPr/>
        <w:t>assume</w:t>
      </w:r>
      <w:r>
        <w:rPr>
          <w:spacing w:val="-4"/>
        </w:rPr>
        <w:t> </w:t>
      </w:r>
      <w:r>
        <w:rPr/>
        <w:t>that</w:t>
      </w:r>
      <w:r>
        <w:rPr>
          <w:spacing w:val="10"/>
        </w:rPr>
        <w:t> </w:t>
      </w:r>
      <w:r>
        <w:rPr/>
        <w:t>the</w:t>
      </w:r>
      <w:r>
        <w:rPr>
          <w:spacing w:val="-3"/>
        </w:rPr>
        <w:t> </w:t>
      </w:r>
      <w:r>
        <w:rPr/>
        <w:t>company's</w:t>
      </w:r>
      <w:r>
        <w:rPr>
          <w:spacing w:val="-1"/>
        </w:rPr>
        <w:t> </w:t>
      </w:r>
      <w:r>
        <w:rPr/>
        <w:t>articles</w:t>
      </w:r>
      <w:r>
        <w:rPr>
          <w:spacing w:val="-1"/>
        </w:rPr>
        <w:t> </w:t>
      </w:r>
      <w:r>
        <w:rPr/>
        <w:t>cannot</w:t>
      </w:r>
      <w:r>
        <w:rPr>
          <w:spacing w:val="4"/>
        </w:rPr>
        <w:t> </w:t>
      </w:r>
      <w:r>
        <w:rPr/>
        <w:t>provide</w:t>
      </w:r>
      <w:r>
        <w:rPr>
          <w:spacing w:val="-3"/>
        </w:rPr>
        <w:t> </w:t>
      </w:r>
      <w:r>
        <w:rPr>
          <w:spacing w:val="-4"/>
        </w:rPr>
        <w:t>that</w:t>
      </w:r>
    </w:p>
    <w:p>
      <w:pPr>
        <w:pStyle w:val="BodyText"/>
        <w:spacing w:before="2"/>
        <w:ind w:left="0"/>
        <w:rPr>
          <w:sz w:val="14"/>
        </w:rPr>
      </w:pPr>
      <w:r>
        <w:rPr/>
        <mc:AlternateContent>
          <mc:Choice Requires="wps">
            <w:drawing>
              <wp:anchor distT="0" distB="0" distL="0" distR="0" allowOverlap="1" layoutInCell="1" locked="0" behindDoc="1" simplePos="0" relativeHeight="487705088">
                <wp:simplePos x="0" y="0"/>
                <wp:positionH relativeFrom="page">
                  <wp:posOffset>1262481</wp:posOffset>
                </wp:positionH>
                <wp:positionV relativeFrom="paragraph">
                  <wp:posOffset>119075</wp:posOffset>
                </wp:positionV>
                <wp:extent cx="1829435" cy="9525"/>
                <wp:effectExtent l="0" t="0" r="0" b="0"/>
                <wp:wrapTopAndBottom/>
                <wp:docPr id="256" name="Graphic 256"/>
                <wp:cNvGraphicFramePr>
                  <a:graphicFrameLocks/>
                </wp:cNvGraphicFramePr>
                <a:graphic>
                  <a:graphicData uri="http://schemas.microsoft.com/office/word/2010/wordprocessingShape">
                    <wps:wsp>
                      <wps:cNvPr id="256" name="Graphic 25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376006pt;width:144.050pt;height:.71997pt;mso-position-horizontal-relative:page;mso-position-vertical-relative:paragraph;z-index:-15611392;mso-wrap-distance-left:0;mso-wrap-distance-right:0" id="docshape211"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305</w:t>
      </w:r>
      <w:r>
        <w:rPr>
          <w:rFonts w:ascii="Calibri"/>
          <w:spacing w:val="2"/>
          <w:sz w:val="20"/>
          <w:vertAlign w:val="baseline"/>
        </w:rPr>
        <w:t> </w:t>
      </w:r>
      <w:r>
        <w:rPr>
          <w:rFonts w:ascii="Calibri"/>
          <w:sz w:val="20"/>
          <w:vertAlign w:val="baseline"/>
        </w:rPr>
        <w:t>See</w:t>
      </w:r>
      <w:r>
        <w:rPr>
          <w:rFonts w:ascii="Calibri"/>
          <w:spacing w:val="-2"/>
          <w:sz w:val="20"/>
          <w:vertAlign w:val="baseline"/>
        </w:rPr>
        <w:t> s.176(2).</w:t>
      </w:r>
    </w:p>
    <w:p>
      <w:pPr>
        <w:spacing w:before="1"/>
        <w:ind w:left="308" w:right="0" w:firstLine="0"/>
        <w:jc w:val="left"/>
        <w:rPr>
          <w:rFonts w:ascii="Calibri"/>
          <w:sz w:val="20"/>
        </w:rPr>
      </w:pPr>
      <w:r>
        <w:rPr>
          <w:rFonts w:ascii="Calibri"/>
          <w:sz w:val="20"/>
          <w:vertAlign w:val="superscript"/>
        </w:rPr>
        <w:t>306</w:t>
      </w:r>
      <w:r>
        <w:rPr>
          <w:rFonts w:ascii="Calibri"/>
          <w:sz w:val="20"/>
          <w:vertAlign w:val="baseline"/>
        </w:rPr>
        <w:t>S.176(3)</w:t>
      </w:r>
      <w:r>
        <w:rPr>
          <w:rFonts w:ascii="Calibri"/>
          <w:spacing w:val="-2"/>
          <w:sz w:val="20"/>
          <w:vertAlign w:val="baseline"/>
        </w:rPr>
        <w:t> </w:t>
      </w:r>
      <w:r>
        <w:rPr>
          <w:rFonts w:ascii="Calibri"/>
          <w:sz w:val="20"/>
          <w:vertAlign w:val="baseline"/>
        </w:rPr>
        <w:t>and</w:t>
      </w:r>
      <w:r>
        <w:rPr>
          <w:rFonts w:ascii="Calibri"/>
          <w:spacing w:val="-7"/>
          <w:sz w:val="20"/>
          <w:vertAlign w:val="baseline"/>
        </w:rPr>
        <w:t> </w:t>
      </w:r>
      <w:r>
        <w:rPr>
          <w:rFonts w:ascii="Calibri"/>
          <w:spacing w:val="-4"/>
          <w:sz w:val="20"/>
          <w:vertAlign w:val="baseline"/>
        </w:rPr>
        <w:t>(4).</w:t>
      </w:r>
    </w:p>
    <w:p>
      <w:pPr>
        <w:spacing w:before="0"/>
        <w:ind w:left="308" w:right="0" w:firstLine="0"/>
        <w:jc w:val="left"/>
        <w:rPr>
          <w:rFonts w:ascii="Calibri"/>
          <w:sz w:val="20"/>
        </w:rPr>
      </w:pPr>
      <w:r>
        <w:rPr>
          <w:rFonts w:ascii="Calibri"/>
          <w:sz w:val="20"/>
          <w:vertAlign w:val="superscript"/>
        </w:rPr>
        <w:t>307</w:t>
      </w:r>
      <w:r>
        <w:rPr>
          <w:rFonts w:ascii="Calibri"/>
          <w:spacing w:val="2"/>
          <w:sz w:val="20"/>
          <w:vertAlign w:val="baseline"/>
        </w:rPr>
        <w:t> </w:t>
      </w:r>
      <w:r>
        <w:rPr>
          <w:rFonts w:ascii="Calibri"/>
          <w:sz w:val="20"/>
          <w:vertAlign w:val="baseline"/>
        </w:rPr>
        <w:t>See</w:t>
      </w:r>
      <w:r>
        <w:rPr>
          <w:rFonts w:ascii="Calibri"/>
          <w:spacing w:val="-2"/>
          <w:sz w:val="20"/>
          <w:vertAlign w:val="baseline"/>
        </w:rPr>
        <w:t> s.256.</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9"/>
        <w:jc w:val="both"/>
      </w:pPr>
      <w:r>
        <w:rPr/>
        <w:t>directors may legitimately receive third party benefits to an extent in breach of the Bribery Act 2010.</w:t>
      </w:r>
    </w:p>
    <w:p>
      <w:pPr>
        <w:pStyle w:val="BodyText"/>
        <w:spacing w:line="480" w:lineRule="auto"/>
        <w:ind w:right="227" w:firstLine="720"/>
        <w:jc w:val="both"/>
      </w:pPr>
      <w:r>
        <w:rPr/>
        <w:t>However, s.239 allows the board to ratify what would otherwise have been a director‘s breach</w:t>
      </w:r>
      <w:r>
        <w:rPr>
          <w:spacing w:val="-1"/>
        </w:rPr>
        <w:t> </w:t>
      </w:r>
      <w:r>
        <w:rPr/>
        <w:t>of</w:t>
      </w:r>
      <w:r>
        <w:rPr>
          <w:spacing w:val="-4"/>
        </w:rPr>
        <w:t> </w:t>
      </w:r>
      <w:r>
        <w:rPr/>
        <w:t>duty</w:t>
      </w:r>
      <w:r>
        <w:rPr>
          <w:spacing w:val="-5"/>
        </w:rPr>
        <w:t> </w:t>
      </w:r>
      <w:r>
        <w:rPr/>
        <w:t>or trust. But it must be noted</w:t>
      </w:r>
      <w:r>
        <w:rPr>
          <w:spacing w:val="-1"/>
        </w:rPr>
        <w:t> </w:t>
      </w:r>
      <w:r>
        <w:rPr/>
        <w:t>that</w:t>
      </w:r>
      <w:r>
        <w:rPr>
          <w:spacing w:val="-1"/>
        </w:rPr>
        <w:t> </w:t>
      </w:r>
      <w:r>
        <w:rPr/>
        <w:t>the resolution for ratification must</w:t>
      </w:r>
      <w:r>
        <w:rPr>
          <w:spacing w:val="40"/>
        </w:rPr>
        <w:t> </w:t>
      </w:r>
      <w:r>
        <w:rPr/>
        <w:t>be realised without the votes of any affected director, if he were a member.</w:t>
      </w:r>
      <w:r>
        <w:rPr>
          <w:vertAlign w:val="superscript"/>
        </w:rPr>
        <w:t>308</w:t>
      </w:r>
      <w:r>
        <w:rPr>
          <w:vertAlign w:val="baseline"/>
        </w:rPr>
        <w:t> This, the common law permitted, provided at</w:t>
      </w:r>
      <w:r>
        <w:rPr>
          <w:spacing w:val="40"/>
          <w:vertAlign w:val="baseline"/>
        </w:rPr>
        <w:t> </w:t>
      </w:r>
      <w:r>
        <w:rPr>
          <w:vertAlign w:val="baseline"/>
        </w:rPr>
        <w:t>least that the director‘s breach was in</w:t>
      </w:r>
      <w:r>
        <w:rPr>
          <w:spacing w:val="40"/>
          <w:vertAlign w:val="baseline"/>
        </w:rPr>
        <w:t> </w:t>
      </w:r>
      <w:r>
        <w:rPr>
          <w:vertAlign w:val="baseline"/>
        </w:rPr>
        <w:t>good faith.</w:t>
      </w:r>
      <w:r>
        <w:rPr>
          <w:vertAlign w:val="superscript"/>
        </w:rPr>
        <w:t>309</w:t>
      </w:r>
    </w:p>
    <w:p>
      <w:pPr>
        <w:pStyle w:val="BodyText"/>
        <w:spacing w:line="480" w:lineRule="auto" w:before="1"/>
        <w:ind w:right="229" w:firstLine="720"/>
        <w:jc w:val="both"/>
      </w:pPr>
      <w:r>
        <w:rPr/>
        <w:t>It is submitted that the law here seems contradictory. If the general meeting has the power to ratify a director‘s beach of duty, can‘t the same general meeting also approve</w:t>
      </w:r>
      <w:r>
        <w:rPr>
          <w:spacing w:val="-1"/>
        </w:rPr>
        <w:t> </w:t>
      </w:r>
      <w:r>
        <w:rPr/>
        <w:t>articles which</w:t>
      </w:r>
      <w:r>
        <w:rPr>
          <w:spacing w:val="-5"/>
        </w:rPr>
        <w:t> </w:t>
      </w:r>
      <w:r>
        <w:rPr/>
        <w:t>would allow</w:t>
      </w:r>
      <w:r>
        <w:rPr>
          <w:spacing w:val="-1"/>
        </w:rPr>
        <w:t> </w:t>
      </w:r>
      <w:r>
        <w:rPr/>
        <w:t>a</w:t>
      </w:r>
      <w:r>
        <w:rPr>
          <w:spacing w:val="-1"/>
        </w:rPr>
        <w:t> </w:t>
      </w:r>
      <w:r>
        <w:rPr/>
        <w:t>process for authorising such breach?</w:t>
      </w:r>
      <w:r>
        <w:rPr>
          <w:spacing w:val="-6"/>
        </w:rPr>
        <w:t> </w:t>
      </w:r>
      <w:r>
        <w:rPr/>
        <w:t>It is</w:t>
      </w:r>
      <w:r>
        <w:rPr>
          <w:spacing w:val="-2"/>
        </w:rPr>
        <w:t> </w:t>
      </w:r>
      <w:r>
        <w:rPr/>
        <w:t>the view of this writer that the general meeting ought not to be allowed to ratify such</w:t>
      </w:r>
      <w:r>
        <w:rPr>
          <w:spacing w:val="40"/>
        </w:rPr>
        <w:t> </w:t>
      </w:r>
      <w:r>
        <w:rPr/>
        <w:t>misconducts</w:t>
      </w:r>
      <w:r>
        <w:rPr>
          <w:spacing w:val="-5"/>
        </w:rPr>
        <w:t> </w:t>
      </w:r>
      <w:r>
        <w:rPr/>
        <w:t>perpetuated</w:t>
      </w:r>
      <w:r>
        <w:rPr>
          <w:spacing w:val="-8"/>
        </w:rPr>
        <w:t> </w:t>
      </w:r>
      <w:r>
        <w:rPr/>
        <w:t>in</w:t>
      </w:r>
      <w:r>
        <w:rPr>
          <w:spacing w:val="-8"/>
        </w:rPr>
        <w:t> </w:t>
      </w:r>
      <w:r>
        <w:rPr/>
        <w:t>the manner</w:t>
      </w:r>
      <w:r>
        <w:rPr>
          <w:spacing w:val="-2"/>
        </w:rPr>
        <w:t> </w:t>
      </w:r>
      <w:r>
        <w:rPr/>
        <w:t>described under</w:t>
      </w:r>
      <w:r>
        <w:rPr>
          <w:spacing w:val="-2"/>
        </w:rPr>
        <w:t> </w:t>
      </w:r>
      <w:r>
        <w:rPr/>
        <w:t>s.</w:t>
      </w:r>
      <w:r>
        <w:rPr>
          <w:spacing w:val="-1"/>
        </w:rPr>
        <w:t> </w:t>
      </w:r>
      <w:r>
        <w:rPr/>
        <w:t>176.</w:t>
      </w:r>
      <w:r>
        <w:rPr>
          <w:spacing w:val="-1"/>
        </w:rPr>
        <w:t> </w:t>
      </w:r>
      <w:r>
        <w:rPr/>
        <w:t>It</w:t>
      </w:r>
      <w:r>
        <w:rPr>
          <w:spacing w:val="-3"/>
        </w:rPr>
        <w:t> </w:t>
      </w:r>
      <w:r>
        <w:rPr/>
        <w:t>would</w:t>
      </w:r>
      <w:r>
        <w:rPr>
          <w:spacing w:val="-3"/>
        </w:rPr>
        <w:t> </w:t>
      </w:r>
      <w:r>
        <w:rPr/>
        <w:t>amount</w:t>
      </w:r>
      <w:r>
        <w:rPr>
          <w:spacing w:val="-3"/>
        </w:rPr>
        <w:t> </w:t>
      </w:r>
      <w:r>
        <w:rPr/>
        <w:t>to fraud on</w:t>
      </w:r>
      <w:r>
        <w:rPr>
          <w:spacing w:val="-6"/>
        </w:rPr>
        <w:t> </w:t>
      </w:r>
      <w:r>
        <w:rPr/>
        <w:t>the company.</w:t>
      </w:r>
      <w:r>
        <w:rPr>
          <w:vertAlign w:val="superscript"/>
        </w:rPr>
        <w:t>310</w:t>
      </w:r>
      <w:r>
        <w:rPr>
          <w:vertAlign w:val="baseline"/>
        </w:rPr>
        <w:t>Any</w:t>
      </w:r>
      <w:r>
        <w:rPr>
          <w:spacing w:val="-3"/>
          <w:vertAlign w:val="baseline"/>
        </w:rPr>
        <w:t> </w:t>
      </w:r>
      <w:r>
        <w:rPr>
          <w:vertAlign w:val="baseline"/>
        </w:rPr>
        <w:t>commissions/gains/profits/advantages/benefits gained should be disclosed and either declined or accounted to the company, in order to ensure the director‘s complete good faith in his duties to the company.</w:t>
      </w:r>
    </w:p>
    <w:p>
      <w:pPr>
        <w:pStyle w:val="BodyText"/>
        <w:spacing w:before="2"/>
        <w:ind w:left="1028"/>
        <w:jc w:val="both"/>
      </w:pPr>
      <w:r>
        <w:rPr/>
        <w:t>It</w:t>
      </w:r>
      <w:r>
        <w:rPr>
          <w:spacing w:val="49"/>
        </w:rPr>
        <w:t> </w:t>
      </w:r>
      <w:r>
        <w:rPr/>
        <w:t>is</w:t>
      </w:r>
      <w:r>
        <w:rPr>
          <w:spacing w:val="42"/>
        </w:rPr>
        <w:t> </w:t>
      </w:r>
      <w:r>
        <w:rPr/>
        <w:t>also</w:t>
      </w:r>
      <w:r>
        <w:rPr>
          <w:spacing w:val="49"/>
        </w:rPr>
        <w:t> </w:t>
      </w:r>
      <w:r>
        <w:rPr/>
        <w:t>curious</w:t>
      </w:r>
      <w:r>
        <w:rPr>
          <w:spacing w:val="42"/>
        </w:rPr>
        <w:t> </w:t>
      </w:r>
      <w:r>
        <w:rPr/>
        <w:t>that</w:t>
      </w:r>
      <w:r>
        <w:rPr>
          <w:spacing w:val="50"/>
        </w:rPr>
        <w:t> </w:t>
      </w:r>
      <w:r>
        <w:rPr/>
        <w:t>the</w:t>
      </w:r>
      <w:r>
        <w:rPr>
          <w:spacing w:val="44"/>
        </w:rPr>
        <w:t> </w:t>
      </w:r>
      <w:r>
        <w:rPr/>
        <w:t>section</w:t>
      </w:r>
      <w:r>
        <w:rPr>
          <w:spacing w:val="44"/>
        </w:rPr>
        <w:t> </w:t>
      </w:r>
      <w:r>
        <w:rPr/>
        <w:t>makes</w:t>
      </w:r>
      <w:r>
        <w:rPr>
          <w:spacing w:val="47"/>
        </w:rPr>
        <w:t> </w:t>
      </w:r>
      <w:r>
        <w:rPr/>
        <w:t>no</w:t>
      </w:r>
      <w:r>
        <w:rPr>
          <w:spacing w:val="53"/>
        </w:rPr>
        <w:t> </w:t>
      </w:r>
      <w:r>
        <w:rPr/>
        <w:t>mention</w:t>
      </w:r>
      <w:r>
        <w:rPr>
          <w:spacing w:val="41"/>
        </w:rPr>
        <w:t> </w:t>
      </w:r>
      <w:r>
        <w:rPr/>
        <w:t>of</w:t>
      </w:r>
      <w:r>
        <w:rPr>
          <w:spacing w:val="38"/>
        </w:rPr>
        <w:t> </w:t>
      </w:r>
      <w:r>
        <w:rPr/>
        <w:t>the</w:t>
      </w:r>
      <w:r>
        <w:rPr>
          <w:spacing w:val="47"/>
        </w:rPr>
        <w:t> </w:t>
      </w:r>
      <w:r>
        <w:rPr/>
        <w:t>―benefit‖</w:t>
      </w:r>
      <w:r>
        <w:rPr>
          <w:spacing w:val="48"/>
        </w:rPr>
        <w:t> </w:t>
      </w:r>
      <w:r>
        <w:rPr>
          <w:spacing w:val="-2"/>
        </w:rPr>
        <w:t>being</w:t>
      </w:r>
    </w:p>
    <w:p>
      <w:pPr>
        <w:pStyle w:val="BodyText"/>
        <w:ind w:left="0"/>
      </w:pPr>
    </w:p>
    <w:p>
      <w:pPr>
        <w:pStyle w:val="BodyText"/>
        <w:spacing w:line="480" w:lineRule="auto"/>
        <w:ind w:right="239"/>
        <w:jc w:val="both"/>
      </w:pPr>
      <w:r>
        <w:rPr/>
        <w:t>―secret‖</w:t>
      </w:r>
      <w:r>
        <w:rPr>
          <w:spacing w:val="-4"/>
        </w:rPr>
        <w:t> </w:t>
      </w:r>
      <w:r>
        <w:rPr/>
        <w:t>as</w:t>
      </w:r>
      <w:r>
        <w:rPr>
          <w:spacing w:val="-6"/>
        </w:rPr>
        <w:t> </w:t>
      </w:r>
      <w:r>
        <w:rPr/>
        <w:t>contemplated</w:t>
      </w:r>
      <w:r>
        <w:rPr>
          <w:spacing w:val="-4"/>
        </w:rPr>
        <w:t> </w:t>
      </w:r>
      <w:r>
        <w:rPr/>
        <w:t>by</w:t>
      </w:r>
      <w:r>
        <w:rPr>
          <w:spacing w:val="-12"/>
        </w:rPr>
        <w:t> </w:t>
      </w:r>
      <w:r>
        <w:rPr/>
        <w:t>the</w:t>
      </w:r>
      <w:r>
        <w:rPr>
          <w:spacing w:val="-4"/>
        </w:rPr>
        <w:t> </w:t>
      </w:r>
      <w:r>
        <w:rPr/>
        <w:t>rule</w:t>
      </w:r>
      <w:r>
        <w:rPr>
          <w:spacing w:val="-4"/>
        </w:rPr>
        <w:t> </w:t>
      </w:r>
      <w:r>
        <w:rPr/>
        <w:t>under</w:t>
      </w:r>
      <w:r>
        <w:rPr>
          <w:spacing w:val="-3"/>
        </w:rPr>
        <w:t> </w:t>
      </w:r>
      <w:r>
        <w:rPr/>
        <w:t>the</w:t>
      </w:r>
      <w:r>
        <w:rPr>
          <w:spacing w:val="-4"/>
        </w:rPr>
        <w:t> </w:t>
      </w:r>
      <w:r>
        <w:rPr/>
        <w:t>common</w:t>
      </w:r>
      <w:r>
        <w:rPr>
          <w:spacing w:val="-4"/>
        </w:rPr>
        <w:t> </w:t>
      </w:r>
      <w:r>
        <w:rPr/>
        <w:t>law.</w:t>
      </w:r>
      <w:r>
        <w:rPr>
          <w:spacing w:val="-3"/>
        </w:rPr>
        <w:t> </w:t>
      </w:r>
      <w:r>
        <w:rPr/>
        <w:t>Could it be</w:t>
      </w:r>
      <w:r>
        <w:rPr>
          <w:spacing w:val="-4"/>
        </w:rPr>
        <w:t> </w:t>
      </w:r>
      <w:r>
        <w:rPr/>
        <w:t>that</w:t>
      </w:r>
      <w:r>
        <w:rPr>
          <w:spacing w:val="-4"/>
        </w:rPr>
        <w:t> </w:t>
      </w:r>
      <w:r>
        <w:rPr/>
        <w:t>the</w:t>
      </w:r>
      <w:r>
        <w:rPr>
          <w:spacing w:val="-4"/>
        </w:rPr>
        <w:t> </w:t>
      </w:r>
      <w:r>
        <w:rPr/>
        <w:t>benefit is still</w:t>
      </w:r>
      <w:r>
        <w:rPr>
          <w:spacing w:val="-3"/>
        </w:rPr>
        <w:t> </w:t>
      </w:r>
      <w:r>
        <w:rPr/>
        <w:t>prohibited even</w:t>
      </w:r>
      <w:r>
        <w:rPr>
          <w:spacing w:val="-4"/>
        </w:rPr>
        <w:t> </w:t>
      </w:r>
      <w:r>
        <w:rPr/>
        <w:t>where it is</w:t>
      </w:r>
      <w:r>
        <w:rPr>
          <w:spacing w:val="-1"/>
        </w:rPr>
        <w:t> </w:t>
      </w:r>
      <w:r>
        <w:rPr/>
        <w:t>given ―openly‖?</w:t>
      </w:r>
      <w:r>
        <w:rPr>
          <w:spacing w:val="-4"/>
        </w:rPr>
        <w:t> </w:t>
      </w:r>
      <w:r>
        <w:rPr/>
        <w:t>This may be debatable, but it would appear to be the case, at least, for conducts which fit the description of the offence of bribery as provided in the Bribery Act 2010.</w:t>
      </w:r>
    </w:p>
    <w:p>
      <w:pPr>
        <w:pStyle w:val="BodyText"/>
        <w:spacing w:line="480" w:lineRule="auto" w:before="203"/>
        <w:ind w:right="232" w:firstLine="720"/>
        <w:jc w:val="both"/>
      </w:pPr>
      <w:r>
        <w:rPr/>
        <w:t>This duty also extends beyond the director‘s tenure so that he would still be bound</w:t>
      </w:r>
      <w:r>
        <w:rPr>
          <w:spacing w:val="37"/>
        </w:rPr>
        <w:t> </w:t>
      </w:r>
      <w:r>
        <w:rPr/>
        <w:t>even</w:t>
      </w:r>
      <w:r>
        <w:rPr>
          <w:spacing w:val="33"/>
        </w:rPr>
        <w:t> </w:t>
      </w:r>
      <w:r>
        <w:rPr/>
        <w:t>after</w:t>
      </w:r>
      <w:r>
        <w:rPr>
          <w:spacing w:val="40"/>
        </w:rPr>
        <w:t> </w:t>
      </w:r>
      <w:r>
        <w:rPr/>
        <w:t>he</w:t>
      </w:r>
      <w:r>
        <w:rPr>
          <w:spacing w:val="42"/>
        </w:rPr>
        <w:t> </w:t>
      </w:r>
      <w:r>
        <w:rPr/>
        <w:t>leaves</w:t>
      </w:r>
      <w:r>
        <w:rPr>
          <w:spacing w:val="36"/>
        </w:rPr>
        <w:t> </w:t>
      </w:r>
      <w:r>
        <w:rPr/>
        <w:t>the</w:t>
      </w:r>
      <w:r>
        <w:rPr>
          <w:spacing w:val="37"/>
        </w:rPr>
        <w:t> </w:t>
      </w:r>
      <w:r>
        <w:rPr/>
        <w:t>company.</w:t>
      </w:r>
      <w:r>
        <w:rPr>
          <w:vertAlign w:val="superscript"/>
        </w:rPr>
        <w:t>311</w:t>
      </w:r>
      <w:r>
        <w:rPr>
          <w:spacing w:val="41"/>
          <w:vertAlign w:val="baseline"/>
        </w:rPr>
        <w:t> </w:t>
      </w:r>
      <w:r>
        <w:rPr>
          <w:vertAlign w:val="baseline"/>
        </w:rPr>
        <w:t>This</w:t>
      </w:r>
      <w:r>
        <w:rPr>
          <w:spacing w:val="36"/>
          <w:vertAlign w:val="baseline"/>
        </w:rPr>
        <w:t> </w:t>
      </w:r>
      <w:r>
        <w:rPr>
          <w:vertAlign w:val="baseline"/>
        </w:rPr>
        <w:t>effectively</w:t>
      </w:r>
      <w:r>
        <w:rPr>
          <w:spacing w:val="29"/>
          <w:vertAlign w:val="baseline"/>
        </w:rPr>
        <w:t> </w:t>
      </w:r>
      <w:r>
        <w:rPr>
          <w:vertAlign w:val="baseline"/>
        </w:rPr>
        <w:t>discourages</w:t>
      </w:r>
      <w:r>
        <w:rPr>
          <w:spacing w:val="36"/>
          <w:vertAlign w:val="baseline"/>
        </w:rPr>
        <w:t> </w:t>
      </w:r>
      <w:r>
        <w:rPr>
          <w:vertAlign w:val="baseline"/>
        </w:rPr>
        <w:t>the</w:t>
      </w:r>
      <w:r>
        <w:rPr>
          <w:spacing w:val="37"/>
          <w:vertAlign w:val="baseline"/>
        </w:rPr>
        <w:t> </w:t>
      </w:r>
      <w:r>
        <w:rPr>
          <w:spacing w:val="-2"/>
          <w:vertAlign w:val="baseline"/>
        </w:rPr>
        <w:t>director</w:t>
      </w:r>
    </w:p>
    <w:p>
      <w:pPr>
        <w:pStyle w:val="BodyText"/>
        <w:spacing w:before="70"/>
        <w:ind w:left="0"/>
        <w:rPr>
          <w:sz w:val="20"/>
        </w:rPr>
      </w:pPr>
      <w:r>
        <w:rPr/>
        <mc:AlternateContent>
          <mc:Choice Requires="wps">
            <w:drawing>
              <wp:anchor distT="0" distB="0" distL="0" distR="0" allowOverlap="1" layoutInCell="1" locked="0" behindDoc="1" simplePos="0" relativeHeight="487705600">
                <wp:simplePos x="0" y="0"/>
                <wp:positionH relativeFrom="page">
                  <wp:posOffset>1262481</wp:posOffset>
                </wp:positionH>
                <wp:positionV relativeFrom="paragraph">
                  <wp:posOffset>206267</wp:posOffset>
                </wp:positionV>
                <wp:extent cx="1829435" cy="9525"/>
                <wp:effectExtent l="0" t="0" r="0" b="0"/>
                <wp:wrapTopAndBottom/>
                <wp:docPr id="257" name="Graphic 257"/>
                <wp:cNvGraphicFramePr>
                  <a:graphicFrameLocks/>
                </wp:cNvGraphicFramePr>
                <a:graphic>
                  <a:graphicData uri="http://schemas.microsoft.com/office/word/2010/wordprocessingShape">
                    <wps:wsp>
                      <wps:cNvPr id="257" name="Graphic 257"/>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241533pt;width:144.050pt;height:.72003pt;mso-position-horizontal-relative:page;mso-position-vertical-relative:paragraph;z-index:-15610880;mso-wrap-distance-left:0;mso-wrap-distance-right:0" id="docshape212"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308</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s.239(3)</w:t>
      </w:r>
      <w:r>
        <w:rPr>
          <w:rFonts w:ascii="Calibri"/>
          <w:spacing w:val="-4"/>
          <w:sz w:val="20"/>
          <w:vertAlign w:val="baseline"/>
        </w:rPr>
        <w:t> </w:t>
      </w:r>
      <w:r>
        <w:rPr>
          <w:rFonts w:ascii="Calibri"/>
          <w:sz w:val="20"/>
          <w:vertAlign w:val="baseline"/>
        </w:rPr>
        <w:t>&amp;</w:t>
      </w:r>
      <w:r>
        <w:rPr>
          <w:rFonts w:ascii="Calibri"/>
          <w:spacing w:val="-3"/>
          <w:sz w:val="20"/>
          <w:vertAlign w:val="baseline"/>
        </w:rPr>
        <w:t> </w:t>
      </w:r>
      <w:r>
        <w:rPr>
          <w:rFonts w:ascii="Calibri"/>
          <w:spacing w:val="-4"/>
          <w:sz w:val="20"/>
          <w:vertAlign w:val="baseline"/>
        </w:rPr>
        <w:t>(4).</w:t>
      </w:r>
    </w:p>
    <w:p>
      <w:pPr>
        <w:spacing w:before="0"/>
        <w:ind w:left="308" w:right="0" w:firstLine="0"/>
        <w:jc w:val="left"/>
        <w:rPr>
          <w:rFonts w:ascii="Calibri"/>
          <w:sz w:val="20"/>
        </w:rPr>
      </w:pPr>
      <w:r>
        <w:rPr>
          <w:rFonts w:ascii="Calibri"/>
          <w:sz w:val="20"/>
          <w:vertAlign w:val="superscript"/>
        </w:rPr>
        <w:t>309</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al.op.cit.</w:t>
      </w:r>
      <w:r>
        <w:rPr>
          <w:rFonts w:ascii="Calibri"/>
          <w:spacing w:val="-4"/>
          <w:sz w:val="20"/>
          <w:vertAlign w:val="baseline"/>
        </w:rPr>
        <w:t> </w:t>
      </w:r>
      <w:r>
        <w:rPr>
          <w:rFonts w:ascii="Calibri"/>
          <w:sz w:val="20"/>
          <w:vertAlign w:val="baseline"/>
        </w:rPr>
        <w:t>at</w:t>
      </w:r>
      <w:r>
        <w:rPr>
          <w:rFonts w:ascii="Calibri"/>
          <w:spacing w:val="-2"/>
          <w:sz w:val="20"/>
          <w:vertAlign w:val="baseline"/>
        </w:rPr>
        <w:t> p.685.</w:t>
      </w:r>
    </w:p>
    <w:p>
      <w:pPr>
        <w:spacing w:before="1"/>
        <w:ind w:left="308" w:right="0" w:firstLine="0"/>
        <w:jc w:val="left"/>
        <w:rPr>
          <w:rFonts w:ascii="Calibri" w:hAnsi="Calibri"/>
          <w:sz w:val="20"/>
        </w:rPr>
      </w:pPr>
      <w:r>
        <w:rPr>
          <w:rFonts w:ascii="Calibri" w:hAnsi="Calibri"/>
          <w:sz w:val="20"/>
          <w:vertAlign w:val="superscript"/>
        </w:rPr>
        <w:t>310</w:t>
      </w:r>
      <w:r>
        <w:rPr>
          <w:rFonts w:ascii="Calibri" w:hAnsi="Calibri"/>
          <w:sz w:val="20"/>
          <w:vertAlign w:val="baseline"/>
        </w:rPr>
        <w:t> Granted, the success of the company is “for the benefit of its members as a whole” (s.172), but the company’s properties do not in fact belong to the members.</w:t>
      </w:r>
    </w:p>
    <w:p>
      <w:pPr>
        <w:spacing w:before="1"/>
        <w:ind w:left="308" w:right="0" w:firstLine="0"/>
        <w:jc w:val="left"/>
        <w:rPr>
          <w:rFonts w:ascii="Calibri"/>
          <w:sz w:val="20"/>
        </w:rPr>
      </w:pPr>
      <w:r>
        <w:rPr>
          <w:rFonts w:ascii="Calibri"/>
          <w:sz w:val="20"/>
          <w:vertAlign w:val="superscript"/>
        </w:rPr>
        <w:t>311</w:t>
      </w:r>
      <w:r>
        <w:rPr>
          <w:rFonts w:ascii="Calibri"/>
          <w:spacing w:val="2"/>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w:t>
      </w:r>
      <w:r>
        <w:rPr>
          <w:rFonts w:ascii="Calibri"/>
          <w:spacing w:val="3"/>
          <w:sz w:val="20"/>
          <w:vertAlign w:val="baseline"/>
        </w:rPr>
        <w:t> </w:t>
      </w:r>
      <w:r>
        <w:rPr>
          <w:rFonts w:ascii="Calibri"/>
          <w:spacing w:val="-2"/>
          <w:sz w:val="20"/>
          <w:vertAlign w:val="baseline"/>
        </w:rPr>
        <w:t>170(2)(b).</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8"/>
        <w:jc w:val="both"/>
      </w:pPr>
      <w:r>
        <w:rPr/>
        <w:t>from scheming to resign simply to take advantage of what is being offered, for the company can still go after him to reclaim whatever was given. However, proving that the gift/benefit was in fact given as a consequence of the former director being a</w:t>
      </w:r>
      <w:r>
        <w:rPr>
          <w:spacing w:val="40"/>
        </w:rPr>
        <w:t> </w:t>
      </w:r>
      <w:r>
        <w:rPr/>
        <w:t>director of</w:t>
      </w:r>
      <w:r>
        <w:rPr>
          <w:spacing w:val="-8"/>
        </w:rPr>
        <w:t> </w:t>
      </w:r>
      <w:r>
        <w:rPr/>
        <w:t>the company, or doing or not doing something in his capacity as a</w:t>
      </w:r>
      <w:r>
        <w:rPr>
          <w:spacing w:val="-1"/>
        </w:rPr>
        <w:t> </w:t>
      </w:r>
      <w:r>
        <w:rPr/>
        <w:t>director at the time, may not be easy for the company.</w:t>
      </w:r>
    </w:p>
    <w:p>
      <w:pPr>
        <w:pStyle w:val="Heading2"/>
        <w:numPr>
          <w:ilvl w:val="2"/>
          <w:numId w:val="18"/>
        </w:numPr>
        <w:tabs>
          <w:tab w:pos="1027" w:val="left" w:leader="none"/>
        </w:tabs>
        <w:spacing w:line="240" w:lineRule="auto" w:before="207" w:after="0"/>
        <w:ind w:left="1027" w:right="0" w:hanging="719"/>
        <w:jc w:val="both"/>
      </w:pPr>
      <w:bookmarkStart w:name="_TOC_250014" w:id="38"/>
      <w:r>
        <w:rPr/>
        <w:t>Duty</w:t>
      </w:r>
      <w:r>
        <w:rPr>
          <w:spacing w:val="-4"/>
        </w:rPr>
        <w:t> </w:t>
      </w:r>
      <w:r>
        <w:rPr/>
        <w:t>to</w:t>
      </w:r>
      <w:r>
        <w:rPr>
          <w:spacing w:val="-6"/>
        </w:rPr>
        <w:t> </w:t>
      </w:r>
      <w:r>
        <w:rPr/>
        <w:t>Declare</w:t>
      </w:r>
      <w:r>
        <w:rPr>
          <w:spacing w:val="-3"/>
        </w:rPr>
        <w:t> </w:t>
      </w:r>
      <w:r>
        <w:rPr/>
        <w:t>Interest in</w:t>
      </w:r>
      <w:r>
        <w:rPr>
          <w:spacing w:val="-1"/>
        </w:rPr>
        <w:t> </w:t>
      </w:r>
      <w:r>
        <w:rPr/>
        <w:t>Proposed</w:t>
      </w:r>
      <w:r>
        <w:rPr>
          <w:spacing w:val="-2"/>
        </w:rPr>
        <w:t> </w:t>
      </w:r>
      <w:r>
        <w:rPr/>
        <w:t>Transaction</w:t>
      </w:r>
      <w:r>
        <w:rPr>
          <w:spacing w:val="-1"/>
        </w:rPr>
        <w:t> </w:t>
      </w:r>
      <w:r>
        <w:rPr/>
        <w:t>or</w:t>
      </w:r>
      <w:r>
        <w:rPr>
          <w:spacing w:val="-7"/>
        </w:rPr>
        <w:t> </w:t>
      </w:r>
      <w:bookmarkEnd w:id="38"/>
      <w:r>
        <w:rPr>
          <w:spacing w:val="-2"/>
        </w:rPr>
        <w:t>Arrangement</w:t>
      </w:r>
    </w:p>
    <w:p>
      <w:pPr>
        <w:pStyle w:val="BodyText"/>
        <w:spacing w:line="480" w:lineRule="auto" w:before="132"/>
        <w:ind w:right="226"/>
        <w:jc w:val="both"/>
      </w:pPr>
      <w:r>
        <w:rPr/>
        <w:t>Like</w:t>
      </w:r>
      <w:r>
        <w:rPr>
          <w:spacing w:val="-2"/>
        </w:rPr>
        <w:t> </w:t>
      </w:r>
      <w:r>
        <w:rPr/>
        <w:t>the</w:t>
      </w:r>
      <w:r>
        <w:rPr>
          <w:spacing w:val="-2"/>
        </w:rPr>
        <w:t> </w:t>
      </w:r>
      <w:r>
        <w:rPr/>
        <w:t>two preceding</w:t>
      </w:r>
      <w:r>
        <w:rPr>
          <w:spacing w:val="-1"/>
        </w:rPr>
        <w:t> </w:t>
      </w:r>
      <w:r>
        <w:rPr/>
        <w:t>sections, s.177</w:t>
      </w:r>
      <w:r>
        <w:rPr>
          <w:spacing w:val="-1"/>
        </w:rPr>
        <w:t> </w:t>
      </w:r>
      <w:r>
        <w:rPr/>
        <w:t>covers</w:t>
      </w:r>
      <w:r>
        <w:rPr>
          <w:spacing w:val="-3"/>
        </w:rPr>
        <w:t> </w:t>
      </w:r>
      <w:r>
        <w:rPr/>
        <w:t>another aspect</w:t>
      </w:r>
      <w:r>
        <w:rPr>
          <w:spacing w:val="-1"/>
        </w:rPr>
        <w:t> </w:t>
      </w:r>
      <w:r>
        <w:rPr/>
        <w:t>of</w:t>
      </w:r>
      <w:r>
        <w:rPr>
          <w:spacing w:val="-9"/>
        </w:rPr>
        <w:t> </w:t>
      </w:r>
      <w:r>
        <w:rPr/>
        <w:t>the</w:t>
      </w:r>
      <w:r>
        <w:rPr>
          <w:spacing w:val="-2"/>
        </w:rPr>
        <w:t> </w:t>
      </w:r>
      <w:r>
        <w:rPr/>
        <w:t>rule</w:t>
      </w:r>
      <w:r>
        <w:rPr>
          <w:spacing w:val="-2"/>
        </w:rPr>
        <w:t> </w:t>
      </w:r>
      <w:r>
        <w:rPr/>
        <w:t>against conflicts of interests. The general rule as set in s.175 is that a director must avoid situations whereby his own interests conflict with those of the company. However, the law seems to make an exception in the case of transactions or arrangements with the company,</w:t>
      </w:r>
      <w:r>
        <w:rPr>
          <w:vertAlign w:val="superscript"/>
        </w:rPr>
        <w:t>312</w:t>
      </w:r>
      <w:r>
        <w:rPr>
          <w:spacing w:val="80"/>
          <w:vertAlign w:val="baseline"/>
        </w:rPr>
        <w:t> </w:t>
      </w:r>
      <w:r>
        <w:rPr>
          <w:vertAlign w:val="baseline"/>
        </w:rPr>
        <w:t>at least, where the director declares his interests prior to the company entering into the transaction or arrangement with him. In other words, a director is not under a duty to avoid interests in transactions or arrangements with the company. The law simply mandates</w:t>
      </w:r>
      <w:r>
        <w:rPr>
          <w:spacing w:val="-11"/>
          <w:vertAlign w:val="baseline"/>
        </w:rPr>
        <w:t> </w:t>
      </w:r>
      <w:r>
        <w:rPr>
          <w:vertAlign w:val="baseline"/>
        </w:rPr>
        <w:t>that</w:t>
      </w:r>
      <w:r>
        <w:rPr>
          <w:spacing w:val="-5"/>
          <w:vertAlign w:val="baseline"/>
        </w:rPr>
        <w:t> </w:t>
      </w:r>
      <w:r>
        <w:rPr>
          <w:vertAlign w:val="baseline"/>
        </w:rPr>
        <w:t>―if</w:t>
      </w:r>
      <w:r>
        <w:rPr>
          <w:spacing w:val="-11"/>
          <w:vertAlign w:val="baseline"/>
        </w:rPr>
        <w:t> </w:t>
      </w:r>
      <w:r>
        <w:rPr>
          <w:vertAlign w:val="baseline"/>
        </w:rPr>
        <w:t>a</w:t>
      </w:r>
      <w:r>
        <w:rPr>
          <w:spacing w:val="-10"/>
          <w:vertAlign w:val="baseline"/>
        </w:rPr>
        <w:t> </w:t>
      </w:r>
      <w:r>
        <w:rPr>
          <w:vertAlign w:val="baseline"/>
        </w:rPr>
        <w:t>director</w:t>
      </w:r>
      <w:r>
        <w:rPr>
          <w:spacing w:val="-11"/>
          <w:vertAlign w:val="baseline"/>
        </w:rPr>
        <w:t> </w:t>
      </w:r>
      <w:r>
        <w:rPr>
          <w:vertAlign w:val="baseline"/>
        </w:rPr>
        <w:t>of</w:t>
      </w:r>
      <w:r>
        <w:rPr>
          <w:spacing w:val="-15"/>
          <w:vertAlign w:val="baseline"/>
        </w:rPr>
        <w:t> </w:t>
      </w:r>
      <w:r>
        <w:rPr>
          <w:vertAlign w:val="baseline"/>
        </w:rPr>
        <w:t>a</w:t>
      </w:r>
      <w:r>
        <w:rPr>
          <w:spacing w:val="-10"/>
          <w:vertAlign w:val="baseline"/>
        </w:rPr>
        <w:t> </w:t>
      </w:r>
      <w:r>
        <w:rPr>
          <w:vertAlign w:val="baseline"/>
        </w:rPr>
        <w:t>company</w:t>
      </w:r>
      <w:r>
        <w:rPr>
          <w:spacing w:val="-9"/>
          <w:vertAlign w:val="baseline"/>
        </w:rPr>
        <w:t> </w:t>
      </w:r>
      <w:r>
        <w:rPr>
          <w:vertAlign w:val="baseline"/>
        </w:rPr>
        <w:t>is</w:t>
      </w:r>
      <w:r>
        <w:rPr>
          <w:spacing w:val="-3"/>
          <w:vertAlign w:val="baseline"/>
        </w:rPr>
        <w:t> </w:t>
      </w:r>
      <w:r>
        <w:rPr>
          <w:vertAlign w:val="baseline"/>
        </w:rPr>
        <w:t>in</w:t>
      </w:r>
      <w:r>
        <w:rPr>
          <w:spacing w:val="-9"/>
          <w:vertAlign w:val="baseline"/>
        </w:rPr>
        <w:t> </w:t>
      </w:r>
      <w:r>
        <w:rPr>
          <w:vertAlign w:val="baseline"/>
        </w:rPr>
        <w:t>any</w:t>
      </w:r>
      <w:r>
        <w:rPr>
          <w:spacing w:val="-9"/>
          <w:vertAlign w:val="baseline"/>
        </w:rPr>
        <w:t> </w:t>
      </w:r>
      <w:r>
        <w:rPr>
          <w:vertAlign w:val="baseline"/>
        </w:rPr>
        <w:t>way,</w:t>
      </w:r>
      <w:r>
        <w:rPr>
          <w:spacing w:val="-1"/>
          <w:vertAlign w:val="baseline"/>
        </w:rPr>
        <w:t> </w:t>
      </w:r>
      <w:r>
        <w:rPr>
          <w:i/>
          <w:vertAlign w:val="baseline"/>
        </w:rPr>
        <w:t>directly</w:t>
      </w:r>
      <w:r>
        <w:rPr>
          <w:i/>
          <w:spacing w:val="-9"/>
          <w:vertAlign w:val="baseline"/>
        </w:rPr>
        <w:t> </w:t>
      </w:r>
      <w:r>
        <w:rPr>
          <w:vertAlign w:val="baseline"/>
        </w:rPr>
        <w:t>or</w:t>
      </w:r>
      <w:r>
        <w:rPr>
          <w:spacing w:val="-7"/>
          <w:vertAlign w:val="baseline"/>
        </w:rPr>
        <w:t> </w:t>
      </w:r>
      <w:r>
        <w:rPr>
          <w:i/>
          <w:vertAlign w:val="baseline"/>
        </w:rPr>
        <w:t>indirectly</w:t>
      </w:r>
      <w:r>
        <w:rPr>
          <w:vertAlign w:val="baseline"/>
        </w:rPr>
        <w:t>,</w:t>
      </w:r>
      <w:r>
        <w:rPr>
          <w:spacing w:val="-3"/>
          <w:vertAlign w:val="baseline"/>
        </w:rPr>
        <w:t> </w:t>
      </w:r>
      <w:r>
        <w:rPr>
          <w:vertAlign w:val="baseline"/>
        </w:rPr>
        <w:t>interested in a </w:t>
      </w:r>
      <w:r>
        <w:rPr>
          <w:i/>
          <w:vertAlign w:val="baseline"/>
        </w:rPr>
        <w:t>proposed</w:t>
      </w:r>
      <w:r>
        <w:rPr>
          <w:vertAlign w:val="baseline"/>
        </w:rPr>
        <w:t>transaction or arrangement with the company, he must </w:t>
      </w:r>
      <w:r>
        <w:rPr>
          <w:i/>
          <w:vertAlign w:val="baseline"/>
        </w:rPr>
        <w:t>declare </w:t>
      </w:r>
      <w:r>
        <w:rPr>
          <w:vertAlign w:val="baseline"/>
        </w:rPr>
        <w:t>the </w:t>
      </w:r>
      <w:r>
        <w:rPr>
          <w:i/>
          <w:vertAlign w:val="baseline"/>
        </w:rPr>
        <w:t>nature </w:t>
      </w:r>
      <w:r>
        <w:rPr>
          <w:vertAlign w:val="baseline"/>
        </w:rPr>
        <w:t>and </w:t>
      </w:r>
      <w:r>
        <w:rPr>
          <w:i/>
          <w:vertAlign w:val="baseline"/>
        </w:rPr>
        <w:t>extent </w:t>
      </w:r>
      <w:r>
        <w:rPr>
          <w:vertAlign w:val="baseline"/>
        </w:rPr>
        <w:t>of that interest </w:t>
      </w:r>
      <w:r>
        <w:rPr>
          <w:i/>
          <w:vertAlign w:val="baseline"/>
        </w:rPr>
        <w:t>to the other directors</w:t>
      </w:r>
      <w:r>
        <w:rPr>
          <w:vertAlign w:val="baseline"/>
        </w:rPr>
        <w:t>.‖</w:t>
      </w:r>
    </w:p>
    <w:p>
      <w:pPr>
        <w:pStyle w:val="BodyText"/>
        <w:spacing w:line="480" w:lineRule="auto" w:before="2"/>
        <w:ind w:right="234" w:firstLine="720"/>
        <w:jc w:val="both"/>
      </w:pPr>
      <w:r>
        <w:rPr/>
        <w:t>For some time at common law, it was considered that a director was completely precluded from</w:t>
      </w:r>
      <w:r>
        <w:rPr>
          <w:spacing w:val="-4"/>
        </w:rPr>
        <w:t> </w:t>
      </w:r>
      <w:r>
        <w:rPr/>
        <w:t>transacting with the company.</w:t>
      </w:r>
      <w:r>
        <w:rPr>
          <w:vertAlign w:val="superscript"/>
        </w:rPr>
        <w:t>313</w:t>
      </w:r>
      <w:r>
        <w:rPr>
          <w:vertAlign w:val="baseline"/>
        </w:rPr>
        <w:t> Like the general rule against conflicts, any such transactions were forbidden, regardless of the apparent</w:t>
      </w:r>
      <w:r>
        <w:rPr>
          <w:spacing w:val="28"/>
          <w:vertAlign w:val="baseline"/>
        </w:rPr>
        <w:t> </w:t>
      </w:r>
      <w:r>
        <w:rPr>
          <w:vertAlign w:val="baseline"/>
        </w:rPr>
        <w:t>fairness or advantage</w:t>
      </w:r>
      <w:r>
        <w:rPr>
          <w:spacing w:val="40"/>
          <w:vertAlign w:val="baseline"/>
        </w:rPr>
        <w:t> </w:t>
      </w:r>
      <w:r>
        <w:rPr>
          <w:vertAlign w:val="baseline"/>
        </w:rPr>
        <w:t>in</w:t>
      </w:r>
      <w:r>
        <w:rPr>
          <w:spacing w:val="-2"/>
          <w:vertAlign w:val="baseline"/>
        </w:rPr>
        <w:t> </w:t>
      </w:r>
      <w:r>
        <w:rPr>
          <w:vertAlign w:val="baseline"/>
        </w:rPr>
        <w:t>favour</w:t>
      </w:r>
      <w:r>
        <w:rPr>
          <w:spacing w:val="-5"/>
          <w:vertAlign w:val="baseline"/>
        </w:rPr>
        <w:t> </w:t>
      </w:r>
      <w:r>
        <w:rPr>
          <w:vertAlign w:val="baseline"/>
        </w:rPr>
        <w:t>of</w:t>
      </w:r>
      <w:r>
        <w:rPr>
          <w:spacing w:val="-9"/>
          <w:vertAlign w:val="baseline"/>
        </w:rPr>
        <w:t> </w:t>
      </w:r>
      <w:r>
        <w:rPr>
          <w:vertAlign w:val="baseline"/>
        </w:rPr>
        <w:t>the</w:t>
      </w:r>
      <w:r>
        <w:rPr>
          <w:spacing w:val="-3"/>
          <w:vertAlign w:val="baseline"/>
        </w:rPr>
        <w:t> </w:t>
      </w:r>
      <w:r>
        <w:rPr>
          <w:vertAlign w:val="baseline"/>
        </w:rPr>
        <w:t>company. Lord</w:t>
      </w:r>
      <w:r>
        <w:rPr>
          <w:spacing w:val="-2"/>
          <w:vertAlign w:val="baseline"/>
        </w:rPr>
        <w:t> </w:t>
      </w:r>
      <w:r>
        <w:rPr>
          <w:vertAlign w:val="baseline"/>
        </w:rPr>
        <w:t>Cranworth</w:t>
      </w:r>
      <w:r>
        <w:rPr>
          <w:spacing w:val="-11"/>
          <w:vertAlign w:val="baseline"/>
        </w:rPr>
        <w:t> </w:t>
      </w:r>
      <w:r>
        <w:rPr>
          <w:vertAlign w:val="baseline"/>
        </w:rPr>
        <w:t>once justified</w:t>
      </w:r>
      <w:r>
        <w:rPr>
          <w:spacing w:val="-2"/>
          <w:vertAlign w:val="baseline"/>
        </w:rPr>
        <w:t> </w:t>
      </w:r>
      <w:r>
        <w:rPr>
          <w:vertAlign w:val="baseline"/>
        </w:rPr>
        <w:t>the</w:t>
      </w:r>
      <w:r>
        <w:rPr>
          <w:spacing w:val="-3"/>
          <w:vertAlign w:val="baseline"/>
        </w:rPr>
        <w:t> </w:t>
      </w:r>
      <w:r>
        <w:rPr>
          <w:vertAlign w:val="baseline"/>
        </w:rPr>
        <w:t>rule in</w:t>
      </w:r>
      <w:r>
        <w:rPr>
          <w:spacing w:val="-6"/>
          <w:vertAlign w:val="baseline"/>
        </w:rPr>
        <w:t> </w:t>
      </w:r>
      <w:r>
        <w:rPr>
          <w:vertAlign w:val="baseline"/>
        </w:rPr>
        <w:t>the following</w:t>
      </w:r>
      <w:r>
        <w:rPr>
          <w:spacing w:val="-2"/>
          <w:vertAlign w:val="baseline"/>
        </w:rPr>
        <w:t> </w:t>
      </w:r>
      <w:r>
        <w:rPr>
          <w:vertAlign w:val="baseline"/>
        </w:rPr>
        <w:t>terms:</w:t>
      </w:r>
    </w:p>
    <w:p>
      <w:pPr>
        <w:spacing w:line="240" w:lineRule="auto" w:before="1"/>
        <w:ind w:left="2007" w:right="1887" w:firstLine="0"/>
        <w:jc w:val="both"/>
        <w:rPr>
          <w:i/>
          <w:sz w:val="24"/>
        </w:rPr>
      </w:pPr>
      <w:r>
        <w:rPr>
          <w:i/>
          <w:sz w:val="24"/>
        </w:rPr>
        <w:t>A corporate body can only act by agents and it is, of course, the duty of those agents so to act as best to promote the interests of the corporation whose</w:t>
      </w:r>
      <w:r>
        <w:rPr>
          <w:i/>
          <w:spacing w:val="40"/>
          <w:sz w:val="24"/>
        </w:rPr>
        <w:t> </w:t>
      </w:r>
      <w:r>
        <w:rPr>
          <w:i/>
          <w:sz w:val="24"/>
        </w:rPr>
        <w:t>affairs they are conducting. Such agents have duties to discharge of a fiduciary nature towards their principal</w:t>
      </w:r>
      <w:r>
        <w:rPr>
          <w:i/>
          <w:spacing w:val="-1"/>
          <w:sz w:val="24"/>
        </w:rPr>
        <w:t> </w:t>
      </w:r>
      <w:r>
        <w:rPr>
          <w:i/>
          <w:sz w:val="24"/>
        </w:rPr>
        <w:t>and</w:t>
      </w:r>
      <w:r>
        <w:rPr>
          <w:i/>
          <w:spacing w:val="-2"/>
          <w:sz w:val="24"/>
        </w:rPr>
        <w:t> </w:t>
      </w:r>
      <w:r>
        <w:rPr>
          <w:i/>
          <w:sz w:val="24"/>
        </w:rPr>
        <w:t>it</w:t>
      </w:r>
      <w:r>
        <w:rPr>
          <w:i/>
          <w:spacing w:val="-2"/>
          <w:sz w:val="24"/>
        </w:rPr>
        <w:t> </w:t>
      </w:r>
      <w:r>
        <w:rPr>
          <w:i/>
          <w:sz w:val="24"/>
        </w:rPr>
        <w:t>is</w:t>
      </w:r>
      <w:r>
        <w:rPr>
          <w:i/>
          <w:spacing w:val="-4"/>
          <w:sz w:val="24"/>
        </w:rPr>
        <w:t> </w:t>
      </w:r>
      <w:r>
        <w:rPr>
          <w:i/>
          <w:sz w:val="24"/>
        </w:rPr>
        <w:t>a</w:t>
      </w:r>
      <w:r>
        <w:rPr>
          <w:i/>
          <w:spacing w:val="-2"/>
          <w:sz w:val="24"/>
        </w:rPr>
        <w:t> </w:t>
      </w:r>
      <w:r>
        <w:rPr>
          <w:i/>
          <w:sz w:val="24"/>
        </w:rPr>
        <w:t>rule</w:t>
      </w:r>
      <w:r>
        <w:rPr>
          <w:i/>
          <w:spacing w:val="-3"/>
          <w:sz w:val="24"/>
        </w:rPr>
        <w:t> </w:t>
      </w:r>
      <w:r>
        <w:rPr>
          <w:i/>
          <w:sz w:val="24"/>
        </w:rPr>
        <w:t>of universal</w:t>
      </w:r>
      <w:r>
        <w:rPr>
          <w:i/>
          <w:spacing w:val="-2"/>
          <w:sz w:val="24"/>
        </w:rPr>
        <w:t> </w:t>
      </w:r>
      <w:r>
        <w:rPr>
          <w:i/>
          <w:sz w:val="24"/>
        </w:rPr>
        <w:t>application</w:t>
      </w:r>
      <w:r>
        <w:rPr>
          <w:i/>
          <w:spacing w:val="-2"/>
          <w:sz w:val="24"/>
        </w:rPr>
        <w:t> </w:t>
      </w:r>
      <w:r>
        <w:rPr>
          <w:i/>
          <w:sz w:val="24"/>
        </w:rPr>
        <w:t>that no</w:t>
      </w:r>
      <w:r>
        <w:rPr>
          <w:i/>
          <w:spacing w:val="56"/>
          <w:sz w:val="24"/>
        </w:rPr>
        <w:t> </w:t>
      </w:r>
      <w:r>
        <w:rPr>
          <w:i/>
          <w:sz w:val="24"/>
        </w:rPr>
        <w:t>one,</w:t>
      </w:r>
      <w:r>
        <w:rPr>
          <w:i/>
          <w:spacing w:val="59"/>
          <w:sz w:val="24"/>
        </w:rPr>
        <w:t> </w:t>
      </w:r>
      <w:r>
        <w:rPr>
          <w:i/>
          <w:sz w:val="24"/>
        </w:rPr>
        <w:t>having</w:t>
      </w:r>
      <w:r>
        <w:rPr>
          <w:i/>
          <w:spacing w:val="58"/>
          <w:sz w:val="24"/>
        </w:rPr>
        <w:t> </w:t>
      </w:r>
      <w:r>
        <w:rPr>
          <w:i/>
          <w:sz w:val="24"/>
        </w:rPr>
        <w:t>such</w:t>
      </w:r>
      <w:r>
        <w:rPr>
          <w:i/>
          <w:spacing w:val="57"/>
          <w:sz w:val="24"/>
        </w:rPr>
        <w:t> </w:t>
      </w:r>
      <w:r>
        <w:rPr>
          <w:i/>
          <w:sz w:val="24"/>
        </w:rPr>
        <w:t>duties</w:t>
      </w:r>
      <w:r>
        <w:rPr>
          <w:i/>
          <w:spacing w:val="55"/>
          <w:sz w:val="24"/>
        </w:rPr>
        <w:t> </w:t>
      </w:r>
      <w:r>
        <w:rPr>
          <w:i/>
          <w:sz w:val="24"/>
        </w:rPr>
        <w:t>to</w:t>
      </w:r>
      <w:r>
        <w:rPr>
          <w:i/>
          <w:spacing w:val="58"/>
          <w:sz w:val="24"/>
        </w:rPr>
        <w:t> </w:t>
      </w:r>
      <w:r>
        <w:rPr>
          <w:i/>
          <w:sz w:val="24"/>
        </w:rPr>
        <w:t>discharge,</w:t>
      </w:r>
      <w:r>
        <w:rPr>
          <w:i/>
          <w:spacing w:val="59"/>
          <w:sz w:val="24"/>
        </w:rPr>
        <w:t> </w:t>
      </w:r>
      <w:r>
        <w:rPr>
          <w:i/>
          <w:sz w:val="24"/>
        </w:rPr>
        <w:t>shall</w:t>
      </w:r>
      <w:r>
        <w:rPr>
          <w:i/>
          <w:spacing w:val="53"/>
          <w:sz w:val="24"/>
        </w:rPr>
        <w:t> </w:t>
      </w:r>
      <w:r>
        <w:rPr>
          <w:i/>
          <w:spacing w:val="-5"/>
          <w:sz w:val="24"/>
        </w:rPr>
        <w:t>be</w:t>
      </w:r>
    </w:p>
    <w:p>
      <w:pPr>
        <w:pStyle w:val="BodyText"/>
        <w:spacing w:before="117"/>
        <w:ind w:left="0"/>
        <w:rPr>
          <w:i/>
          <w:sz w:val="20"/>
        </w:rPr>
      </w:pPr>
      <w:r>
        <w:rPr/>
        <mc:AlternateContent>
          <mc:Choice Requires="wps">
            <w:drawing>
              <wp:anchor distT="0" distB="0" distL="0" distR="0" allowOverlap="1" layoutInCell="1" locked="0" behindDoc="1" simplePos="0" relativeHeight="487706112">
                <wp:simplePos x="0" y="0"/>
                <wp:positionH relativeFrom="page">
                  <wp:posOffset>1262481</wp:posOffset>
                </wp:positionH>
                <wp:positionV relativeFrom="paragraph">
                  <wp:posOffset>236142</wp:posOffset>
                </wp:positionV>
                <wp:extent cx="1829435" cy="9525"/>
                <wp:effectExtent l="0" t="0" r="0" b="0"/>
                <wp:wrapTopAndBottom/>
                <wp:docPr id="258" name="Graphic 258"/>
                <wp:cNvGraphicFramePr>
                  <a:graphicFrameLocks/>
                </wp:cNvGraphicFramePr>
                <a:graphic>
                  <a:graphicData uri="http://schemas.microsoft.com/office/word/2010/wordprocessingShape">
                    <wps:wsp>
                      <wps:cNvPr id="258" name="Graphic 25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593937pt;width:144.050pt;height:.71997pt;mso-position-horizontal-relative:page;mso-position-vertical-relative:paragraph;z-index:-15610368;mso-wrap-distance-left:0;mso-wrap-distance-right:0" id="docshape213"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312</w:t>
      </w:r>
      <w:r>
        <w:rPr>
          <w:rFonts w:ascii="Calibri"/>
          <w:spacing w:val="2"/>
          <w:sz w:val="20"/>
          <w:vertAlign w:val="baseline"/>
        </w:rPr>
        <w:t> </w:t>
      </w:r>
      <w:r>
        <w:rPr>
          <w:rFonts w:ascii="Calibri"/>
          <w:sz w:val="20"/>
          <w:vertAlign w:val="baseline"/>
        </w:rPr>
        <w:t>See</w:t>
      </w:r>
      <w:r>
        <w:rPr>
          <w:rFonts w:ascii="Calibri"/>
          <w:spacing w:val="-2"/>
          <w:sz w:val="20"/>
          <w:vertAlign w:val="baseline"/>
        </w:rPr>
        <w:t> s.175(3).</w:t>
      </w:r>
    </w:p>
    <w:p>
      <w:pPr>
        <w:spacing w:before="1"/>
        <w:ind w:left="308" w:right="0" w:firstLine="0"/>
        <w:jc w:val="left"/>
        <w:rPr>
          <w:rFonts w:ascii="Calibri"/>
          <w:sz w:val="20"/>
        </w:rPr>
      </w:pPr>
      <w:r>
        <w:rPr>
          <w:rFonts w:ascii="Calibri"/>
          <w:sz w:val="20"/>
          <w:vertAlign w:val="superscript"/>
        </w:rPr>
        <w:t>313</w:t>
      </w:r>
      <w:r>
        <w:rPr>
          <w:rFonts w:ascii="Calibri"/>
          <w:sz w:val="20"/>
          <w:vertAlign w:val="baseline"/>
        </w:rPr>
        <w:t>At</w:t>
      </w:r>
      <w:r>
        <w:rPr>
          <w:rFonts w:ascii="Calibri"/>
          <w:spacing w:val="-3"/>
          <w:sz w:val="20"/>
          <w:vertAlign w:val="baseline"/>
        </w:rPr>
        <w:t> </w:t>
      </w:r>
      <w:r>
        <w:rPr>
          <w:rFonts w:ascii="Calibri"/>
          <w:sz w:val="20"/>
          <w:vertAlign w:val="baseline"/>
        </w:rPr>
        <w:t>least,</w:t>
      </w:r>
      <w:r>
        <w:rPr>
          <w:rFonts w:ascii="Calibri"/>
          <w:spacing w:val="-4"/>
          <w:sz w:val="20"/>
          <w:vertAlign w:val="baseline"/>
        </w:rPr>
        <w:t> </w:t>
      </w:r>
      <w:r>
        <w:rPr>
          <w:rFonts w:ascii="Calibri"/>
          <w:sz w:val="20"/>
          <w:vertAlign w:val="baseline"/>
        </w:rPr>
        <w:t>unless</w:t>
      </w:r>
      <w:r>
        <w:rPr>
          <w:rFonts w:ascii="Calibri"/>
          <w:spacing w:val="-4"/>
          <w:sz w:val="20"/>
          <w:vertAlign w:val="baseline"/>
        </w:rPr>
        <w:t> </w:t>
      </w:r>
      <w:r>
        <w:rPr>
          <w:rFonts w:ascii="Calibri"/>
          <w:sz w:val="20"/>
          <w:vertAlign w:val="baseline"/>
        </w:rPr>
        <w:t>any</w:t>
      </w:r>
      <w:r>
        <w:rPr>
          <w:rFonts w:ascii="Calibri"/>
          <w:spacing w:val="-7"/>
          <w:sz w:val="20"/>
          <w:vertAlign w:val="baseline"/>
        </w:rPr>
        <w:t> </w:t>
      </w:r>
      <w:r>
        <w:rPr>
          <w:rFonts w:ascii="Calibri"/>
          <w:sz w:val="20"/>
          <w:vertAlign w:val="baseline"/>
        </w:rPr>
        <w:t>such</w:t>
      </w:r>
      <w:r>
        <w:rPr>
          <w:rFonts w:ascii="Calibri"/>
          <w:spacing w:val="-6"/>
          <w:sz w:val="20"/>
          <w:vertAlign w:val="baseline"/>
        </w:rPr>
        <w:t> </w:t>
      </w:r>
      <w:r>
        <w:rPr>
          <w:rFonts w:ascii="Calibri"/>
          <w:sz w:val="20"/>
          <w:vertAlign w:val="baseline"/>
        </w:rPr>
        <w:t>transaction</w:t>
      </w:r>
      <w:r>
        <w:rPr>
          <w:rFonts w:ascii="Calibri"/>
          <w:spacing w:val="-7"/>
          <w:sz w:val="20"/>
          <w:vertAlign w:val="baseline"/>
        </w:rPr>
        <w:t> </w:t>
      </w:r>
      <w:r>
        <w:rPr>
          <w:rFonts w:ascii="Calibri"/>
          <w:sz w:val="20"/>
          <w:vertAlign w:val="baseline"/>
        </w:rPr>
        <w:t>was</w:t>
      </w:r>
      <w:r>
        <w:rPr>
          <w:rFonts w:ascii="Calibri"/>
          <w:spacing w:val="-8"/>
          <w:sz w:val="20"/>
          <w:vertAlign w:val="baseline"/>
        </w:rPr>
        <w:t> </w:t>
      </w:r>
      <w:r>
        <w:rPr>
          <w:rFonts w:ascii="Calibri"/>
          <w:sz w:val="20"/>
          <w:vertAlign w:val="baseline"/>
        </w:rPr>
        <w:t>also</w:t>
      </w:r>
      <w:r>
        <w:rPr>
          <w:rFonts w:ascii="Calibri"/>
          <w:spacing w:val="-3"/>
          <w:sz w:val="20"/>
          <w:vertAlign w:val="baseline"/>
        </w:rPr>
        <w:t> </w:t>
      </w:r>
      <w:r>
        <w:rPr>
          <w:rFonts w:ascii="Calibri"/>
          <w:sz w:val="20"/>
          <w:vertAlign w:val="baseline"/>
        </w:rPr>
        <w:t>backed</w:t>
      </w:r>
      <w:r>
        <w:rPr>
          <w:rFonts w:ascii="Calibri"/>
          <w:spacing w:val="-7"/>
          <w:sz w:val="20"/>
          <w:vertAlign w:val="baseline"/>
        </w:rPr>
        <w:t> </w:t>
      </w:r>
      <w:r>
        <w:rPr>
          <w:rFonts w:ascii="Calibri"/>
          <w:sz w:val="20"/>
          <w:vertAlign w:val="baseline"/>
        </w:rPr>
        <w:t>by</w:t>
      </w:r>
      <w:r>
        <w:rPr>
          <w:rFonts w:ascii="Calibri"/>
          <w:spacing w:val="-6"/>
          <w:sz w:val="20"/>
          <w:vertAlign w:val="baseline"/>
        </w:rPr>
        <w:t> </w:t>
      </w:r>
      <w:r>
        <w:rPr>
          <w:rFonts w:ascii="Calibri"/>
          <w:sz w:val="20"/>
          <w:vertAlign w:val="baseline"/>
        </w:rPr>
        <w:t>a</w:t>
      </w:r>
      <w:r>
        <w:rPr>
          <w:rFonts w:ascii="Calibri"/>
          <w:spacing w:val="-7"/>
          <w:sz w:val="20"/>
          <w:vertAlign w:val="baseline"/>
        </w:rPr>
        <w:t> </w:t>
      </w:r>
      <w:r>
        <w:rPr>
          <w:rFonts w:ascii="Calibri"/>
          <w:sz w:val="20"/>
          <w:vertAlign w:val="baseline"/>
        </w:rPr>
        <w:t>general</w:t>
      </w:r>
      <w:r>
        <w:rPr>
          <w:rFonts w:ascii="Calibri"/>
          <w:spacing w:val="-5"/>
          <w:sz w:val="20"/>
          <w:vertAlign w:val="baseline"/>
        </w:rPr>
        <w:t> </w:t>
      </w:r>
      <w:r>
        <w:rPr>
          <w:rFonts w:ascii="Calibri"/>
          <w:sz w:val="20"/>
          <w:vertAlign w:val="baseline"/>
        </w:rPr>
        <w:t>meeting</w:t>
      </w:r>
      <w:r>
        <w:rPr>
          <w:rFonts w:ascii="Calibri"/>
          <w:spacing w:val="-5"/>
          <w:sz w:val="20"/>
          <w:vertAlign w:val="baseline"/>
        </w:rPr>
        <w:t> </w:t>
      </w:r>
      <w:r>
        <w:rPr>
          <w:rFonts w:ascii="Calibri"/>
          <w:spacing w:val="-2"/>
          <w:sz w:val="20"/>
          <w:vertAlign w:val="baseline"/>
        </w:rPr>
        <w:t>approval.</w:t>
      </w:r>
    </w:p>
    <w:p>
      <w:pPr>
        <w:spacing w:after="0"/>
        <w:jc w:val="left"/>
        <w:rPr>
          <w:rFonts w:ascii="Calibri"/>
          <w:sz w:val="20"/>
        </w:rPr>
        <w:sectPr>
          <w:pgSz w:w="11910" w:h="16840"/>
          <w:pgMar w:header="0" w:footer="1003" w:top="1320" w:bottom="1200" w:left="1680" w:right="1180"/>
        </w:sectPr>
      </w:pPr>
    </w:p>
    <w:p>
      <w:pPr>
        <w:spacing w:line="240" w:lineRule="auto" w:before="70"/>
        <w:ind w:left="2007" w:right="1890" w:firstLine="0"/>
        <w:jc w:val="both"/>
        <w:rPr>
          <w:sz w:val="24"/>
        </w:rPr>
      </w:pPr>
      <w:r>
        <w:rPr>
          <w:i/>
          <w:sz w:val="24"/>
        </w:rPr>
        <w:t>allowed</w:t>
      </w:r>
      <w:r>
        <w:rPr>
          <w:i/>
          <w:spacing w:val="-3"/>
          <w:sz w:val="24"/>
        </w:rPr>
        <w:t> </w:t>
      </w:r>
      <w:r>
        <w:rPr>
          <w:i/>
          <w:sz w:val="24"/>
        </w:rPr>
        <w:t>to</w:t>
      </w:r>
      <w:r>
        <w:rPr>
          <w:i/>
          <w:spacing w:val="-3"/>
          <w:sz w:val="24"/>
        </w:rPr>
        <w:t> </w:t>
      </w:r>
      <w:r>
        <w:rPr>
          <w:i/>
          <w:sz w:val="24"/>
        </w:rPr>
        <w:t>enter</w:t>
      </w:r>
      <w:r>
        <w:rPr>
          <w:i/>
          <w:spacing w:val="-6"/>
          <w:sz w:val="24"/>
        </w:rPr>
        <w:t> </w:t>
      </w:r>
      <w:r>
        <w:rPr>
          <w:i/>
          <w:sz w:val="24"/>
        </w:rPr>
        <w:t>into</w:t>
      </w:r>
      <w:r>
        <w:rPr>
          <w:i/>
          <w:spacing w:val="-3"/>
          <w:sz w:val="24"/>
        </w:rPr>
        <w:t> </w:t>
      </w:r>
      <w:r>
        <w:rPr>
          <w:i/>
          <w:sz w:val="24"/>
        </w:rPr>
        <w:t>engagements</w:t>
      </w:r>
      <w:r>
        <w:rPr>
          <w:i/>
          <w:spacing w:val="-5"/>
          <w:sz w:val="24"/>
        </w:rPr>
        <w:t> </w:t>
      </w:r>
      <w:r>
        <w:rPr>
          <w:i/>
          <w:sz w:val="24"/>
        </w:rPr>
        <w:t>in which</w:t>
      </w:r>
      <w:r>
        <w:rPr>
          <w:i/>
          <w:spacing w:val="-4"/>
          <w:sz w:val="24"/>
        </w:rPr>
        <w:t> </w:t>
      </w:r>
      <w:r>
        <w:rPr>
          <w:i/>
          <w:sz w:val="24"/>
        </w:rPr>
        <w:t>he</w:t>
      </w:r>
      <w:r>
        <w:rPr>
          <w:i/>
          <w:spacing w:val="-4"/>
          <w:sz w:val="24"/>
        </w:rPr>
        <w:t> </w:t>
      </w:r>
      <w:r>
        <w:rPr>
          <w:i/>
          <w:sz w:val="24"/>
        </w:rPr>
        <w:t>has</w:t>
      </w:r>
      <w:r>
        <w:rPr>
          <w:i/>
          <w:spacing w:val="-2"/>
          <w:sz w:val="24"/>
        </w:rPr>
        <w:t> </w:t>
      </w:r>
      <w:r>
        <w:rPr>
          <w:i/>
          <w:sz w:val="24"/>
        </w:rPr>
        <w:t>or can have, a personal interest conflicting, or which possibly may conflict, with the interests of those whom he is bound to protect... So strictly is this principle</w:t>
      </w:r>
      <w:r>
        <w:rPr>
          <w:i/>
          <w:spacing w:val="-4"/>
          <w:sz w:val="24"/>
        </w:rPr>
        <w:t> </w:t>
      </w:r>
      <w:r>
        <w:rPr>
          <w:i/>
          <w:sz w:val="24"/>
        </w:rPr>
        <w:t>adhered</w:t>
      </w:r>
      <w:r>
        <w:rPr>
          <w:i/>
          <w:spacing w:val="-3"/>
          <w:sz w:val="24"/>
        </w:rPr>
        <w:t> </w:t>
      </w:r>
      <w:r>
        <w:rPr>
          <w:i/>
          <w:sz w:val="24"/>
        </w:rPr>
        <w:t>to</w:t>
      </w:r>
      <w:r>
        <w:rPr>
          <w:i/>
          <w:spacing w:val="-3"/>
          <w:sz w:val="24"/>
        </w:rPr>
        <w:t> </w:t>
      </w:r>
      <w:r>
        <w:rPr>
          <w:i/>
          <w:sz w:val="24"/>
        </w:rPr>
        <w:t>that</w:t>
      </w:r>
      <w:r>
        <w:rPr>
          <w:i/>
          <w:spacing w:val="-3"/>
          <w:sz w:val="24"/>
        </w:rPr>
        <w:t> </w:t>
      </w:r>
      <w:r>
        <w:rPr>
          <w:i/>
          <w:sz w:val="24"/>
        </w:rPr>
        <w:t>no</w:t>
      </w:r>
      <w:r>
        <w:rPr>
          <w:i/>
          <w:spacing w:val="-3"/>
          <w:sz w:val="24"/>
        </w:rPr>
        <w:t> </w:t>
      </w:r>
      <w:r>
        <w:rPr>
          <w:i/>
          <w:sz w:val="24"/>
        </w:rPr>
        <w:t>question</w:t>
      </w:r>
      <w:r>
        <w:rPr>
          <w:i/>
          <w:spacing w:val="-3"/>
          <w:sz w:val="24"/>
        </w:rPr>
        <w:t> </w:t>
      </w:r>
      <w:r>
        <w:rPr>
          <w:i/>
          <w:sz w:val="24"/>
        </w:rPr>
        <w:t>is</w:t>
      </w:r>
      <w:r>
        <w:rPr>
          <w:i/>
          <w:spacing w:val="-5"/>
          <w:sz w:val="24"/>
        </w:rPr>
        <w:t> </w:t>
      </w:r>
      <w:r>
        <w:rPr>
          <w:i/>
          <w:sz w:val="24"/>
        </w:rPr>
        <w:t>allowed</w:t>
      </w:r>
      <w:r>
        <w:rPr>
          <w:i/>
          <w:spacing w:val="-3"/>
          <w:sz w:val="24"/>
        </w:rPr>
        <w:t> </w:t>
      </w:r>
      <w:r>
        <w:rPr>
          <w:i/>
          <w:sz w:val="24"/>
        </w:rPr>
        <w:t>to</w:t>
      </w:r>
      <w:r>
        <w:rPr>
          <w:i/>
          <w:spacing w:val="-3"/>
          <w:sz w:val="24"/>
        </w:rPr>
        <w:t> </w:t>
      </w:r>
      <w:r>
        <w:rPr>
          <w:i/>
          <w:sz w:val="24"/>
        </w:rPr>
        <w:t>be raised as to the fairness or unfairness of a contract</w:t>
      </w:r>
      <w:r>
        <w:rPr>
          <w:i/>
          <w:spacing w:val="40"/>
          <w:sz w:val="24"/>
        </w:rPr>
        <w:t> </w:t>
      </w:r>
      <w:r>
        <w:rPr>
          <w:i/>
          <w:sz w:val="24"/>
        </w:rPr>
        <w:t>so entered into...</w:t>
      </w:r>
      <w:r>
        <w:rPr>
          <w:sz w:val="24"/>
          <w:vertAlign w:val="superscript"/>
        </w:rPr>
        <w:t>314</w:t>
      </w:r>
    </w:p>
    <w:p>
      <w:pPr>
        <w:pStyle w:val="BodyText"/>
        <w:ind w:left="0"/>
      </w:pPr>
    </w:p>
    <w:p>
      <w:pPr>
        <w:pStyle w:val="BodyText"/>
        <w:spacing w:line="480" w:lineRule="auto"/>
        <w:ind w:right="229"/>
        <w:jc w:val="both"/>
      </w:pPr>
      <w:r>
        <w:rPr/>
        <w:t>This perception may not be unconnected with the notion of the office of the company director being akin to that of a trustee who must never gain from his position. Thus, in </w:t>
      </w:r>
      <w:r>
        <w:rPr>
          <w:b/>
        </w:rPr>
        <w:t>Aberdeen Railway Co. vs. Blaikie Bros,</w:t>
      </w:r>
      <w:r>
        <w:rPr>
          <w:vertAlign w:val="superscript"/>
        </w:rPr>
        <w:t>315</w:t>
      </w:r>
      <w:r>
        <w:rPr>
          <w:vertAlign w:val="baseline"/>
        </w:rPr>
        <w:t> an early case which considered the issue under discussion, the chairman of the board entered into a contract on behalf </w:t>
      </w:r>
      <w:r>
        <w:rPr>
          <w:spacing w:val="9"/>
          <w:vertAlign w:val="baseline"/>
        </w:rPr>
        <w:t>of</w:t>
      </w:r>
      <w:r>
        <w:rPr>
          <w:spacing w:val="9"/>
          <w:vertAlign w:val="baseline"/>
        </w:rPr>
        <w:t> </w:t>
      </w:r>
      <w:r>
        <w:rPr>
          <w:vertAlign w:val="baseline"/>
        </w:rPr>
        <w:t>the company to buy</w:t>
      </w:r>
      <w:r>
        <w:rPr>
          <w:spacing w:val="-1"/>
          <w:vertAlign w:val="baseline"/>
        </w:rPr>
        <w:t> </w:t>
      </w:r>
      <w:r>
        <w:rPr>
          <w:vertAlign w:val="baseline"/>
        </w:rPr>
        <w:t>a large number of chairs from</w:t>
      </w:r>
      <w:r>
        <w:rPr>
          <w:spacing w:val="-1"/>
          <w:vertAlign w:val="baseline"/>
        </w:rPr>
        <w:t> </w:t>
      </w:r>
      <w:r>
        <w:rPr>
          <w:vertAlign w:val="baseline"/>
        </w:rPr>
        <w:t>a firm in which he was ‗interested‘ as a partner. In considering the question whether a director</w:t>
      </w:r>
      <w:r>
        <w:rPr>
          <w:spacing w:val="-3"/>
          <w:vertAlign w:val="baseline"/>
        </w:rPr>
        <w:t> </w:t>
      </w:r>
      <w:r>
        <w:rPr>
          <w:vertAlign w:val="baseline"/>
        </w:rPr>
        <w:t>of</w:t>
      </w:r>
      <w:r>
        <w:rPr>
          <w:spacing w:val="-3"/>
          <w:vertAlign w:val="baseline"/>
        </w:rPr>
        <w:t> </w:t>
      </w:r>
      <w:r>
        <w:rPr>
          <w:vertAlign w:val="baseline"/>
        </w:rPr>
        <w:t>a railway company is or is not precluded from dealing on behalf of the company with himself, or with a firm in which he is a partner, the Lord Chancellor found it proper to remark thus:</w:t>
      </w:r>
    </w:p>
    <w:p>
      <w:pPr>
        <w:spacing w:line="240" w:lineRule="auto" w:before="2"/>
        <w:ind w:left="2007" w:right="1887" w:firstLine="0"/>
        <w:jc w:val="both"/>
        <w:rPr>
          <w:sz w:val="24"/>
        </w:rPr>
      </w:pPr>
      <w:r>
        <w:rPr>
          <w:i/>
          <w:sz w:val="24"/>
        </w:rPr>
        <w:t>His duty to the company imposed on him the obligation of obtaining these chairs at the lowest possible price. His personal interest would lead him in an entirely opposite direction—would induce him to fix the price as high as possible. This is the very evil against which the rule in question is</w:t>
      </w:r>
      <w:r>
        <w:rPr>
          <w:i/>
          <w:spacing w:val="80"/>
          <w:sz w:val="24"/>
        </w:rPr>
        <w:t> </w:t>
      </w:r>
      <w:r>
        <w:rPr>
          <w:i/>
          <w:spacing w:val="-2"/>
          <w:sz w:val="24"/>
        </w:rPr>
        <w:t>directed...</w:t>
      </w:r>
      <w:r>
        <w:rPr>
          <w:spacing w:val="-2"/>
          <w:sz w:val="24"/>
          <w:vertAlign w:val="superscript"/>
        </w:rPr>
        <w:t>316</w:t>
      </w:r>
    </w:p>
    <w:p>
      <w:pPr>
        <w:pStyle w:val="BodyText"/>
        <w:spacing w:before="1"/>
        <w:ind w:left="0"/>
      </w:pPr>
    </w:p>
    <w:p>
      <w:pPr>
        <w:pStyle w:val="BodyText"/>
        <w:spacing w:line="480" w:lineRule="auto"/>
        <w:ind w:right="233" w:firstLine="720"/>
        <w:jc w:val="both"/>
      </w:pPr>
      <w:r>
        <w:rPr/>
        <w:t>However, as observed earlier in this work, it has since been accepted that the similarities between the offices of trustee and company director have limits due to their different job</w:t>
      </w:r>
      <w:r>
        <w:rPr>
          <w:spacing w:val="-3"/>
        </w:rPr>
        <w:t> </w:t>
      </w:r>
      <w:r>
        <w:rPr/>
        <w:t>descriptions. The prevalent view is</w:t>
      </w:r>
      <w:r>
        <w:rPr>
          <w:spacing w:val="-1"/>
        </w:rPr>
        <w:t> </w:t>
      </w:r>
      <w:r>
        <w:rPr/>
        <w:t>that the director‘s</w:t>
      </w:r>
      <w:r>
        <w:rPr>
          <w:spacing w:val="-1"/>
        </w:rPr>
        <w:t> </w:t>
      </w:r>
      <w:r>
        <w:rPr/>
        <w:t>position is in fact sui generis.</w:t>
      </w:r>
      <w:r>
        <w:rPr>
          <w:vertAlign w:val="superscript"/>
        </w:rPr>
        <w:t>317</w:t>
      </w:r>
      <w:r>
        <w:rPr>
          <w:vertAlign w:val="baseline"/>
        </w:rPr>
        <w:t> Therefore, the restrictions often applicable to the trustee would be particularly unsuitable to the company director. Obviously, outrightly prohibiting the director from transacting with the company may not be good for business in some situations.</w:t>
      </w:r>
      <w:r>
        <w:rPr>
          <w:spacing w:val="58"/>
          <w:vertAlign w:val="baseline"/>
        </w:rPr>
        <w:t> </w:t>
      </w:r>
      <w:r>
        <w:rPr>
          <w:vertAlign w:val="baseline"/>
        </w:rPr>
        <w:t>The</w:t>
      </w:r>
      <w:r>
        <w:rPr>
          <w:spacing w:val="55"/>
          <w:vertAlign w:val="baseline"/>
        </w:rPr>
        <w:t> </w:t>
      </w:r>
      <w:r>
        <w:rPr>
          <w:vertAlign w:val="baseline"/>
        </w:rPr>
        <w:t>director</w:t>
      </w:r>
      <w:r>
        <w:rPr>
          <w:spacing w:val="40"/>
          <w:vertAlign w:val="baseline"/>
        </w:rPr>
        <w:t> </w:t>
      </w:r>
      <w:r>
        <w:rPr>
          <w:vertAlign w:val="baseline"/>
        </w:rPr>
        <w:t>may</w:t>
      </w:r>
      <w:r>
        <w:rPr>
          <w:spacing w:val="56"/>
          <w:vertAlign w:val="baseline"/>
        </w:rPr>
        <w:t> </w:t>
      </w:r>
      <w:r>
        <w:rPr>
          <w:vertAlign w:val="baseline"/>
        </w:rPr>
        <w:t>happen</w:t>
      </w:r>
      <w:r>
        <w:rPr>
          <w:spacing w:val="40"/>
          <w:vertAlign w:val="baseline"/>
        </w:rPr>
        <w:t> </w:t>
      </w:r>
      <w:r>
        <w:rPr>
          <w:vertAlign w:val="baseline"/>
        </w:rPr>
        <w:t>to</w:t>
      </w:r>
      <w:r>
        <w:rPr>
          <w:spacing w:val="61"/>
          <w:vertAlign w:val="baseline"/>
        </w:rPr>
        <w:t> </w:t>
      </w:r>
      <w:r>
        <w:rPr>
          <w:vertAlign w:val="baseline"/>
        </w:rPr>
        <w:t>be</w:t>
      </w:r>
      <w:r>
        <w:rPr>
          <w:spacing w:val="40"/>
          <w:vertAlign w:val="baseline"/>
        </w:rPr>
        <w:t> </w:t>
      </w:r>
      <w:r>
        <w:rPr>
          <w:vertAlign w:val="baseline"/>
        </w:rPr>
        <w:t>the</w:t>
      </w:r>
      <w:r>
        <w:rPr>
          <w:spacing w:val="55"/>
          <w:vertAlign w:val="baseline"/>
        </w:rPr>
        <w:t> </w:t>
      </w:r>
      <w:r>
        <w:rPr>
          <w:vertAlign w:val="baseline"/>
        </w:rPr>
        <w:t>best</w:t>
      </w:r>
      <w:r>
        <w:rPr>
          <w:spacing w:val="61"/>
          <w:vertAlign w:val="baseline"/>
        </w:rPr>
        <w:t> </w:t>
      </w:r>
      <w:r>
        <w:rPr>
          <w:vertAlign w:val="baseline"/>
        </w:rPr>
        <w:t>source</w:t>
      </w:r>
      <w:r>
        <w:rPr>
          <w:spacing w:val="40"/>
          <w:vertAlign w:val="baseline"/>
        </w:rPr>
        <w:t> </w:t>
      </w:r>
      <w:r>
        <w:rPr>
          <w:vertAlign w:val="baseline"/>
        </w:rPr>
        <w:t>of</w:t>
      </w:r>
      <w:r>
        <w:rPr>
          <w:spacing w:val="40"/>
          <w:vertAlign w:val="baseline"/>
        </w:rPr>
        <w:t> </w:t>
      </w:r>
      <w:r>
        <w:rPr>
          <w:vertAlign w:val="baseline"/>
        </w:rPr>
        <w:t>a</w:t>
      </w:r>
      <w:r>
        <w:rPr>
          <w:spacing w:val="55"/>
          <w:vertAlign w:val="baseline"/>
        </w:rPr>
        <w:t> </w:t>
      </w:r>
      <w:r>
        <w:rPr>
          <w:vertAlign w:val="baseline"/>
        </w:rPr>
        <w:t>particular</w:t>
      </w:r>
      <w:r>
        <w:rPr>
          <w:spacing w:val="58"/>
          <w:vertAlign w:val="baseline"/>
        </w:rPr>
        <w:t> </w:t>
      </w:r>
      <w:r>
        <w:rPr>
          <w:vertAlign w:val="baseline"/>
        </w:rPr>
        <w:t>resource</w:t>
      </w:r>
    </w:p>
    <w:p>
      <w:pPr>
        <w:pStyle w:val="BodyText"/>
        <w:spacing w:before="1"/>
        <w:ind w:left="0"/>
        <w:rPr>
          <w:sz w:val="17"/>
        </w:rPr>
      </w:pPr>
      <w:r>
        <w:rPr/>
        <mc:AlternateContent>
          <mc:Choice Requires="wps">
            <w:drawing>
              <wp:anchor distT="0" distB="0" distL="0" distR="0" allowOverlap="1" layoutInCell="1" locked="0" behindDoc="1" simplePos="0" relativeHeight="487706624">
                <wp:simplePos x="0" y="0"/>
                <wp:positionH relativeFrom="page">
                  <wp:posOffset>1262481</wp:posOffset>
                </wp:positionH>
                <wp:positionV relativeFrom="paragraph">
                  <wp:posOffset>140511</wp:posOffset>
                </wp:positionV>
                <wp:extent cx="1829435" cy="9525"/>
                <wp:effectExtent l="0" t="0" r="0" b="0"/>
                <wp:wrapTopAndBottom/>
                <wp:docPr id="259" name="Graphic 259"/>
                <wp:cNvGraphicFramePr>
                  <a:graphicFrameLocks/>
                </wp:cNvGraphicFramePr>
                <a:graphic>
                  <a:graphicData uri="http://schemas.microsoft.com/office/word/2010/wordprocessingShape">
                    <wps:wsp>
                      <wps:cNvPr id="259" name="Graphic 25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063876pt;width:144.050pt;height:.72003pt;mso-position-horizontal-relative:page;mso-position-vertical-relative:paragraph;z-index:-15609856;mso-wrap-distance-left:0;mso-wrap-distance-right:0" id="docshape214"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314</w:t>
      </w:r>
      <w:r>
        <w:rPr>
          <w:rFonts w:ascii="Calibri"/>
          <w:i/>
          <w:sz w:val="20"/>
          <w:vertAlign w:val="baseline"/>
        </w:rPr>
        <w:t>Aberdeen</w:t>
      </w:r>
      <w:r>
        <w:rPr>
          <w:rFonts w:ascii="Calibri"/>
          <w:i/>
          <w:spacing w:val="-6"/>
          <w:sz w:val="20"/>
          <w:vertAlign w:val="baseline"/>
        </w:rPr>
        <w:t> </w:t>
      </w:r>
      <w:r>
        <w:rPr>
          <w:rFonts w:ascii="Calibri"/>
          <w:i/>
          <w:sz w:val="20"/>
          <w:vertAlign w:val="baseline"/>
        </w:rPr>
        <w:t>Railway</w:t>
      </w:r>
      <w:r>
        <w:rPr>
          <w:rFonts w:ascii="Calibri"/>
          <w:i/>
          <w:spacing w:val="-7"/>
          <w:sz w:val="20"/>
          <w:vertAlign w:val="baseline"/>
        </w:rPr>
        <w:t> </w:t>
      </w:r>
      <w:r>
        <w:rPr>
          <w:rFonts w:ascii="Calibri"/>
          <w:i/>
          <w:sz w:val="20"/>
          <w:vertAlign w:val="baseline"/>
        </w:rPr>
        <w:t>Co.</w:t>
      </w:r>
      <w:r>
        <w:rPr>
          <w:rFonts w:ascii="Calibri"/>
          <w:i/>
          <w:spacing w:val="-6"/>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Blaikie</w:t>
      </w:r>
      <w:r>
        <w:rPr>
          <w:rFonts w:ascii="Calibri"/>
          <w:i/>
          <w:spacing w:val="-7"/>
          <w:sz w:val="20"/>
          <w:vertAlign w:val="baseline"/>
        </w:rPr>
        <w:t> </w:t>
      </w:r>
      <w:r>
        <w:rPr>
          <w:rFonts w:ascii="Calibri"/>
          <w:i/>
          <w:sz w:val="20"/>
          <w:vertAlign w:val="baseline"/>
        </w:rPr>
        <w:t>Bros</w:t>
      </w:r>
      <w:r>
        <w:rPr>
          <w:rFonts w:ascii="Calibri"/>
          <w:i/>
          <w:spacing w:val="-3"/>
          <w:sz w:val="20"/>
          <w:vertAlign w:val="baseline"/>
        </w:rPr>
        <w:t> </w:t>
      </w:r>
      <w:r>
        <w:rPr>
          <w:rFonts w:ascii="Calibri"/>
          <w:sz w:val="20"/>
          <w:vertAlign w:val="baseline"/>
        </w:rPr>
        <w:t>(1854)</w:t>
      </w:r>
      <w:r>
        <w:rPr>
          <w:rFonts w:ascii="Calibri"/>
          <w:spacing w:val="-5"/>
          <w:sz w:val="20"/>
          <w:vertAlign w:val="baseline"/>
        </w:rPr>
        <w:t> </w:t>
      </w:r>
      <w:r>
        <w:rPr>
          <w:rFonts w:ascii="Calibri"/>
          <w:sz w:val="20"/>
          <w:vertAlign w:val="baseline"/>
        </w:rPr>
        <w:t>1</w:t>
      </w:r>
      <w:r>
        <w:rPr>
          <w:rFonts w:ascii="Calibri"/>
          <w:spacing w:val="-9"/>
          <w:sz w:val="20"/>
          <w:vertAlign w:val="baseline"/>
        </w:rPr>
        <w:t> </w:t>
      </w:r>
      <w:r>
        <w:rPr>
          <w:rFonts w:ascii="Calibri"/>
          <w:sz w:val="20"/>
          <w:vertAlign w:val="baseline"/>
        </w:rPr>
        <w:t>Macq.</w:t>
      </w:r>
      <w:r>
        <w:rPr>
          <w:rFonts w:ascii="Calibri"/>
          <w:spacing w:val="-1"/>
          <w:sz w:val="20"/>
          <w:vertAlign w:val="baseline"/>
        </w:rPr>
        <w:t> </w:t>
      </w:r>
      <w:r>
        <w:rPr>
          <w:rFonts w:ascii="Calibri"/>
          <w:sz w:val="20"/>
          <w:vertAlign w:val="baseline"/>
        </w:rPr>
        <w:t>H.L.</w:t>
      </w:r>
      <w:r>
        <w:rPr>
          <w:rFonts w:ascii="Calibri"/>
          <w:spacing w:val="-2"/>
          <w:sz w:val="20"/>
          <w:vertAlign w:val="baseline"/>
        </w:rPr>
        <w:t> </w:t>
      </w:r>
      <w:r>
        <w:rPr>
          <w:rFonts w:ascii="Calibri"/>
          <w:sz w:val="20"/>
          <w:vertAlign w:val="baseline"/>
        </w:rPr>
        <w:t>461,</w:t>
      </w:r>
      <w:r>
        <w:rPr>
          <w:rFonts w:ascii="Calibri"/>
          <w:spacing w:val="-5"/>
          <w:sz w:val="20"/>
          <w:vertAlign w:val="baseline"/>
        </w:rPr>
        <w:t> </w:t>
      </w:r>
      <w:r>
        <w:rPr>
          <w:rFonts w:ascii="Calibri"/>
          <w:sz w:val="20"/>
          <w:vertAlign w:val="baseline"/>
        </w:rPr>
        <w:t>HL</w:t>
      </w:r>
      <w:r>
        <w:rPr>
          <w:rFonts w:ascii="Calibri"/>
          <w:spacing w:val="-1"/>
          <w:sz w:val="20"/>
          <w:vertAlign w:val="baseline"/>
        </w:rPr>
        <w:t> </w:t>
      </w:r>
      <w:r>
        <w:rPr>
          <w:rFonts w:ascii="Calibri"/>
          <w:sz w:val="20"/>
          <w:vertAlign w:val="baseline"/>
        </w:rPr>
        <w:t>Sc.,</w:t>
      </w:r>
      <w:r>
        <w:rPr>
          <w:rFonts w:ascii="Calibri"/>
          <w:spacing w:val="-5"/>
          <w:sz w:val="20"/>
          <w:vertAlign w:val="baseline"/>
        </w:rPr>
        <w:t> </w:t>
      </w:r>
      <w:r>
        <w:rPr>
          <w:rFonts w:ascii="Calibri"/>
          <w:sz w:val="20"/>
          <w:vertAlign w:val="baseline"/>
        </w:rPr>
        <w:t>at</w:t>
      </w:r>
      <w:r>
        <w:rPr>
          <w:rFonts w:ascii="Calibri"/>
          <w:spacing w:val="-8"/>
          <w:sz w:val="20"/>
          <w:vertAlign w:val="baseline"/>
        </w:rPr>
        <w:t> </w:t>
      </w:r>
      <w:r>
        <w:rPr>
          <w:rFonts w:ascii="Calibri"/>
          <w:sz w:val="20"/>
          <w:vertAlign w:val="baseline"/>
        </w:rPr>
        <w:t>471-</w:t>
      </w:r>
      <w:r>
        <w:rPr>
          <w:rFonts w:ascii="Calibri"/>
          <w:spacing w:val="-4"/>
          <w:sz w:val="20"/>
          <w:vertAlign w:val="baseline"/>
        </w:rPr>
        <w:t>472.</w:t>
      </w:r>
    </w:p>
    <w:p>
      <w:pPr>
        <w:spacing w:before="1"/>
        <w:ind w:left="308" w:right="0" w:firstLine="0"/>
        <w:jc w:val="left"/>
        <w:rPr>
          <w:rFonts w:ascii="Calibri"/>
          <w:sz w:val="20"/>
        </w:rPr>
      </w:pPr>
      <w:r>
        <w:rPr>
          <w:rFonts w:ascii="Calibri"/>
          <w:sz w:val="20"/>
          <w:vertAlign w:val="superscript"/>
        </w:rPr>
        <w:t>315</w:t>
      </w:r>
      <w:r>
        <w:rPr>
          <w:rFonts w:ascii="Calibri"/>
          <w:sz w:val="20"/>
          <w:vertAlign w:val="baseline"/>
        </w:rPr>
        <w:t>(1854)</w:t>
      </w:r>
      <w:r>
        <w:rPr>
          <w:rFonts w:ascii="Calibri"/>
          <w:spacing w:val="-1"/>
          <w:sz w:val="20"/>
          <w:vertAlign w:val="baseline"/>
        </w:rPr>
        <w:t> </w:t>
      </w:r>
      <w:r>
        <w:rPr>
          <w:rFonts w:ascii="Calibri"/>
          <w:sz w:val="20"/>
          <w:vertAlign w:val="baseline"/>
        </w:rPr>
        <w:t>23</w:t>
      </w:r>
      <w:r>
        <w:rPr>
          <w:rFonts w:ascii="Calibri"/>
          <w:spacing w:val="-7"/>
          <w:sz w:val="20"/>
          <w:vertAlign w:val="baseline"/>
        </w:rPr>
        <w:t> </w:t>
      </w:r>
      <w:r>
        <w:rPr>
          <w:rFonts w:ascii="Calibri"/>
          <w:sz w:val="20"/>
          <w:vertAlign w:val="baseline"/>
        </w:rPr>
        <w:t>LTR </w:t>
      </w:r>
      <w:r>
        <w:rPr>
          <w:rFonts w:ascii="Calibri"/>
          <w:spacing w:val="-4"/>
          <w:sz w:val="20"/>
          <w:vertAlign w:val="baseline"/>
        </w:rPr>
        <w:t>315.</w:t>
      </w:r>
    </w:p>
    <w:p>
      <w:pPr>
        <w:spacing w:before="0"/>
        <w:ind w:left="308" w:right="0" w:firstLine="0"/>
        <w:jc w:val="left"/>
        <w:rPr>
          <w:rFonts w:ascii="Calibri"/>
          <w:sz w:val="20"/>
        </w:rPr>
      </w:pPr>
      <w:r>
        <w:rPr>
          <w:rFonts w:ascii="Calibri"/>
          <w:sz w:val="20"/>
          <w:vertAlign w:val="superscript"/>
        </w:rPr>
        <w:t>316</w:t>
      </w:r>
      <w:r>
        <w:rPr>
          <w:rFonts w:ascii="Calibri"/>
          <w:sz w:val="20"/>
          <w:vertAlign w:val="baseline"/>
        </w:rPr>
        <w:t>Per</w:t>
      </w:r>
      <w:r>
        <w:rPr>
          <w:rFonts w:ascii="Calibri"/>
          <w:spacing w:val="-5"/>
          <w:sz w:val="20"/>
          <w:vertAlign w:val="baseline"/>
        </w:rPr>
        <w:t> </w:t>
      </w:r>
      <w:r>
        <w:rPr>
          <w:rFonts w:ascii="Calibri"/>
          <w:sz w:val="20"/>
          <w:vertAlign w:val="baseline"/>
        </w:rPr>
        <w:t>Lord</w:t>
      </w:r>
      <w:r>
        <w:rPr>
          <w:rFonts w:ascii="Calibri"/>
          <w:spacing w:val="-2"/>
          <w:sz w:val="20"/>
          <w:vertAlign w:val="baseline"/>
        </w:rPr>
        <w:t> </w:t>
      </w:r>
      <w:r>
        <w:rPr>
          <w:rFonts w:ascii="Calibri"/>
          <w:sz w:val="20"/>
          <w:vertAlign w:val="baseline"/>
        </w:rPr>
        <w:t>Cranworth</w:t>
      </w:r>
      <w:r>
        <w:rPr>
          <w:rFonts w:ascii="Calibri"/>
          <w:spacing w:val="-7"/>
          <w:sz w:val="20"/>
          <w:vertAlign w:val="baseline"/>
        </w:rPr>
        <w:t> </w:t>
      </w:r>
      <w:r>
        <w:rPr>
          <w:rFonts w:ascii="Calibri"/>
          <w:sz w:val="20"/>
          <w:vertAlign w:val="baseline"/>
        </w:rPr>
        <w:t>LC,</w:t>
      </w:r>
      <w:r>
        <w:rPr>
          <w:rFonts w:ascii="Calibri"/>
          <w:spacing w:val="-4"/>
          <w:sz w:val="20"/>
          <w:vertAlign w:val="baseline"/>
        </w:rPr>
        <w:t> </w:t>
      </w:r>
      <w:r>
        <w:rPr>
          <w:rFonts w:ascii="Calibri"/>
          <w:sz w:val="20"/>
          <w:vertAlign w:val="baseline"/>
        </w:rPr>
        <w:t>ibid.</w:t>
      </w:r>
      <w:r>
        <w:rPr>
          <w:rFonts w:ascii="Calibri"/>
          <w:spacing w:val="-5"/>
          <w:sz w:val="20"/>
          <w:vertAlign w:val="baseline"/>
        </w:rPr>
        <w:t> </w:t>
      </w:r>
      <w:r>
        <w:rPr>
          <w:rFonts w:ascii="Calibri"/>
          <w:sz w:val="20"/>
          <w:vertAlign w:val="baseline"/>
        </w:rPr>
        <w:t>at</w:t>
      </w:r>
      <w:r>
        <w:rPr>
          <w:rFonts w:ascii="Calibri"/>
          <w:spacing w:val="-7"/>
          <w:sz w:val="20"/>
          <w:vertAlign w:val="baseline"/>
        </w:rPr>
        <w:t> </w:t>
      </w:r>
      <w:r>
        <w:rPr>
          <w:rFonts w:ascii="Calibri"/>
          <w:spacing w:val="-4"/>
          <w:sz w:val="20"/>
          <w:vertAlign w:val="baseline"/>
        </w:rPr>
        <w:t>316.</w:t>
      </w:r>
    </w:p>
    <w:p>
      <w:pPr>
        <w:spacing w:before="1"/>
        <w:ind w:left="308" w:right="0" w:firstLine="0"/>
        <w:jc w:val="left"/>
        <w:rPr>
          <w:rFonts w:ascii="Calibri"/>
          <w:sz w:val="20"/>
        </w:rPr>
      </w:pPr>
      <w:r>
        <w:rPr>
          <w:rFonts w:ascii="Calibri"/>
          <w:sz w:val="20"/>
          <w:vertAlign w:val="superscript"/>
        </w:rPr>
        <w:t>317</w:t>
      </w:r>
      <w:r>
        <w:rPr>
          <w:rFonts w:ascii="Calibri"/>
          <w:sz w:val="20"/>
          <w:vertAlign w:val="baseline"/>
        </w:rPr>
        <w:t> Refer</w:t>
      </w:r>
      <w:r>
        <w:rPr>
          <w:rFonts w:ascii="Calibri"/>
          <w:spacing w:val="-3"/>
          <w:sz w:val="20"/>
          <w:vertAlign w:val="baseline"/>
        </w:rPr>
        <w:t> </w:t>
      </w:r>
      <w:r>
        <w:rPr>
          <w:rFonts w:ascii="Calibri"/>
          <w:sz w:val="20"/>
          <w:vertAlign w:val="baseline"/>
        </w:rPr>
        <w:t>generally</w:t>
      </w:r>
      <w:r>
        <w:rPr>
          <w:rFonts w:ascii="Calibri"/>
          <w:spacing w:val="-4"/>
          <w:sz w:val="20"/>
          <w:vertAlign w:val="baseline"/>
        </w:rPr>
        <w:t> </w:t>
      </w:r>
      <w:r>
        <w:rPr>
          <w:rFonts w:ascii="Calibri"/>
          <w:sz w:val="20"/>
          <w:vertAlign w:val="baseline"/>
        </w:rPr>
        <w:t>to</w:t>
      </w:r>
      <w:r>
        <w:rPr>
          <w:rFonts w:ascii="Calibri"/>
          <w:spacing w:val="-6"/>
          <w:sz w:val="20"/>
          <w:vertAlign w:val="baseline"/>
        </w:rPr>
        <w:t> </w:t>
      </w:r>
      <w:r>
        <w:rPr>
          <w:rFonts w:ascii="Calibri"/>
          <w:b/>
          <w:sz w:val="20"/>
          <w:vertAlign w:val="baseline"/>
        </w:rPr>
        <w:t>2.6</w:t>
      </w:r>
      <w:r>
        <w:rPr>
          <w:rFonts w:ascii="Calibri"/>
          <w:b/>
          <w:spacing w:val="-2"/>
          <w:sz w:val="20"/>
          <w:vertAlign w:val="baseline"/>
        </w:rPr>
        <w:t> </w:t>
      </w:r>
      <w:r>
        <w:rPr>
          <w:rFonts w:ascii="Calibri"/>
          <w:sz w:val="20"/>
          <w:vertAlign w:val="baseline"/>
        </w:rPr>
        <w:t>supra</w:t>
      </w:r>
      <w:r>
        <w:rPr>
          <w:rFonts w:ascii="Calibri"/>
          <w:spacing w:val="-5"/>
          <w:sz w:val="20"/>
          <w:vertAlign w:val="baseline"/>
        </w:rPr>
        <w:t> </w:t>
      </w:r>
      <w:r>
        <w:rPr>
          <w:rFonts w:ascii="Calibri"/>
          <w:sz w:val="20"/>
          <w:vertAlign w:val="baseline"/>
        </w:rPr>
        <w:t>on</w:t>
      </w:r>
      <w:r>
        <w:rPr>
          <w:rFonts w:ascii="Calibri"/>
          <w:spacing w:val="-6"/>
          <w:sz w:val="20"/>
          <w:vertAlign w:val="baseline"/>
        </w:rPr>
        <w:t> </w:t>
      </w:r>
      <w:r>
        <w:rPr>
          <w:rFonts w:ascii="Calibri"/>
          <w:sz w:val="20"/>
          <w:vertAlign w:val="baseline"/>
        </w:rPr>
        <w:t>Status</w:t>
      </w:r>
      <w:r>
        <w:rPr>
          <w:rFonts w:ascii="Calibri"/>
          <w:spacing w:val="-4"/>
          <w:sz w:val="20"/>
          <w:vertAlign w:val="baseline"/>
        </w:rPr>
        <w:t> </w:t>
      </w:r>
      <w:r>
        <w:rPr>
          <w:rFonts w:ascii="Calibri"/>
          <w:sz w:val="20"/>
          <w:vertAlign w:val="baseline"/>
        </w:rPr>
        <w:t>of</w:t>
      </w:r>
      <w:r>
        <w:rPr>
          <w:rFonts w:ascii="Calibri"/>
          <w:spacing w:val="-4"/>
          <w:sz w:val="20"/>
          <w:vertAlign w:val="baseline"/>
        </w:rPr>
        <w:t> </w:t>
      </w:r>
      <w:r>
        <w:rPr>
          <w:rFonts w:ascii="Calibri"/>
          <w:spacing w:val="-2"/>
          <w:sz w:val="20"/>
          <w:vertAlign w:val="baseline"/>
        </w:rPr>
        <w:t>Directors.</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28"/>
        <w:jc w:val="both"/>
      </w:pPr>
      <w:r>
        <w:rPr/>
        <w:t>required by the company,</w:t>
      </w:r>
      <w:r>
        <w:rPr>
          <w:vertAlign w:val="superscript"/>
        </w:rPr>
        <w:t>318</w:t>
      </w:r>
      <w:r>
        <w:rPr>
          <w:vertAlign w:val="baseline"/>
        </w:rPr>
        <w:t> and so, prohibiting such transactions may not be in the company‘s best interests. For example, the director may happen to own property with the best supply of raw materials needed for the company‘s production. Further, dealing with the director may save the company valuable time, risks and costs.</w:t>
      </w:r>
      <w:r>
        <w:rPr>
          <w:vertAlign w:val="superscript"/>
        </w:rPr>
        <w:t>319</w:t>
      </w:r>
      <w:r>
        <w:rPr>
          <w:vertAlign w:val="baseline"/>
        </w:rPr>
        <w:t> Thus, eventually, the critical issue came to be identifying the proper procedure</w:t>
      </w:r>
      <w:r>
        <w:rPr>
          <w:spacing w:val="-1"/>
          <w:vertAlign w:val="baseline"/>
        </w:rPr>
        <w:t> </w:t>
      </w:r>
      <w:r>
        <w:rPr>
          <w:vertAlign w:val="baseline"/>
        </w:rPr>
        <w:t>to be observed in order to rid</w:t>
      </w:r>
      <w:r>
        <w:rPr>
          <w:spacing w:val="20"/>
          <w:vertAlign w:val="baseline"/>
        </w:rPr>
        <w:t> </w:t>
      </w:r>
      <w:r>
        <w:rPr>
          <w:vertAlign w:val="baseline"/>
        </w:rPr>
        <w:t>the director of the taint</w:t>
      </w:r>
      <w:r>
        <w:rPr>
          <w:spacing w:val="20"/>
          <w:vertAlign w:val="baseline"/>
        </w:rPr>
        <w:t> </w:t>
      </w:r>
      <w:r>
        <w:rPr>
          <w:vertAlign w:val="baseline"/>
        </w:rPr>
        <w:t>of conflicted contracting, while allowing</w:t>
      </w:r>
      <w:r>
        <w:rPr>
          <w:spacing w:val="20"/>
          <w:vertAlign w:val="baseline"/>
        </w:rPr>
        <w:t> </w:t>
      </w:r>
      <w:r>
        <w:rPr>
          <w:vertAlign w:val="baseline"/>
        </w:rPr>
        <w:t>him to so contract, rather than observing an outright ban. Thus, in </w:t>
      </w:r>
      <w:r>
        <w:rPr>
          <w:b/>
          <w:vertAlign w:val="baseline"/>
        </w:rPr>
        <w:t>North-West Trans. Co. vs. Beatty</w:t>
      </w:r>
      <w:r>
        <w:rPr>
          <w:vertAlign w:val="baseline"/>
        </w:rPr>
        <w:t>,</w:t>
      </w:r>
      <w:r>
        <w:rPr>
          <w:vertAlign w:val="superscript"/>
        </w:rPr>
        <w:t>320</w:t>
      </w:r>
      <w:r>
        <w:rPr>
          <w:spacing w:val="-1"/>
          <w:vertAlign w:val="baseline"/>
        </w:rPr>
        <w:t> </w:t>
      </w:r>
      <w:r>
        <w:rPr>
          <w:vertAlign w:val="baseline"/>
        </w:rPr>
        <w:t>a</w:t>
      </w:r>
      <w:r>
        <w:rPr>
          <w:spacing w:val="-4"/>
          <w:vertAlign w:val="baseline"/>
        </w:rPr>
        <w:t> </w:t>
      </w:r>
      <w:r>
        <w:rPr>
          <w:vertAlign w:val="baseline"/>
        </w:rPr>
        <w:t>steamer</w:t>
      </w:r>
      <w:r>
        <w:rPr>
          <w:spacing w:val="-2"/>
          <w:vertAlign w:val="baseline"/>
        </w:rPr>
        <w:t> </w:t>
      </w:r>
      <w:r>
        <w:rPr>
          <w:vertAlign w:val="baseline"/>
        </w:rPr>
        <w:t>was</w:t>
      </w:r>
      <w:r>
        <w:rPr>
          <w:spacing w:val="-1"/>
          <w:vertAlign w:val="baseline"/>
        </w:rPr>
        <w:t> </w:t>
      </w:r>
      <w:r>
        <w:rPr>
          <w:vertAlign w:val="baseline"/>
        </w:rPr>
        <w:t>being built for</w:t>
      </w:r>
      <w:r>
        <w:rPr>
          <w:spacing w:val="-2"/>
          <w:vertAlign w:val="baseline"/>
        </w:rPr>
        <w:t> </w:t>
      </w:r>
      <w:r>
        <w:rPr>
          <w:vertAlign w:val="baseline"/>
        </w:rPr>
        <w:t>Beatty,</w:t>
      </w:r>
      <w:r>
        <w:rPr>
          <w:spacing w:val="-1"/>
          <w:vertAlign w:val="baseline"/>
        </w:rPr>
        <w:t> </w:t>
      </w:r>
      <w:r>
        <w:rPr>
          <w:vertAlign w:val="baseline"/>
        </w:rPr>
        <w:t>who was</w:t>
      </w:r>
      <w:r>
        <w:rPr>
          <w:spacing w:val="-1"/>
          <w:vertAlign w:val="baseline"/>
        </w:rPr>
        <w:t> </w:t>
      </w:r>
      <w:r>
        <w:rPr>
          <w:vertAlign w:val="baseline"/>
        </w:rPr>
        <w:t>both</w:t>
      </w:r>
      <w:r>
        <w:rPr>
          <w:spacing w:val="-8"/>
          <w:vertAlign w:val="baseline"/>
        </w:rPr>
        <w:t> </w:t>
      </w:r>
      <w:r>
        <w:rPr>
          <w:vertAlign w:val="baseline"/>
        </w:rPr>
        <w:t>a major</w:t>
      </w:r>
      <w:r>
        <w:rPr>
          <w:spacing w:val="-2"/>
          <w:vertAlign w:val="baseline"/>
        </w:rPr>
        <w:t> </w:t>
      </w:r>
      <w:r>
        <w:rPr>
          <w:vertAlign w:val="baseline"/>
        </w:rPr>
        <w:t>shareholder</w:t>
      </w:r>
      <w:r>
        <w:rPr>
          <w:spacing w:val="-2"/>
          <w:vertAlign w:val="baseline"/>
        </w:rPr>
        <w:t> </w:t>
      </w:r>
      <w:r>
        <w:rPr>
          <w:vertAlign w:val="baseline"/>
        </w:rPr>
        <w:t>and</w:t>
      </w:r>
      <w:r>
        <w:rPr>
          <w:spacing w:val="-3"/>
          <w:vertAlign w:val="baseline"/>
        </w:rPr>
        <w:t> </w:t>
      </w:r>
      <w:r>
        <w:rPr>
          <w:vertAlign w:val="baseline"/>
        </w:rPr>
        <w:t>a director of the North-West Transportation Company. The board resolved to buy the steamer from</w:t>
      </w:r>
      <w:r>
        <w:rPr>
          <w:spacing w:val="-1"/>
          <w:vertAlign w:val="baseline"/>
        </w:rPr>
        <w:t> </w:t>
      </w:r>
      <w:r>
        <w:rPr>
          <w:vertAlign w:val="baseline"/>
        </w:rPr>
        <w:t>Beatty. The contract to buy</w:t>
      </w:r>
      <w:r>
        <w:rPr>
          <w:spacing w:val="-6"/>
          <w:vertAlign w:val="baseline"/>
        </w:rPr>
        <w:t> </w:t>
      </w:r>
      <w:r>
        <w:rPr>
          <w:vertAlign w:val="baseline"/>
        </w:rPr>
        <w:t>would have been voidable, being in breach</w:t>
      </w:r>
      <w:r>
        <w:rPr>
          <w:spacing w:val="-1"/>
          <w:vertAlign w:val="baseline"/>
        </w:rPr>
        <w:t> </w:t>
      </w:r>
      <w:r>
        <w:rPr>
          <w:vertAlign w:val="baseline"/>
        </w:rPr>
        <w:t>of fiduciary duty. However, the resolution to buy had been adopted by a majority of votes at a general meeting, which validated the breach. After first observing that</w:t>
      </w:r>
    </w:p>
    <w:p>
      <w:pPr>
        <w:spacing w:line="240" w:lineRule="auto" w:before="2"/>
        <w:ind w:left="2007" w:right="1889" w:firstLine="0"/>
        <w:jc w:val="both"/>
        <w:rPr>
          <w:sz w:val="24"/>
        </w:rPr>
      </w:pPr>
      <w:r>
        <w:rPr>
          <w:i/>
          <w:sz w:val="24"/>
        </w:rPr>
        <w:t>A director of a company is precluded from dealing, on behalf of the company, with himself, and from entering into engagements in which he has a</w:t>
      </w:r>
      <w:r>
        <w:rPr>
          <w:i/>
          <w:spacing w:val="40"/>
          <w:sz w:val="24"/>
        </w:rPr>
        <w:t> </w:t>
      </w:r>
      <w:r>
        <w:rPr>
          <w:i/>
          <w:sz w:val="24"/>
        </w:rPr>
        <w:t>personal interest conflicting, or which possibly may conflict, with the interests</w:t>
      </w:r>
      <w:r>
        <w:rPr>
          <w:i/>
          <w:spacing w:val="-1"/>
          <w:sz w:val="24"/>
        </w:rPr>
        <w:t> </w:t>
      </w:r>
      <w:r>
        <w:rPr>
          <w:i/>
          <w:sz w:val="24"/>
        </w:rPr>
        <w:t>of those whom he is</w:t>
      </w:r>
      <w:r>
        <w:rPr>
          <w:i/>
          <w:spacing w:val="-1"/>
          <w:sz w:val="24"/>
        </w:rPr>
        <w:t> </w:t>
      </w:r>
      <w:r>
        <w:rPr>
          <w:i/>
          <w:sz w:val="24"/>
        </w:rPr>
        <w:t>bound by fiduciary duty to protect.</w:t>
      </w:r>
      <w:r>
        <w:rPr>
          <w:sz w:val="24"/>
          <w:vertAlign w:val="superscript"/>
        </w:rPr>
        <w:t>321</w:t>
      </w:r>
    </w:p>
    <w:p>
      <w:pPr>
        <w:pStyle w:val="BodyText"/>
        <w:spacing w:before="3"/>
        <w:ind w:left="0"/>
      </w:pPr>
    </w:p>
    <w:p>
      <w:pPr>
        <w:pStyle w:val="BodyText"/>
        <w:spacing w:line="480" w:lineRule="auto"/>
        <w:ind w:right="234"/>
        <w:jc w:val="both"/>
      </w:pPr>
      <w:r>
        <w:rPr/>
        <w:t>the Privy Council went further to make clear the legal position that Beatty could, as he did, use his votes as shareholder at the general meeting to remedy the defect by ratification. Thus, at common law, the rule came to be that disclosure of the conflict, especially in advance to, and approval of the contract by, the members was the appropriate procedure whereby an interested director could contract with the company.</w:t>
      </w:r>
      <w:r>
        <w:rPr>
          <w:vertAlign w:val="superscript"/>
        </w:rPr>
        <w:t>322</w:t>
      </w:r>
      <w:r>
        <w:rPr>
          <w:vertAlign w:val="baseline"/>
        </w:rPr>
        <w:t> The board‘s sanction was considered insufficient, even if the ‗interested‘ director</w:t>
      </w:r>
      <w:r>
        <w:rPr>
          <w:spacing w:val="5"/>
          <w:vertAlign w:val="baseline"/>
        </w:rPr>
        <w:t> </w:t>
      </w:r>
      <w:r>
        <w:rPr>
          <w:vertAlign w:val="baseline"/>
        </w:rPr>
        <w:t>did</w:t>
      </w:r>
      <w:r>
        <w:rPr>
          <w:spacing w:val="8"/>
          <w:vertAlign w:val="baseline"/>
        </w:rPr>
        <w:t> </w:t>
      </w:r>
      <w:r>
        <w:rPr>
          <w:vertAlign w:val="baseline"/>
        </w:rPr>
        <w:t>not</w:t>
      </w:r>
      <w:r>
        <w:rPr>
          <w:spacing w:val="12"/>
          <w:vertAlign w:val="baseline"/>
        </w:rPr>
        <w:t> </w:t>
      </w:r>
      <w:r>
        <w:rPr>
          <w:vertAlign w:val="baseline"/>
        </w:rPr>
        <w:t>attend</w:t>
      </w:r>
      <w:r>
        <w:rPr>
          <w:spacing w:val="3"/>
          <w:vertAlign w:val="baseline"/>
        </w:rPr>
        <w:t> </w:t>
      </w:r>
      <w:r>
        <w:rPr>
          <w:vertAlign w:val="baseline"/>
        </w:rPr>
        <w:t>or</w:t>
      </w:r>
      <w:r>
        <w:rPr>
          <w:spacing w:val="6"/>
          <w:vertAlign w:val="baseline"/>
        </w:rPr>
        <w:t> </w:t>
      </w:r>
      <w:r>
        <w:rPr>
          <w:vertAlign w:val="baseline"/>
        </w:rPr>
        <w:t>vote</w:t>
      </w:r>
      <w:r>
        <w:rPr>
          <w:spacing w:val="3"/>
          <w:vertAlign w:val="baseline"/>
        </w:rPr>
        <w:t> </w:t>
      </w:r>
      <w:r>
        <w:rPr>
          <w:vertAlign w:val="baseline"/>
        </w:rPr>
        <w:t>at</w:t>
      </w:r>
      <w:r>
        <w:rPr>
          <w:spacing w:val="4"/>
          <w:vertAlign w:val="baseline"/>
        </w:rPr>
        <w:t> </w:t>
      </w:r>
      <w:r>
        <w:rPr>
          <w:vertAlign w:val="baseline"/>
        </w:rPr>
        <w:t>the</w:t>
      </w:r>
      <w:r>
        <w:rPr>
          <w:spacing w:val="4"/>
          <w:vertAlign w:val="baseline"/>
        </w:rPr>
        <w:t> </w:t>
      </w:r>
      <w:r>
        <w:rPr>
          <w:vertAlign w:val="baseline"/>
        </w:rPr>
        <w:t>board</w:t>
      </w:r>
      <w:r>
        <w:rPr>
          <w:spacing w:val="8"/>
          <w:vertAlign w:val="baseline"/>
        </w:rPr>
        <w:t> </w:t>
      </w:r>
      <w:r>
        <w:rPr>
          <w:vertAlign w:val="baseline"/>
        </w:rPr>
        <w:t>meeting</w:t>
      </w:r>
      <w:r>
        <w:rPr>
          <w:spacing w:val="3"/>
          <w:vertAlign w:val="baseline"/>
        </w:rPr>
        <w:t> </w:t>
      </w:r>
      <w:r>
        <w:rPr>
          <w:vertAlign w:val="baseline"/>
        </w:rPr>
        <w:t>purporting</w:t>
      </w:r>
      <w:r>
        <w:rPr>
          <w:spacing w:val="8"/>
          <w:vertAlign w:val="baseline"/>
        </w:rPr>
        <w:t> </w:t>
      </w:r>
      <w:r>
        <w:rPr>
          <w:vertAlign w:val="baseline"/>
        </w:rPr>
        <w:t>to</w:t>
      </w:r>
      <w:r>
        <w:rPr>
          <w:spacing w:val="9"/>
          <w:vertAlign w:val="baseline"/>
        </w:rPr>
        <w:t> </w:t>
      </w:r>
      <w:r>
        <w:rPr>
          <w:vertAlign w:val="baseline"/>
        </w:rPr>
        <w:t>sanction</w:t>
      </w:r>
      <w:r>
        <w:rPr>
          <w:spacing w:val="4"/>
          <w:vertAlign w:val="baseline"/>
        </w:rPr>
        <w:t> </w:t>
      </w:r>
      <w:r>
        <w:rPr>
          <w:vertAlign w:val="baseline"/>
        </w:rPr>
        <w:t>the</w:t>
      </w:r>
      <w:r>
        <w:rPr>
          <w:spacing w:val="7"/>
          <w:vertAlign w:val="baseline"/>
        </w:rPr>
        <w:t> </w:t>
      </w:r>
      <w:r>
        <w:rPr>
          <w:vertAlign w:val="baseline"/>
        </w:rPr>
        <w:t>breach </w:t>
      </w:r>
      <w:r>
        <w:rPr>
          <w:spacing w:val="-5"/>
          <w:vertAlign w:val="baseline"/>
        </w:rPr>
        <w:t>of</w:t>
      </w:r>
    </w:p>
    <w:p>
      <w:pPr>
        <w:pStyle w:val="BodyText"/>
        <w:spacing w:before="7"/>
        <w:ind w:left="0"/>
        <w:rPr>
          <w:sz w:val="19"/>
        </w:rPr>
      </w:pPr>
      <w:r>
        <w:rPr/>
        <mc:AlternateContent>
          <mc:Choice Requires="wps">
            <w:drawing>
              <wp:anchor distT="0" distB="0" distL="0" distR="0" allowOverlap="1" layoutInCell="1" locked="0" behindDoc="1" simplePos="0" relativeHeight="487707136">
                <wp:simplePos x="0" y="0"/>
                <wp:positionH relativeFrom="page">
                  <wp:posOffset>1262481</wp:posOffset>
                </wp:positionH>
                <wp:positionV relativeFrom="paragraph">
                  <wp:posOffset>158657</wp:posOffset>
                </wp:positionV>
                <wp:extent cx="1829435" cy="9525"/>
                <wp:effectExtent l="0" t="0" r="0" b="0"/>
                <wp:wrapTopAndBottom/>
                <wp:docPr id="260" name="Graphic 260"/>
                <wp:cNvGraphicFramePr>
                  <a:graphicFrameLocks/>
                </wp:cNvGraphicFramePr>
                <a:graphic>
                  <a:graphicData uri="http://schemas.microsoft.com/office/word/2010/wordprocessingShape">
                    <wps:wsp>
                      <wps:cNvPr id="260" name="Graphic 26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492704pt;width:144.050pt;height:.72003pt;mso-position-horizontal-relative:page;mso-position-vertical-relative:paragraph;z-index:-15609344;mso-wrap-distance-left:0;mso-wrap-distance-right:0" id="docshape215" filled="true" fillcolor="#000000" stroked="false">
                <v:fill type="solid"/>
                <w10:wrap type="topAndBottom"/>
              </v:rect>
            </w:pict>
          </mc:Fallback>
        </mc:AlternateContent>
      </w:r>
    </w:p>
    <w:p>
      <w:pPr>
        <w:spacing w:before="103"/>
        <w:ind w:left="308" w:right="0" w:firstLine="0"/>
        <w:jc w:val="left"/>
        <w:rPr>
          <w:rFonts w:ascii="Calibri"/>
          <w:sz w:val="20"/>
        </w:rPr>
      </w:pPr>
      <w:r>
        <w:rPr>
          <w:rFonts w:ascii="Calibri"/>
          <w:sz w:val="20"/>
          <w:vertAlign w:val="superscript"/>
        </w:rPr>
        <w:t>318</w:t>
      </w:r>
      <w:r>
        <w:rPr>
          <w:rFonts w:ascii="Calibri"/>
          <w:sz w:val="20"/>
          <w:vertAlign w:val="baseline"/>
        </w:rPr>
        <w:t>Davies,</w:t>
      </w:r>
      <w:r>
        <w:rPr>
          <w:rFonts w:ascii="Calibri"/>
          <w:spacing w:val="-9"/>
          <w:sz w:val="20"/>
          <w:vertAlign w:val="baseline"/>
        </w:rPr>
        <w:t> </w:t>
      </w:r>
      <w:r>
        <w:rPr>
          <w:rFonts w:ascii="Calibri"/>
          <w:sz w:val="20"/>
          <w:vertAlign w:val="baseline"/>
        </w:rPr>
        <w:t>L.P.</w:t>
      </w:r>
      <w:r>
        <w:rPr>
          <w:rFonts w:ascii="Calibri"/>
          <w:spacing w:val="-5"/>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4"/>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3"/>
          <w:sz w:val="20"/>
          <w:vertAlign w:val="baseline"/>
        </w:rPr>
        <w:t> </w:t>
      </w:r>
      <w:r>
        <w:rPr>
          <w:rFonts w:ascii="Calibri"/>
          <w:spacing w:val="-4"/>
          <w:sz w:val="20"/>
          <w:vertAlign w:val="baseline"/>
        </w:rPr>
        <w:t>p.562</w:t>
      </w:r>
    </w:p>
    <w:p>
      <w:pPr>
        <w:spacing w:before="0"/>
        <w:ind w:left="308" w:right="0" w:firstLine="0"/>
        <w:jc w:val="left"/>
        <w:rPr>
          <w:rFonts w:ascii="Calibri"/>
          <w:sz w:val="20"/>
        </w:rPr>
      </w:pPr>
      <w:r>
        <w:rPr>
          <w:rFonts w:ascii="Calibri"/>
          <w:sz w:val="20"/>
          <w:vertAlign w:val="superscript"/>
        </w:rPr>
        <w:t>319</w:t>
      </w:r>
      <w:r>
        <w:rPr>
          <w:rFonts w:ascii="Calibri"/>
          <w:sz w:val="20"/>
          <w:vertAlign w:val="baseline"/>
        </w:rPr>
        <w:t>Corkery,</w:t>
      </w:r>
      <w:r>
        <w:rPr>
          <w:rFonts w:ascii="Calibri"/>
          <w:spacing w:val="-6"/>
          <w:sz w:val="20"/>
          <w:vertAlign w:val="baseline"/>
        </w:rPr>
        <w:t> </w:t>
      </w:r>
      <w:r>
        <w:rPr>
          <w:rFonts w:ascii="Calibri"/>
          <w:sz w:val="20"/>
          <w:vertAlign w:val="baseline"/>
        </w:rPr>
        <w:t>F.J.</w:t>
      </w:r>
      <w:r>
        <w:rPr>
          <w:rFonts w:ascii="Calibri"/>
          <w:spacing w:val="-7"/>
          <w:sz w:val="20"/>
          <w:vertAlign w:val="baseline"/>
        </w:rPr>
        <w:t> </w:t>
      </w:r>
      <w:r>
        <w:rPr>
          <w:rFonts w:ascii="Calibri"/>
          <w:sz w:val="20"/>
          <w:vertAlign w:val="baseline"/>
        </w:rPr>
        <w:t>op.cit.at</w:t>
      </w:r>
      <w:r>
        <w:rPr>
          <w:rFonts w:ascii="Calibri"/>
          <w:spacing w:val="-4"/>
          <w:sz w:val="20"/>
          <w:vertAlign w:val="baseline"/>
        </w:rPr>
        <w:t> </w:t>
      </w:r>
      <w:r>
        <w:rPr>
          <w:rFonts w:ascii="Calibri"/>
          <w:sz w:val="20"/>
          <w:vertAlign w:val="baseline"/>
        </w:rPr>
        <w:t>p.</w:t>
      </w:r>
      <w:r>
        <w:rPr>
          <w:rFonts w:ascii="Calibri"/>
          <w:spacing w:val="-2"/>
          <w:sz w:val="20"/>
          <w:vertAlign w:val="baseline"/>
        </w:rPr>
        <w:t> </w:t>
      </w:r>
      <w:r>
        <w:rPr>
          <w:rFonts w:ascii="Calibri"/>
          <w:spacing w:val="-5"/>
          <w:sz w:val="20"/>
          <w:vertAlign w:val="baseline"/>
        </w:rPr>
        <w:t>81.</w:t>
      </w:r>
    </w:p>
    <w:p>
      <w:pPr>
        <w:spacing w:before="1"/>
        <w:ind w:left="308" w:right="0" w:firstLine="0"/>
        <w:jc w:val="left"/>
        <w:rPr>
          <w:rFonts w:ascii="Calibri"/>
          <w:sz w:val="20"/>
        </w:rPr>
      </w:pPr>
      <w:r>
        <w:rPr>
          <w:rFonts w:ascii="Calibri"/>
          <w:sz w:val="20"/>
          <w:vertAlign w:val="superscript"/>
        </w:rPr>
        <w:t>320</w:t>
      </w:r>
      <w:r>
        <w:rPr>
          <w:rFonts w:ascii="Calibri"/>
          <w:spacing w:val="-1"/>
          <w:sz w:val="20"/>
          <w:vertAlign w:val="baseline"/>
        </w:rPr>
        <w:t> </w:t>
      </w:r>
      <w:r>
        <w:rPr>
          <w:rFonts w:ascii="Calibri"/>
          <w:sz w:val="20"/>
          <w:vertAlign w:val="baseline"/>
        </w:rPr>
        <w:t>(1887)</w:t>
      </w:r>
      <w:r>
        <w:rPr>
          <w:rFonts w:ascii="Calibri"/>
          <w:spacing w:val="-1"/>
          <w:sz w:val="20"/>
          <w:vertAlign w:val="baseline"/>
        </w:rPr>
        <w:t> </w:t>
      </w:r>
      <w:r>
        <w:rPr>
          <w:rFonts w:ascii="Calibri"/>
          <w:sz w:val="20"/>
          <w:vertAlign w:val="baseline"/>
        </w:rPr>
        <w:t>12</w:t>
      </w:r>
      <w:r>
        <w:rPr>
          <w:rFonts w:ascii="Calibri"/>
          <w:spacing w:val="-7"/>
          <w:sz w:val="20"/>
          <w:vertAlign w:val="baseline"/>
        </w:rPr>
        <w:t> </w:t>
      </w:r>
      <w:r>
        <w:rPr>
          <w:rFonts w:ascii="Calibri"/>
          <w:sz w:val="20"/>
          <w:vertAlign w:val="baseline"/>
        </w:rPr>
        <w:t>App.</w:t>
      </w:r>
      <w:r>
        <w:rPr>
          <w:rFonts w:ascii="Calibri"/>
          <w:spacing w:val="-5"/>
          <w:sz w:val="20"/>
          <w:vertAlign w:val="baseline"/>
        </w:rPr>
        <w:t> </w:t>
      </w:r>
      <w:r>
        <w:rPr>
          <w:rFonts w:ascii="Calibri"/>
          <w:sz w:val="20"/>
          <w:vertAlign w:val="baseline"/>
        </w:rPr>
        <w:t>Cas.</w:t>
      </w:r>
      <w:r>
        <w:rPr>
          <w:rFonts w:ascii="Calibri"/>
          <w:spacing w:val="-4"/>
          <w:sz w:val="20"/>
          <w:vertAlign w:val="baseline"/>
        </w:rPr>
        <w:t> 589.</w:t>
      </w:r>
    </w:p>
    <w:p>
      <w:pPr>
        <w:spacing w:before="1"/>
        <w:ind w:left="308" w:right="0" w:firstLine="0"/>
        <w:jc w:val="left"/>
        <w:rPr>
          <w:rFonts w:ascii="Calibri"/>
          <w:sz w:val="20"/>
        </w:rPr>
      </w:pPr>
      <w:r>
        <w:rPr>
          <w:rFonts w:ascii="Calibri"/>
          <w:sz w:val="20"/>
          <w:vertAlign w:val="superscript"/>
        </w:rPr>
        <w:t>321</w:t>
      </w:r>
      <w:r>
        <w:rPr>
          <w:rFonts w:ascii="Calibri"/>
          <w:sz w:val="20"/>
          <w:vertAlign w:val="baseline"/>
        </w:rPr>
        <w:t>Per</w:t>
      </w:r>
      <w:r>
        <w:rPr>
          <w:rFonts w:ascii="Calibri"/>
          <w:spacing w:val="-5"/>
          <w:sz w:val="20"/>
          <w:vertAlign w:val="baseline"/>
        </w:rPr>
        <w:t> </w:t>
      </w:r>
      <w:r>
        <w:rPr>
          <w:rFonts w:ascii="Calibri"/>
          <w:sz w:val="20"/>
          <w:vertAlign w:val="baseline"/>
        </w:rPr>
        <w:t>Sir</w:t>
      </w:r>
      <w:r>
        <w:rPr>
          <w:rFonts w:ascii="Calibri"/>
          <w:spacing w:val="-5"/>
          <w:sz w:val="20"/>
          <w:vertAlign w:val="baseline"/>
        </w:rPr>
        <w:t> </w:t>
      </w:r>
      <w:r>
        <w:rPr>
          <w:rFonts w:ascii="Calibri"/>
          <w:sz w:val="20"/>
          <w:vertAlign w:val="baseline"/>
        </w:rPr>
        <w:t>Richard</w:t>
      </w:r>
      <w:r>
        <w:rPr>
          <w:rFonts w:ascii="Calibri"/>
          <w:spacing w:val="-7"/>
          <w:sz w:val="20"/>
          <w:vertAlign w:val="baseline"/>
        </w:rPr>
        <w:t> </w:t>
      </w:r>
      <w:r>
        <w:rPr>
          <w:rFonts w:ascii="Calibri"/>
          <w:sz w:val="20"/>
          <w:vertAlign w:val="baseline"/>
        </w:rPr>
        <w:t>Bagallay,</w:t>
      </w:r>
      <w:r>
        <w:rPr>
          <w:rFonts w:ascii="Calibri"/>
          <w:spacing w:val="-4"/>
          <w:sz w:val="20"/>
          <w:vertAlign w:val="baseline"/>
        </w:rPr>
        <w:t> </w:t>
      </w:r>
      <w:r>
        <w:rPr>
          <w:rFonts w:ascii="Calibri"/>
          <w:sz w:val="20"/>
          <w:vertAlign w:val="baseline"/>
        </w:rPr>
        <w:t>Ibid.</w:t>
      </w:r>
      <w:r>
        <w:rPr>
          <w:rFonts w:ascii="Calibri"/>
          <w:spacing w:val="-5"/>
          <w:sz w:val="20"/>
          <w:vertAlign w:val="baseline"/>
        </w:rPr>
        <w:t> </w:t>
      </w:r>
      <w:r>
        <w:rPr>
          <w:rFonts w:ascii="Calibri"/>
          <w:sz w:val="20"/>
          <w:vertAlign w:val="baseline"/>
        </w:rPr>
        <w:t>at</w:t>
      </w:r>
      <w:r>
        <w:rPr>
          <w:rFonts w:ascii="Calibri"/>
          <w:spacing w:val="-7"/>
          <w:sz w:val="20"/>
          <w:vertAlign w:val="baseline"/>
        </w:rPr>
        <w:t> </w:t>
      </w:r>
      <w:r>
        <w:rPr>
          <w:rFonts w:ascii="Calibri"/>
          <w:spacing w:val="-4"/>
          <w:sz w:val="20"/>
          <w:vertAlign w:val="baseline"/>
        </w:rPr>
        <w:t>593.</w:t>
      </w:r>
    </w:p>
    <w:p>
      <w:pPr>
        <w:spacing w:before="0"/>
        <w:ind w:left="308" w:right="0" w:firstLine="0"/>
        <w:jc w:val="left"/>
        <w:rPr>
          <w:rFonts w:ascii="Calibri"/>
          <w:sz w:val="20"/>
        </w:rPr>
      </w:pPr>
      <w:r>
        <w:rPr>
          <w:rFonts w:ascii="Calibri"/>
          <w:sz w:val="20"/>
          <w:vertAlign w:val="superscript"/>
        </w:rPr>
        <w:t>322</w:t>
      </w:r>
      <w:r>
        <w:rPr>
          <w:rFonts w:ascii="Calibri"/>
          <w:sz w:val="20"/>
          <w:vertAlign w:val="baseline"/>
        </w:rPr>
        <w:t>Davies,</w:t>
      </w:r>
      <w:r>
        <w:rPr>
          <w:rFonts w:ascii="Calibri"/>
          <w:spacing w:val="-9"/>
          <w:sz w:val="20"/>
          <w:vertAlign w:val="baseline"/>
        </w:rPr>
        <w:t> </w:t>
      </w:r>
      <w:r>
        <w:rPr>
          <w:rFonts w:ascii="Calibri"/>
          <w:sz w:val="20"/>
          <w:vertAlign w:val="baseline"/>
        </w:rPr>
        <w:t>L.P.</w:t>
      </w:r>
      <w:r>
        <w:rPr>
          <w:rFonts w:ascii="Calibri"/>
          <w:spacing w:val="-5"/>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4"/>
          <w:sz w:val="20"/>
          <w:vertAlign w:val="baseline"/>
        </w:rPr>
        <w:t> </w:t>
      </w:r>
      <w:r>
        <w:rPr>
          <w:rFonts w:ascii="Calibri"/>
          <w:sz w:val="20"/>
          <w:vertAlign w:val="baseline"/>
        </w:rPr>
        <w:t>S.,</w:t>
      </w:r>
      <w:r>
        <w:rPr>
          <w:rFonts w:ascii="Calibri"/>
          <w:spacing w:val="-5"/>
          <w:sz w:val="20"/>
          <w:vertAlign w:val="baseline"/>
        </w:rPr>
        <w:t> </w:t>
      </w:r>
      <w:r>
        <w:rPr>
          <w:rFonts w:ascii="Calibri"/>
          <w:sz w:val="20"/>
          <w:vertAlign w:val="baseline"/>
        </w:rPr>
        <w:t>op.cit.at</w:t>
      </w:r>
      <w:r>
        <w:rPr>
          <w:rFonts w:ascii="Calibri"/>
          <w:spacing w:val="-7"/>
          <w:sz w:val="20"/>
          <w:vertAlign w:val="baseline"/>
        </w:rPr>
        <w:t> </w:t>
      </w:r>
      <w:r>
        <w:rPr>
          <w:rFonts w:ascii="Calibri"/>
          <w:sz w:val="20"/>
          <w:vertAlign w:val="baseline"/>
        </w:rPr>
        <w:t>p.</w:t>
      </w:r>
      <w:r>
        <w:rPr>
          <w:rFonts w:ascii="Calibri"/>
          <w:spacing w:val="-5"/>
          <w:sz w:val="20"/>
          <w:vertAlign w:val="baseline"/>
        </w:rPr>
        <w:t> </w:t>
      </w:r>
      <w:r>
        <w:rPr>
          <w:rFonts w:ascii="Calibri"/>
          <w:spacing w:val="-4"/>
          <w:sz w:val="20"/>
          <w:vertAlign w:val="baseline"/>
        </w:rPr>
        <w:t>562.</w:t>
      </w:r>
    </w:p>
    <w:p>
      <w:pPr>
        <w:spacing w:after="0"/>
        <w:jc w:val="left"/>
        <w:rPr>
          <w:rFonts w:ascii="Calibri"/>
          <w:sz w:val="20"/>
        </w:rPr>
        <w:sectPr>
          <w:pgSz w:w="11910" w:h="16840"/>
          <w:pgMar w:header="0" w:footer="1003" w:top="1280" w:bottom="1200" w:left="1680" w:right="1180"/>
        </w:sectPr>
      </w:pPr>
    </w:p>
    <w:p>
      <w:pPr>
        <w:pStyle w:val="BodyText"/>
        <w:spacing w:line="480" w:lineRule="auto" w:before="110"/>
        <w:ind w:right="235"/>
        <w:jc w:val="both"/>
      </w:pPr>
      <w:r>
        <w:rPr/>
        <w:t>duty.</w:t>
      </w:r>
      <w:r>
        <w:rPr>
          <w:vertAlign w:val="superscript"/>
        </w:rPr>
        <w:t>323</w:t>
      </w:r>
      <w:r>
        <w:rPr>
          <w:vertAlign w:val="baseline"/>
        </w:rPr>
        <w:t> Yet,</w:t>
      </w:r>
      <w:r>
        <w:rPr>
          <w:spacing w:val="-3"/>
          <w:vertAlign w:val="baseline"/>
        </w:rPr>
        <w:t> </w:t>
      </w:r>
      <w:r>
        <w:rPr>
          <w:vertAlign w:val="baseline"/>
        </w:rPr>
        <w:t>company</w:t>
      </w:r>
      <w:r>
        <w:rPr>
          <w:spacing w:val="-5"/>
          <w:vertAlign w:val="baseline"/>
        </w:rPr>
        <w:t> </w:t>
      </w:r>
      <w:r>
        <w:rPr>
          <w:vertAlign w:val="baseline"/>
        </w:rPr>
        <w:t>articles</w:t>
      </w:r>
      <w:r>
        <w:rPr>
          <w:spacing w:val="-2"/>
          <w:vertAlign w:val="baseline"/>
        </w:rPr>
        <w:t> </w:t>
      </w:r>
      <w:r>
        <w:rPr>
          <w:vertAlign w:val="baseline"/>
        </w:rPr>
        <w:t>could</w:t>
      </w:r>
      <w:r>
        <w:rPr>
          <w:spacing w:val="-1"/>
          <w:vertAlign w:val="baseline"/>
        </w:rPr>
        <w:t> </w:t>
      </w:r>
      <w:r>
        <w:rPr>
          <w:vertAlign w:val="baseline"/>
        </w:rPr>
        <w:t>and</w:t>
      </w:r>
      <w:r>
        <w:rPr>
          <w:spacing w:val="-1"/>
          <w:vertAlign w:val="baseline"/>
        </w:rPr>
        <w:t> </w:t>
      </w:r>
      <w:r>
        <w:rPr>
          <w:vertAlign w:val="baseline"/>
        </w:rPr>
        <w:t>often</w:t>
      </w:r>
      <w:r>
        <w:rPr>
          <w:spacing w:val="-5"/>
          <w:vertAlign w:val="baseline"/>
        </w:rPr>
        <w:t> </w:t>
      </w:r>
      <w:r>
        <w:rPr>
          <w:vertAlign w:val="baseline"/>
        </w:rPr>
        <w:t>did make</w:t>
      </w:r>
      <w:r>
        <w:rPr>
          <w:spacing w:val="-2"/>
          <w:vertAlign w:val="baseline"/>
        </w:rPr>
        <w:t> </w:t>
      </w:r>
      <w:r>
        <w:rPr>
          <w:vertAlign w:val="baseline"/>
        </w:rPr>
        <w:t>provisions</w:t>
      </w:r>
      <w:r>
        <w:rPr>
          <w:spacing w:val="-2"/>
          <w:vertAlign w:val="baseline"/>
        </w:rPr>
        <w:t> </w:t>
      </w:r>
      <w:r>
        <w:rPr>
          <w:vertAlign w:val="baseline"/>
        </w:rPr>
        <w:t>allowing</w:t>
      </w:r>
      <w:r>
        <w:rPr>
          <w:spacing w:val="-1"/>
          <w:vertAlign w:val="baseline"/>
        </w:rPr>
        <w:t> </w:t>
      </w:r>
      <w:r>
        <w:rPr>
          <w:vertAlign w:val="baseline"/>
        </w:rPr>
        <w:t>directors</w:t>
      </w:r>
      <w:r>
        <w:rPr>
          <w:spacing w:val="-12"/>
          <w:vertAlign w:val="baseline"/>
        </w:rPr>
        <w:t> </w:t>
      </w:r>
      <w:r>
        <w:rPr>
          <w:vertAlign w:val="baseline"/>
        </w:rPr>
        <w:t>to engage in self-dealing transactions with little or no restraint and this the courts were more often inclined to uphold.</w:t>
      </w:r>
      <w:r>
        <w:rPr>
          <w:vertAlign w:val="superscript"/>
        </w:rPr>
        <w:t>324</w:t>
      </w:r>
    </w:p>
    <w:p>
      <w:pPr>
        <w:pStyle w:val="BodyText"/>
        <w:spacing w:line="480" w:lineRule="auto"/>
        <w:ind w:right="224" w:firstLine="720"/>
        <w:jc w:val="both"/>
      </w:pPr>
      <w:r>
        <w:rPr/>
        <w:t>The duty as codified in the Act restates, and in some instances modifies, the common</w:t>
      </w:r>
      <w:r>
        <w:rPr>
          <w:spacing w:val="-1"/>
        </w:rPr>
        <w:t> </w:t>
      </w:r>
      <w:r>
        <w:rPr/>
        <w:t>law in</w:t>
      </w:r>
      <w:r>
        <w:rPr>
          <w:spacing w:val="-1"/>
        </w:rPr>
        <w:t> </w:t>
      </w:r>
      <w:r>
        <w:rPr/>
        <w:t>this area. In</w:t>
      </w:r>
      <w:r>
        <w:rPr>
          <w:spacing w:val="-6"/>
        </w:rPr>
        <w:t> </w:t>
      </w:r>
      <w:r>
        <w:rPr/>
        <w:t>the first place, s.177</w:t>
      </w:r>
      <w:r>
        <w:rPr>
          <w:spacing w:val="-1"/>
        </w:rPr>
        <w:t> </w:t>
      </w:r>
      <w:r>
        <w:rPr/>
        <w:t>considers indirect interests</w:t>
      </w:r>
      <w:r>
        <w:rPr>
          <w:spacing w:val="-3"/>
        </w:rPr>
        <w:t> </w:t>
      </w:r>
      <w:r>
        <w:rPr/>
        <w:t>as</w:t>
      </w:r>
      <w:r>
        <w:rPr>
          <w:spacing w:val="-3"/>
        </w:rPr>
        <w:t> </w:t>
      </w:r>
      <w:r>
        <w:rPr/>
        <w:t>well, i.e. where the director himself is not a party, but so closely affiliated to someone who is (whether a company, firm, trust, or an individual), that it can reasonably be assumed</w:t>
      </w:r>
      <w:r>
        <w:rPr>
          <w:spacing w:val="80"/>
        </w:rPr>
        <w:t> </w:t>
      </w:r>
      <w:r>
        <w:rPr/>
        <w:t>that he would also</w:t>
      </w:r>
      <w:r>
        <w:rPr>
          <w:spacing w:val="38"/>
        </w:rPr>
        <w:t> </w:t>
      </w:r>
      <w:r>
        <w:rPr/>
        <w:t>benefit. Thus, it can safely be assumed that, even though the Act</w:t>
      </w:r>
      <w:r>
        <w:rPr>
          <w:spacing w:val="40"/>
        </w:rPr>
        <w:t> </w:t>
      </w:r>
      <w:r>
        <w:rPr/>
        <w:t>does not specifically require disclosure with respect to connected persons, where an immediate family member, or a firm or company in which the director has interests, is interested, then he himself is effectively interested.</w:t>
      </w:r>
      <w:r>
        <w:rPr>
          <w:vertAlign w:val="superscript"/>
        </w:rPr>
        <w:t>325</w:t>
      </w:r>
      <w:r>
        <w:rPr>
          <w:vertAlign w:val="baseline"/>
        </w:rPr>
        <w:t> ―Interest‖ in this context has not been defined by the Act, although it must be one that may ―reasonably be regarded as likely to give rise to a conflict of interest,‖</w:t>
      </w:r>
      <w:r>
        <w:rPr>
          <w:vertAlign w:val="superscript"/>
        </w:rPr>
        <w:t>326</w:t>
      </w:r>
      <w:r>
        <w:rPr>
          <w:vertAlign w:val="baseline"/>
        </w:rPr>
        <w:t> and not a mere possibility of conflict as earlier contemplated under the common law.</w:t>
      </w:r>
      <w:r>
        <w:rPr>
          <w:vertAlign w:val="superscript"/>
        </w:rPr>
        <w:t>327</w:t>
      </w:r>
      <w:r>
        <w:rPr>
          <w:vertAlign w:val="baseline"/>
        </w:rPr>
        <w:t> However, from case law, it can be gathered</w:t>
      </w:r>
      <w:r>
        <w:rPr>
          <w:vertAlign w:val="superscript"/>
        </w:rPr>
        <w:t>328</w:t>
      </w:r>
      <w:r>
        <w:rPr>
          <w:vertAlign w:val="baseline"/>
        </w:rPr>
        <w:t> that a director can be held to be interested in a contract with another company</w:t>
      </w:r>
      <w:r>
        <w:rPr>
          <w:spacing w:val="4"/>
          <w:vertAlign w:val="baseline"/>
        </w:rPr>
        <w:t> </w:t>
      </w:r>
      <w:r>
        <w:rPr>
          <w:vertAlign w:val="baseline"/>
        </w:rPr>
        <w:t>in</w:t>
      </w:r>
      <w:r>
        <w:rPr>
          <w:spacing w:val="5"/>
          <w:vertAlign w:val="baseline"/>
        </w:rPr>
        <w:t> </w:t>
      </w:r>
      <w:r>
        <w:rPr>
          <w:vertAlign w:val="baseline"/>
        </w:rPr>
        <w:t>which</w:t>
      </w:r>
      <w:r>
        <w:rPr>
          <w:spacing w:val="5"/>
          <w:vertAlign w:val="baseline"/>
        </w:rPr>
        <w:t> </w:t>
      </w:r>
      <w:r>
        <w:rPr>
          <w:vertAlign w:val="baseline"/>
        </w:rPr>
        <w:t>he</w:t>
      </w:r>
      <w:r>
        <w:rPr>
          <w:spacing w:val="5"/>
          <w:vertAlign w:val="baseline"/>
        </w:rPr>
        <w:t> </w:t>
      </w:r>
      <w:r>
        <w:rPr>
          <w:vertAlign w:val="baseline"/>
        </w:rPr>
        <w:t>was</w:t>
      </w:r>
      <w:r>
        <w:rPr>
          <w:spacing w:val="3"/>
          <w:vertAlign w:val="baseline"/>
        </w:rPr>
        <w:t> </w:t>
      </w:r>
      <w:r>
        <w:rPr>
          <w:vertAlign w:val="baseline"/>
        </w:rPr>
        <w:t>a</w:t>
      </w:r>
      <w:r>
        <w:rPr>
          <w:spacing w:val="5"/>
          <w:vertAlign w:val="baseline"/>
        </w:rPr>
        <w:t> </w:t>
      </w:r>
      <w:r>
        <w:rPr>
          <w:vertAlign w:val="baseline"/>
        </w:rPr>
        <w:t>shareholder,</w:t>
      </w:r>
      <w:r>
        <w:rPr>
          <w:vertAlign w:val="superscript"/>
        </w:rPr>
        <w:t>329</w:t>
      </w:r>
      <w:r>
        <w:rPr>
          <w:spacing w:val="8"/>
          <w:vertAlign w:val="baseline"/>
        </w:rPr>
        <w:t> </w:t>
      </w:r>
      <w:r>
        <w:rPr>
          <w:vertAlign w:val="baseline"/>
        </w:rPr>
        <w:t>or</w:t>
      </w:r>
      <w:r>
        <w:rPr>
          <w:spacing w:val="7"/>
          <w:vertAlign w:val="baseline"/>
        </w:rPr>
        <w:t> </w:t>
      </w:r>
      <w:r>
        <w:rPr>
          <w:vertAlign w:val="baseline"/>
        </w:rPr>
        <w:t>a</w:t>
      </w:r>
      <w:r>
        <w:rPr>
          <w:spacing w:val="5"/>
          <w:vertAlign w:val="baseline"/>
        </w:rPr>
        <w:t> </w:t>
      </w:r>
      <w:r>
        <w:rPr>
          <w:vertAlign w:val="baseline"/>
        </w:rPr>
        <w:t>firm</w:t>
      </w:r>
      <w:r>
        <w:rPr>
          <w:spacing w:val="6"/>
          <w:vertAlign w:val="baseline"/>
        </w:rPr>
        <w:t> </w:t>
      </w:r>
      <w:r>
        <w:rPr>
          <w:vertAlign w:val="baseline"/>
        </w:rPr>
        <w:t>of</w:t>
      </w:r>
      <w:r>
        <w:rPr>
          <w:spacing w:val="-2"/>
          <w:vertAlign w:val="baseline"/>
        </w:rPr>
        <w:t> </w:t>
      </w:r>
      <w:r>
        <w:rPr>
          <w:vertAlign w:val="baseline"/>
        </w:rPr>
        <w:t>which</w:t>
      </w:r>
      <w:r>
        <w:rPr>
          <w:spacing w:val="5"/>
          <w:vertAlign w:val="baseline"/>
        </w:rPr>
        <w:t> </w:t>
      </w:r>
      <w:r>
        <w:rPr>
          <w:vertAlign w:val="baseline"/>
        </w:rPr>
        <w:t>he</w:t>
      </w:r>
      <w:r>
        <w:rPr>
          <w:spacing w:val="5"/>
          <w:vertAlign w:val="baseline"/>
        </w:rPr>
        <w:t> </w:t>
      </w:r>
      <w:r>
        <w:rPr>
          <w:vertAlign w:val="baseline"/>
        </w:rPr>
        <w:t>was</w:t>
      </w:r>
      <w:r>
        <w:rPr>
          <w:spacing w:val="3"/>
          <w:vertAlign w:val="baseline"/>
        </w:rPr>
        <w:t> </w:t>
      </w:r>
      <w:r>
        <w:rPr>
          <w:vertAlign w:val="baseline"/>
        </w:rPr>
        <w:t>a</w:t>
      </w:r>
      <w:r>
        <w:rPr>
          <w:spacing w:val="9"/>
          <w:vertAlign w:val="baseline"/>
        </w:rPr>
        <w:t> </w:t>
      </w:r>
      <w:r>
        <w:rPr>
          <w:vertAlign w:val="baseline"/>
        </w:rPr>
        <w:t>member,</w:t>
      </w:r>
      <w:r>
        <w:rPr>
          <w:vertAlign w:val="superscript"/>
        </w:rPr>
        <w:t>330</w:t>
      </w:r>
      <w:r>
        <w:rPr>
          <w:spacing w:val="13"/>
          <w:vertAlign w:val="baseline"/>
        </w:rPr>
        <w:t> </w:t>
      </w:r>
      <w:r>
        <w:rPr>
          <w:vertAlign w:val="baseline"/>
        </w:rPr>
        <w:t>in</w:t>
      </w:r>
      <w:r>
        <w:rPr>
          <w:spacing w:val="1"/>
          <w:vertAlign w:val="baseline"/>
        </w:rPr>
        <w:t> </w:t>
      </w:r>
      <w:r>
        <w:rPr>
          <w:spacing w:val="-10"/>
          <w:vertAlign w:val="baseline"/>
        </w:rPr>
        <w:t>a</w:t>
      </w:r>
    </w:p>
    <w:p>
      <w:pPr>
        <w:pStyle w:val="BodyText"/>
        <w:spacing w:before="145"/>
        <w:ind w:left="0"/>
        <w:rPr>
          <w:sz w:val="20"/>
        </w:rPr>
      </w:pPr>
      <w:r>
        <w:rPr/>
        <mc:AlternateContent>
          <mc:Choice Requires="wps">
            <w:drawing>
              <wp:anchor distT="0" distB="0" distL="0" distR="0" allowOverlap="1" layoutInCell="1" locked="0" behindDoc="1" simplePos="0" relativeHeight="487707648">
                <wp:simplePos x="0" y="0"/>
                <wp:positionH relativeFrom="page">
                  <wp:posOffset>1262481</wp:posOffset>
                </wp:positionH>
                <wp:positionV relativeFrom="paragraph">
                  <wp:posOffset>253968</wp:posOffset>
                </wp:positionV>
                <wp:extent cx="1829435" cy="9525"/>
                <wp:effectExtent l="0" t="0" r="0" b="0"/>
                <wp:wrapTopAndBottom/>
                <wp:docPr id="261" name="Graphic 261"/>
                <wp:cNvGraphicFramePr>
                  <a:graphicFrameLocks/>
                </wp:cNvGraphicFramePr>
                <a:graphic>
                  <a:graphicData uri="http://schemas.microsoft.com/office/word/2010/wordprocessingShape">
                    <wps:wsp>
                      <wps:cNvPr id="261" name="Graphic 26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99753pt;width:144.050pt;height:.71997pt;mso-position-horizontal-relative:page;mso-position-vertical-relative:paragraph;z-index:-15608832;mso-wrap-distance-left:0;mso-wrap-distance-right:0" id="docshape216" filled="true" fillcolor="#000000" stroked="false">
                <v:fill type="solid"/>
                <w10:wrap type="topAndBottom"/>
              </v:rect>
            </w:pict>
          </mc:Fallback>
        </mc:AlternateContent>
      </w:r>
    </w:p>
    <w:p>
      <w:pPr>
        <w:spacing w:before="103"/>
        <w:ind w:left="308" w:right="0" w:firstLine="0"/>
        <w:jc w:val="both"/>
        <w:rPr>
          <w:rFonts w:ascii="Calibri"/>
          <w:sz w:val="20"/>
        </w:rPr>
      </w:pPr>
      <w:r>
        <w:rPr>
          <w:rFonts w:ascii="Calibri"/>
          <w:sz w:val="20"/>
          <w:vertAlign w:val="superscript"/>
        </w:rPr>
        <w:t>323</w:t>
      </w:r>
      <w:r>
        <w:rPr>
          <w:rFonts w:ascii="Calibri"/>
          <w:sz w:val="20"/>
          <w:vertAlign w:val="baseline"/>
        </w:rPr>
        <w:t>Corkery,</w:t>
      </w:r>
      <w:r>
        <w:rPr>
          <w:rFonts w:ascii="Calibri"/>
          <w:spacing w:val="-6"/>
          <w:sz w:val="20"/>
          <w:vertAlign w:val="baseline"/>
        </w:rPr>
        <w:t> </w:t>
      </w:r>
      <w:r>
        <w:rPr>
          <w:rFonts w:ascii="Calibri"/>
          <w:sz w:val="20"/>
          <w:vertAlign w:val="baseline"/>
        </w:rPr>
        <w:t>F.J.</w:t>
      </w:r>
      <w:r>
        <w:rPr>
          <w:rFonts w:ascii="Calibri"/>
          <w:spacing w:val="-7"/>
          <w:sz w:val="20"/>
          <w:vertAlign w:val="baseline"/>
        </w:rPr>
        <w:t> </w:t>
      </w:r>
      <w:r>
        <w:rPr>
          <w:rFonts w:ascii="Calibri"/>
          <w:sz w:val="20"/>
          <w:vertAlign w:val="baseline"/>
        </w:rPr>
        <w:t>op.cit.at</w:t>
      </w:r>
      <w:r>
        <w:rPr>
          <w:rFonts w:ascii="Calibri"/>
          <w:spacing w:val="-4"/>
          <w:sz w:val="20"/>
          <w:vertAlign w:val="baseline"/>
        </w:rPr>
        <w:t> p.79.</w:t>
      </w:r>
    </w:p>
    <w:p>
      <w:pPr>
        <w:spacing w:line="242" w:lineRule="auto" w:before="20"/>
        <w:ind w:left="308" w:right="224" w:firstLine="0"/>
        <w:jc w:val="both"/>
        <w:rPr>
          <w:rFonts w:ascii="Calibri"/>
          <w:sz w:val="20"/>
        </w:rPr>
      </w:pPr>
      <w:r>
        <w:rPr>
          <w:rFonts w:ascii="Calibri"/>
          <w:sz w:val="20"/>
          <w:vertAlign w:val="superscript"/>
        </w:rPr>
        <w:t>324</w:t>
      </w:r>
      <w:r>
        <w:rPr>
          <w:rFonts w:ascii="Calibri"/>
          <w:sz w:val="20"/>
          <w:vertAlign w:val="baseline"/>
        </w:rPr>
        <w:t>See the cases of </w:t>
      </w:r>
      <w:r>
        <w:rPr>
          <w:rFonts w:ascii="Calibri"/>
          <w:i/>
          <w:sz w:val="20"/>
          <w:vertAlign w:val="baseline"/>
        </w:rPr>
        <w:t>Transvaal Lands Co. vs. New Belgium</w:t>
      </w:r>
      <w:r>
        <w:rPr>
          <w:rFonts w:ascii="Calibri"/>
          <w:i/>
          <w:spacing w:val="-4"/>
          <w:sz w:val="20"/>
          <w:vertAlign w:val="baseline"/>
        </w:rPr>
        <w:t> </w:t>
      </w:r>
      <w:r>
        <w:rPr>
          <w:rFonts w:ascii="Calibri"/>
          <w:i/>
          <w:sz w:val="20"/>
          <w:vertAlign w:val="baseline"/>
        </w:rPr>
        <w:t>(Transvaal) Land and Dev. Co</w:t>
      </w:r>
      <w:r>
        <w:rPr>
          <w:rFonts w:ascii="Calibri"/>
          <w:sz w:val="20"/>
          <w:vertAlign w:val="baseline"/>
        </w:rPr>
        <w:t>. (1914) 2 Ch. 488; </w:t>
      </w:r>
      <w:r>
        <w:rPr>
          <w:rFonts w:ascii="Calibri"/>
          <w:i/>
          <w:sz w:val="20"/>
          <w:vertAlign w:val="baseline"/>
        </w:rPr>
        <w:t>Peninsular</w:t>
      </w:r>
      <w:r>
        <w:rPr>
          <w:rFonts w:ascii="Calibri"/>
          <w:i/>
          <w:spacing w:val="-1"/>
          <w:sz w:val="20"/>
          <w:vertAlign w:val="baseline"/>
        </w:rPr>
        <w:t> </w:t>
      </w:r>
      <w:r>
        <w:rPr>
          <w:rFonts w:ascii="Calibri"/>
          <w:i/>
          <w:sz w:val="20"/>
          <w:vertAlign w:val="baseline"/>
        </w:rPr>
        <w:t>and Oriental Steam Navigation Co. vs. Johnson</w:t>
      </w:r>
      <w:r>
        <w:rPr>
          <w:rFonts w:ascii="Calibri"/>
          <w:i/>
          <w:spacing w:val="-1"/>
          <w:sz w:val="20"/>
          <w:vertAlign w:val="baseline"/>
        </w:rPr>
        <w:t> </w:t>
      </w:r>
      <w:r>
        <w:rPr>
          <w:rFonts w:ascii="Calibri"/>
          <w:sz w:val="20"/>
          <w:vertAlign w:val="baseline"/>
        </w:rPr>
        <w:t>(1938) 60 CLR 189 and</w:t>
      </w:r>
      <w:r>
        <w:rPr>
          <w:rFonts w:ascii="Calibri"/>
          <w:i/>
          <w:sz w:val="20"/>
          <w:vertAlign w:val="baseline"/>
        </w:rPr>
        <w:t>Boulting vs. Association of Cinematograph, Television and Allied Technicians</w:t>
      </w:r>
      <w:r>
        <w:rPr>
          <w:rFonts w:ascii="Calibri"/>
          <w:sz w:val="20"/>
          <w:vertAlign w:val="baseline"/>
        </w:rPr>
        <w:t>[1963] 1 All ER 716.</w:t>
      </w:r>
    </w:p>
    <w:p>
      <w:pPr>
        <w:spacing w:line="237" w:lineRule="auto" w:before="1"/>
        <w:ind w:left="308" w:right="255" w:firstLine="0"/>
        <w:jc w:val="left"/>
        <w:rPr>
          <w:rFonts w:ascii="Calibri"/>
          <w:sz w:val="20"/>
        </w:rPr>
      </w:pPr>
      <w:r>
        <w:rPr>
          <w:rFonts w:ascii="Calibri"/>
          <w:sz w:val="20"/>
          <w:vertAlign w:val="superscript"/>
        </w:rPr>
        <w:t>325</w:t>
      </w:r>
      <w:r>
        <w:rPr>
          <w:rFonts w:ascii="Calibri"/>
          <w:sz w:val="20"/>
          <w:vertAlign w:val="baseline"/>
        </w:rPr>
        <w:t> Indeed,</w:t>
      </w:r>
      <w:r>
        <w:rPr>
          <w:rFonts w:ascii="Calibri"/>
          <w:spacing w:val="-1"/>
          <w:sz w:val="20"/>
          <w:vertAlign w:val="baseline"/>
        </w:rPr>
        <w:t> </w:t>
      </w:r>
      <w:r>
        <w:rPr>
          <w:rFonts w:ascii="Calibri"/>
          <w:sz w:val="20"/>
          <w:vertAlign w:val="baseline"/>
        </w:rPr>
        <w:t>this</w:t>
      </w:r>
      <w:r>
        <w:rPr>
          <w:rFonts w:ascii="Calibri"/>
          <w:spacing w:val="-1"/>
          <w:sz w:val="20"/>
          <w:vertAlign w:val="baseline"/>
        </w:rPr>
        <w:t> </w:t>
      </w:r>
      <w:r>
        <w:rPr>
          <w:rFonts w:ascii="Calibri"/>
          <w:sz w:val="20"/>
          <w:vertAlign w:val="baseline"/>
        </w:rPr>
        <w:t>was</w:t>
      </w:r>
      <w:r>
        <w:rPr>
          <w:rFonts w:ascii="Calibri"/>
          <w:spacing w:val="-6"/>
          <w:sz w:val="20"/>
          <w:vertAlign w:val="baseline"/>
        </w:rPr>
        <w:t> </w:t>
      </w:r>
      <w:r>
        <w:rPr>
          <w:rFonts w:ascii="Calibri"/>
          <w:sz w:val="20"/>
          <w:vertAlign w:val="baseline"/>
        </w:rPr>
        <w:t>also the</w:t>
      </w:r>
      <w:r>
        <w:rPr>
          <w:rFonts w:ascii="Calibri"/>
          <w:spacing w:val="-3"/>
          <w:sz w:val="20"/>
          <w:vertAlign w:val="baseline"/>
        </w:rPr>
        <w:t> </w:t>
      </w:r>
      <w:r>
        <w:rPr>
          <w:rFonts w:ascii="Calibri"/>
          <w:sz w:val="20"/>
          <w:vertAlign w:val="baseline"/>
        </w:rPr>
        <w:t>case at</w:t>
      </w:r>
      <w:r>
        <w:rPr>
          <w:rFonts w:ascii="Calibri"/>
          <w:spacing w:val="-5"/>
          <w:sz w:val="20"/>
          <w:vertAlign w:val="baseline"/>
        </w:rPr>
        <w:t> </w:t>
      </w:r>
      <w:r>
        <w:rPr>
          <w:rFonts w:ascii="Calibri"/>
          <w:sz w:val="20"/>
          <w:vertAlign w:val="baseline"/>
        </w:rPr>
        <w:t>common</w:t>
      </w:r>
      <w:r>
        <w:rPr>
          <w:rFonts w:ascii="Calibri"/>
          <w:spacing w:val="-4"/>
          <w:sz w:val="20"/>
          <w:vertAlign w:val="baseline"/>
        </w:rPr>
        <w:t> </w:t>
      </w:r>
      <w:r>
        <w:rPr>
          <w:rFonts w:ascii="Calibri"/>
          <w:sz w:val="20"/>
          <w:vertAlign w:val="baseline"/>
        </w:rPr>
        <w:t>law. See</w:t>
      </w:r>
      <w:r>
        <w:rPr>
          <w:rFonts w:ascii="Calibri"/>
          <w:i/>
          <w:sz w:val="20"/>
          <w:vertAlign w:val="baseline"/>
        </w:rPr>
        <w:t>Transvaal</w:t>
      </w:r>
      <w:r>
        <w:rPr>
          <w:rFonts w:ascii="Calibri"/>
          <w:i/>
          <w:spacing w:val="-2"/>
          <w:sz w:val="20"/>
          <w:vertAlign w:val="baseline"/>
        </w:rPr>
        <w:t> </w:t>
      </w:r>
      <w:r>
        <w:rPr>
          <w:rFonts w:ascii="Calibri"/>
          <w:i/>
          <w:sz w:val="20"/>
          <w:vertAlign w:val="baseline"/>
        </w:rPr>
        <w:t>Lands</w:t>
      </w:r>
      <w:r>
        <w:rPr>
          <w:rFonts w:ascii="Calibri"/>
          <w:i/>
          <w:spacing w:val="-5"/>
          <w:sz w:val="20"/>
          <w:vertAlign w:val="baseline"/>
        </w:rPr>
        <w:t> </w:t>
      </w:r>
      <w:r>
        <w:rPr>
          <w:rFonts w:ascii="Calibri"/>
          <w:i/>
          <w:sz w:val="20"/>
          <w:vertAlign w:val="baseline"/>
        </w:rPr>
        <w:t>Co.</w:t>
      </w:r>
      <w:r>
        <w:rPr>
          <w:rFonts w:ascii="Calibri"/>
          <w:i/>
          <w:spacing w:val="-2"/>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New</w:t>
      </w:r>
      <w:r>
        <w:rPr>
          <w:rFonts w:ascii="Calibri"/>
          <w:i/>
          <w:spacing w:val="-4"/>
          <w:sz w:val="20"/>
          <w:vertAlign w:val="baseline"/>
        </w:rPr>
        <w:t> </w:t>
      </w:r>
      <w:r>
        <w:rPr>
          <w:rFonts w:ascii="Calibri"/>
          <w:i/>
          <w:sz w:val="20"/>
          <w:vertAlign w:val="baseline"/>
        </w:rPr>
        <w:t>Belgium</w:t>
      </w:r>
      <w:r>
        <w:rPr>
          <w:rFonts w:ascii="Calibri"/>
          <w:i/>
          <w:spacing w:val="-5"/>
          <w:sz w:val="20"/>
          <w:vertAlign w:val="baseline"/>
        </w:rPr>
        <w:t> </w:t>
      </w:r>
      <w:r>
        <w:rPr>
          <w:rFonts w:ascii="Calibri"/>
          <w:i/>
          <w:sz w:val="20"/>
          <w:vertAlign w:val="baseline"/>
        </w:rPr>
        <w:t>(Transvaal) Land and Dev. Co</w:t>
      </w:r>
      <w:r>
        <w:rPr>
          <w:rFonts w:ascii="Calibri"/>
          <w:sz w:val="20"/>
          <w:vertAlign w:val="baseline"/>
        </w:rPr>
        <w:t>. (1914) 2 Ch. 488; </w:t>
      </w:r>
      <w:r>
        <w:rPr>
          <w:rFonts w:ascii="Calibri"/>
          <w:i/>
          <w:sz w:val="20"/>
          <w:vertAlign w:val="baseline"/>
        </w:rPr>
        <w:t>Newgate Stud Co. vs. Penfold </w:t>
      </w:r>
      <w:r>
        <w:rPr>
          <w:rFonts w:ascii="Calibri"/>
          <w:sz w:val="20"/>
          <w:vertAlign w:val="baseline"/>
        </w:rPr>
        <w:t>(2008) 1 B.C.L.C. 46. See further Davies, L.P. and Worthington, S. op.cit. at p.565.</w:t>
      </w:r>
    </w:p>
    <w:p>
      <w:pPr>
        <w:spacing w:before="3"/>
        <w:ind w:left="308" w:right="0" w:firstLine="0"/>
        <w:jc w:val="left"/>
        <w:rPr>
          <w:rFonts w:ascii="Calibri"/>
          <w:sz w:val="20"/>
        </w:rPr>
      </w:pPr>
      <w:r>
        <w:rPr>
          <w:rFonts w:ascii="Calibri"/>
          <w:sz w:val="20"/>
          <w:vertAlign w:val="superscript"/>
        </w:rPr>
        <w:t>326</w:t>
      </w:r>
      <w:r>
        <w:rPr>
          <w:rFonts w:ascii="Calibri"/>
          <w:spacing w:val="2"/>
          <w:sz w:val="20"/>
          <w:vertAlign w:val="baseline"/>
        </w:rPr>
        <w:t> </w:t>
      </w:r>
      <w:r>
        <w:rPr>
          <w:rFonts w:ascii="Calibri"/>
          <w:sz w:val="20"/>
          <w:vertAlign w:val="baseline"/>
        </w:rPr>
        <w:t>See</w:t>
      </w:r>
      <w:r>
        <w:rPr>
          <w:rFonts w:ascii="Calibri"/>
          <w:spacing w:val="-2"/>
          <w:sz w:val="20"/>
          <w:vertAlign w:val="baseline"/>
        </w:rPr>
        <w:t> s.177(6)(a).</w:t>
      </w:r>
    </w:p>
    <w:p>
      <w:pPr>
        <w:spacing w:line="240" w:lineRule="auto" w:before="1"/>
        <w:ind w:left="308" w:right="224" w:firstLine="0"/>
        <w:jc w:val="both"/>
        <w:rPr>
          <w:rFonts w:ascii="Calibri" w:hAnsi="Calibri"/>
          <w:sz w:val="20"/>
        </w:rPr>
      </w:pPr>
      <w:r>
        <w:rPr>
          <w:rFonts w:ascii="Calibri" w:hAnsi="Calibri"/>
          <w:sz w:val="20"/>
          <w:vertAlign w:val="superscript"/>
        </w:rPr>
        <w:t>327</w:t>
      </w:r>
      <w:r>
        <w:rPr>
          <w:rFonts w:ascii="Calibri" w:hAnsi="Calibri"/>
          <w:sz w:val="20"/>
          <w:vertAlign w:val="baseline"/>
        </w:rPr>
        <w:t>See the statements by Lord Cranworth L.C. in </w:t>
      </w:r>
      <w:r>
        <w:rPr>
          <w:rFonts w:ascii="Calibri" w:hAnsi="Calibri"/>
          <w:i/>
          <w:sz w:val="20"/>
          <w:vertAlign w:val="baseline"/>
        </w:rPr>
        <w:t>Aberdeen Rly. Co. vs. Blaikie Bros </w:t>
      </w:r>
      <w:r>
        <w:rPr>
          <w:rFonts w:ascii="Calibri" w:hAnsi="Calibri"/>
          <w:sz w:val="20"/>
          <w:vertAlign w:val="baseline"/>
        </w:rPr>
        <w:t>(1854) 23 LTR 315 at 325 and Sir Richard Bagallay in </w:t>
      </w:r>
      <w:r>
        <w:rPr>
          <w:rFonts w:ascii="Calibri" w:hAnsi="Calibri"/>
          <w:i/>
          <w:sz w:val="20"/>
          <w:vertAlign w:val="baseline"/>
        </w:rPr>
        <w:t>North-West Trans Co. vs. Beatty </w:t>
      </w:r>
      <w:r>
        <w:rPr>
          <w:rFonts w:ascii="Calibri" w:hAnsi="Calibri"/>
          <w:sz w:val="20"/>
          <w:vertAlign w:val="baseline"/>
        </w:rPr>
        <w:t>(1887) 12 App. Cas. 589 at 593 from the earliest cases. But cf. s.175(1). Yet, it was decided in </w:t>
      </w:r>
      <w:r>
        <w:rPr>
          <w:rFonts w:ascii="Calibri" w:hAnsi="Calibri"/>
          <w:i/>
          <w:sz w:val="20"/>
          <w:vertAlign w:val="baseline"/>
        </w:rPr>
        <w:t>Boardman vs. Phipps </w:t>
      </w:r>
      <w:r>
        <w:rPr>
          <w:rFonts w:ascii="Calibri" w:hAnsi="Calibri"/>
          <w:sz w:val="20"/>
          <w:vertAlign w:val="baseline"/>
        </w:rPr>
        <w:t>(1967)2 A.C. 46 that the term ‘possibly may conflict’ means ‘that the reasonable man looking at the relevant facts and circumstances</w:t>
      </w:r>
      <w:r>
        <w:rPr>
          <w:rFonts w:ascii="Calibri" w:hAnsi="Calibri"/>
          <w:spacing w:val="40"/>
          <w:sz w:val="20"/>
          <w:vertAlign w:val="baseline"/>
        </w:rPr>
        <w:t> </w:t>
      </w:r>
      <w:r>
        <w:rPr>
          <w:rFonts w:ascii="Calibri" w:hAnsi="Calibri"/>
          <w:sz w:val="20"/>
          <w:vertAlign w:val="baseline"/>
        </w:rPr>
        <w:t>of the particular case would think that there was a </w:t>
      </w:r>
      <w:r>
        <w:rPr>
          <w:rFonts w:ascii="Calibri" w:hAnsi="Calibri"/>
          <w:i/>
          <w:sz w:val="20"/>
          <w:vertAlign w:val="baseline"/>
        </w:rPr>
        <w:t>real sensible possibility of conflict</w:t>
      </w:r>
      <w:r>
        <w:rPr>
          <w:rFonts w:ascii="Calibri" w:hAnsi="Calibri"/>
          <w:sz w:val="20"/>
          <w:vertAlign w:val="baseline"/>
        </w:rPr>
        <w:t>. Indeed, this was the common law position up to the time of the enactment of the present Act.</w:t>
      </w:r>
    </w:p>
    <w:p>
      <w:pPr>
        <w:spacing w:line="244" w:lineRule="exact" w:before="0"/>
        <w:ind w:left="308" w:right="0" w:firstLine="0"/>
        <w:jc w:val="both"/>
        <w:rPr>
          <w:rFonts w:ascii="Calibri"/>
          <w:sz w:val="20"/>
        </w:rPr>
      </w:pPr>
      <w:r>
        <w:rPr>
          <w:rFonts w:ascii="Calibri"/>
          <w:sz w:val="20"/>
          <w:vertAlign w:val="superscript"/>
        </w:rPr>
        <w:t>328</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5"/>
          <w:sz w:val="20"/>
          <w:vertAlign w:val="baseline"/>
        </w:rPr>
        <w:t> </w:t>
      </w:r>
      <w:r>
        <w:rPr>
          <w:rFonts w:ascii="Calibri"/>
          <w:sz w:val="20"/>
          <w:vertAlign w:val="baseline"/>
        </w:rPr>
        <w:t>et</w:t>
      </w:r>
      <w:r>
        <w:rPr>
          <w:rFonts w:ascii="Calibri"/>
          <w:spacing w:val="-6"/>
          <w:sz w:val="20"/>
          <w:vertAlign w:val="baseline"/>
        </w:rPr>
        <w:t> </w:t>
      </w:r>
      <w:r>
        <w:rPr>
          <w:rFonts w:ascii="Calibri"/>
          <w:sz w:val="20"/>
          <w:vertAlign w:val="baseline"/>
        </w:rPr>
        <w:t>al.</w:t>
      </w:r>
      <w:r>
        <w:rPr>
          <w:rFonts w:ascii="Calibri"/>
          <w:spacing w:val="-5"/>
          <w:sz w:val="20"/>
          <w:vertAlign w:val="baseline"/>
        </w:rPr>
        <w:t> </w:t>
      </w:r>
      <w:r>
        <w:rPr>
          <w:rFonts w:ascii="Calibri"/>
          <w:sz w:val="20"/>
          <w:vertAlign w:val="baseline"/>
        </w:rPr>
        <w:t>op.cit.at</w:t>
      </w:r>
      <w:r>
        <w:rPr>
          <w:rFonts w:ascii="Calibri"/>
          <w:spacing w:val="-2"/>
          <w:sz w:val="20"/>
          <w:vertAlign w:val="baseline"/>
        </w:rPr>
        <w:t> </w:t>
      </w:r>
      <w:r>
        <w:rPr>
          <w:rFonts w:ascii="Calibri"/>
          <w:sz w:val="20"/>
          <w:vertAlign w:val="baseline"/>
        </w:rPr>
        <w:t>p. </w:t>
      </w:r>
      <w:r>
        <w:rPr>
          <w:rFonts w:ascii="Calibri"/>
          <w:spacing w:val="-4"/>
          <w:sz w:val="20"/>
          <w:vertAlign w:val="baseline"/>
        </w:rPr>
        <w:t>655.</w:t>
      </w:r>
    </w:p>
    <w:p>
      <w:pPr>
        <w:spacing w:before="0"/>
        <w:ind w:left="308" w:right="229" w:firstLine="0"/>
        <w:jc w:val="both"/>
        <w:rPr>
          <w:rFonts w:ascii="Calibri"/>
          <w:sz w:val="20"/>
        </w:rPr>
      </w:pPr>
      <w:r>
        <w:rPr>
          <w:rFonts w:ascii="Calibri"/>
          <w:sz w:val="20"/>
          <w:vertAlign w:val="superscript"/>
        </w:rPr>
        <w:t>329</w:t>
      </w:r>
      <w:r>
        <w:rPr>
          <w:rFonts w:ascii="Calibri"/>
          <w:i/>
          <w:sz w:val="20"/>
          <w:vertAlign w:val="baseline"/>
        </w:rPr>
        <w:t>Todd vs. Robinson </w:t>
      </w:r>
      <w:r>
        <w:rPr>
          <w:rFonts w:ascii="Calibri"/>
          <w:sz w:val="20"/>
          <w:vertAlign w:val="baseline"/>
        </w:rPr>
        <w:t>(1884-1885) 14 QBD 739; </w:t>
      </w:r>
      <w:r>
        <w:rPr>
          <w:rFonts w:ascii="Calibri"/>
          <w:i/>
          <w:sz w:val="20"/>
          <w:vertAlign w:val="baseline"/>
        </w:rPr>
        <w:t>Transvaal Lands Co. vs. New Belgium (Transvaal) Land</w:t>
      </w:r>
      <w:r>
        <w:rPr>
          <w:rFonts w:ascii="Calibri"/>
          <w:i/>
          <w:spacing w:val="40"/>
          <w:sz w:val="20"/>
          <w:vertAlign w:val="baseline"/>
        </w:rPr>
        <w:t> </w:t>
      </w:r>
      <w:r>
        <w:rPr>
          <w:rFonts w:ascii="Calibri"/>
          <w:i/>
          <w:sz w:val="20"/>
          <w:vertAlign w:val="baseline"/>
        </w:rPr>
        <w:t>and Dev. Co</w:t>
      </w:r>
      <w:r>
        <w:rPr>
          <w:rFonts w:ascii="Calibri"/>
          <w:sz w:val="20"/>
          <w:vertAlign w:val="baseline"/>
        </w:rPr>
        <w:t>. (1914) 2 Ch. 488).</w:t>
      </w:r>
    </w:p>
    <w:p>
      <w:pPr>
        <w:spacing w:before="1"/>
        <w:ind w:left="308" w:right="227" w:firstLine="0"/>
        <w:jc w:val="both"/>
        <w:rPr>
          <w:rFonts w:ascii="Calibri"/>
          <w:sz w:val="20"/>
        </w:rPr>
      </w:pPr>
      <w:r>
        <w:rPr>
          <w:rFonts w:ascii="Calibri"/>
          <w:sz w:val="20"/>
          <w:vertAlign w:val="superscript"/>
        </w:rPr>
        <w:t>330</w:t>
      </w:r>
      <w:r>
        <w:rPr>
          <w:rFonts w:ascii="Calibri"/>
          <w:i/>
          <w:sz w:val="20"/>
          <w:vertAlign w:val="baseline"/>
        </w:rPr>
        <w:t>Aberdeen Rly.Co. vs. Blaikie Bros </w:t>
      </w:r>
      <w:r>
        <w:rPr>
          <w:rFonts w:ascii="Calibri"/>
          <w:sz w:val="20"/>
          <w:vertAlign w:val="baseline"/>
        </w:rPr>
        <w:t>(1854) 23 LTR 315; </w:t>
      </w:r>
      <w:r>
        <w:rPr>
          <w:rFonts w:ascii="Calibri"/>
          <w:i/>
          <w:sz w:val="20"/>
          <w:vertAlign w:val="baseline"/>
        </w:rPr>
        <w:t>Imperial Mercantile Credit Association vs.</w:t>
      </w:r>
      <w:r>
        <w:rPr>
          <w:rFonts w:ascii="Calibri"/>
          <w:i/>
          <w:spacing w:val="40"/>
          <w:sz w:val="20"/>
          <w:vertAlign w:val="baseline"/>
        </w:rPr>
        <w:t> </w:t>
      </w:r>
      <w:r>
        <w:rPr>
          <w:rFonts w:ascii="Calibri"/>
          <w:i/>
          <w:sz w:val="20"/>
          <w:vertAlign w:val="baseline"/>
        </w:rPr>
        <w:t>Coleman </w:t>
      </w:r>
      <w:r>
        <w:rPr>
          <w:rFonts w:ascii="Calibri"/>
          <w:sz w:val="20"/>
          <w:vertAlign w:val="baseline"/>
        </w:rPr>
        <w:t>(1873) LR 6 HL 189.</w:t>
      </w:r>
    </w:p>
    <w:p>
      <w:pPr>
        <w:spacing w:after="0"/>
        <w:jc w:val="both"/>
        <w:rPr>
          <w:rFonts w:ascii="Calibri"/>
          <w:sz w:val="20"/>
        </w:rPr>
        <w:sectPr>
          <w:pgSz w:w="11910" w:h="16840"/>
          <w:pgMar w:header="0" w:footer="1003" w:top="1280" w:bottom="1200" w:left="1680" w:right="1180"/>
        </w:sectPr>
      </w:pPr>
    </w:p>
    <w:p>
      <w:pPr>
        <w:pStyle w:val="BodyText"/>
        <w:spacing w:line="480" w:lineRule="auto" w:before="110"/>
        <w:ind w:right="234"/>
        <w:jc w:val="both"/>
      </w:pPr>
      <w:r>
        <w:rPr/>
        <w:t>contract to allot shares or debentures to him,</w:t>
      </w:r>
      <w:r>
        <w:rPr>
          <w:vertAlign w:val="superscript"/>
        </w:rPr>
        <w:t>331</w:t>
      </w:r>
      <w:r>
        <w:rPr>
          <w:vertAlign w:val="baseline"/>
        </w:rPr>
        <w:t> and</w:t>
      </w:r>
      <w:r>
        <w:rPr>
          <w:spacing w:val="35"/>
          <w:vertAlign w:val="baseline"/>
        </w:rPr>
        <w:t> </w:t>
      </w:r>
      <w:r>
        <w:rPr>
          <w:vertAlign w:val="baseline"/>
        </w:rPr>
        <w:t>in a debenture granted to release him from a personal guarantee of a debt.</w:t>
      </w:r>
      <w:r>
        <w:rPr>
          <w:vertAlign w:val="superscript"/>
        </w:rPr>
        <w:t>332</w:t>
      </w:r>
    </w:p>
    <w:p>
      <w:pPr>
        <w:pStyle w:val="BodyText"/>
        <w:spacing w:line="480" w:lineRule="auto"/>
        <w:ind w:right="227" w:firstLine="720"/>
        <w:jc w:val="both"/>
      </w:pPr>
      <w:r>
        <w:rPr/>
        <w:t>The kind of ‗dealing‘ contemplated by the Act is any ―proposed transaction or arrangement.‖ Every kind of contract,from the simplest to the most complex forms, would be covered by this phraseology. There is some evidence that non-contractual arrangements may</w:t>
      </w:r>
      <w:r>
        <w:rPr>
          <w:spacing w:val="-5"/>
        </w:rPr>
        <w:t> </w:t>
      </w:r>
      <w:r>
        <w:rPr/>
        <w:t>also be</w:t>
      </w:r>
      <w:r>
        <w:rPr>
          <w:spacing w:val="-1"/>
        </w:rPr>
        <w:t> </w:t>
      </w:r>
      <w:r>
        <w:rPr/>
        <w:t>accommodated.</w:t>
      </w:r>
      <w:r>
        <w:rPr>
          <w:vertAlign w:val="superscript"/>
        </w:rPr>
        <w:t>333</w:t>
      </w:r>
      <w:r>
        <w:rPr>
          <w:vertAlign w:val="baseline"/>
        </w:rPr>
        <w:t> However,</w:t>
      </w:r>
      <w:r>
        <w:rPr>
          <w:spacing w:val="-2"/>
          <w:vertAlign w:val="baseline"/>
        </w:rPr>
        <w:t> </w:t>
      </w:r>
      <w:r>
        <w:rPr>
          <w:vertAlign w:val="baseline"/>
        </w:rPr>
        <w:t>the</w:t>
      </w:r>
      <w:r>
        <w:rPr>
          <w:spacing w:val="-1"/>
          <w:vertAlign w:val="baseline"/>
        </w:rPr>
        <w:t> </w:t>
      </w:r>
      <w:r>
        <w:rPr>
          <w:vertAlign w:val="baseline"/>
        </w:rPr>
        <w:t>use</w:t>
      </w:r>
      <w:r>
        <w:rPr>
          <w:spacing w:val="-1"/>
          <w:vertAlign w:val="baseline"/>
        </w:rPr>
        <w:t> </w:t>
      </w:r>
      <w:r>
        <w:rPr>
          <w:vertAlign w:val="baseline"/>
        </w:rPr>
        <w:t>of ―proposed‖ indicates that</w:t>
      </w:r>
      <w:r>
        <w:rPr>
          <w:spacing w:val="-2"/>
          <w:vertAlign w:val="baseline"/>
        </w:rPr>
        <w:t> </w:t>
      </w:r>
      <w:r>
        <w:rPr>
          <w:vertAlign w:val="baseline"/>
        </w:rPr>
        <w:t>the</w:t>
      </w:r>
      <w:r>
        <w:rPr>
          <w:spacing w:val="-3"/>
          <w:vertAlign w:val="baseline"/>
        </w:rPr>
        <w:t> </w:t>
      </w:r>
      <w:r>
        <w:rPr>
          <w:vertAlign w:val="baseline"/>
        </w:rPr>
        <w:t>transaction</w:t>
      </w:r>
      <w:r>
        <w:rPr>
          <w:spacing w:val="-7"/>
          <w:vertAlign w:val="baseline"/>
        </w:rPr>
        <w:t> </w:t>
      </w:r>
      <w:r>
        <w:rPr>
          <w:vertAlign w:val="baseline"/>
        </w:rPr>
        <w:t>or</w:t>
      </w:r>
      <w:r>
        <w:rPr>
          <w:spacing w:val="-2"/>
          <w:vertAlign w:val="baseline"/>
        </w:rPr>
        <w:t> </w:t>
      </w:r>
      <w:r>
        <w:rPr>
          <w:vertAlign w:val="baseline"/>
        </w:rPr>
        <w:t>arrangement is merely</w:t>
      </w:r>
      <w:r>
        <w:rPr>
          <w:spacing w:val="-2"/>
          <w:vertAlign w:val="baseline"/>
        </w:rPr>
        <w:t> </w:t>
      </w:r>
      <w:r>
        <w:rPr>
          <w:vertAlign w:val="baseline"/>
        </w:rPr>
        <w:t>being contemplated</w:t>
      </w:r>
      <w:r>
        <w:rPr>
          <w:spacing w:val="-2"/>
          <w:vertAlign w:val="baseline"/>
        </w:rPr>
        <w:t> </w:t>
      </w:r>
      <w:r>
        <w:rPr>
          <w:vertAlign w:val="baseline"/>
        </w:rPr>
        <w:t>and not yet concluded. The section requires the disclosure to be made before the company fully enters into the transaction or arrangement with the director.</w:t>
      </w:r>
      <w:r>
        <w:rPr>
          <w:vertAlign w:val="superscript"/>
        </w:rPr>
        <w:t>334</w:t>
      </w:r>
      <w:r>
        <w:rPr>
          <w:vertAlign w:val="baseline"/>
        </w:rPr>
        <w:t> Disclosures affecting ―existing‖ transactions are addressed in a different section of the Act.</w:t>
      </w:r>
      <w:r>
        <w:rPr>
          <w:vertAlign w:val="superscript"/>
        </w:rPr>
        <w:t>335</w:t>
      </w:r>
    </w:p>
    <w:p>
      <w:pPr>
        <w:pStyle w:val="BodyText"/>
        <w:spacing w:line="480" w:lineRule="auto" w:before="2"/>
        <w:ind w:right="231" w:firstLine="720"/>
        <w:jc w:val="both"/>
      </w:pPr>
      <w:r>
        <w:rPr/>
        <w:t>It is significant that the law requires both the nature and extent of the interest to be disclosed</w:t>
      </w:r>
      <w:r>
        <w:rPr>
          <w:vertAlign w:val="superscript"/>
        </w:rPr>
        <w:t>336</w:t>
      </w:r>
      <w:r>
        <w:rPr>
          <w:vertAlign w:val="baseline"/>
        </w:rPr>
        <w:t> for this would allow for a more informed decision to be made as to whether or not the company should still go ahead with the transaction, in spite of the circumstances. Thus, for example, there is significantly more information in the statement,―A owns 2% of the shares in Z company‖ than the statement, ―A is a shareholder in Z company,‖ or ―A is trustee to the beneficial owner of plot XYZ, than simply ―A is associated with plot XYZ.‖ Still, there is much sense in Lord Radcliffe‘s suggestion that ―the amount of detail must depend in each case upon the nature of the contract or arrangement proposed and the context in which it arises.‖</w:t>
      </w:r>
      <w:r>
        <w:rPr>
          <w:vertAlign w:val="superscript"/>
        </w:rPr>
        <w:t>337</w:t>
      </w:r>
    </w:p>
    <w:p>
      <w:pPr>
        <w:pStyle w:val="BodyText"/>
        <w:spacing w:line="480" w:lineRule="auto" w:before="2"/>
        <w:ind w:right="232" w:firstLine="720"/>
        <w:jc w:val="both"/>
      </w:pPr>
      <w:r>
        <w:rPr/>
        <w:t>Perhaps, the most significant change introduced by the Act regarding this duty,</w:t>
      </w:r>
      <w:r>
        <w:rPr>
          <w:spacing w:val="40"/>
        </w:rPr>
        <w:t> </w:t>
      </w:r>
      <w:r>
        <w:rPr/>
        <w:t>is</w:t>
      </w:r>
      <w:r>
        <w:rPr>
          <w:spacing w:val="28"/>
        </w:rPr>
        <w:t> </w:t>
      </w:r>
      <w:r>
        <w:rPr/>
        <w:t>in</w:t>
      </w:r>
      <w:r>
        <w:rPr>
          <w:spacing w:val="21"/>
        </w:rPr>
        <w:t> </w:t>
      </w:r>
      <w:r>
        <w:rPr/>
        <w:t>the</w:t>
      </w:r>
      <w:r>
        <w:rPr>
          <w:spacing w:val="25"/>
        </w:rPr>
        <w:t> </w:t>
      </w:r>
      <w:r>
        <w:rPr/>
        <w:t>disclosure</w:t>
      </w:r>
      <w:r>
        <w:rPr>
          <w:spacing w:val="25"/>
        </w:rPr>
        <w:t> </w:t>
      </w:r>
      <w:r>
        <w:rPr/>
        <w:t>regime.</w:t>
      </w:r>
      <w:r>
        <w:rPr>
          <w:spacing w:val="28"/>
        </w:rPr>
        <w:t> </w:t>
      </w:r>
      <w:r>
        <w:rPr/>
        <w:t>As</w:t>
      </w:r>
      <w:r>
        <w:rPr>
          <w:spacing w:val="23"/>
        </w:rPr>
        <w:t> </w:t>
      </w:r>
      <w:r>
        <w:rPr/>
        <w:t>observed</w:t>
      </w:r>
      <w:r>
        <w:rPr>
          <w:spacing w:val="25"/>
        </w:rPr>
        <w:t> </w:t>
      </w:r>
      <w:r>
        <w:rPr/>
        <w:t>earlier,</w:t>
      </w:r>
      <w:r>
        <w:rPr>
          <w:spacing w:val="28"/>
        </w:rPr>
        <w:t> </w:t>
      </w:r>
      <w:r>
        <w:rPr/>
        <w:t>the</w:t>
      </w:r>
      <w:r>
        <w:rPr>
          <w:spacing w:val="25"/>
        </w:rPr>
        <w:t> </w:t>
      </w:r>
      <w:r>
        <w:rPr/>
        <w:t>common</w:t>
      </w:r>
      <w:r>
        <w:rPr>
          <w:spacing w:val="25"/>
        </w:rPr>
        <w:t> </w:t>
      </w:r>
      <w:r>
        <w:rPr/>
        <w:t>law</w:t>
      </w:r>
      <w:r>
        <w:rPr>
          <w:spacing w:val="30"/>
        </w:rPr>
        <w:t> </w:t>
      </w:r>
      <w:r>
        <w:rPr/>
        <w:t>hitherto</w:t>
      </w:r>
      <w:r>
        <w:rPr>
          <w:spacing w:val="31"/>
        </w:rPr>
        <w:t> </w:t>
      </w:r>
      <w:r>
        <w:rPr/>
        <w:t>insisted</w:t>
      </w:r>
      <w:r>
        <w:rPr>
          <w:spacing w:val="25"/>
        </w:rPr>
        <w:t> </w:t>
      </w:r>
      <w:r>
        <w:rPr/>
        <w:t>on</w:t>
      </w:r>
    </w:p>
    <w:p>
      <w:pPr>
        <w:pStyle w:val="BodyText"/>
        <w:spacing w:before="95"/>
        <w:ind w:left="0"/>
        <w:rPr>
          <w:sz w:val="20"/>
        </w:rPr>
      </w:pPr>
      <w:r>
        <w:rPr/>
        <mc:AlternateContent>
          <mc:Choice Requires="wps">
            <w:drawing>
              <wp:anchor distT="0" distB="0" distL="0" distR="0" allowOverlap="1" layoutInCell="1" locked="0" behindDoc="1" simplePos="0" relativeHeight="487708160">
                <wp:simplePos x="0" y="0"/>
                <wp:positionH relativeFrom="page">
                  <wp:posOffset>1262481</wp:posOffset>
                </wp:positionH>
                <wp:positionV relativeFrom="paragraph">
                  <wp:posOffset>221732</wp:posOffset>
                </wp:positionV>
                <wp:extent cx="1829435" cy="9525"/>
                <wp:effectExtent l="0" t="0" r="0" b="0"/>
                <wp:wrapTopAndBottom/>
                <wp:docPr id="262" name="Graphic 262"/>
                <wp:cNvGraphicFramePr>
                  <a:graphicFrameLocks/>
                </wp:cNvGraphicFramePr>
                <a:graphic>
                  <a:graphicData uri="http://schemas.microsoft.com/office/word/2010/wordprocessingShape">
                    <wps:wsp>
                      <wps:cNvPr id="262" name="Graphic 26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459249pt;width:144.050pt;height:.71997pt;mso-position-horizontal-relative:page;mso-position-vertical-relative:paragraph;z-index:-15608320;mso-wrap-distance-left:0;mso-wrap-distance-right:0" id="docshape217"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331</w:t>
      </w:r>
      <w:r>
        <w:rPr>
          <w:rFonts w:ascii="Calibri"/>
          <w:i/>
          <w:sz w:val="20"/>
          <w:vertAlign w:val="baseline"/>
        </w:rPr>
        <w:t>Neal</w:t>
      </w:r>
      <w:r>
        <w:rPr>
          <w:rFonts w:ascii="Calibri"/>
          <w:i/>
          <w:spacing w:val="-6"/>
          <w:sz w:val="20"/>
          <w:vertAlign w:val="baseline"/>
        </w:rPr>
        <w:t> </w:t>
      </w:r>
      <w:r>
        <w:rPr>
          <w:rFonts w:ascii="Calibri"/>
          <w:i/>
          <w:sz w:val="20"/>
          <w:vertAlign w:val="baseline"/>
        </w:rPr>
        <w:t>vs. Quin</w:t>
      </w:r>
      <w:r>
        <w:rPr>
          <w:rFonts w:ascii="Calibri"/>
          <w:i/>
          <w:spacing w:val="-4"/>
          <w:sz w:val="20"/>
          <w:vertAlign w:val="baseline"/>
        </w:rPr>
        <w:t> </w:t>
      </w:r>
      <w:r>
        <w:rPr>
          <w:rFonts w:ascii="Calibri"/>
          <w:sz w:val="20"/>
          <w:vertAlign w:val="baseline"/>
        </w:rPr>
        <w:t>(1916)</w:t>
      </w:r>
      <w:r>
        <w:rPr>
          <w:rFonts w:ascii="Calibri"/>
          <w:spacing w:val="-5"/>
          <w:sz w:val="20"/>
          <w:vertAlign w:val="baseline"/>
        </w:rPr>
        <w:t> </w:t>
      </w:r>
      <w:r>
        <w:rPr>
          <w:rFonts w:ascii="Calibri"/>
          <w:sz w:val="20"/>
          <w:vertAlign w:val="baseline"/>
        </w:rPr>
        <w:t>WN</w:t>
      </w:r>
      <w:r>
        <w:rPr>
          <w:rFonts w:ascii="Calibri"/>
          <w:spacing w:val="-3"/>
          <w:sz w:val="20"/>
          <w:vertAlign w:val="baseline"/>
        </w:rPr>
        <w:t> </w:t>
      </w:r>
      <w:r>
        <w:rPr>
          <w:rFonts w:ascii="Calibri"/>
          <w:sz w:val="20"/>
          <w:vertAlign w:val="baseline"/>
        </w:rPr>
        <w:t>223;</w:t>
      </w:r>
      <w:r>
        <w:rPr>
          <w:rFonts w:ascii="Calibri"/>
          <w:spacing w:val="-2"/>
          <w:sz w:val="20"/>
          <w:vertAlign w:val="baseline"/>
        </w:rPr>
        <w:t> </w:t>
      </w:r>
      <w:r>
        <w:rPr>
          <w:rFonts w:ascii="Calibri"/>
          <w:i/>
          <w:sz w:val="20"/>
          <w:vertAlign w:val="baseline"/>
        </w:rPr>
        <w:t>Cox</w:t>
      </w:r>
      <w:r>
        <w:rPr>
          <w:rFonts w:ascii="Calibri"/>
          <w:i/>
          <w:spacing w:val="-8"/>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Dublin</w:t>
      </w:r>
      <w:r>
        <w:rPr>
          <w:rFonts w:ascii="Calibri"/>
          <w:i/>
          <w:spacing w:val="-5"/>
          <w:sz w:val="20"/>
          <w:vertAlign w:val="baseline"/>
        </w:rPr>
        <w:t> </w:t>
      </w:r>
      <w:r>
        <w:rPr>
          <w:rFonts w:ascii="Calibri"/>
          <w:i/>
          <w:sz w:val="20"/>
          <w:vertAlign w:val="baseline"/>
        </w:rPr>
        <w:t>City</w:t>
      </w:r>
      <w:r>
        <w:rPr>
          <w:rFonts w:ascii="Calibri"/>
          <w:i/>
          <w:spacing w:val="-6"/>
          <w:sz w:val="20"/>
          <w:vertAlign w:val="baseline"/>
        </w:rPr>
        <w:t> </w:t>
      </w:r>
      <w:r>
        <w:rPr>
          <w:rFonts w:ascii="Calibri"/>
          <w:i/>
          <w:sz w:val="20"/>
          <w:vertAlign w:val="baseline"/>
        </w:rPr>
        <w:t>Distillery</w:t>
      </w:r>
      <w:r>
        <w:rPr>
          <w:rFonts w:ascii="Calibri"/>
          <w:i/>
          <w:spacing w:val="-3"/>
          <w:sz w:val="20"/>
          <w:vertAlign w:val="baseline"/>
        </w:rPr>
        <w:t> </w:t>
      </w:r>
      <w:r>
        <w:rPr>
          <w:rFonts w:ascii="Calibri"/>
          <w:sz w:val="20"/>
          <w:vertAlign w:val="baseline"/>
        </w:rPr>
        <w:t>(No</w:t>
      </w:r>
      <w:r>
        <w:rPr>
          <w:rFonts w:ascii="Calibri"/>
          <w:spacing w:val="-3"/>
          <w:sz w:val="20"/>
          <w:vertAlign w:val="baseline"/>
        </w:rPr>
        <w:t> </w:t>
      </w:r>
      <w:r>
        <w:rPr>
          <w:rFonts w:ascii="Calibri"/>
          <w:sz w:val="20"/>
          <w:vertAlign w:val="baseline"/>
        </w:rPr>
        <w:t>2)</w:t>
      </w:r>
      <w:r>
        <w:rPr>
          <w:rFonts w:ascii="Calibri"/>
          <w:spacing w:val="-6"/>
          <w:sz w:val="20"/>
          <w:vertAlign w:val="baseline"/>
        </w:rPr>
        <w:t> </w:t>
      </w:r>
      <w:r>
        <w:rPr>
          <w:rFonts w:ascii="Calibri"/>
          <w:sz w:val="20"/>
          <w:vertAlign w:val="baseline"/>
        </w:rPr>
        <w:t>(1915)</w:t>
      </w:r>
      <w:r>
        <w:rPr>
          <w:rFonts w:ascii="Calibri"/>
          <w:spacing w:val="-1"/>
          <w:sz w:val="20"/>
          <w:vertAlign w:val="baseline"/>
        </w:rPr>
        <w:t> </w:t>
      </w:r>
      <w:r>
        <w:rPr>
          <w:rFonts w:ascii="Calibri"/>
          <w:sz w:val="20"/>
          <w:vertAlign w:val="baseline"/>
        </w:rPr>
        <w:t>1</w:t>
      </w:r>
      <w:r>
        <w:rPr>
          <w:rFonts w:ascii="Calibri"/>
          <w:spacing w:val="-8"/>
          <w:sz w:val="20"/>
          <w:vertAlign w:val="baseline"/>
        </w:rPr>
        <w:t> </w:t>
      </w:r>
      <w:r>
        <w:rPr>
          <w:rFonts w:ascii="Calibri"/>
          <w:sz w:val="20"/>
          <w:vertAlign w:val="baseline"/>
        </w:rPr>
        <w:t>Ir</w:t>
      </w:r>
      <w:r>
        <w:rPr>
          <w:rFonts w:ascii="Calibri"/>
          <w:spacing w:val="-3"/>
          <w:sz w:val="20"/>
          <w:vertAlign w:val="baseline"/>
        </w:rPr>
        <w:t> </w:t>
      </w:r>
      <w:r>
        <w:rPr>
          <w:rFonts w:ascii="Calibri"/>
          <w:sz w:val="20"/>
          <w:vertAlign w:val="baseline"/>
        </w:rPr>
        <w:t>R</w:t>
      </w:r>
      <w:r>
        <w:rPr>
          <w:rFonts w:ascii="Calibri"/>
          <w:spacing w:val="-1"/>
          <w:sz w:val="20"/>
          <w:vertAlign w:val="baseline"/>
        </w:rPr>
        <w:t> </w:t>
      </w:r>
      <w:r>
        <w:rPr>
          <w:rFonts w:ascii="Calibri"/>
          <w:spacing w:val="-4"/>
          <w:sz w:val="20"/>
          <w:vertAlign w:val="baseline"/>
        </w:rPr>
        <w:t>145.</w:t>
      </w:r>
    </w:p>
    <w:p>
      <w:pPr>
        <w:spacing w:line="242" w:lineRule="exact" w:before="0"/>
        <w:ind w:left="308" w:right="0" w:firstLine="0"/>
        <w:jc w:val="left"/>
        <w:rPr>
          <w:rFonts w:ascii="Calibri"/>
          <w:sz w:val="20"/>
        </w:rPr>
      </w:pPr>
      <w:r>
        <w:rPr>
          <w:rFonts w:ascii="Calibri"/>
          <w:sz w:val="20"/>
          <w:vertAlign w:val="superscript"/>
        </w:rPr>
        <w:t>332</w:t>
      </w:r>
      <w:r>
        <w:rPr>
          <w:rFonts w:ascii="Calibri"/>
          <w:i/>
          <w:sz w:val="20"/>
          <w:vertAlign w:val="baseline"/>
        </w:rPr>
        <w:t>Rolled</w:t>
      </w:r>
      <w:r>
        <w:rPr>
          <w:rFonts w:ascii="Calibri"/>
          <w:i/>
          <w:spacing w:val="-3"/>
          <w:sz w:val="20"/>
          <w:vertAlign w:val="baseline"/>
        </w:rPr>
        <w:t> </w:t>
      </w:r>
      <w:r>
        <w:rPr>
          <w:rFonts w:ascii="Calibri"/>
          <w:i/>
          <w:sz w:val="20"/>
          <w:vertAlign w:val="baseline"/>
        </w:rPr>
        <w:t>Steel</w:t>
      </w:r>
      <w:r>
        <w:rPr>
          <w:rFonts w:ascii="Calibri"/>
          <w:i/>
          <w:spacing w:val="-7"/>
          <w:sz w:val="20"/>
          <w:vertAlign w:val="baseline"/>
        </w:rPr>
        <w:t> </w:t>
      </w:r>
      <w:r>
        <w:rPr>
          <w:rFonts w:ascii="Calibri"/>
          <w:i/>
          <w:sz w:val="20"/>
          <w:vertAlign w:val="baseline"/>
        </w:rPr>
        <w:t>Products</w:t>
      </w:r>
      <w:r>
        <w:rPr>
          <w:rFonts w:ascii="Calibri"/>
          <w:i/>
          <w:spacing w:val="-5"/>
          <w:sz w:val="20"/>
          <w:vertAlign w:val="baseline"/>
        </w:rPr>
        <w:t> </w:t>
      </w:r>
      <w:r>
        <w:rPr>
          <w:rFonts w:ascii="Calibri"/>
          <w:i/>
          <w:sz w:val="20"/>
          <w:vertAlign w:val="baseline"/>
        </w:rPr>
        <w:t>Ltd.</w:t>
      </w:r>
      <w:r>
        <w:rPr>
          <w:rFonts w:ascii="Calibri"/>
          <w:i/>
          <w:spacing w:val="-7"/>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British</w:t>
      </w:r>
      <w:r>
        <w:rPr>
          <w:rFonts w:ascii="Calibri"/>
          <w:i/>
          <w:spacing w:val="-6"/>
          <w:sz w:val="20"/>
          <w:vertAlign w:val="baseline"/>
        </w:rPr>
        <w:t> </w:t>
      </w:r>
      <w:r>
        <w:rPr>
          <w:rFonts w:ascii="Calibri"/>
          <w:i/>
          <w:sz w:val="20"/>
          <w:vertAlign w:val="baseline"/>
        </w:rPr>
        <w:t>Steel</w:t>
      </w:r>
      <w:r>
        <w:rPr>
          <w:rFonts w:ascii="Calibri"/>
          <w:i/>
          <w:spacing w:val="-7"/>
          <w:sz w:val="20"/>
          <w:vertAlign w:val="baseline"/>
        </w:rPr>
        <w:t> </w:t>
      </w:r>
      <w:r>
        <w:rPr>
          <w:rFonts w:ascii="Calibri"/>
          <w:i/>
          <w:sz w:val="20"/>
          <w:vertAlign w:val="baseline"/>
        </w:rPr>
        <w:t>Corp</w:t>
      </w:r>
      <w:r>
        <w:rPr>
          <w:rFonts w:ascii="Calibri"/>
          <w:sz w:val="20"/>
          <w:vertAlign w:val="baseline"/>
        </w:rPr>
        <w:t>.</w:t>
      </w:r>
      <w:r>
        <w:rPr>
          <w:rFonts w:ascii="Calibri"/>
          <w:spacing w:val="-7"/>
          <w:sz w:val="20"/>
          <w:vertAlign w:val="baseline"/>
        </w:rPr>
        <w:t> </w:t>
      </w:r>
      <w:r>
        <w:rPr>
          <w:rFonts w:ascii="Calibri"/>
          <w:sz w:val="20"/>
          <w:vertAlign w:val="baseline"/>
        </w:rPr>
        <w:t>1984)</w:t>
      </w:r>
      <w:r>
        <w:rPr>
          <w:rFonts w:ascii="Calibri"/>
          <w:spacing w:val="-7"/>
          <w:sz w:val="20"/>
          <w:vertAlign w:val="baseline"/>
        </w:rPr>
        <w:t> </w:t>
      </w:r>
      <w:r>
        <w:rPr>
          <w:rFonts w:ascii="Calibri"/>
          <w:sz w:val="20"/>
          <w:vertAlign w:val="baseline"/>
        </w:rPr>
        <w:t>BCLC</w:t>
      </w:r>
      <w:r>
        <w:rPr>
          <w:rFonts w:ascii="Calibri"/>
          <w:spacing w:val="-5"/>
          <w:sz w:val="20"/>
          <w:vertAlign w:val="baseline"/>
        </w:rPr>
        <w:t> </w:t>
      </w:r>
      <w:r>
        <w:rPr>
          <w:rFonts w:ascii="Calibri"/>
          <w:sz w:val="20"/>
          <w:vertAlign w:val="baseline"/>
        </w:rPr>
        <w:t>466</w:t>
      </w:r>
      <w:r>
        <w:rPr>
          <w:rFonts w:ascii="Calibri"/>
          <w:spacing w:val="-5"/>
          <w:sz w:val="20"/>
          <w:vertAlign w:val="baseline"/>
        </w:rPr>
        <w:t> </w:t>
      </w:r>
      <w:r>
        <w:rPr>
          <w:rFonts w:ascii="Calibri"/>
          <w:spacing w:val="-2"/>
          <w:sz w:val="20"/>
          <w:vertAlign w:val="baseline"/>
        </w:rPr>
        <w:t>(CA).</w:t>
      </w:r>
    </w:p>
    <w:p>
      <w:pPr>
        <w:spacing w:before="1"/>
        <w:ind w:left="308" w:right="0" w:firstLine="0"/>
        <w:jc w:val="left"/>
        <w:rPr>
          <w:rFonts w:ascii="Calibri"/>
          <w:sz w:val="20"/>
        </w:rPr>
      </w:pPr>
      <w:r>
        <w:rPr>
          <w:rFonts w:ascii="Calibri"/>
          <w:sz w:val="20"/>
          <w:vertAlign w:val="superscript"/>
        </w:rPr>
        <w:t>333</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i/>
          <w:sz w:val="20"/>
          <w:vertAlign w:val="baseline"/>
        </w:rPr>
        <w:t>Re</w:t>
      </w:r>
      <w:r>
        <w:rPr>
          <w:rFonts w:ascii="Calibri"/>
          <w:i/>
          <w:spacing w:val="-7"/>
          <w:sz w:val="20"/>
          <w:vertAlign w:val="baseline"/>
        </w:rPr>
        <w:t> </w:t>
      </w:r>
      <w:r>
        <w:rPr>
          <w:rFonts w:ascii="Calibri"/>
          <w:i/>
          <w:sz w:val="20"/>
          <w:vertAlign w:val="baseline"/>
        </w:rPr>
        <w:t>Duckwari</w:t>
      </w:r>
      <w:r>
        <w:rPr>
          <w:rFonts w:ascii="Calibri"/>
          <w:i/>
          <w:spacing w:val="-5"/>
          <w:sz w:val="20"/>
          <w:vertAlign w:val="baseline"/>
        </w:rPr>
        <w:t> </w:t>
      </w:r>
      <w:r>
        <w:rPr>
          <w:rFonts w:ascii="Calibri"/>
          <w:i/>
          <w:sz w:val="20"/>
          <w:vertAlign w:val="baseline"/>
        </w:rPr>
        <w:t>(</w:t>
      </w:r>
      <w:r>
        <w:rPr>
          <w:rFonts w:ascii="Calibri"/>
          <w:sz w:val="20"/>
          <w:vertAlign w:val="baseline"/>
        </w:rPr>
        <w:t>No.2)</w:t>
      </w:r>
      <w:r>
        <w:rPr>
          <w:rFonts w:ascii="Calibri"/>
          <w:spacing w:val="-5"/>
          <w:sz w:val="20"/>
          <w:vertAlign w:val="baseline"/>
        </w:rPr>
        <w:t> </w:t>
      </w:r>
      <w:r>
        <w:rPr>
          <w:rFonts w:ascii="Calibri"/>
          <w:sz w:val="20"/>
          <w:vertAlign w:val="baseline"/>
        </w:rPr>
        <w:t>(1998)</w:t>
      </w:r>
      <w:r>
        <w:rPr>
          <w:rFonts w:ascii="Calibri"/>
          <w:spacing w:val="-5"/>
          <w:sz w:val="20"/>
          <w:vertAlign w:val="baseline"/>
        </w:rPr>
        <w:t> </w:t>
      </w:r>
      <w:r>
        <w:rPr>
          <w:rFonts w:ascii="Calibri"/>
          <w:sz w:val="20"/>
          <w:vertAlign w:val="baseline"/>
        </w:rPr>
        <w:t>2</w:t>
      </w:r>
      <w:r>
        <w:rPr>
          <w:rFonts w:ascii="Calibri"/>
          <w:spacing w:val="-3"/>
          <w:sz w:val="20"/>
          <w:vertAlign w:val="baseline"/>
        </w:rPr>
        <w:t> </w:t>
      </w:r>
      <w:r>
        <w:rPr>
          <w:rFonts w:ascii="Calibri"/>
          <w:sz w:val="20"/>
          <w:vertAlign w:val="baseline"/>
        </w:rPr>
        <w:t>B.C.L.C.</w:t>
      </w:r>
      <w:r>
        <w:rPr>
          <w:rFonts w:ascii="Calibri"/>
          <w:spacing w:val="-5"/>
          <w:sz w:val="20"/>
          <w:vertAlign w:val="baseline"/>
        </w:rPr>
        <w:t> </w:t>
      </w:r>
      <w:r>
        <w:rPr>
          <w:rFonts w:ascii="Calibri"/>
          <w:spacing w:val="-4"/>
          <w:sz w:val="20"/>
          <w:vertAlign w:val="baseline"/>
        </w:rPr>
        <w:t>315.</w:t>
      </w:r>
    </w:p>
    <w:p>
      <w:pPr>
        <w:spacing w:before="1"/>
        <w:ind w:left="308" w:right="0" w:firstLine="0"/>
        <w:jc w:val="left"/>
        <w:rPr>
          <w:rFonts w:ascii="Calibri"/>
          <w:sz w:val="20"/>
        </w:rPr>
      </w:pPr>
      <w:r>
        <w:rPr>
          <w:rFonts w:ascii="Calibri"/>
          <w:sz w:val="20"/>
          <w:vertAlign w:val="superscript"/>
        </w:rPr>
        <w:t>334</w:t>
      </w:r>
      <w:r>
        <w:rPr>
          <w:rFonts w:ascii="Calibri"/>
          <w:spacing w:val="2"/>
          <w:sz w:val="20"/>
          <w:vertAlign w:val="baseline"/>
        </w:rPr>
        <w:t> </w:t>
      </w:r>
      <w:r>
        <w:rPr>
          <w:rFonts w:ascii="Calibri"/>
          <w:sz w:val="20"/>
          <w:vertAlign w:val="baseline"/>
        </w:rPr>
        <w:t>See</w:t>
      </w:r>
      <w:r>
        <w:rPr>
          <w:rFonts w:ascii="Calibri"/>
          <w:spacing w:val="-2"/>
          <w:sz w:val="20"/>
          <w:vertAlign w:val="baseline"/>
        </w:rPr>
        <w:t> s.177(4).</w:t>
      </w:r>
    </w:p>
    <w:p>
      <w:pPr>
        <w:spacing w:before="1"/>
        <w:ind w:left="308" w:right="0" w:firstLine="0"/>
        <w:jc w:val="left"/>
        <w:rPr>
          <w:rFonts w:ascii="Calibri"/>
          <w:sz w:val="20"/>
        </w:rPr>
      </w:pPr>
      <w:r>
        <w:rPr>
          <w:rFonts w:ascii="Calibri"/>
          <w:sz w:val="20"/>
          <w:vertAlign w:val="superscript"/>
        </w:rPr>
        <w:t>335</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182.</w:t>
      </w:r>
    </w:p>
    <w:p>
      <w:pPr>
        <w:spacing w:before="0"/>
        <w:ind w:left="308" w:right="339" w:firstLine="0"/>
        <w:jc w:val="left"/>
        <w:rPr>
          <w:rFonts w:ascii="Calibri" w:hAnsi="Calibri"/>
          <w:sz w:val="20"/>
        </w:rPr>
      </w:pPr>
      <w:r>
        <w:rPr>
          <w:rFonts w:ascii="Calibri" w:hAnsi="Calibri"/>
          <w:sz w:val="20"/>
          <w:vertAlign w:val="superscript"/>
        </w:rPr>
        <w:t>336</w:t>
      </w:r>
      <w:r>
        <w:rPr>
          <w:rFonts w:ascii="Calibri" w:hAnsi="Calibri"/>
          <w:sz w:val="20"/>
          <w:vertAlign w:val="baseline"/>
        </w:rPr>
        <w:t> Davis</w:t>
      </w:r>
      <w:r>
        <w:rPr>
          <w:rFonts w:ascii="Calibri" w:hAnsi="Calibri"/>
          <w:spacing w:val="-1"/>
          <w:sz w:val="20"/>
          <w:vertAlign w:val="baseline"/>
        </w:rPr>
        <w:t> </w:t>
      </w:r>
      <w:r>
        <w:rPr>
          <w:rFonts w:ascii="Calibri" w:hAnsi="Calibri"/>
          <w:sz w:val="20"/>
          <w:vertAlign w:val="baseline"/>
        </w:rPr>
        <w:t>and</w:t>
      </w:r>
      <w:r>
        <w:rPr>
          <w:rFonts w:ascii="Calibri" w:hAnsi="Calibri"/>
          <w:spacing w:val="-4"/>
          <w:sz w:val="20"/>
          <w:vertAlign w:val="baseline"/>
        </w:rPr>
        <w:t> </w:t>
      </w:r>
      <w:r>
        <w:rPr>
          <w:rFonts w:ascii="Calibri" w:hAnsi="Calibri"/>
          <w:sz w:val="20"/>
          <w:vertAlign w:val="baseline"/>
        </w:rPr>
        <w:t>Worthington</w:t>
      </w:r>
      <w:r>
        <w:rPr>
          <w:rFonts w:ascii="Calibri" w:hAnsi="Calibri"/>
          <w:spacing w:val="-4"/>
          <w:sz w:val="20"/>
          <w:vertAlign w:val="baseline"/>
        </w:rPr>
        <w:t> </w:t>
      </w:r>
      <w:r>
        <w:rPr>
          <w:rFonts w:ascii="Calibri" w:hAnsi="Calibri"/>
          <w:sz w:val="20"/>
          <w:vertAlign w:val="baseline"/>
        </w:rPr>
        <w:t>consider this</w:t>
      </w:r>
      <w:r>
        <w:rPr>
          <w:rFonts w:ascii="Calibri" w:hAnsi="Calibri"/>
          <w:spacing w:val="-6"/>
          <w:sz w:val="20"/>
          <w:vertAlign w:val="baseline"/>
        </w:rPr>
        <w:t> </w:t>
      </w:r>
      <w:r>
        <w:rPr>
          <w:rFonts w:ascii="Calibri" w:hAnsi="Calibri"/>
          <w:sz w:val="20"/>
          <w:vertAlign w:val="baseline"/>
        </w:rPr>
        <w:t>“a welcome</w:t>
      </w:r>
      <w:r>
        <w:rPr>
          <w:rFonts w:ascii="Calibri" w:hAnsi="Calibri"/>
          <w:spacing w:val="-3"/>
          <w:sz w:val="20"/>
          <w:vertAlign w:val="baseline"/>
        </w:rPr>
        <w:t> </w:t>
      </w:r>
      <w:r>
        <w:rPr>
          <w:rFonts w:ascii="Calibri" w:hAnsi="Calibri"/>
          <w:sz w:val="20"/>
          <w:vertAlign w:val="baseline"/>
        </w:rPr>
        <w:t>improvement.”</w:t>
      </w:r>
      <w:r>
        <w:rPr>
          <w:rFonts w:ascii="Calibri" w:hAnsi="Calibri"/>
          <w:spacing w:val="-2"/>
          <w:sz w:val="20"/>
          <w:vertAlign w:val="baseline"/>
        </w:rPr>
        <w:t> </w:t>
      </w:r>
      <w:r>
        <w:rPr>
          <w:rFonts w:ascii="Calibri" w:hAnsi="Calibri"/>
          <w:sz w:val="20"/>
          <w:vertAlign w:val="baseline"/>
        </w:rPr>
        <w:t>See Davies,</w:t>
      </w:r>
      <w:r>
        <w:rPr>
          <w:rFonts w:ascii="Calibri" w:hAnsi="Calibri"/>
          <w:spacing w:val="-6"/>
          <w:sz w:val="20"/>
          <w:vertAlign w:val="baseline"/>
        </w:rPr>
        <w:t> </w:t>
      </w:r>
      <w:r>
        <w:rPr>
          <w:rFonts w:ascii="Calibri" w:hAnsi="Calibri"/>
          <w:sz w:val="20"/>
          <w:vertAlign w:val="baseline"/>
        </w:rPr>
        <w:t>L.P.</w:t>
      </w:r>
      <w:r>
        <w:rPr>
          <w:rFonts w:ascii="Calibri" w:hAnsi="Calibri"/>
          <w:spacing w:val="-2"/>
          <w:sz w:val="20"/>
          <w:vertAlign w:val="baseline"/>
        </w:rPr>
        <w:t> </w:t>
      </w:r>
      <w:r>
        <w:rPr>
          <w:rFonts w:ascii="Calibri" w:hAnsi="Calibri"/>
          <w:sz w:val="20"/>
          <w:vertAlign w:val="baseline"/>
        </w:rPr>
        <w:t>and</w:t>
      </w:r>
      <w:r>
        <w:rPr>
          <w:rFonts w:ascii="Calibri" w:hAnsi="Calibri"/>
          <w:spacing w:val="-4"/>
          <w:sz w:val="20"/>
          <w:vertAlign w:val="baseline"/>
        </w:rPr>
        <w:t> </w:t>
      </w:r>
      <w:r>
        <w:rPr>
          <w:rFonts w:ascii="Calibri" w:hAnsi="Calibri"/>
          <w:sz w:val="20"/>
          <w:vertAlign w:val="baseline"/>
        </w:rPr>
        <w:t>Worthington, S., op.cit. at p.565.</w:t>
      </w:r>
    </w:p>
    <w:p>
      <w:pPr>
        <w:spacing w:before="2"/>
        <w:ind w:left="308" w:right="0" w:firstLine="0"/>
        <w:jc w:val="left"/>
        <w:rPr>
          <w:rFonts w:ascii="Calibri"/>
          <w:sz w:val="20"/>
        </w:rPr>
      </w:pPr>
      <w:r>
        <w:rPr>
          <w:rFonts w:ascii="Calibri"/>
          <w:sz w:val="20"/>
          <w:vertAlign w:val="superscript"/>
        </w:rPr>
        <w:t>337</w:t>
      </w:r>
      <w:r>
        <w:rPr>
          <w:rFonts w:ascii="Calibri"/>
          <w:i/>
          <w:sz w:val="20"/>
          <w:vertAlign w:val="baseline"/>
        </w:rPr>
        <w:t>Gray</w:t>
      </w:r>
      <w:r>
        <w:rPr>
          <w:rFonts w:ascii="Calibri"/>
          <w:i/>
          <w:spacing w:val="-7"/>
          <w:sz w:val="20"/>
          <w:vertAlign w:val="baseline"/>
        </w:rPr>
        <w:t> </w:t>
      </w:r>
      <w:r>
        <w:rPr>
          <w:rFonts w:ascii="Calibri"/>
          <w:i/>
          <w:sz w:val="20"/>
          <w:vertAlign w:val="baseline"/>
        </w:rPr>
        <w:t>vs.</w:t>
      </w:r>
      <w:r>
        <w:rPr>
          <w:rFonts w:ascii="Calibri"/>
          <w:i/>
          <w:spacing w:val="-1"/>
          <w:sz w:val="20"/>
          <w:vertAlign w:val="baseline"/>
        </w:rPr>
        <w:t> </w:t>
      </w:r>
      <w:r>
        <w:rPr>
          <w:rFonts w:ascii="Calibri"/>
          <w:i/>
          <w:sz w:val="20"/>
          <w:vertAlign w:val="baseline"/>
        </w:rPr>
        <w:t>New</w:t>
      </w:r>
      <w:r>
        <w:rPr>
          <w:rFonts w:ascii="Calibri"/>
          <w:i/>
          <w:spacing w:val="-2"/>
          <w:sz w:val="20"/>
          <w:vertAlign w:val="baseline"/>
        </w:rPr>
        <w:t> </w:t>
      </w:r>
      <w:r>
        <w:rPr>
          <w:rFonts w:ascii="Calibri"/>
          <w:i/>
          <w:sz w:val="20"/>
          <w:vertAlign w:val="baseline"/>
        </w:rPr>
        <w:t>Augarita</w:t>
      </w:r>
      <w:r>
        <w:rPr>
          <w:rFonts w:ascii="Calibri"/>
          <w:i/>
          <w:spacing w:val="-6"/>
          <w:sz w:val="20"/>
          <w:vertAlign w:val="baseline"/>
        </w:rPr>
        <w:t> </w:t>
      </w:r>
      <w:r>
        <w:rPr>
          <w:rFonts w:ascii="Calibri"/>
          <w:i/>
          <w:sz w:val="20"/>
          <w:vertAlign w:val="baseline"/>
        </w:rPr>
        <w:t>Porcupine</w:t>
      </w:r>
      <w:r>
        <w:rPr>
          <w:rFonts w:ascii="Calibri"/>
          <w:i/>
          <w:spacing w:val="-7"/>
          <w:sz w:val="20"/>
          <w:vertAlign w:val="baseline"/>
        </w:rPr>
        <w:t> </w:t>
      </w:r>
      <w:r>
        <w:rPr>
          <w:rFonts w:ascii="Calibri"/>
          <w:i/>
          <w:sz w:val="20"/>
          <w:vertAlign w:val="baseline"/>
        </w:rPr>
        <w:t>Mines</w:t>
      </w:r>
      <w:r>
        <w:rPr>
          <w:rFonts w:ascii="Calibri"/>
          <w:i/>
          <w:spacing w:val="-9"/>
          <w:sz w:val="20"/>
          <w:vertAlign w:val="baseline"/>
        </w:rPr>
        <w:t> </w:t>
      </w:r>
      <w:r>
        <w:rPr>
          <w:rFonts w:ascii="Calibri"/>
          <w:i/>
          <w:sz w:val="20"/>
          <w:vertAlign w:val="baseline"/>
        </w:rPr>
        <w:t>Ltd</w:t>
      </w:r>
      <w:r>
        <w:rPr>
          <w:rFonts w:ascii="Calibri"/>
          <w:i/>
          <w:spacing w:val="-1"/>
          <w:sz w:val="20"/>
          <w:vertAlign w:val="baseline"/>
        </w:rPr>
        <w:t> </w:t>
      </w:r>
      <w:r>
        <w:rPr>
          <w:rFonts w:ascii="Calibri"/>
          <w:sz w:val="20"/>
          <w:vertAlign w:val="baseline"/>
        </w:rPr>
        <w:t>(1952)</w:t>
      </w:r>
      <w:r>
        <w:rPr>
          <w:rFonts w:ascii="Calibri"/>
          <w:spacing w:val="-2"/>
          <w:sz w:val="20"/>
          <w:vertAlign w:val="baseline"/>
        </w:rPr>
        <w:t> </w:t>
      </w:r>
      <w:r>
        <w:rPr>
          <w:rFonts w:ascii="Calibri"/>
          <w:sz w:val="20"/>
          <w:vertAlign w:val="baseline"/>
        </w:rPr>
        <w:t>3</w:t>
      </w:r>
      <w:r>
        <w:rPr>
          <w:rFonts w:ascii="Calibri"/>
          <w:spacing w:val="-8"/>
          <w:sz w:val="20"/>
          <w:vertAlign w:val="baseline"/>
        </w:rPr>
        <w:t> </w:t>
      </w:r>
      <w:r>
        <w:rPr>
          <w:rFonts w:ascii="Calibri"/>
          <w:sz w:val="20"/>
          <w:vertAlign w:val="baseline"/>
        </w:rPr>
        <w:t>DLR</w:t>
      </w:r>
      <w:r>
        <w:rPr>
          <w:rFonts w:ascii="Calibri"/>
          <w:spacing w:val="-2"/>
          <w:sz w:val="20"/>
          <w:vertAlign w:val="baseline"/>
        </w:rPr>
        <w:t> </w:t>
      </w:r>
      <w:r>
        <w:rPr>
          <w:rFonts w:ascii="Calibri"/>
          <w:sz w:val="20"/>
          <w:vertAlign w:val="baseline"/>
        </w:rPr>
        <w:t>1,</w:t>
      </w:r>
      <w:r>
        <w:rPr>
          <w:rFonts w:ascii="Calibri"/>
          <w:spacing w:val="-9"/>
          <w:sz w:val="20"/>
          <w:vertAlign w:val="baseline"/>
        </w:rPr>
        <w:t> </w:t>
      </w:r>
      <w:r>
        <w:rPr>
          <w:rFonts w:ascii="Calibri"/>
          <w:sz w:val="20"/>
          <w:vertAlign w:val="baseline"/>
        </w:rPr>
        <w:t>at</w:t>
      </w:r>
      <w:r>
        <w:rPr>
          <w:rFonts w:ascii="Calibri"/>
          <w:spacing w:val="-3"/>
          <w:sz w:val="20"/>
          <w:vertAlign w:val="baseline"/>
        </w:rPr>
        <w:t> </w:t>
      </w:r>
      <w:r>
        <w:rPr>
          <w:rFonts w:ascii="Calibri"/>
          <w:spacing w:val="-5"/>
          <w:sz w:val="20"/>
          <w:vertAlign w:val="baseline"/>
        </w:rPr>
        <w:t>14.</w:t>
      </w:r>
    </w:p>
    <w:p>
      <w:pPr>
        <w:spacing w:after="0"/>
        <w:jc w:val="left"/>
        <w:rPr>
          <w:rFonts w:ascii="Calibri"/>
          <w:sz w:val="20"/>
        </w:rPr>
        <w:sectPr>
          <w:pgSz w:w="11910" w:h="16840"/>
          <w:pgMar w:header="0" w:footer="1003" w:top="1280" w:bottom="1200" w:left="1680" w:right="1180"/>
        </w:sectPr>
      </w:pPr>
    </w:p>
    <w:p>
      <w:pPr>
        <w:pStyle w:val="BodyText"/>
        <w:spacing w:line="480" w:lineRule="auto" w:before="70"/>
        <w:ind w:right="228"/>
        <w:jc w:val="both"/>
      </w:pPr>
      <w:r>
        <w:rPr/>
        <w:t>disclosure to the general meeting as the only organ entitled to allow such conflicts.</w:t>
      </w:r>
      <w:r>
        <w:rPr>
          <w:spacing w:val="40"/>
        </w:rPr>
        <w:t> </w:t>
      </w:r>
      <w:r>
        <w:rPr/>
        <w:t>Thus, disclosure to the board, even a disinterested one at that, was consideredinsufficient. The law then acknowledged the obvious danger that reciprocal self-interest or misplaced loyalty will affect fellow directors‘ business judgment and affect their zeal to get the best possible deal for the company.</w:t>
      </w:r>
      <w:r>
        <w:rPr>
          <w:vertAlign w:val="superscript"/>
        </w:rPr>
        <w:t>338</w:t>
      </w:r>
      <w:r>
        <w:rPr>
          <w:vertAlign w:val="baseline"/>
        </w:rPr>
        <w:t> Yet, the present Act seems to take a different view as it requires disclosure to be made ―to the other directors,‖ rather than</w:t>
      </w:r>
      <w:r>
        <w:rPr>
          <w:spacing w:val="-4"/>
          <w:vertAlign w:val="baseline"/>
        </w:rPr>
        <w:t> </w:t>
      </w:r>
      <w:r>
        <w:rPr>
          <w:vertAlign w:val="baseline"/>
        </w:rPr>
        <w:t>the members in a general</w:t>
      </w:r>
      <w:r>
        <w:rPr>
          <w:spacing w:val="-4"/>
          <w:vertAlign w:val="baseline"/>
        </w:rPr>
        <w:t> </w:t>
      </w:r>
      <w:r>
        <w:rPr>
          <w:vertAlign w:val="baseline"/>
        </w:rPr>
        <w:t>meeting, effectively making it easier for the ‗interested director.‘ Another obvious conclusion also is that the section does not contemplate such a declaration where there happens to be only one director.</w:t>
      </w:r>
      <w:r>
        <w:rPr>
          <w:vertAlign w:val="superscript"/>
        </w:rPr>
        <w:t>339</w:t>
      </w:r>
      <w:r>
        <w:rPr>
          <w:vertAlign w:val="baseline"/>
        </w:rPr>
        <w:t> Further, the forum and mode of disclosure is also suggested</w:t>
      </w:r>
      <w:r>
        <w:rPr>
          <w:vertAlign w:val="superscript"/>
        </w:rPr>
        <w:t>340</w:t>
      </w:r>
      <w:r>
        <w:rPr>
          <w:vertAlign w:val="baseline"/>
        </w:rPr>
        <w:t> so that the declaration may (but need not) be made— (a) at a meeting of</w:t>
      </w:r>
      <w:r>
        <w:rPr>
          <w:spacing w:val="-3"/>
          <w:vertAlign w:val="baseline"/>
        </w:rPr>
        <w:t> </w:t>
      </w:r>
      <w:r>
        <w:rPr>
          <w:vertAlign w:val="baseline"/>
        </w:rPr>
        <w:t>the</w:t>
      </w:r>
      <w:r>
        <w:rPr>
          <w:spacing w:val="-1"/>
          <w:vertAlign w:val="baseline"/>
        </w:rPr>
        <w:t> </w:t>
      </w:r>
      <w:r>
        <w:rPr>
          <w:vertAlign w:val="baseline"/>
        </w:rPr>
        <w:t>directors,</w:t>
      </w:r>
      <w:r>
        <w:rPr>
          <w:spacing w:val="-3"/>
          <w:vertAlign w:val="baseline"/>
        </w:rPr>
        <w:t> </w:t>
      </w:r>
      <w:r>
        <w:rPr>
          <w:vertAlign w:val="baseline"/>
        </w:rPr>
        <w:t>or (b) by notice</w:t>
      </w:r>
      <w:r>
        <w:rPr>
          <w:spacing w:val="-1"/>
          <w:vertAlign w:val="baseline"/>
        </w:rPr>
        <w:t> </w:t>
      </w:r>
      <w:r>
        <w:rPr>
          <w:vertAlign w:val="baseline"/>
        </w:rPr>
        <w:t>to the</w:t>
      </w:r>
      <w:r>
        <w:rPr>
          <w:spacing w:val="-1"/>
          <w:vertAlign w:val="baseline"/>
        </w:rPr>
        <w:t> </w:t>
      </w:r>
      <w:r>
        <w:rPr>
          <w:vertAlign w:val="baseline"/>
        </w:rPr>
        <w:t>directors in accordance with— (i) s. 184 (notice in writing), or (ii) s. 185 (general notice). Where disclosure has been made using any of the aforementioned media but subsequently, the director‘s interest changes or the information earlier given becomes inadequate, inaccurate or incomplete, s.177(3) requires him to make a further disclosure to rectify </w:t>
      </w:r>
      <w:r>
        <w:rPr>
          <w:spacing w:val="-2"/>
          <w:vertAlign w:val="baseline"/>
        </w:rPr>
        <w:t>this.</w:t>
      </w:r>
    </w:p>
    <w:p>
      <w:pPr>
        <w:pStyle w:val="BodyText"/>
        <w:spacing w:line="480" w:lineRule="auto" w:before="3"/>
        <w:ind w:right="231" w:firstLine="720"/>
        <w:jc w:val="both"/>
      </w:pPr>
      <w:r>
        <w:rPr/>
        <w:t>Helpfully, instances have been</w:t>
      </w:r>
      <w:r>
        <w:rPr>
          <w:spacing w:val="-1"/>
        </w:rPr>
        <w:t> </w:t>
      </w:r>
      <w:r>
        <w:rPr/>
        <w:t>delineated where the director would not be duty- bound to disclose</w:t>
      </w:r>
      <w:r>
        <w:rPr>
          <w:spacing w:val="-1"/>
        </w:rPr>
        <w:t> </w:t>
      </w:r>
      <w:r>
        <w:rPr/>
        <w:t>any such</w:t>
      </w:r>
      <w:r>
        <w:rPr>
          <w:spacing w:val="-5"/>
        </w:rPr>
        <w:t> </w:t>
      </w:r>
      <w:r>
        <w:rPr/>
        <w:t>conflicts</w:t>
      </w:r>
      <w:r>
        <w:rPr>
          <w:spacing w:val="-2"/>
        </w:rPr>
        <w:t> </w:t>
      </w:r>
      <w:r>
        <w:rPr/>
        <w:t>arising out of transactions</w:t>
      </w:r>
      <w:r>
        <w:rPr>
          <w:spacing w:val="-2"/>
        </w:rPr>
        <w:t> </w:t>
      </w:r>
      <w:r>
        <w:rPr/>
        <w:t>or arrangements</w:t>
      </w:r>
      <w:r>
        <w:rPr>
          <w:spacing w:val="-2"/>
        </w:rPr>
        <w:t> </w:t>
      </w:r>
      <w:r>
        <w:rPr/>
        <w:t>with</w:t>
      </w:r>
      <w:r>
        <w:rPr>
          <w:spacing w:val="-5"/>
        </w:rPr>
        <w:t> </w:t>
      </w:r>
      <w:r>
        <w:rPr/>
        <w:t>the company. some of these are supported by case law.</w:t>
      </w:r>
      <w:r>
        <w:rPr>
          <w:vertAlign w:val="superscript"/>
        </w:rPr>
        <w:t>341</w:t>
      </w:r>
      <w:r>
        <w:rPr>
          <w:vertAlign w:val="baseline"/>
        </w:rPr>
        <w:t> Accordingly, a director need not disclose such interest</w:t>
      </w:r>
      <w:r>
        <w:rPr>
          <w:vertAlign w:val="superscript"/>
        </w:rPr>
        <w:t>342</w:t>
      </w:r>
    </w:p>
    <w:p>
      <w:pPr>
        <w:pStyle w:val="ListParagraph"/>
        <w:numPr>
          <w:ilvl w:val="3"/>
          <w:numId w:val="18"/>
        </w:numPr>
        <w:tabs>
          <w:tab w:pos="1748" w:val="left" w:leader="none"/>
        </w:tabs>
        <w:spacing w:line="240" w:lineRule="auto" w:before="1" w:after="0"/>
        <w:ind w:left="1748" w:right="0" w:hanging="360"/>
        <w:jc w:val="both"/>
        <w:rPr>
          <w:sz w:val="24"/>
        </w:rPr>
      </w:pPr>
      <w:r>
        <w:rPr>
          <w:sz w:val="24"/>
        </w:rPr>
        <w:t>where</w:t>
      </w:r>
      <w:r>
        <w:rPr>
          <w:spacing w:val="-3"/>
          <w:sz w:val="24"/>
        </w:rPr>
        <w:t> </w:t>
      </w:r>
      <w:r>
        <w:rPr>
          <w:sz w:val="24"/>
        </w:rPr>
        <w:t>the director</w:t>
      </w:r>
      <w:r>
        <w:rPr>
          <w:spacing w:val="-3"/>
          <w:sz w:val="24"/>
        </w:rPr>
        <w:t> </w:t>
      </w:r>
      <w:r>
        <w:rPr>
          <w:sz w:val="24"/>
        </w:rPr>
        <w:t>is</w:t>
      </w:r>
      <w:r>
        <w:rPr>
          <w:spacing w:val="3"/>
          <w:sz w:val="24"/>
        </w:rPr>
        <w:t> </w:t>
      </w:r>
      <w:r>
        <w:rPr>
          <w:sz w:val="24"/>
        </w:rPr>
        <w:t>not aware</w:t>
      </w:r>
      <w:r>
        <w:rPr>
          <w:spacing w:val="-5"/>
          <w:sz w:val="24"/>
        </w:rPr>
        <w:t> </w:t>
      </w:r>
      <w:r>
        <w:rPr>
          <w:sz w:val="24"/>
        </w:rPr>
        <w:t>of</w:t>
      </w:r>
      <w:r>
        <w:rPr>
          <w:spacing w:val="-7"/>
          <w:sz w:val="24"/>
        </w:rPr>
        <w:t> </w:t>
      </w:r>
      <w:r>
        <w:rPr>
          <w:sz w:val="24"/>
        </w:rPr>
        <w:t>the</w:t>
      </w:r>
      <w:r>
        <w:rPr>
          <w:spacing w:val="4"/>
          <w:sz w:val="24"/>
        </w:rPr>
        <w:t> </w:t>
      </w:r>
      <w:r>
        <w:rPr>
          <w:sz w:val="24"/>
        </w:rPr>
        <w:t>interest,</w:t>
      </w:r>
      <w:r>
        <w:rPr>
          <w:spacing w:val="-6"/>
          <w:sz w:val="24"/>
        </w:rPr>
        <w:t> </w:t>
      </w:r>
      <w:r>
        <w:rPr>
          <w:sz w:val="24"/>
        </w:rPr>
        <w:t>transaction</w:t>
      </w:r>
      <w:r>
        <w:rPr>
          <w:spacing w:val="-4"/>
          <w:sz w:val="24"/>
        </w:rPr>
        <w:t> </w:t>
      </w:r>
      <w:r>
        <w:rPr>
          <w:sz w:val="24"/>
        </w:rPr>
        <w:t>or</w:t>
      </w:r>
      <w:r>
        <w:rPr>
          <w:spacing w:val="-2"/>
          <w:sz w:val="24"/>
        </w:rPr>
        <w:t> arrangement</w:t>
      </w:r>
    </w:p>
    <w:p>
      <w:pPr>
        <w:pStyle w:val="BodyText"/>
        <w:spacing w:before="126"/>
        <w:ind w:left="0"/>
        <w:rPr>
          <w:sz w:val="20"/>
        </w:rPr>
      </w:pPr>
      <w:r>
        <w:rPr/>
        <mc:AlternateContent>
          <mc:Choice Requires="wps">
            <w:drawing>
              <wp:anchor distT="0" distB="0" distL="0" distR="0" allowOverlap="1" layoutInCell="1" locked="0" behindDoc="1" simplePos="0" relativeHeight="487708672">
                <wp:simplePos x="0" y="0"/>
                <wp:positionH relativeFrom="page">
                  <wp:posOffset>1262481</wp:posOffset>
                </wp:positionH>
                <wp:positionV relativeFrom="paragraph">
                  <wp:posOffset>241529</wp:posOffset>
                </wp:positionV>
                <wp:extent cx="1829435" cy="9525"/>
                <wp:effectExtent l="0" t="0" r="0" b="0"/>
                <wp:wrapTopAndBottom/>
                <wp:docPr id="263" name="Graphic 263"/>
                <wp:cNvGraphicFramePr>
                  <a:graphicFrameLocks/>
                </wp:cNvGraphicFramePr>
                <a:graphic>
                  <a:graphicData uri="http://schemas.microsoft.com/office/word/2010/wordprocessingShape">
                    <wps:wsp>
                      <wps:cNvPr id="263" name="Graphic 26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018076pt;width:144.050pt;height:.71997pt;mso-position-horizontal-relative:page;mso-position-vertical-relative:paragraph;z-index:-15607808;mso-wrap-distance-left:0;mso-wrap-distance-right:0" id="docshape218"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338</w:t>
      </w:r>
      <w:r>
        <w:rPr>
          <w:rFonts w:ascii="Calibri"/>
          <w:sz w:val="20"/>
          <w:vertAlign w:val="baseline"/>
        </w:rPr>
        <w:t>Corkery,</w:t>
      </w:r>
      <w:r>
        <w:rPr>
          <w:rFonts w:ascii="Calibri"/>
          <w:spacing w:val="-3"/>
          <w:sz w:val="20"/>
          <w:vertAlign w:val="baseline"/>
        </w:rPr>
        <w:t> </w:t>
      </w:r>
      <w:r>
        <w:rPr>
          <w:rFonts w:ascii="Calibri"/>
          <w:sz w:val="20"/>
          <w:vertAlign w:val="baseline"/>
        </w:rPr>
        <w:t>F.J.</w:t>
      </w:r>
      <w:r>
        <w:rPr>
          <w:rFonts w:ascii="Calibri"/>
          <w:spacing w:val="-4"/>
          <w:sz w:val="20"/>
          <w:vertAlign w:val="baseline"/>
        </w:rPr>
        <w:t> </w:t>
      </w:r>
      <w:r>
        <w:rPr>
          <w:rFonts w:ascii="Calibri"/>
          <w:sz w:val="20"/>
          <w:vertAlign w:val="baseline"/>
        </w:rPr>
        <w:t>at</w:t>
      </w:r>
      <w:r>
        <w:rPr>
          <w:rFonts w:ascii="Calibri"/>
          <w:spacing w:val="-1"/>
          <w:sz w:val="20"/>
          <w:vertAlign w:val="baseline"/>
        </w:rPr>
        <w:t> </w:t>
      </w:r>
      <w:r>
        <w:rPr>
          <w:rFonts w:ascii="Calibri"/>
          <w:spacing w:val="-4"/>
          <w:sz w:val="20"/>
          <w:vertAlign w:val="baseline"/>
        </w:rPr>
        <w:t>p.79.</w:t>
      </w:r>
    </w:p>
    <w:p>
      <w:pPr>
        <w:spacing w:line="235" w:lineRule="auto" w:before="5"/>
        <w:ind w:left="308" w:right="233" w:firstLine="0"/>
        <w:jc w:val="both"/>
        <w:rPr>
          <w:rFonts w:ascii="Calibri"/>
          <w:sz w:val="20"/>
        </w:rPr>
      </w:pPr>
      <w:r>
        <w:rPr>
          <w:rFonts w:ascii="Calibri"/>
          <w:sz w:val="20"/>
          <w:vertAlign w:val="superscript"/>
        </w:rPr>
        <w:t>339</w:t>
      </w:r>
      <w:r>
        <w:rPr>
          <w:rFonts w:ascii="Calibri"/>
          <w:sz w:val="20"/>
          <w:vertAlign w:val="baseline"/>
        </w:rPr>
        <w:t> However, s.231 requires such a director, where he also happens to be the only member, to record</w:t>
      </w:r>
      <w:r>
        <w:rPr>
          <w:rFonts w:ascii="Calibri"/>
          <w:spacing w:val="40"/>
          <w:sz w:val="20"/>
          <w:vertAlign w:val="baseline"/>
        </w:rPr>
        <w:t> </w:t>
      </w:r>
      <w:r>
        <w:rPr>
          <w:rFonts w:ascii="Calibri"/>
          <w:sz w:val="20"/>
          <w:vertAlign w:val="baseline"/>
        </w:rPr>
        <w:t>the terms of any such transaction with the company, failure to do which will result in criminal liability.</w:t>
      </w:r>
    </w:p>
    <w:p>
      <w:pPr>
        <w:spacing w:before="2"/>
        <w:ind w:left="308" w:right="0" w:firstLine="0"/>
        <w:jc w:val="both"/>
        <w:rPr>
          <w:rFonts w:ascii="Calibri"/>
          <w:sz w:val="20"/>
        </w:rPr>
      </w:pPr>
      <w:r>
        <w:rPr>
          <w:rFonts w:ascii="Calibri"/>
          <w:sz w:val="20"/>
          <w:vertAlign w:val="superscript"/>
        </w:rPr>
        <w:t>340</w:t>
      </w:r>
      <w:r>
        <w:rPr>
          <w:rFonts w:ascii="Calibri"/>
          <w:spacing w:val="2"/>
          <w:sz w:val="20"/>
          <w:vertAlign w:val="baseline"/>
        </w:rPr>
        <w:t> </w:t>
      </w:r>
      <w:r>
        <w:rPr>
          <w:rFonts w:ascii="Calibri"/>
          <w:sz w:val="20"/>
          <w:vertAlign w:val="baseline"/>
        </w:rPr>
        <w:t>See</w:t>
      </w:r>
      <w:r>
        <w:rPr>
          <w:rFonts w:ascii="Calibri"/>
          <w:spacing w:val="-2"/>
          <w:sz w:val="20"/>
          <w:vertAlign w:val="baseline"/>
        </w:rPr>
        <w:t> s.177(2).</w:t>
      </w:r>
    </w:p>
    <w:p>
      <w:pPr>
        <w:spacing w:before="1"/>
        <w:ind w:left="308" w:right="228" w:firstLine="0"/>
        <w:jc w:val="both"/>
        <w:rPr>
          <w:rFonts w:ascii="Calibri"/>
          <w:sz w:val="20"/>
        </w:rPr>
      </w:pPr>
      <w:r>
        <w:rPr>
          <w:rFonts w:ascii="Calibri"/>
          <w:sz w:val="20"/>
          <w:vertAlign w:val="superscript"/>
        </w:rPr>
        <w:t>341</w:t>
      </w:r>
      <w:r>
        <w:rPr>
          <w:rFonts w:ascii="Calibri"/>
          <w:sz w:val="20"/>
          <w:vertAlign w:val="baseline"/>
        </w:rPr>
        <w:t> See for example </w:t>
      </w:r>
      <w:r>
        <w:rPr>
          <w:rFonts w:ascii="Calibri"/>
          <w:i/>
          <w:sz w:val="20"/>
          <w:vertAlign w:val="baseline"/>
        </w:rPr>
        <w:t>Cowan de Groot Properties Ltd. vs. Eagle Trust Plc </w:t>
      </w:r>
      <w:r>
        <w:rPr>
          <w:rFonts w:ascii="Calibri"/>
          <w:sz w:val="20"/>
          <w:vertAlign w:val="baseline"/>
        </w:rPr>
        <w:t>(1991) BCLC 1045 on reasonable likelihood of conflict, and </w:t>
      </w:r>
      <w:r>
        <w:rPr>
          <w:rFonts w:ascii="Calibri"/>
          <w:i/>
          <w:sz w:val="20"/>
          <w:vertAlign w:val="baseline"/>
        </w:rPr>
        <w:t>Runciman vs. Walter Runciman Plc</w:t>
      </w:r>
      <w:r>
        <w:rPr>
          <w:rFonts w:ascii="Calibri"/>
          <w:sz w:val="20"/>
          <w:vertAlign w:val="baseline"/>
        </w:rPr>
        <w:t>. (1992) BCLC 1084 on interest concerning service contract which have been, or are to be, considered by a meeting of directors or by a remuneration</w:t>
      </w:r>
      <w:r>
        <w:rPr>
          <w:rFonts w:ascii="Calibri"/>
          <w:spacing w:val="-1"/>
          <w:sz w:val="20"/>
          <w:vertAlign w:val="baseline"/>
        </w:rPr>
        <w:t> </w:t>
      </w:r>
      <w:r>
        <w:rPr>
          <w:rFonts w:ascii="Calibri"/>
          <w:sz w:val="20"/>
          <w:vertAlign w:val="baseline"/>
        </w:rPr>
        <w:t>committee.</w:t>
      </w:r>
    </w:p>
    <w:p>
      <w:pPr>
        <w:spacing w:before="3"/>
        <w:ind w:left="308" w:right="0" w:firstLine="0"/>
        <w:jc w:val="both"/>
        <w:rPr>
          <w:rFonts w:ascii="Calibri"/>
          <w:sz w:val="20"/>
        </w:rPr>
      </w:pPr>
      <w:r>
        <w:rPr>
          <w:rFonts w:ascii="Calibri"/>
          <w:sz w:val="20"/>
          <w:vertAlign w:val="superscript"/>
        </w:rPr>
        <w:t>342</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s.177(5)</w:t>
      </w:r>
      <w:r>
        <w:rPr>
          <w:rFonts w:ascii="Calibri"/>
          <w:spacing w:val="-4"/>
          <w:sz w:val="20"/>
          <w:vertAlign w:val="baseline"/>
        </w:rPr>
        <w:t> </w:t>
      </w:r>
      <w:r>
        <w:rPr>
          <w:rFonts w:ascii="Calibri"/>
          <w:sz w:val="20"/>
          <w:vertAlign w:val="baseline"/>
        </w:rPr>
        <w:t>&amp;</w:t>
      </w:r>
      <w:r>
        <w:rPr>
          <w:rFonts w:ascii="Calibri"/>
          <w:spacing w:val="-3"/>
          <w:sz w:val="20"/>
          <w:vertAlign w:val="baseline"/>
        </w:rPr>
        <w:t> </w:t>
      </w:r>
      <w:r>
        <w:rPr>
          <w:rFonts w:ascii="Calibri"/>
          <w:spacing w:val="-4"/>
          <w:sz w:val="20"/>
          <w:vertAlign w:val="baseline"/>
        </w:rPr>
        <w:t>(6).</w:t>
      </w:r>
    </w:p>
    <w:p>
      <w:pPr>
        <w:spacing w:after="0"/>
        <w:jc w:val="both"/>
        <w:rPr>
          <w:rFonts w:ascii="Calibri"/>
          <w:sz w:val="20"/>
        </w:rPr>
        <w:sectPr>
          <w:pgSz w:w="11910" w:h="16840"/>
          <w:pgMar w:header="0" w:footer="1003" w:top="1320" w:bottom="1200" w:left="1680" w:right="1180"/>
        </w:sectPr>
      </w:pPr>
    </w:p>
    <w:p>
      <w:pPr>
        <w:pStyle w:val="ListParagraph"/>
        <w:numPr>
          <w:ilvl w:val="3"/>
          <w:numId w:val="18"/>
        </w:numPr>
        <w:tabs>
          <w:tab w:pos="1748" w:val="left" w:leader="none"/>
          <w:tab w:pos="1810" w:val="left" w:leader="none"/>
        </w:tabs>
        <w:spacing w:line="280" w:lineRule="auto" w:before="70" w:after="0"/>
        <w:ind w:left="1748" w:right="228" w:hanging="361"/>
        <w:jc w:val="left"/>
        <w:rPr>
          <w:sz w:val="24"/>
        </w:rPr>
      </w:pPr>
      <w:r>
        <w:rPr>
          <w:sz w:val="24"/>
        </w:rPr>
        <w:tab/>
        <w:t>if it cannot reasonably be regarded as likely to give rise to a conflict of </w:t>
      </w:r>
      <w:r>
        <w:rPr>
          <w:spacing w:val="-2"/>
          <w:sz w:val="24"/>
        </w:rPr>
        <w:t>interest;</w:t>
      </w:r>
    </w:p>
    <w:p>
      <w:pPr>
        <w:pStyle w:val="ListParagraph"/>
        <w:numPr>
          <w:ilvl w:val="3"/>
          <w:numId w:val="18"/>
        </w:numPr>
        <w:tabs>
          <w:tab w:pos="1748" w:val="left" w:leader="none"/>
        </w:tabs>
        <w:spacing w:line="269" w:lineRule="exact" w:before="0" w:after="0"/>
        <w:ind w:left="1748" w:right="0" w:hanging="360"/>
        <w:jc w:val="left"/>
        <w:rPr>
          <w:sz w:val="24"/>
        </w:rPr>
      </w:pPr>
      <w:r>
        <w:rPr>
          <w:sz w:val="24"/>
        </w:rPr>
        <w:t>if,</w:t>
      </w:r>
      <w:r>
        <w:rPr>
          <w:spacing w:val="2"/>
          <w:sz w:val="24"/>
        </w:rPr>
        <w:t> </w:t>
      </w:r>
      <w:r>
        <w:rPr>
          <w:sz w:val="24"/>
        </w:rPr>
        <w:t>or</w:t>
      </w:r>
      <w:r>
        <w:rPr>
          <w:spacing w:val="-2"/>
          <w:sz w:val="24"/>
        </w:rPr>
        <w:t> </w:t>
      </w:r>
      <w:r>
        <w:rPr>
          <w:sz w:val="24"/>
        </w:rPr>
        <w:t>to</w:t>
      </w:r>
      <w:r>
        <w:rPr>
          <w:spacing w:val="-4"/>
          <w:sz w:val="24"/>
        </w:rPr>
        <w:t> </w:t>
      </w:r>
      <w:r>
        <w:rPr>
          <w:sz w:val="24"/>
        </w:rPr>
        <w:t>the extent that,</w:t>
      </w:r>
      <w:r>
        <w:rPr>
          <w:spacing w:val="-6"/>
          <w:sz w:val="24"/>
        </w:rPr>
        <w:t> </w:t>
      </w:r>
      <w:r>
        <w:rPr>
          <w:sz w:val="24"/>
        </w:rPr>
        <w:t>the</w:t>
      </w:r>
      <w:r>
        <w:rPr>
          <w:spacing w:val="-1"/>
          <w:sz w:val="24"/>
        </w:rPr>
        <w:t> </w:t>
      </w:r>
      <w:r>
        <w:rPr>
          <w:sz w:val="24"/>
        </w:rPr>
        <w:t>other</w:t>
      </w:r>
      <w:r>
        <w:rPr>
          <w:spacing w:val="2"/>
          <w:sz w:val="24"/>
        </w:rPr>
        <w:t> </w:t>
      </w:r>
      <w:r>
        <w:rPr>
          <w:sz w:val="24"/>
        </w:rPr>
        <w:t>directors</w:t>
      </w:r>
      <w:r>
        <w:rPr>
          <w:spacing w:val="-2"/>
          <w:sz w:val="24"/>
        </w:rPr>
        <w:t> </w:t>
      </w:r>
      <w:r>
        <w:rPr>
          <w:sz w:val="24"/>
        </w:rPr>
        <w:t>are already</w:t>
      </w:r>
      <w:r>
        <w:rPr>
          <w:spacing w:val="-9"/>
          <w:sz w:val="24"/>
        </w:rPr>
        <w:t> </w:t>
      </w:r>
      <w:r>
        <w:rPr>
          <w:sz w:val="24"/>
        </w:rPr>
        <w:t>aware</w:t>
      </w:r>
      <w:r>
        <w:rPr>
          <w:spacing w:val="-1"/>
          <w:sz w:val="24"/>
        </w:rPr>
        <w:t> </w:t>
      </w:r>
      <w:r>
        <w:rPr>
          <w:sz w:val="24"/>
        </w:rPr>
        <w:t>of</w:t>
      </w:r>
      <w:r>
        <w:rPr>
          <w:spacing w:val="-2"/>
          <w:sz w:val="24"/>
        </w:rPr>
        <w:t> </w:t>
      </w:r>
      <w:r>
        <w:rPr>
          <w:sz w:val="24"/>
        </w:rPr>
        <w:t>it;</w:t>
      </w:r>
      <w:r>
        <w:rPr>
          <w:spacing w:val="-4"/>
          <w:sz w:val="24"/>
        </w:rPr>
        <w:t> </w:t>
      </w:r>
      <w:r>
        <w:rPr>
          <w:spacing w:val="-5"/>
          <w:sz w:val="24"/>
        </w:rPr>
        <w:t>or</w:t>
      </w:r>
    </w:p>
    <w:p>
      <w:pPr>
        <w:pStyle w:val="ListParagraph"/>
        <w:numPr>
          <w:ilvl w:val="3"/>
          <w:numId w:val="18"/>
        </w:numPr>
        <w:tabs>
          <w:tab w:pos="1748" w:val="left" w:leader="none"/>
        </w:tabs>
        <w:spacing w:line="276" w:lineRule="auto" w:before="41" w:after="0"/>
        <w:ind w:left="1748" w:right="247" w:hanging="361"/>
        <w:jc w:val="left"/>
        <w:rPr>
          <w:sz w:val="24"/>
        </w:rPr>
      </w:pPr>
      <w:r>
        <w:rPr>
          <w:sz w:val="24"/>
        </w:rPr>
        <w:t>if, or to</w:t>
      </w:r>
      <w:r>
        <w:rPr>
          <w:spacing w:val="-1"/>
          <w:sz w:val="24"/>
        </w:rPr>
        <w:t> </w:t>
      </w:r>
      <w:r>
        <w:rPr>
          <w:sz w:val="24"/>
        </w:rPr>
        <w:t>the</w:t>
      </w:r>
      <w:r>
        <w:rPr>
          <w:spacing w:val="-2"/>
          <w:sz w:val="24"/>
        </w:rPr>
        <w:t> </w:t>
      </w:r>
      <w:r>
        <w:rPr>
          <w:sz w:val="24"/>
        </w:rPr>
        <w:t>extent that, it concerns</w:t>
      </w:r>
      <w:r>
        <w:rPr>
          <w:spacing w:val="-3"/>
          <w:sz w:val="24"/>
        </w:rPr>
        <w:t> </w:t>
      </w:r>
      <w:r>
        <w:rPr>
          <w:sz w:val="24"/>
        </w:rPr>
        <w:t>terms</w:t>
      </w:r>
      <w:r>
        <w:rPr>
          <w:spacing w:val="-3"/>
          <w:sz w:val="24"/>
        </w:rPr>
        <w:t> </w:t>
      </w:r>
      <w:r>
        <w:rPr>
          <w:sz w:val="24"/>
        </w:rPr>
        <w:t>of</w:t>
      </w:r>
      <w:r>
        <w:rPr>
          <w:spacing w:val="-4"/>
          <w:sz w:val="24"/>
        </w:rPr>
        <w:t> </w:t>
      </w:r>
      <w:r>
        <w:rPr>
          <w:sz w:val="24"/>
        </w:rPr>
        <w:t>his service contract</w:t>
      </w:r>
      <w:r>
        <w:rPr>
          <w:spacing w:val="-1"/>
          <w:sz w:val="24"/>
        </w:rPr>
        <w:t> </w:t>
      </w:r>
      <w:r>
        <w:rPr>
          <w:sz w:val="24"/>
        </w:rPr>
        <w:t>that have been or are to be considered—</w:t>
      </w:r>
    </w:p>
    <w:p>
      <w:pPr>
        <w:pStyle w:val="ListParagraph"/>
        <w:numPr>
          <w:ilvl w:val="0"/>
          <w:numId w:val="19"/>
        </w:numPr>
        <w:tabs>
          <w:tab w:pos="2033" w:val="left" w:leader="none"/>
        </w:tabs>
        <w:spacing w:line="275" w:lineRule="exact" w:before="0" w:after="0"/>
        <w:ind w:left="2033" w:right="0" w:hanging="285"/>
        <w:jc w:val="left"/>
        <w:rPr>
          <w:sz w:val="24"/>
        </w:rPr>
      </w:pPr>
      <w:r>
        <w:rPr>
          <w:sz w:val="24"/>
        </w:rPr>
        <w:t>by</w:t>
      </w:r>
      <w:r>
        <w:rPr>
          <w:spacing w:val="-9"/>
          <w:sz w:val="24"/>
        </w:rPr>
        <w:t> </w:t>
      </w:r>
      <w:r>
        <w:rPr>
          <w:sz w:val="24"/>
        </w:rPr>
        <w:t>a</w:t>
      </w:r>
      <w:r>
        <w:rPr>
          <w:spacing w:val="5"/>
          <w:sz w:val="24"/>
        </w:rPr>
        <w:t> </w:t>
      </w:r>
      <w:r>
        <w:rPr>
          <w:sz w:val="24"/>
        </w:rPr>
        <w:t>meeting</w:t>
      </w:r>
      <w:r>
        <w:rPr>
          <w:spacing w:val="1"/>
          <w:sz w:val="24"/>
        </w:rPr>
        <w:t> </w:t>
      </w:r>
      <w:r>
        <w:rPr>
          <w:sz w:val="24"/>
        </w:rPr>
        <w:t>of</w:t>
      </w:r>
      <w:r>
        <w:rPr>
          <w:spacing w:val="-3"/>
          <w:sz w:val="24"/>
        </w:rPr>
        <w:t> </w:t>
      </w:r>
      <w:r>
        <w:rPr>
          <w:sz w:val="24"/>
        </w:rPr>
        <w:t>the directors,</w:t>
      </w:r>
      <w:r>
        <w:rPr>
          <w:spacing w:val="-5"/>
          <w:sz w:val="24"/>
        </w:rPr>
        <w:t> or</w:t>
      </w:r>
    </w:p>
    <w:p>
      <w:pPr>
        <w:pStyle w:val="ListParagraph"/>
        <w:numPr>
          <w:ilvl w:val="0"/>
          <w:numId w:val="19"/>
        </w:numPr>
        <w:tabs>
          <w:tab w:pos="2119" w:val="left" w:leader="none"/>
        </w:tabs>
        <w:spacing w:line="276" w:lineRule="auto" w:before="41" w:after="0"/>
        <w:ind w:left="1748" w:right="240" w:firstLine="0"/>
        <w:jc w:val="left"/>
        <w:rPr>
          <w:sz w:val="24"/>
        </w:rPr>
      </w:pPr>
      <w:r>
        <w:rPr>
          <w:sz w:val="24"/>
        </w:rPr>
        <w:t>by a committee of the directors appointed for the purpose under the company‘s constitution.</w:t>
      </w:r>
    </w:p>
    <w:p>
      <w:pPr>
        <w:pStyle w:val="BodyText"/>
        <w:spacing w:before="40"/>
        <w:ind w:left="0"/>
      </w:pPr>
    </w:p>
    <w:p>
      <w:pPr>
        <w:pStyle w:val="BodyText"/>
        <w:spacing w:line="480" w:lineRule="auto"/>
        <w:ind w:right="228"/>
        <w:jc w:val="both"/>
      </w:pPr>
      <w:r>
        <w:rPr/>
        <w:t>For the purpose of point 1 above, a director is treated as being aware of matters of</w:t>
      </w:r>
      <w:r>
        <w:rPr>
          <w:spacing w:val="40"/>
        </w:rPr>
        <w:t> </w:t>
      </w:r>
      <w:r>
        <w:rPr/>
        <w:t>which he ought reasonably to be aware and this, the drafters consider to be an objective test.</w:t>
      </w:r>
      <w:r>
        <w:rPr>
          <w:vertAlign w:val="superscript"/>
        </w:rPr>
        <w:t>343</w:t>
      </w:r>
      <w:r>
        <w:rPr>
          <w:vertAlign w:val="baseline"/>
        </w:rPr>
        <w:t> It has been suggested that this seems a sensible rider for a director might be excusably unaware of an interest he or she has in a third party contracting with the company or in the transaction.</w:t>
      </w:r>
      <w:r>
        <w:rPr>
          <w:vertAlign w:val="superscript"/>
        </w:rPr>
        <w:t>344</w:t>
      </w:r>
      <w:r>
        <w:rPr>
          <w:vertAlign w:val="baseline"/>
        </w:rPr>
        <w:t> For example, a company in which the director has some shareholding may buy into another company and he may not be immediately aware of this development. A fortiori, the director‘s son/daughter may have interests in enterprises of which that director may be unaware. Conversely, the law has also effectively excluded ignorance as a defence to a breach of</w:t>
      </w:r>
      <w:r>
        <w:rPr>
          <w:spacing w:val="-1"/>
          <w:vertAlign w:val="baseline"/>
        </w:rPr>
        <w:t> </w:t>
      </w:r>
      <w:r>
        <w:rPr>
          <w:vertAlign w:val="baseline"/>
        </w:rPr>
        <w:t>this duty</w:t>
      </w:r>
      <w:r>
        <w:rPr>
          <w:spacing w:val="-3"/>
          <w:vertAlign w:val="baseline"/>
        </w:rPr>
        <w:t> </w:t>
      </w:r>
      <w:r>
        <w:rPr>
          <w:vertAlign w:val="baseline"/>
        </w:rPr>
        <w:t>of</w:t>
      </w:r>
      <w:r>
        <w:rPr>
          <w:spacing w:val="-1"/>
          <w:vertAlign w:val="baseline"/>
        </w:rPr>
        <w:t> </w:t>
      </w:r>
      <w:r>
        <w:rPr>
          <w:vertAlign w:val="baseline"/>
        </w:rPr>
        <w:t>disclosure. Thus, a</w:t>
      </w:r>
      <w:r>
        <w:rPr>
          <w:spacing w:val="-5"/>
          <w:vertAlign w:val="baseline"/>
        </w:rPr>
        <w:t> </w:t>
      </w:r>
      <w:r>
        <w:rPr>
          <w:vertAlign w:val="baseline"/>
        </w:rPr>
        <w:t>director</w:t>
      </w:r>
      <w:r>
        <w:rPr>
          <w:spacing w:val="-2"/>
          <w:vertAlign w:val="baseline"/>
        </w:rPr>
        <w:t> </w:t>
      </w:r>
      <w:r>
        <w:rPr>
          <w:vertAlign w:val="baseline"/>
        </w:rPr>
        <w:t>cannot claim</w:t>
      </w:r>
      <w:r>
        <w:rPr>
          <w:spacing w:val="-7"/>
          <w:vertAlign w:val="baseline"/>
        </w:rPr>
        <w:t> </w:t>
      </w:r>
      <w:r>
        <w:rPr>
          <w:vertAlign w:val="baseline"/>
        </w:rPr>
        <w:t>to be</w:t>
      </w:r>
      <w:r>
        <w:rPr>
          <w:spacing w:val="-1"/>
          <w:vertAlign w:val="baseline"/>
        </w:rPr>
        <w:t> </w:t>
      </w:r>
      <w:r>
        <w:rPr>
          <w:vertAlign w:val="baseline"/>
        </w:rPr>
        <w:t>―unaware‖</w:t>
      </w:r>
      <w:r>
        <w:rPr>
          <w:spacing w:val="-1"/>
          <w:vertAlign w:val="baseline"/>
        </w:rPr>
        <w:t> </w:t>
      </w:r>
      <w:r>
        <w:rPr>
          <w:vertAlign w:val="baseline"/>
        </w:rPr>
        <w:t>of</w:t>
      </w:r>
      <w:r>
        <w:rPr>
          <w:spacing w:val="-2"/>
          <w:vertAlign w:val="baseline"/>
        </w:rPr>
        <w:t> </w:t>
      </w:r>
      <w:r>
        <w:rPr>
          <w:vertAlign w:val="baseline"/>
        </w:rPr>
        <w:t>interests</w:t>
      </w:r>
      <w:r>
        <w:rPr>
          <w:spacing w:val="-6"/>
          <w:vertAlign w:val="baseline"/>
        </w:rPr>
        <w:t> </w:t>
      </w:r>
      <w:r>
        <w:rPr>
          <w:vertAlign w:val="baseline"/>
        </w:rPr>
        <w:t>he</w:t>
      </w:r>
      <w:r>
        <w:rPr>
          <w:spacing w:val="-5"/>
          <w:vertAlign w:val="baseline"/>
        </w:rPr>
        <w:t> </w:t>
      </w:r>
      <w:r>
        <w:rPr>
          <w:vertAlign w:val="baseline"/>
        </w:rPr>
        <w:t>ought ―reasonably‖</w:t>
      </w:r>
      <w:r>
        <w:rPr>
          <w:spacing w:val="-5"/>
          <w:vertAlign w:val="baseline"/>
        </w:rPr>
        <w:t> </w:t>
      </w:r>
      <w:r>
        <w:rPr>
          <w:vertAlign w:val="baseline"/>
        </w:rPr>
        <w:t>to be</w:t>
      </w:r>
      <w:r>
        <w:rPr>
          <w:spacing w:val="-5"/>
          <w:vertAlign w:val="baseline"/>
        </w:rPr>
        <w:t> </w:t>
      </w:r>
      <w:r>
        <w:rPr>
          <w:vertAlign w:val="baseline"/>
        </w:rPr>
        <w:t>aware </w:t>
      </w:r>
      <w:r>
        <w:rPr>
          <w:spacing w:val="-4"/>
          <w:vertAlign w:val="baseline"/>
        </w:rPr>
        <w:t>of.</w:t>
      </w:r>
    </w:p>
    <w:p>
      <w:pPr>
        <w:pStyle w:val="BodyText"/>
        <w:spacing w:line="480" w:lineRule="auto" w:before="2"/>
        <w:ind w:right="231" w:firstLine="720"/>
        <w:jc w:val="both"/>
      </w:pPr>
      <w:r>
        <w:rPr/>
        <w:t>It is also possible that the other directors may already be aware of the affected director‘s interests generally, especially in small family companies or where the director‘s interests are so notorious as to be common knowledge among other board members. A director would therefore not be required to disclose information the other directors</w:t>
      </w:r>
      <w:r>
        <w:rPr>
          <w:spacing w:val="-1"/>
        </w:rPr>
        <w:t> </w:t>
      </w:r>
      <w:r>
        <w:rPr/>
        <w:t>know</w:t>
      </w:r>
      <w:r>
        <w:rPr>
          <w:spacing w:val="1"/>
        </w:rPr>
        <w:t> </w:t>
      </w:r>
      <w:r>
        <w:rPr/>
        <w:t>about</w:t>
      </w:r>
      <w:r>
        <w:rPr>
          <w:spacing w:val="2"/>
        </w:rPr>
        <w:t> </w:t>
      </w:r>
      <w:r>
        <w:rPr/>
        <w:t>or</w:t>
      </w:r>
      <w:r>
        <w:rPr>
          <w:spacing w:val="-1"/>
        </w:rPr>
        <w:t> </w:t>
      </w:r>
      <w:r>
        <w:rPr/>
        <w:t>ought</w:t>
      </w:r>
      <w:r>
        <w:rPr>
          <w:spacing w:val="7"/>
        </w:rPr>
        <w:t> </w:t>
      </w:r>
      <w:r>
        <w:rPr/>
        <w:t>reasonably</w:t>
      </w:r>
      <w:r>
        <w:rPr>
          <w:spacing w:val="-3"/>
        </w:rPr>
        <w:t> </w:t>
      </w:r>
      <w:r>
        <w:rPr/>
        <w:t>to</w:t>
      </w:r>
      <w:r>
        <w:rPr>
          <w:spacing w:val="6"/>
        </w:rPr>
        <w:t> </w:t>
      </w:r>
      <w:r>
        <w:rPr/>
        <w:t>know</w:t>
      </w:r>
      <w:r>
        <w:rPr>
          <w:spacing w:val="-4"/>
        </w:rPr>
        <w:t> </w:t>
      </w:r>
      <w:r>
        <w:rPr/>
        <w:t>about.</w:t>
      </w:r>
      <w:r>
        <w:rPr>
          <w:vertAlign w:val="superscript"/>
        </w:rPr>
        <w:t>345</w:t>
      </w:r>
      <w:r>
        <w:rPr>
          <w:spacing w:val="4"/>
          <w:vertAlign w:val="baseline"/>
        </w:rPr>
        <w:t> </w:t>
      </w:r>
      <w:r>
        <w:rPr>
          <w:vertAlign w:val="baseline"/>
        </w:rPr>
        <w:t>Where</w:t>
      </w:r>
      <w:r>
        <w:rPr>
          <w:spacing w:val="1"/>
          <w:vertAlign w:val="baseline"/>
        </w:rPr>
        <w:t> </w:t>
      </w:r>
      <w:r>
        <w:rPr>
          <w:vertAlign w:val="baseline"/>
        </w:rPr>
        <w:t>the</w:t>
      </w:r>
      <w:r>
        <w:rPr>
          <w:spacing w:val="6"/>
          <w:vertAlign w:val="baseline"/>
        </w:rPr>
        <w:t> </w:t>
      </w:r>
      <w:r>
        <w:rPr>
          <w:vertAlign w:val="baseline"/>
        </w:rPr>
        <w:t>interest</w:t>
      </w:r>
      <w:r>
        <w:rPr>
          <w:spacing w:val="7"/>
          <w:vertAlign w:val="baseline"/>
        </w:rPr>
        <w:t> </w:t>
      </w:r>
      <w:r>
        <w:rPr>
          <w:spacing w:val="-2"/>
          <w:vertAlign w:val="baseline"/>
        </w:rPr>
        <w:t>concerns</w:t>
      </w:r>
    </w:p>
    <w:p>
      <w:pPr>
        <w:pStyle w:val="BodyText"/>
        <w:ind w:left="0"/>
        <w:rPr>
          <w:sz w:val="20"/>
        </w:rPr>
      </w:pPr>
      <w:r>
        <w:rPr/>
        <mc:AlternateContent>
          <mc:Choice Requires="wps">
            <w:drawing>
              <wp:anchor distT="0" distB="0" distL="0" distR="0" allowOverlap="1" layoutInCell="1" locked="0" behindDoc="1" simplePos="0" relativeHeight="487709184">
                <wp:simplePos x="0" y="0"/>
                <wp:positionH relativeFrom="page">
                  <wp:posOffset>1262481</wp:posOffset>
                </wp:positionH>
                <wp:positionV relativeFrom="paragraph">
                  <wp:posOffset>161464</wp:posOffset>
                </wp:positionV>
                <wp:extent cx="1829435" cy="9525"/>
                <wp:effectExtent l="0" t="0" r="0" b="0"/>
                <wp:wrapTopAndBottom/>
                <wp:docPr id="264" name="Graphic 264"/>
                <wp:cNvGraphicFramePr>
                  <a:graphicFrameLocks/>
                </wp:cNvGraphicFramePr>
                <a:graphic>
                  <a:graphicData uri="http://schemas.microsoft.com/office/word/2010/wordprocessingShape">
                    <wps:wsp>
                      <wps:cNvPr id="264" name="Graphic 26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713765pt;width:144.050pt;height:.71997pt;mso-position-horizontal-relative:page;mso-position-vertical-relative:paragraph;z-index:-15607296;mso-wrap-distance-left:0;mso-wrap-distance-right:0" id="docshape219" filled="true" fillcolor="#000000" stroked="false">
                <v:fill type="solid"/>
                <w10:wrap type="topAndBottom"/>
              </v:rect>
            </w:pict>
          </mc:Fallback>
        </mc:AlternateContent>
      </w:r>
    </w:p>
    <w:p>
      <w:pPr>
        <w:spacing w:line="240" w:lineRule="auto" w:before="102"/>
        <w:ind w:left="308" w:right="223" w:firstLine="0"/>
        <w:jc w:val="both"/>
        <w:rPr>
          <w:rFonts w:ascii="Calibri"/>
          <w:sz w:val="20"/>
        </w:rPr>
      </w:pPr>
      <w:r>
        <w:rPr>
          <w:rFonts w:ascii="Calibri"/>
          <w:sz w:val="20"/>
          <w:vertAlign w:val="superscript"/>
        </w:rPr>
        <w:t>343</w:t>
      </w:r>
      <w:r>
        <w:rPr>
          <w:rFonts w:ascii="Calibri"/>
          <w:sz w:val="20"/>
          <w:vertAlign w:val="baseline"/>
        </w:rPr>
        <w:t>Per Lord Goldsmith of the Lords Grand Committee.</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12, quoting from the Committee Report in the Hansard of 9</w:t>
      </w:r>
      <w:r>
        <w:rPr>
          <w:rFonts w:ascii="Calibri"/>
          <w:sz w:val="20"/>
          <w:vertAlign w:val="superscript"/>
        </w:rPr>
        <w:t>th</w:t>
      </w:r>
      <w:r>
        <w:rPr>
          <w:rFonts w:ascii="Calibri"/>
          <w:sz w:val="20"/>
          <w:vertAlign w:val="baseline"/>
        </w:rPr>
        <w:t> February 2006, column 334.Retrieved December 23</w:t>
      </w:r>
      <w:r>
        <w:rPr>
          <w:rFonts w:ascii="Calibri"/>
          <w:sz w:val="20"/>
          <w:vertAlign w:val="superscript"/>
        </w:rPr>
        <w:t>rd</w:t>
      </w:r>
      <w:r>
        <w:rPr>
          <w:rFonts w:ascii="Calibri"/>
          <w:sz w:val="20"/>
          <w:vertAlign w:val="baseline"/>
        </w:rPr>
        <w:t> 2013, from </w:t>
      </w:r>
      <w:hyperlink r:id="rId12">
        <w:r>
          <w:rPr>
            <w:rFonts w:ascii="Calibri"/>
            <w:color w:val="0000FF"/>
            <w:sz w:val="20"/>
            <w:u w:val="single" w:color="0000FF"/>
            <w:vertAlign w:val="baseline"/>
          </w:rPr>
          <w:t>http://www.berr.gov.uk/files/file40139.pdf</w:t>
        </w:r>
        <w:r>
          <w:rPr>
            <w:rFonts w:ascii="Calibri"/>
            <w:sz w:val="20"/>
            <w:vertAlign w:val="baseline"/>
          </w:rPr>
          <w:t>.</w:t>
        </w:r>
      </w:hyperlink>
    </w:p>
    <w:p>
      <w:pPr>
        <w:spacing w:line="243" w:lineRule="exact" w:before="0"/>
        <w:ind w:left="308" w:right="0" w:firstLine="0"/>
        <w:jc w:val="both"/>
        <w:rPr>
          <w:rFonts w:ascii="Calibri"/>
          <w:sz w:val="20"/>
        </w:rPr>
      </w:pPr>
      <w:r>
        <w:rPr>
          <w:rFonts w:ascii="Calibri"/>
          <w:sz w:val="20"/>
          <w:vertAlign w:val="superscript"/>
        </w:rPr>
        <w:t>344</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5"/>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4"/>
          <w:sz w:val="20"/>
          <w:vertAlign w:val="baseline"/>
        </w:rPr>
        <w:t> </w:t>
      </w:r>
      <w:r>
        <w:rPr>
          <w:rFonts w:ascii="Calibri"/>
          <w:sz w:val="20"/>
          <w:vertAlign w:val="baseline"/>
        </w:rPr>
        <w:t>S.,</w:t>
      </w:r>
      <w:r>
        <w:rPr>
          <w:rFonts w:ascii="Calibri"/>
          <w:spacing w:val="-5"/>
          <w:sz w:val="20"/>
          <w:vertAlign w:val="baseline"/>
        </w:rPr>
        <w:t> </w:t>
      </w:r>
      <w:r>
        <w:rPr>
          <w:rFonts w:ascii="Calibri"/>
          <w:sz w:val="20"/>
          <w:vertAlign w:val="baseline"/>
        </w:rPr>
        <w:t>op.cit.at</w:t>
      </w:r>
      <w:r>
        <w:rPr>
          <w:rFonts w:ascii="Calibri"/>
          <w:spacing w:val="-8"/>
          <w:sz w:val="20"/>
          <w:vertAlign w:val="baseline"/>
        </w:rPr>
        <w:t> </w:t>
      </w:r>
      <w:r>
        <w:rPr>
          <w:rFonts w:ascii="Calibri"/>
          <w:spacing w:val="-2"/>
          <w:sz w:val="20"/>
          <w:vertAlign w:val="baseline"/>
        </w:rPr>
        <w:t>p.566.</w:t>
      </w:r>
    </w:p>
    <w:p>
      <w:pPr>
        <w:spacing w:before="1"/>
        <w:ind w:left="308" w:right="224" w:firstLine="0"/>
        <w:jc w:val="both"/>
        <w:rPr>
          <w:rFonts w:ascii="Calibri"/>
          <w:sz w:val="20"/>
        </w:rPr>
      </w:pPr>
      <w:r>
        <w:rPr>
          <w:rFonts w:ascii="Calibri"/>
          <w:sz w:val="20"/>
          <w:vertAlign w:val="superscript"/>
        </w:rPr>
        <w:t>345</w:t>
      </w:r>
      <w:r>
        <w:rPr>
          <w:rFonts w:ascii="Calibri"/>
          <w:sz w:val="20"/>
          <w:vertAlign w:val="baseline"/>
        </w:rPr>
        <w:t> Refer to s.177(6)(b). See also the cases of </w:t>
      </w:r>
      <w:r>
        <w:rPr>
          <w:rFonts w:ascii="Calibri"/>
          <w:i/>
          <w:sz w:val="20"/>
          <w:vertAlign w:val="baseline"/>
        </w:rPr>
        <w:t>Lee Panavision Ltd. vs. Lee Lighting </w:t>
      </w:r>
      <w:r>
        <w:rPr>
          <w:rFonts w:ascii="Calibri"/>
          <w:sz w:val="20"/>
          <w:vertAlign w:val="baseline"/>
        </w:rPr>
        <w:t>(1992) B.C.L.C. 22, particularly at 33; </w:t>
      </w:r>
      <w:r>
        <w:rPr>
          <w:rFonts w:ascii="Calibri"/>
          <w:i/>
          <w:sz w:val="20"/>
          <w:vertAlign w:val="baseline"/>
        </w:rPr>
        <w:t>Runciman vs. Walter</w:t>
      </w:r>
      <w:r>
        <w:rPr>
          <w:rFonts w:ascii="Calibri"/>
          <w:i/>
          <w:spacing w:val="-1"/>
          <w:sz w:val="20"/>
          <w:vertAlign w:val="baseline"/>
        </w:rPr>
        <w:t> </w:t>
      </w:r>
      <w:r>
        <w:rPr>
          <w:rFonts w:ascii="Calibri"/>
          <w:i/>
          <w:sz w:val="20"/>
          <w:vertAlign w:val="baseline"/>
        </w:rPr>
        <w:t>RuncimanPlc </w:t>
      </w:r>
      <w:r>
        <w:rPr>
          <w:rFonts w:ascii="Calibri"/>
          <w:sz w:val="20"/>
          <w:vertAlign w:val="baseline"/>
        </w:rPr>
        <w:t>(1992) B.C.L.C. 1084; and </w:t>
      </w:r>
      <w:r>
        <w:rPr>
          <w:rFonts w:ascii="Calibri"/>
          <w:i/>
          <w:sz w:val="20"/>
          <w:vertAlign w:val="baseline"/>
        </w:rPr>
        <w:t>MacPherson vs.</w:t>
      </w:r>
      <w:r>
        <w:rPr>
          <w:rFonts w:ascii="Calibri"/>
          <w:i/>
          <w:spacing w:val="-2"/>
          <w:sz w:val="20"/>
          <w:vertAlign w:val="baseline"/>
        </w:rPr>
        <w:t> </w:t>
      </w:r>
      <w:r>
        <w:rPr>
          <w:rFonts w:ascii="Calibri"/>
          <w:i/>
          <w:sz w:val="20"/>
          <w:vertAlign w:val="baseline"/>
        </w:rPr>
        <w:t>European Strategic Bureau Ltd. </w:t>
      </w:r>
      <w:r>
        <w:rPr>
          <w:rFonts w:ascii="Calibri"/>
          <w:sz w:val="20"/>
          <w:vertAlign w:val="baseline"/>
        </w:rPr>
        <w:t>(1999) 2 B.C.L.C. 203.</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28"/>
        <w:jc w:val="both"/>
      </w:pPr>
      <w:r>
        <w:rPr/>
        <w:t>his service contract with the company which is, or has been, an agenda item before a directors‘ meeting or some other such committee, there need not be any formal disclosure by the director.</w:t>
      </w:r>
    </w:p>
    <w:p>
      <w:pPr>
        <w:pStyle w:val="BodyText"/>
        <w:spacing w:line="480" w:lineRule="auto"/>
        <w:ind w:right="228" w:firstLine="720"/>
        <w:jc w:val="both"/>
      </w:pPr>
      <w:r>
        <w:rPr/>
        <w:t>S.177 simply requires ―declaration‖ and no mention is madeof approval or consent of the company. Thus, whereas ‗situational‘ conflicts (s.175) require prior authorisation to avoid a breach of duty, transactional conflicts (s.177) do not have to be so authorised.</w:t>
      </w:r>
      <w:r>
        <w:rPr>
          <w:vertAlign w:val="superscript"/>
        </w:rPr>
        <w:t>346</w:t>
      </w:r>
      <w:r>
        <w:rPr>
          <w:vertAlign w:val="baseline"/>
        </w:rPr>
        <w:t> The idea is that, when the director declares to the ―other directors,‖ who in fact are the proper agents of the company in its transactions or arrangements</w:t>
      </w:r>
      <w:r>
        <w:rPr>
          <w:spacing w:val="40"/>
          <w:vertAlign w:val="baseline"/>
        </w:rPr>
        <w:t> </w:t>
      </w:r>
      <w:r>
        <w:rPr>
          <w:vertAlign w:val="baseline"/>
        </w:rPr>
        <w:t>with third parties, they will then make judicious use of that information. But that is not to say</w:t>
      </w:r>
      <w:r>
        <w:rPr>
          <w:spacing w:val="-10"/>
          <w:vertAlign w:val="baseline"/>
        </w:rPr>
        <w:t> </w:t>
      </w:r>
      <w:r>
        <w:rPr>
          <w:vertAlign w:val="baseline"/>
        </w:rPr>
        <w:t>that the</w:t>
      </w:r>
      <w:r>
        <w:rPr>
          <w:spacing w:val="-1"/>
          <w:vertAlign w:val="baseline"/>
        </w:rPr>
        <w:t> </w:t>
      </w:r>
      <w:r>
        <w:rPr>
          <w:vertAlign w:val="baseline"/>
        </w:rPr>
        <w:t>company may not</w:t>
      </w:r>
      <w:r>
        <w:rPr>
          <w:spacing w:val="-4"/>
          <w:vertAlign w:val="baseline"/>
        </w:rPr>
        <w:t> </w:t>
      </w:r>
      <w:r>
        <w:rPr>
          <w:vertAlign w:val="baseline"/>
        </w:rPr>
        <w:t>take</w:t>
      </w:r>
      <w:r>
        <w:rPr>
          <w:spacing w:val="-1"/>
          <w:vertAlign w:val="baseline"/>
        </w:rPr>
        <w:t> </w:t>
      </w:r>
      <w:r>
        <w:rPr>
          <w:vertAlign w:val="baseline"/>
        </w:rPr>
        <w:t>any</w:t>
      </w:r>
      <w:r>
        <w:rPr>
          <w:spacing w:val="-10"/>
          <w:vertAlign w:val="baseline"/>
        </w:rPr>
        <w:t> </w:t>
      </w:r>
      <w:r>
        <w:rPr>
          <w:vertAlign w:val="baseline"/>
        </w:rPr>
        <w:t>action further</w:t>
      </w:r>
      <w:r>
        <w:rPr>
          <w:spacing w:val="-3"/>
          <w:vertAlign w:val="baseline"/>
        </w:rPr>
        <w:t> </w:t>
      </w:r>
      <w:r>
        <w:rPr>
          <w:vertAlign w:val="baseline"/>
        </w:rPr>
        <w:t>than</w:t>
      </w:r>
      <w:r>
        <w:rPr>
          <w:spacing w:val="-5"/>
          <w:vertAlign w:val="baseline"/>
        </w:rPr>
        <w:t> </w:t>
      </w:r>
      <w:r>
        <w:rPr>
          <w:vertAlign w:val="baseline"/>
        </w:rPr>
        <w:t>that. S.180(1) hints</w:t>
      </w:r>
      <w:r>
        <w:rPr>
          <w:spacing w:val="-2"/>
          <w:vertAlign w:val="baseline"/>
        </w:rPr>
        <w:t> </w:t>
      </w:r>
      <w:r>
        <w:rPr>
          <w:vertAlign w:val="baseline"/>
        </w:rPr>
        <w:t>that the company may enact provisions in its articles having additional requirements, for example, that the members give their approval or consent to the company entering into such dealings with the director. This would be desirable particularly for public </w:t>
      </w:r>
      <w:r>
        <w:rPr>
          <w:spacing w:val="-2"/>
          <w:vertAlign w:val="baseline"/>
        </w:rPr>
        <w:t>companies.</w:t>
      </w:r>
    </w:p>
    <w:p>
      <w:pPr>
        <w:pStyle w:val="BodyText"/>
        <w:spacing w:line="480" w:lineRule="auto" w:before="3"/>
        <w:ind w:right="228" w:firstLine="720"/>
        <w:jc w:val="both"/>
      </w:pPr>
      <w:r>
        <w:rPr/>
        <w:t>Further, there is a potential problem, as with s.175 discussed above, in a</w:t>
      </w:r>
      <w:r>
        <w:rPr>
          <w:spacing w:val="40"/>
        </w:rPr>
        <w:t> </w:t>
      </w:r>
      <w:r>
        <w:rPr/>
        <w:t>situation where most of, or all, the directors happen to be ‗interested‘. Here, the law wouldobviously be handicapped, unless the members come in. This is more so as s.177 does not even require disclosure to a ‗disinterested‘ board.</w:t>
      </w:r>
      <w:r>
        <w:rPr>
          <w:vertAlign w:val="superscript"/>
        </w:rPr>
        <w:t>347</w:t>
      </w:r>
      <w:r>
        <w:rPr>
          <w:vertAlign w:val="baseline"/>
        </w:rPr>
        <w:t>Two uneasy conclusions can be drawn from</w:t>
      </w:r>
      <w:r>
        <w:rPr>
          <w:spacing w:val="-5"/>
          <w:vertAlign w:val="baseline"/>
        </w:rPr>
        <w:t> </w:t>
      </w:r>
      <w:r>
        <w:rPr>
          <w:vertAlign w:val="baseline"/>
        </w:rPr>
        <w:t>this. One is that s.177 does not contemplate disclosure in</w:t>
      </w:r>
      <w:r>
        <w:rPr>
          <w:spacing w:val="-1"/>
          <w:vertAlign w:val="baseline"/>
        </w:rPr>
        <w:t> </w:t>
      </w:r>
      <w:r>
        <w:rPr>
          <w:vertAlign w:val="baseline"/>
        </w:rPr>
        <w:t>the case of a company with a sole director.</w:t>
      </w:r>
      <w:r>
        <w:rPr>
          <w:vertAlign w:val="superscript"/>
        </w:rPr>
        <w:t>348</w:t>
      </w:r>
      <w:r>
        <w:rPr>
          <w:vertAlign w:val="baseline"/>
        </w:rPr>
        <w:t> The other is that an interested director, barring any provisions in the company‘s articles stating otherwise, can participate in decisions concerning</w:t>
      </w:r>
      <w:r>
        <w:rPr>
          <w:spacing w:val="40"/>
          <w:vertAlign w:val="baseline"/>
        </w:rPr>
        <w:t> </w:t>
      </w:r>
      <w:r>
        <w:rPr>
          <w:vertAlign w:val="baseline"/>
        </w:rPr>
        <w:t>his</w:t>
      </w:r>
      <w:r>
        <w:rPr>
          <w:spacing w:val="36"/>
          <w:vertAlign w:val="baseline"/>
        </w:rPr>
        <w:t> </w:t>
      </w:r>
      <w:r>
        <w:rPr>
          <w:vertAlign w:val="baseline"/>
        </w:rPr>
        <w:t>own</w:t>
      </w:r>
      <w:r>
        <w:rPr>
          <w:spacing w:val="34"/>
          <w:vertAlign w:val="baseline"/>
        </w:rPr>
        <w:t> </w:t>
      </w:r>
      <w:r>
        <w:rPr>
          <w:vertAlign w:val="baseline"/>
        </w:rPr>
        <w:t>transactions</w:t>
      </w:r>
      <w:r>
        <w:rPr>
          <w:spacing w:val="36"/>
          <w:vertAlign w:val="baseline"/>
        </w:rPr>
        <w:t> </w:t>
      </w:r>
      <w:r>
        <w:rPr>
          <w:vertAlign w:val="baseline"/>
        </w:rPr>
        <w:t>with</w:t>
      </w:r>
      <w:r>
        <w:rPr>
          <w:spacing w:val="33"/>
          <w:vertAlign w:val="baseline"/>
        </w:rPr>
        <w:t> </w:t>
      </w:r>
      <w:r>
        <w:rPr>
          <w:vertAlign w:val="baseline"/>
        </w:rPr>
        <w:t>the</w:t>
      </w:r>
      <w:r>
        <w:rPr>
          <w:spacing w:val="37"/>
          <w:vertAlign w:val="baseline"/>
        </w:rPr>
        <w:t> </w:t>
      </w:r>
      <w:r>
        <w:rPr>
          <w:vertAlign w:val="baseline"/>
        </w:rPr>
        <w:t>company.</w:t>
      </w:r>
      <w:r>
        <w:rPr>
          <w:spacing w:val="40"/>
          <w:vertAlign w:val="baseline"/>
        </w:rPr>
        <w:t> </w:t>
      </w:r>
      <w:r>
        <w:rPr>
          <w:vertAlign w:val="baseline"/>
        </w:rPr>
        <w:t>It</w:t>
      </w:r>
      <w:r>
        <w:rPr>
          <w:spacing w:val="47"/>
          <w:vertAlign w:val="baseline"/>
        </w:rPr>
        <w:t> </w:t>
      </w:r>
      <w:r>
        <w:rPr>
          <w:vertAlign w:val="baseline"/>
        </w:rPr>
        <w:t>is</w:t>
      </w:r>
      <w:r>
        <w:rPr>
          <w:spacing w:val="37"/>
          <w:vertAlign w:val="baseline"/>
        </w:rPr>
        <w:t> </w:t>
      </w:r>
      <w:r>
        <w:rPr>
          <w:vertAlign w:val="baseline"/>
        </w:rPr>
        <w:t>curious</w:t>
      </w:r>
      <w:r>
        <w:rPr>
          <w:spacing w:val="36"/>
          <w:vertAlign w:val="baseline"/>
        </w:rPr>
        <w:t> </w:t>
      </w:r>
      <w:r>
        <w:rPr>
          <w:vertAlign w:val="baseline"/>
        </w:rPr>
        <w:t>that</w:t>
      </w:r>
      <w:r>
        <w:rPr>
          <w:spacing w:val="42"/>
          <w:vertAlign w:val="baseline"/>
        </w:rPr>
        <w:t> </w:t>
      </w:r>
      <w:r>
        <w:rPr>
          <w:vertAlign w:val="baseline"/>
        </w:rPr>
        <w:t>s.177</w:t>
      </w:r>
      <w:r>
        <w:rPr>
          <w:spacing w:val="38"/>
          <w:vertAlign w:val="baseline"/>
        </w:rPr>
        <w:t> </w:t>
      </w:r>
      <w:r>
        <w:rPr>
          <w:vertAlign w:val="baseline"/>
        </w:rPr>
        <w:t>does</w:t>
      </w:r>
      <w:r>
        <w:rPr>
          <w:spacing w:val="37"/>
          <w:vertAlign w:val="baseline"/>
        </w:rPr>
        <w:t> </w:t>
      </w:r>
      <w:r>
        <w:rPr>
          <w:spacing w:val="-5"/>
          <w:vertAlign w:val="baseline"/>
        </w:rPr>
        <w:t>not</w:t>
      </w:r>
    </w:p>
    <w:p>
      <w:pPr>
        <w:pStyle w:val="BodyText"/>
        <w:spacing w:before="1"/>
        <w:jc w:val="both"/>
      </w:pPr>
      <w:r>
        <w:rPr/>
        <w:t>address</w:t>
      </w:r>
      <w:r>
        <w:rPr>
          <w:spacing w:val="22"/>
        </w:rPr>
        <w:t> </w:t>
      </w:r>
      <w:r>
        <w:rPr/>
        <w:t>this.</w:t>
      </w:r>
      <w:r>
        <w:rPr>
          <w:spacing w:val="27"/>
        </w:rPr>
        <w:t> </w:t>
      </w:r>
      <w:r>
        <w:rPr/>
        <w:t>Does</w:t>
      </w:r>
      <w:r>
        <w:rPr>
          <w:spacing w:val="23"/>
        </w:rPr>
        <w:t> </w:t>
      </w:r>
      <w:r>
        <w:rPr/>
        <w:t>this</w:t>
      </w:r>
      <w:r>
        <w:rPr>
          <w:spacing w:val="27"/>
        </w:rPr>
        <w:t> </w:t>
      </w:r>
      <w:r>
        <w:rPr/>
        <w:t>mean</w:t>
      </w:r>
      <w:r>
        <w:rPr>
          <w:spacing w:val="20"/>
        </w:rPr>
        <w:t> </w:t>
      </w:r>
      <w:r>
        <w:rPr/>
        <w:t>that</w:t>
      </w:r>
      <w:r>
        <w:rPr>
          <w:spacing w:val="29"/>
        </w:rPr>
        <w:t> </w:t>
      </w:r>
      <w:r>
        <w:rPr/>
        <w:t>simply</w:t>
      </w:r>
      <w:r>
        <w:rPr>
          <w:spacing w:val="20"/>
        </w:rPr>
        <w:t> </w:t>
      </w:r>
      <w:r>
        <w:rPr/>
        <w:t>declaring</w:t>
      </w:r>
      <w:r>
        <w:rPr>
          <w:spacing w:val="25"/>
        </w:rPr>
        <w:t> </w:t>
      </w:r>
      <w:r>
        <w:rPr/>
        <w:t>to</w:t>
      </w:r>
      <w:r>
        <w:rPr>
          <w:spacing w:val="25"/>
        </w:rPr>
        <w:t> </w:t>
      </w:r>
      <w:r>
        <w:rPr/>
        <w:t>the</w:t>
      </w:r>
      <w:r>
        <w:rPr>
          <w:spacing w:val="23"/>
        </w:rPr>
        <w:t> </w:t>
      </w:r>
      <w:r>
        <w:rPr/>
        <w:t>rest</w:t>
      </w:r>
      <w:r>
        <w:rPr>
          <w:spacing w:val="25"/>
        </w:rPr>
        <w:t> </w:t>
      </w:r>
      <w:r>
        <w:rPr/>
        <w:t>of</w:t>
      </w:r>
      <w:r>
        <w:rPr>
          <w:spacing w:val="17"/>
        </w:rPr>
        <w:t> </w:t>
      </w:r>
      <w:r>
        <w:rPr/>
        <w:t>the</w:t>
      </w:r>
      <w:r>
        <w:rPr>
          <w:spacing w:val="24"/>
        </w:rPr>
        <w:t> </w:t>
      </w:r>
      <w:r>
        <w:rPr/>
        <w:t>directors,</w:t>
      </w:r>
      <w:r>
        <w:rPr>
          <w:spacing w:val="27"/>
        </w:rPr>
        <w:t> </w:t>
      </w:r>
      <w:r>
        <w:rPr/>
        <w:t>even</w:t>
      </w:r>
      <w:r>
        <w:rPr>
          <w:spacing w:val="25"/>
        </w:rPr>
        <w:t> </w:t>
      </w:r>
      <w:r>
        <w:rPr>
          <w:spacing w:val="-5"/>
        </w:rPr>
        <w:t>if</w:t>
      </w:r>
    </w:p>
    <w:p>
      <w:pPr>
        <w:pStyle w:val="BodyText"/>
        <w:spacing w:before="7"/>
        <w:ind w:left="0"/>
        <w:rPr>
          <w:sz w:val="17"/>
        </w:rPr>
      </w:pPr>
      <w:r>
        <w:rPr/>
        <mc:AlternateContent>
          <mc:Choice Requires="wps">
            <w:drawing>
              <wp:anchor distT="0" distB="0" distL="0" distR="0" allowOverlap="1" layoutInCell="1" locked="0" behindDoc="1" simplePos="0" relativeHeight="487709696">
                <wp:simplePos x="0" y="0"/>
                <wp:positionH relativeFrom="page">
                  <wp:posOffset>1262481</wp:posOffset>
                </wp:positionH>
                <wp:positionV relativeFrom="paragraph">
                  <wp:posOffset>144052</wp:posOffset>
                </wp:positionV>
                <wp:extent cx="1829435" cy="9525"/>
                <wp:effectExtent l="0" t="0" r="0" b="0"/>
                <wp:wrapTopAndBottom/>
                <wp:docPr id="265" name="Graphic 265"/>
                <wp:cNvGraphicFramePr>
                  <a:graphicFrameLocks/>
                </wp:cNvGraphicFramePr>
                <a:graphic>
                  <a:graphicData uri="http://schemas.microsoft.com/office/word/2010/wordprocessingShape">
                    <wps:wsp>
                      <wps:cNvPr id="265" name="Graphic 26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342705pt;width:144.050pt;height:.72003pt;mso-position-horizontal-relative:page;mso-position-vertical-relative:paragraph;z-index:-15606784;mso-wrap-distance-left:0;mso-wrap-distance-right:0" id="docshape220" filled="true" fillcolor="#000000" stroked="false">
                <v:fill type="solid"/>
                <w10:wrap type="topAndBottom"/>
              </v:rect>
            </w:pict>
          </mc:Fallback>
        </mc:AlternateContent>
      </w:r>
    </w:p>
    <w:p>
      <w:pPr>
        <w:tabs>
          <w:tab w:pos="1378" w:val="left" w:leader="none"/>
        </w:tabs>
        <w:spacing w:line="244" w:lineRule="auto" w:before="122"/>
        <w:ind w:left="308" w:right="221" w:firstLine="0"/>
        <w:jc w:val="left"/>
        <w:rPr>
          <w:rFonts w:ascii="Calibri"/>
          <w:sz w:val="20"/>
        </w:rPr>
      </w:pPr>
      <w:r>
        <w:rPr>
          <w:rFonts w:ascii="Calibri"/>
          <w:spacing w:val="-2"/>
          <w:sz w:val="20"/>
          <w:vertAlign w:val="superscript"/>
        </w:rPr>
        <w:t>346</w:t>
      </w:r>
      <w:r>
        <w:rPr>
          <w:rFonts w:ascii="Calibri"/>
          <w:spacing w:val="-2"/>
          <w:sz w:val="20"/>
          <w:vertAlign w:val="baseline"/>
        </w:rPr>
        <w:t>Source:</w:t>
      </w:r>
      <w:r>
        <w:rPr>
          <w:rFonts w:ascii="Calibri"/>
          <w:sz w:val="20"/>
          <w:vertAlign w:val="baseline"/>
        </w:rPr>
        <w:tab/>
      </w:r>
      <w:hyperlink r:id="rId62">
        <w:r>
          <w:rPr>
            <w:rFonts w:ascii="Calibri"/>
            <w:color w:val="0000FF"/>
            <w:spacing w:val="-2"/>
            <w:sz w:val="20"/>
            <w:u w:val="single" w:color="0000FF"/>
            <w:vertAlign w:val="baseline"/>
          </w:rPr>
          <w:t>http://www.manches.com/Content/Resources/files/publications/directors-duties-conflicts-</w:t>
        </w:r>
      </w:hyperlink>
      <w:r>
        <w:rPr>
          <w:rFonts w:ascii="Calibri"/>
          <w:color w:val="0000FF"/>
          <w:spacing w:val="-2"/>
          <w:sz w:val="20"/>
          <w:vertAlign w:val="baseline"/>
        </w:rPr>
        <w:t> </w:t>
      </w:r>
      <w:hyperlink r:id="rId62">
        <w:r>
          <w:rPr>
            <w:rFonts w:ascii="Calibri"/>
            <w:color w:val="0000FF"/>
            <w:sz w:val="20"/>
            <w:u w:val="single" w:color="0000FF"/>
            <w:vertAlign w:val="baseline"/>
          </w:rPr>
          <w:t>of-interest-2013.pdf</w:t>
        </w:r>
      </w:hyperlink>
      <w:r>
        <w:rPr>
          <w:rFonts w:ascii="Calibri"/>
          <w:color w:val="0000FF"/>
          <w:sz w:val="20"/>
          <w:vertAlign w:val="baseline"/>
        </w:rPr>
        <w:t> </w:t>
      </w:r>
      <w:r>
        <w:rPr>
          <w:rFonts w:ascii="Calibri"/>
          <w:sz w:val="20"/>
          <w:vertAlign w:val="baseline"/>
        </w:rPr>
        <w:t>accessed 5th February, 2014.</w:t>
      </w:r>
    </w:p>
    <w:p>
      <w:pPr>
        <w:spacing w:line="240" w:lineRule="auto" w:before="0"/>
        <w:ind w:left="308" w:right="0" w:firstLine="0"/>
        <w:jc w:val="left"/>
        <w:rPr>
          <w:rFonts w:ascii="Calibri"/>
          <w:sz w:val="20"/>
        </w:rPr>
      </w:pPr>
      <w:r>
        <w:rPr>
          <w:rFonts w:ascii="Calibri"/>
          <w:sz w:val="20"/>
          <w:vertAlign w:val="superscript"/>
        </w:rPr>
        <w:t>347</w:t>
      </w:r>
      <w:r>
        <w:rPr>
          <w:rFonts w:ascii="Calibri"/>
          <w:spacing w:val="40"/>
          <w:sz w:val="20"/>
          <w:vertAlign w:val="baseline"/>
        </w:rPr>
        <w:t> </w:t>
      </w:r>
      <w:r>
        <w:rPr>
          <w:rFonts w:ascii="Calibri"/>
          <w:sz w:val="20"/>
          <w:vertAlign w:val="baseline"/>
        </w:rPr>
        <w:t>Again,</w:t>
      </w:r>
      <w:r>
        <w:rPr>
          <w:rFonts w:ascii="Calibri"/>
          <w:spacing w:val="32"/>
          <w:sz w:val="20"/>
          <w:vertAlign w:val="baseline"/>
        </w:rPr>
        <w:t> </w:t>
      </w:r>
      <w:r>
        <w:rPr>
          <w:rFonts w:ascii="Calibri"/>
          <w:sz w:val="20"/>
          <w:vertAlign w:val="baseline"/>
        </w:rPr>
        <w:t>recall</w:t>
      </w:r>
      <w:r>
        <w:rPr>
          <w:rFonts w:ascii="Calibri"/>
          <w:spacing w:val="36"/>
          <w:sz w:val="20"/>
          <w:vertAlign w:val="baseline"/>
        </w:rPr>
        <w:t> </w:t>
      </w:r>
      <w:r>
        <w:rPr>
          <w:rFonts w:ascii="Calibri"/>
          <w:sz w:val="20"/>
          <w:vertAlign w:val="baseline"/>
        </w:rPr>
        <w:t>that</w:t>
      </w:r>
      <w:r>
        <w:rPr>
          <w:rFonts w:ascii="Calibri"/>
          <w:spacing w:val="34"/>
          <w:sz w:val="20"/>
          <w:vertAlign w:val="baseline"/>
        </w:rPr>
        <w:t> </w:t>
      </w:r>
      <w:r>
        <w:rPr>
          <w:rFonts w:ascii="Calibri"/>
          <w:sz w:val="20"/>
          <w:vertAlign w:val="baseline"/>
        </w:rPr>
        <w:t>s.175(3)</w:t>
      </w:r>
      <w:r>
        <w:rPr>
          <w:rFonts w:ascii="Calibri"/>
          <w:spacing w:val="40"/>
          <w:sz w:val="20"/>
          <w:vertAlign w:val="baseline"/>
        </w:rPr>
        <w:t> </w:t>
      </w:r>
      <w:r>
        <w:rPr>
          <w:rFonts w:ascii="Calibri"/>
          <w:sz w:val="20"/>
          <w:vertAlign w:val="baseline"/>
        </w:rPr>
        <w:t>specifically</w:t>
      </w:r>
      <w:r>
        <w:rPr>
          <w:rFonts w:ascii="Calibri"/>
          <w:spacing w:val="39"/>
          <w:sz w:val="20"/>
          <w:vertAlign w:val="baseline"/>
        </w:rPr>
        <w:t> </w:t>
      </w:r>
      <w:r>
        <w:rPr>
          <w:rFonts w:ascii="Calibri"/>
          <w:sz w:val="20"/>
          <w:vertAlign w:val="baseline"/>
        </w:rPr>
        <w:t>ousts</w:t>
      </w:r>
      <w:r>
        <w:rPr>
          <w:rFonts w:ascii="Calibri"/>
          <w:spacing w:val="37"/>
          <w:sz w:val="20"/>
          <w:vertAlign w:val="baseline"/>
        </w:rPr>
        <w:t> </w:t>
      </w:r>
      <w:r>
        <w:rPr>
          <w:rFonts w:ascii="Calibri"/>
          <w:sz w:val="20"/>
          <w:vertAlign w:val="baseline"/>
        </w:rPr>
        <w:t>conflict</w:t>
      </w:r>
      <w:r>
        <w:rPr>
          <w:rFonts w:ascii="Calibri"/>
          <w:spacing w:val="34"/>
          <w:sz w:val="20"/>
          <w:vertAlign w:val="baseline"/>
        </w:rPr>
        <w:t> </w:t>
      </w:r>
      <w:r>
        <w:rPr>
          <w:rFonts w:ascii="Calibri"/>
          <w:sz w:val="20"/>
          <w:vertAlign w:val="baseline"/>
        </w:rPr>
        <w:t>situations</w:t>
      </w:r>
      <w:r>
        <w:rPr>
          <w:rFonts w:ascii="Calibri"/>
          <w:spacing w:val="37"/>
          <w:sz w:val="20"/>
          <w:vertAlign w:val="baseline"/>
        </w:rPr>
        <w:t> </w:t>
      </w:r>
      <w:r>
        <w:rPr>
          <w:rFonts w:ascii="Calibri"/>
          <w:sz w:val="20"/>
          <w:vertAlign w:val="baseline"/>
        </w:rPr>
        <w:t>arising</w:t>
      </w:r>
      <w:r>
        <w:rPr>
          <w:rFonts w:ascii="Calibri"/>
          <w:spacing w:val="35"/>
          <w:sz w:val="20"/>
          <w:vertAlign w:val="baseline"/>
        </w:rPr>
        <w:t> </w:t>
      </w:r>
      <w:r>
        <w:rPr>
          <w:rFonts w:ascii="Calibri"/>
          <w:sz w:val="20"/>
          <w:vertAlign w:val="baseline"/>
        </w:rPr>
        <w:t>from</w:t>
      </w:r>
      <w:r>
        <w:rPr>
          <w:rFonts w:ascii="Calibri"/>
          <w:spacing w:val="37"/>
          <w:sz w:val="20"/>
          <w:vertAlign w:val="baseline"/>
        </w:rPr>
        <w:t> </w:t>
      </w:r>
      <w:r>
        <w:rPr>
          <w:rFonts w:ascii="Calibri"/>
          <w:sz w:val="20"/>
          <w:vertAlign w:val="baseline"/>
        </w:rPr>
        <w:t>transactions</w:t>
      </w:r>
      <w:r>
        <w:rPr>
          <w:rFonts w:ascii="Calibri"/>
          <w:spacing w:val="39"/>
          <w:sz w:val="20"/>
          <w:vertAlign w:val="baseline"/>
        </w:rPr>
        <w:t> </w:t>
      </w:r>
      <w:r>
        <w:rPr>
          <w:rFonts w:ascii="Calibri"/>
          <w:sz w:val="20"/>
          <w:vertAlign w:val="baseline"/>
        </w:rPr>
        <w:t>with</w:t>
      </w:r>
      <w:r>
        <w:rPr>
          <w:rFonts w:ascii="Calibri"/>
          <w:spacing w:val="34"/>
          <w:sz w:val="20"/>
          <w:vertAlign w:val="baseline"/>
        </w:rPr>
        <w:t> </w:t>
      </w:r>
      <w:r>
        <w:rPr>
          <w:rFonts w:ascii="Calibri"/>
          <w:sz w:val="20"/>
          <w:vertAlign w:val="baseline"/>
        </w:rPr>
        <w:t>the company from applying under that section.</w:t>
      </w:r>
    </w:p>
    <w:p>
      <w:pPr>
        <w:spacing w:before="0"/>
        <w:ind w:left="308" w:right="0" w:firstLine="0"/>
        <w:jc w:val="left"/>
        <w:rPr>
          <w:rFonts w:ascii="Calibri"/>
          <w:sz w:val="20"/>
        </w:rPr>
      </w:pPr>
      <w:r>
        <w:rPr>
          <w:rFonts w:ascii="Calibri"/>
          <w:sz w:val="20"/>
          <w:vertAlign w:val="superscript"/>
        </w:rPr>
        <w:t>348</w:t>
      </w:r>
      <w:r>
        <w:rPr>
          <w:rFonts w:ascii="Calibri"/>
          <w:spacing w:val="-1"/>
          <w:sz w:val="20"/>
          <w:vertAlign w:val="baseline"/>
        </w:rPr>
        <w:t> </w:t>
      </w:r>
      <w:r>
        <w:rPr>
          <w:rFonts w:ascii="Calibri"/>
          <w:sz w:val="20"/>
          <w:vertAlign w:val="baseline"/>
        </w:rPr>
        <w:t>According</w:t>
      </w:r>
      <w:r>
        <w:rPr>
          <w:rFonts w:ascii="Calibri"/>
          <w:spacing w:val="-1"/>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s.154,</w:t>
      </w:r>
      <w:r>
        <w:rPr>
          <w:rFonts w:ascii="Calibri"/>
          <w:spacing w:val="-4"/>
          <w:sz w:val="20"/>
          <w:vertAlign w:val="baseline"/>
        </w:rPr>
        <w:t> </w:t>
      </w:r>
      <w:r>
        <w:rPr>
          <w:rFonts w:ascii="Calibri"/>
          <w:sz w:val="20"/>
          <w:vertAlign w:val="baseline"/>
        </w:rPr>
        <w:t>a</w:t>
      </w:r>
      <w:r>
        <w:rPr>
          <w:rFonts w:ascii="Calibri"/>
          <w:spacing w:val="-7"/>
          <w:sz w:val="20"/>
          <w:vertAlign w:val="baseline"/>
        </w:rPr>
        <w:t> </w:t>
      </w:r>
      <w:r>
        <w:rPr>
          <w:rFonts w:ascii="Calibri"/>
          <w:sz w:val="20"/>
          <w:vertAlign w:val="baseline"/>
        </w:rPr>
        <w:t>private</w:t>
      </w:r>
      <w:r>
        <w:rPr>
          <w:rFonts w:ascii="Calibri"/>
          <w:spacing w:val="-6"/>
          <w:sz w:val="20"/>
          <w:vertAlign w:val="baseline"/>
        </w:rPr>
        <w:t> </w:t>
      </w:r>
      <w:r>
        <w:rPr>
          <w:rFonts w:ascii="Calibri"/>
          <w:sz w:val="20"/>
          <w:vertAlign w:val="baseline"/>
        </w:rPr>
        <w:t>company</w:t>
      </w:r>
      <w:r>
        <w:rPr>
          <w:rFonts w:ascii="Calibri"/>
          <w:spacing w:val="-6"/>
          <w:sz w:val="20"/>
          <w:vertAlign w:val="baseline"/>
        </w:rPr>
        <w:t> </w:t>
      </w:r>
      <w:r>
        <w:rPr>
          <w:rFonts w:ascii="Calibri"/>
          <w:sz w:val="20"/>
          <w:vertAlign w:val="baseline"/>
        </w:rPr>
        <w:t>can</w:t>
      </w:r>
      <w:r>
        <w:rPr>
          <w:rFonts w:ascii="Calibri"/>
          <w:spacing w:val="-3"/>
          <w:sz w:val="20"/>
          <w:vertAlign w:val="baseline"/>
        </w:rPr>
        <w:t> </w:t>
      </w:r>
      <w:r>
        <w:rPr>
          <w:rFonts w:ascii="Calibri"/>
          <w:sz w:val="20"/>
          <w:vertAlign w:val="baseline"/>
        </w:rPr>
        <w:t>have</w:t>
      </w:r>
      <w:r>
        <w:rPr>
          <w:rFonts w:ascii="Calibri"/>
          <w:spacing w:val="-1"/>
          <w:sz w:val="20"/>
          <w:vertAlign w:val="baseline"/>
        </w:rPr>
        <w:t> </w:t>
      </w:r>
      <w:r>
        <w:rPr>
          <w:rFonts w:ascii="Calibri"/>
          <w:sz w:val="20"/>
          <w:vertAlign w:val="baseline"/>
        </w:rPr>
        <w:t>just</w:t>
      </w:r>
      <w:r>
        <w:rPr>
          <w:rFonts w:ascii="Calibri"/>
          <w:spacing w:val="-7"/>
          <w:sz w:val="20"/>
          <w:vertAlign w:val="baseline"/>
        </w:rPr>
        <w:t> </w:t>
      </w:r>
      <w:r>
        <w:rPr>
          <w:rFonts w:ascii="Calibri"/>
          <w:sz w:val="20"/>
          <w:vertAlign w:val="baseline"/>
        </w:rPr>
        <w:t>one</w:t>
      </w:r>
      <w:r>
        <w:rPr>
          <w:rFonts w:ascii="Calibri"/>
          <w:spacing w:val="-5"/>
          <w:sz w:val="20"/>
          <w:vertAlign w:val="baseline"/>
        </w:rPr>
        <w:t> </w:t>
      </w:r>
      <w:r>
        <w:rPr>
          <w:rFonts w:ascii="Calibri"/>
          <w:spacing w:val="-2"/>
          <w:sz w:val="20"/>
          <w:vertAlign w:val="baseline"/>
        </w:rPr>
        <w:t>director.</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9"/>
        <w:jc w:val="both"/>
      </w:pPr>
      <w:r>
        <w:rPr/>
        <w:t>they happen to be cronies of, or connected to, the affected director, suffices? If this is</w:t>
      </w:r>
      <w:r>
        <w:rPr>
          <w:spacing w:val="40"/>
        </w:rPr>
        <w:t> </w:t>
      </w:r>
      <w:r>
        <w:rPr/>
        <w:t>the case, then the conflicting director, if he has enough influence on the board, could quite easily get away with things.</w:t>
      </w:r>
    </w:p>
    <w:p>
      <w:pPr>
        <w:pStyle w:val="BodyText"/>
        <w:spacing w:line="480" w:lineRule="auto"/>
        <w:ind w:right="227" w:firstLine="720"/>
        <w:jc w:val="both"/>
      </w:pPr>
      <w:r>
        <w:rPr/>
        <w:t>Others</w:t>
      </w:r>
      <w:r>
        <w:rPr>
          <w:vertAlign w:val="superscript"/>
        </w:rPr>
        <w:t>349</w:t>
      </w:r>
      <w:r>
        <w:rPr>
          <w:vertAlign w:val="baseline"/>
        </w:rPr>
        <w:t> are also of</w:t>
      </w:r>
      <w:r>
        <w:rPr>
          <w:spacing w:val="-4"/>
          <w:vertAlign w:val="baseline"/>
        </w:rPr>
        <w:t> </w:t>
      </w:r>
      <w:r>
        <w:rPr>
          <w:vertAlign w:val="baseline"/>
        </w:rPr>
        <w:t>the view that disclosure ought to be to the general meeting. According to Gower, ―it hardly seems over-cynical to suggest that disclosure to one‘s cronies is</w:t>
      </w:r>
      <w:r>
        <w:rPr>
          <w:spacing w:val="-3"/>
          <w:vertAlign w:val="baseline"/>
        </w:rPr>
        <w:t> </w:t>
      </w:r>
      <w:r>
        <w:rPr>
          <w:vertAlign w:val="baseline"/>
        </w:rPr>
        <w:t>a less</w:t>
      </w:r>
      <w:r>
        <w:rPr>
          <w:spacing w:val="-3"/>
          <w:vertAlign w:val="baseline"/>
        </w:rPr>
        <w:t> </w:t>
      </w:r>
      <w:r>
        <w:rPr>
          <w:vertAlign w:val="baseline"/>
        </w:rPr>
        <w:t>effective</w:t>
      </w:r>
      <w:r>
        <w:rPr>
          <w:spacing w:val="-2"/>
          <w:vertAlign w:val="baseline"/>
        </w:rPr>
        <w:t> </w:t>
      </w:r>
      <w:r>
        <w:rPr>
          <w:vertAlign w:val="baseline"/>
        </w:rPr>
        <w:t>restraint on</w:t>
      </w:r>
      <w:r>
        <w:rPr>
          <w:spacing w:val="-5"/>
          <w:vertAlign w:val="baseline"/>
        </w:rPr>
        <w:t> </w:t>
      </w:r>
      <w:r>
        <w:rPr>
          <w:vertAlign w:val="baseline"/>
        </w:rPr>
        <w:t>self-seeking</w:t>
      </w:r>
      <w:r>
        <w:rPr>
          <w:spacing w:val="-1"/>
          <w:vertAlign w:val="baseline"/>
        </w:rPr>
        <w:t> </w:t>
      </w:r>
      <w:r>
        <w:rPr>
          <w:vertAlign w:val="baseline"/>
        </w:rPr>
        <w:t>than</w:t>
      </w:r>
      <w:r>
        <w:rPr>
          <w:spacing w:val="-5"/>
          <w:vertAlign w:val="baseline"/>
        </w:rPr>
        <w:t> </w:t>
      </w:r>
      <w:r>
        <w:rPr>
          <w:vertAlign w:val="baseline"/>
        </w:rPr>
        <w:t>disclosure</w:t>
      </w:r>
      <w:r>
        <w:rPr>
          <w:spacing w:val="-2"/>
          <w:vertAlign w:val="baseline"/>
        </w:rPr>
        <w:t> </w:t>
      </w:r>
      <w:r>
        <w:rPr>
          <w:vertAlign w:val="baseline"/>
        </w:rPr>
        <w:t>to</w:t>
      </w:r>
      <w:r>
        <w:rPr>
          <w:spacing w:val="-1"/>
          <w:vertAlign w:val="baseline"/>
        </w:rPr>
        <w:t> </w:t>
      </w:r>
      <w:r>
        <w:rPr>
          <w:vertAlign w:val="baseline"/>
        </w:rPr>
        <w:t>those</w:t>
      </w:r>
      <w:r>
        <w:rPr>
          <w:spacing w:val="-2"/>
          <w:vertAlign w:val="baseline"/>
        </w:rPr>
        <w:t> </w:t>
      </w:r>
      <w:r>
        <w:rPr>
          <w:vertAlign w:val="baseline"/>
        </w:rPr>
        <w:t>for whom</w:t>
      </w:r>
      <w:r>
        <w:rPr>
          <w:spacing w:val="-9"/>
          <w:vertAlign w:val="baseline"/>
        </w:rPr>
        <w:t> </w:t>
      </w:r>
      <w:r>
        <w:rPr>
          <w:vertAlign w:val="baseline"/>
        </w:rPr>
        <w:t>one is a fiduciary.‖</w:t>
      </w:r>
      <w:r>
        <w:rPr>
          <w:vertAlign w:val="superscript"/>
        </w:rPr>
        <w:t>350</w:t>
      </w:r>
      <w:r>
        <w:rPr>
          <w:vertAlign w:val="baseline"/>
        </w:rPr>
        <w:t> Indeed, it would be dangerous to allow directors to be judges in their own</w:t>
      </w:r>
      <w:r>
        <w:rPr>
          <w:spacing w:val="-5"/>
          <w:vertAlign w:val="baseline"/>
        </w:rPr>
        <w:t> </w:t>
      </w:r>
      <w:r>
        <w:rPr>
          <w:vertAlign w:val="baseline"/>
        </w:rPr>
        <w:t>cause.</w:t>
      </w:r>
      <w:r>
        <w:rPr>
          <w:vertAlign w:val="superscript"/>
        </w:rPr>
        <w:t>351</w:t>
      </w:r>
      <w:r>
        <w:rPr>
          <w:vertAlign w:val="baseline"/>
        </w:rPr>
        <w:t> There certainly is logic in the suggestion</w:t>
      </w:r>
      <w:r>
        <w:rPr>
          <w:spacing w:val="-4"/>
          <w:vertAlign w:val="baseline"/>
        </w:rPr>
        <w:t> </w:t>
      </w:r>
      <w:r>
        <w:rPr>
          <w:vertAlign w:val="baseline"/>
        </w:rPr>
        <w:t>that the procedure in all</w:t>
      </w:r>
      <w:r>
        <w:rPr>
          <w:spacing w:val="-3"/>
          <w:vertAlign w:val="baseline"/>
        </w:rPr>
        <w:t> </w:t>
      </w:r>
      <w:r>
        <w:rPr>
          <w:vertAlign w:val="baseline"/>
        </w:rPr>
        <w:t>cases</w:t>
      </w:r>
      <w:r>
        <w:rPr>
          <w:spacing w:val="-1"/>
          <w:vertAlign w:val="baseline"/>
        </w:rPr>
        <w:t> </w:t>
      </w:r>
      <w:r>
        <w:rPr>
          <w:vertAlign w:val="baseline"/>
        </w:rPr>
        <w:t>of conflict of</w:t>
      </w:r>
      <w:r>
        <w:rPr>
          <w:spacing w:val="-8"/>
          <w:vertAlign w:val="baseline"/>
        </w:rPr>
        <w:t> </w:t>
      </w:r>
      <w:r>
        <w:rPr>
          <w:vertAlign w:val="baseline"/>
        </w:rPr>
        <w:t>duty</w:t>
      </w:r>
      <w:r>
        <w:rPr>
          <w:spacing w:val="-10"/>
          <w:vertAlign w:val="baseline"/>
        </w:rPr>
        <w:t> </w:t>
      </w:r>
      <w:r>
        <w:rPr>
          <w:vertAlign w:val="baseline"/>
        </w:rPr>
        <w:t>and interests, i.e. from</w:t>
      </w:r>
      <w:r>
        <w:rPr>
          <w:spacing w:val="-9"/>
          <w:vertAlign w:val="baseline"/>
        </w:rPr>
        <w:t> </w:t>
      </w:r>
      <w:r>
        <w:rPr>
          <w:vertAlign w:val="baseline"/>
        </w:rPr>
        <w:t>ss.175-177,</w:t>
      </w:r>
      <w:r>
        <w:rPr>
          <w:spacing w:val="-3"/>
          <w:vertAlign w:val="baseline"/>
        </w:rPr>
        <w:t> </w:t>
      </w:r>
      <w:r>
        <w:rPr>
          <w:vertAlign w:val="baseline"/>
        </w:rPr>
        <w:t>should be</w:t>
      </w:r>
      <w:r>
        <w:rPr>
          <w:spacing w:val="-1"/>
          <w:vertAlign w:val="baseline"/>
        </w:rPr>
        <w:t> </w:t>
      </w:r>
      <w:r>
        <w:rPr>
          <w:vertAlign w:val="baseline"/>
        </w:rPr>
        <w:t>the</w:t>
      </w:r>
      <w:r>
        <w:rPr>
          <w:spacing w:val="-1"/>
          <w:vertAlign w:val="baseline"/>
        </w:rPr>
        <w:t> </w:t>
      </w:r>
      <w:r>
        <w:rPr>
          <w:vertAlign w:val="baseline"/>
        </w:rPr>
        <w:t>same.</w:t>
      </w:r>
      <w:r>
        <w:rPr>
          <w:vertAlign w:val="superscript"/>
        </w:rPr>
        <w:t>352</w:t>
      </w:r>
      <w:r>
        <w:rPr>
          <w:vertAlign w:val="baseline"/>
        </w:rPr>
        <w:t> It is</w:t>
      </w:r>
      <w:r>
        <w:rPr>
          <w:spacing w:val="-2"/>
          <w:vertAlign w:val="baseline"/>
        </w:rPr>
        <w:t> </w:t>
      </w:r>
      <w:r>
        <w:rPr>
          <w:vertAlign w:val="baseline"/>
        </w:rPr>
        <w:t>submitted that arguments in favour of disclosure to and approval of the general meeting advanced in</w:t>
      </w:r>
      <w:r>
        <w:rPr>
          <w:spacing w:val="-1"/>
          <w:vertAlign w:val="baseline"/>
        </w:rPr>
        <w:t> </w:t>
      </w:r>
      <w:r>
        <w:rPr>
          <w:vertAlign w:val="baseline"/>
        </w:rPr>
        <w:t>the discussion</w:t>
      </w:r>
      <w:r>
        <w:rPr>
          <w:spacing w:val="-5"/>
          <w:vertAlign w:val="baseline"/>
        </w:rPr>
        <w:t> </w:t>
      </w:r>
      <w:r>
        <w:rPr>
          <w:vertAlign w:val="baseline"/>
        </w:rPr>
        <w:t>regarding s.175</w:t>
      </w:r>
      <w:r>
        <w:rPr>
          <w:spacing w:val="-1"/>
          <w:vertAlign w:val="baseline"/>
        </w:rPr>
        <w:t> </w:t>
      </w:r>
      <w:r>
        <w:rPr>
          <w:vertAlign w:val="baseline"/>
        </w:rPr>
        <w:t>supra, also apply</w:t>
      </w:r>
      <w:r>
        <w:rPr>
          <w:spacing w:val="-1"/>
          <w:vertAlign w:val="baseline"/>
        </w:rPr>
        <w:t> </w:t>
      </w:r>
      <w:r>
        <w:rPr>
          <w:vertAlign w:val="baseline"/>
        </w:rPr>
        <w:t>here. Or at least, the</w:t>
      </w:r>
      <w:r>
        <w:rPr>
          <w:spacing w:val="-2"/>
          <w:vertAlign w:val="baseline"/>
        </w:rPr>
        <w:t> </w:t>
      </w:r>
      <w:r>
        <w:rPr>
          <w:vertAlign w:val="baseline"/>
        </w:rPr>
        <w:t>rule be</w:t>
      </w:r>
      <w:r>
        <w:rPr>
          <w:spacing w:val="-2"/>
          <w:vertAlign w:val="baseline"/>
        </w:rPr>
        <w:t> </w:t>
      </w:r>
      <w:r>
        <w:rPr>
          <w:vertAlign w:val="baseline"/>
        </w:rPr>
        <w:t>enforced that the matter, even after disclosure, should be considered by a disinterested board and in the absence of such a board, by the general meeting.</w:t>
      </w:r>
    </w:p>
    <w:p>
      <w:pPr>
        <w:pStyle w:val="BodyText"/>
        <w:spacing w:line="480" w:lineRule="auto" w:before="2"/>
        <w:ind w:right="230" w:firstLine="720"/>
        <w:jc w:val="both"/>
      </w:pPr>
      <w:r>
        <w:rPr/>
        <w:t>As</w:t>
      </w:r>
      <w:r>
        <w:rPr>
          <w:spacing w:val="-7"/>
        </w:rPr>
        <w:t> </w:t>
      </w:r>
      <w:r>
        <w:rPr/>
        <w:t>for</w:t>
      </w:r>
      <w:r>
        <w:rPr>
          <w:spacing w:val="-8"/>
        </w:rPr>
        <w:t> </w:t>
      </w:r>
      <w:r>
        <w:rPr/>
        <w:t>existing—as</w:t>
      </w:r>
      <w:r>
        <w:rPr>
          <w:spacing w:val="-11"/>
        </w:rPr>
        <w:t> </w:t>
      </w:r>
      <w:r>
        <w:rPr/>
        <w:t>opposed</w:t>
      </w:r>
      <w:r>
        <w:rPr>
          <w:spacing w:val="-9"/>
        </w:rPr>
        <w:t> </w:t>
      </w:r>
      <w:r>
        <w:rPr/>
        <w:t>to</w:t>
      </w:r>
      <w:r>
        <w:rPr>
          <w:spacing w:val="-4"/>
        </w:rPr>
        <w:t> </w:t>
      </w:r>
      <w:r>
        <w:rPr/>
        <w:t>―proposed‖—</w:t>
      </w:r>
      <w:r>
        <w:rPr>
          <w:spacing w:val="-8"/>
        </w:rPr>
        <w:t> </w:t>
      </w:r>
      <w:r>
        <w:rPr/>
        <w:t>transactions</w:t>
      </w:r>
      <w:r>
        <w:rPr>
          <w:spacing w:val="-11"/>
        </w:rPr>
        <w:t> </w:t>
      </w:r>
      <w:r>
        <w:rPr/>
        <w:t>or</w:t>
      </w:r>
      <w:r>
        <w:rPr>
          <w:spacing w:val="-8"/>
        </w:rPr>
        <w:t> </w:t>
      </w:r>
      <w:r>
        <w:rPr/>
        <w:t>arrangement,</w:t>
      </w:r>
      <w:r>
        <w:rPr>
          <w:spacing w:val="-7"/>
        </w:rPr>
        <w:t> </w:t>
      </w:r>
      <w:r>
        <w:rPr/>
        <w:t>s.182 requires</w:t>
      </w:r>
      <w:r>
        <w:rPr>
          <w:spacing w:val="-2"/>
        </w:rPr>
        <w:t> </w:t>
      </w:r>
      <w:r>
        <w:rPr/>
        <w:t>a</w:t>
      </w:r>
      <w:r>
        <w:rPr>
          <w:spacing w:val="-1"/>
        </w:rPr>
        <w:t> </w:t>
      </w:r>
      <w:r>
        <w:rPr/>
        <w:t>director</w:t>
      </w:r>
      <w:r>
        <w:rPr>
          <w:spacing w:val="-3"/>
        </w:rPr>
        <w:t> </w:t>
      </w:r>
      <w:r>
        <w:rPr/>
        <w:t>of</w:t>
      </w:r>
      <w:r>
        <w:rPr>
          <w:spacing w:val="-8"/>
        </w:rPr>
        <w:t> </w:t>
      </w:r>
      <w:r>
        <w:rPr/>
        <w:t>a</w:t>
      </w:r>
      <w:r>
        <w:rPr>
          <w:spacing w:val="-1"/>
        </w:rPr>
        <w:t> </w:t>
      </w:r>
      <w:r>
        <w:rPr/>
        <w:t>company</w:t>
      </w:r>
      <w:r>
        <w:rPr>
          <w:spacing w:val="-5"/>
        </w:rPr>
        <w:t> </w:t>
      </w:r>
      <w:r>
        <w:rPr/>
        <w:t>who is in any</w:t>
      </w:r>
      <w:r>
        <w:rPr>
          <w:spacing w:val="-5"/>
        </w:rPr>
        <w:t> </w:t>
      </w:r>
      <w:r>
        <w:rPr/>
        <w:t>way, directly</w:t>
      </w:r>
      <w:r>
        <w:rPr>
          <w:spacing w:val="-5"/>
        </w:rPr>
        <w:t> </w:t>
      </w:r>
      <w:r>
        <w:rPr/>
        <w:t>or indirectly, interested in</w:t>
      </w:r>
      <w:r>
        <w:rPr>
          <w:spacing w:val="-5"/>
        </w:rPr>
        <w:t> </w:t>
      </w:r>
      <w:r>
        <w:rPr/>
        <w:t>a transaction or arrangement that has been entered into by that company, to declare the nature and extent of the interest to the other directors in much the same manner discussed above under s.177, unless already made. Only the three aforementioned</w:t>
      </w:r>
      <w:r>
        <w:rPr>
          <w:spacing w:val="40"/>
        </w:rPr>
        <w:t> </w:t>
      </w:r>
      <w:r>
        <w:rPr/>
        <w:t>modes</w:t>
      </w:r>
      <w:r>
        <w:rPr>
          <w:spacing w:val="-1"/>
        </w:rPr>
        <w:t> </w:t>
      </w:r>
      <w:r>
        <w:rPr/>
        <w:t>of</w:t>
      </w:r>
      <w:r>
        <w:rPr>
          <w:spacing w:val="-6"/>
        </w:rPr>
        <w:t> </w:t>
      </w:r>
      <w:r>
        <w:rPr/>
        <w:t>disclosure are allowed. Such</w:t>
      </w:r>
      <w:r>
        <w:rPr>
          <w:spacing w:val="-3"/>
        </w:rPr>
        <w:t> </w:t>
      </w:r>
      <w:r>
        <w:rPr/>
        <w:t>a declaration is</w:t>
      </w:r>
      <w:r>
        <w:rPr>
          <w:spacing w:val="-1"/>
        </w:rPr>
        <w:t> </w:t>
      </w:r>
      <w:r>
        <w:rPr/>
        <w:t>required to be made ―as</w:t>
      </w:r>
      <w:r>
        <w:rPr>
          <w:spacing w:val="-1"/>
        </w:rPr>
        <w:t> </w:t>
      </w:r>
      <w:r>
        <w:rPr/>
        <w:t>soon</w:t>
      </w:r>
      <w:r>
        <w:rPr>
          <w:spacing w:val="-3"/>
        </w:rPr>
        <w:t> </w:t>
      </w:r>
      <w:r>
        <w:rPr/>
        <w:t>as is reasonably practicable.‖</w:t>
      </w:r>
      <w:r>
        <w:rPr>
          <w:vertAlign w:val="superscript"/>
        </w:rPr>
        <w:t>353</w:t>
      </w:r>
      <w:r>
        <w:rPr>
          <w:spacing w:val="33"/>
          <w:vertAlign w:val="baseline"/>
        </w:rPr>
        <w:t> </w:t>
      </w:r>
      <w:r>
        <w:rPr>
          <w:vertAlign w:val="baseline"/>
        </w:rPr>
        <w:t>But the declaration is</w:t>
      </w:r>
      <w:r>
        <w:rPr>
          <w:spacing w:val="38"/>
          <w:vertAlign w:val="baseline"/>
        </w:rPr>
        <w:t> </w:t>
      </w:r>
      <w:r>
        <w:rPr>
          <w:vertAlign w:val="baseline"/>
        </w:rPr>
        <w:t>not required where the director</w:t>
      </w:r>
      <w:r>
        <w:rPr>
          <w:spacing w:val="32"/>
          <w:vertAlign w:val="baseline"/>
        </w:rPr>
        <w:t> </w:t>
      </w:r>
      <w:r>
        <w:rPr>
          <w:vertAlign w:val="baseline"/>
        </w:rPr>
        <w:t>is not</w:t>
      </w:r>
      <w:r>
        <w:rPr>
          <w:spacing w:val="40"/>
          <w:vertAlign w:val="baseline"/>
        </w:rPr>
        <w:t> </w:t>
      </w:r>
      <w:r>
        <w:rPr>
          <w:vertAlign w:val="baseline"/>
        </w:rPr>
        <w:t>aware</w:t>
      </w:r>
      <w:r>
        <w:rPr>
          <w:spacing w:val="32"/>
          <w:vertAlign w:val="baseline"/>
        </w:rPr>
        <w:t> </w:t>
      </w:r>
      <w:r>
        <w:rPr>
          <w:vertAlign w:val="baseline"/>
        </w:rPr>
        <w:t>of</w:t>
      </w:r>
      <w:r>
        <w:rPr>
          <w:spacing w:val="31"/>
          <w:vertAlign w:val="baseline"/>
        </w:rPr>
        <w:t> </w:t>
      </w:r>
      <w:r>
        <w:rPr>
          <w:vertAlign w:val="baseline"/>
        </w:rPr>
        <w:t>the</w:t>
      </w:r>
      <w:r>
        <w:rPr>
          <w:spacing w:val="40"/>
          <w:vertAlign w:val="baseline"/>
        </w:rPr>
        <w:t> </w:t>
      </w:r>
      <w:r>
        <w:rPr>
          <w:vertAlign w:val="baseline"/>
        </w:rPr>
        <w:t>interest</w:t>
      </w:r>
      <w:r>
        <w:rPr>
          <w:spacing w:val="38"/>
          <w:vertAlign w:val="baseline"/>
        </w:rPr>
        <w:t> </w:t>
      </w:r>
      <w:r>
        <w:rPr>
          <w:vertAlign w:val="baseline"/>
        </w:rPr>
        <w:t>or</w:t>
      </w:r>
      <w:r>
        <w:rPr>
          <w:spacing w:val="35"/>
          <w:vertAlign w:val="baseline"/>
        </w:rPr>
        <w:t> </w:t>
      </w:r>
      <w:r>
        <w:rPr>
          <w:vertAlign w:val="baseline"/>
        </w:rPr>
        <w:t>of</w:t>
      </w:r>
      <w:r>
        <w:rPr>
          <w:spacing w:val="31"/>
          <w:vertAlign w:val="baseline"/>
        </w:rPr>
        <w:t> </w:t>
      </w:r>
      <w:r>
        <w:rPr>
          <w:vertAlign w:val="baseline"/>
        </w:rPr>
        <w:t>the</w:t>
      </w:r>
      <w:r>
        <w:rPr>
          <w:spacing w:val="37"/>
          <w:vertAlign w:val="baseline"/>
        </w:rPr>
        <w:t> </w:t>
      </w:r>
      <w:r>
        <w:rPr>
          <w:vertAlign w:val="baseline"/>
        </w:rPr>
        <w:t>particular</w:t>
      </w:r>
      <w:r>
        <w:rPr>
          <w:spacing w:val="40"/>
          <w:vertAlign w:val="baseline"/>
        </w:rPr>
        <w:t> </w:t>
      </w:r>
      <w:r>
        <w:rPr>
          <w:vertAlign w:val="baseline"/>
        </w:rPr>
        <w:t>transaction</w:t>
      </w:r>
      <w:r>
        <w:rPr>
          <w:spacing w:val="33"/>
          <w:vertAlign w:val="baseline"/>
        </w:rPr>
        <w:t> </w:t>
      </w:r>
      <w:r>
        <w:rPr>
          <w:vertAlign w:val="baseline"/>
        </w:rPr>
        <w:t>or</w:t>
      </w:r>
      <w:r>
        <w:rPr>
          <w:spacing w:val="40"/>
          <w:vertAlign w:val="baseline"/>
        </w:rPr>
        <w:t> </w:t>
      </w:r>
      <w:r>
        <w:rPr>
          <w:vertAlign w:val="baseline"/>
        </w:rPr>
        <w:t>arrangement</w:t>
      </w:r>
      <w:r>
        <w:rPr>
          <w:spacing w:val="40"/>
          <w:vertAlign w:val="baseline"/>
        </w:rPr>
        <w:t> </w:t>
      </w:r>
      <w:r>
        <w:rPr>
          <w:vertAlign w:val="baseline"/>
        </w:rPr>
        <w:t>in</w:t>
      </w:r>
      <w:r>
        <w:rPr>
          <w:spacing w:val="33"/>
          <w:vertAlign w:val="baseline"/>
        </w:rPr>
        <w:t> </w:t>
      </w:r>
      <w:r>
        <w:rPr>
          <w:vertAlign w:val="baseline"/>
        </w:rPr>
        <w:t>question,</w:t>
      </w:r>
    </w:p>
    <w:p>
      <w:pPr>
        <w:pStyle w:val="BodyText"/>
        <w:ind w:left="0"/>
        <w:rPr>
          <w:sz w:val="20"/>
        </w:rPr>
      </w:pPr>
    </w:p>
    <w:p>
      <w:pPr>
        <w:pStyle w:val="BodyText"/>
        <w:ind w:left="0"/>
        <w:rPr>
          <w:sz w:val="20"/>
        </w:rPr>
      </w:pPr>
    </w:p>
    <w:p>
      <w:pPr>
        <w:pStyle w:val="BodyText"/>
        <w:ind w:left="0"/>
        <w:rPr>
          <w:sz w:val="20"/>
        </w:rPr>
      </w:pPr>
    </w:p>
    <w:p>
      <w:pPr>
        <w:pStyle w:val="BodyText"/>
        <w:spacing w:before="136"/>
        <w:ind w:left="0"/>
        <w:rPr>
          <w:sz w:val="20"/>
        </w:rPr>
      </w:pPr>
      <w:r>
        <w:rPr/>
        <mc:AlternateContent>
          <mc:Choice Requires="wps">
            <w:drawing>
              <wp:anchor distT="0" distB="0" distL="0" distR="0" allowOverlap="1" layoutInCell="1" locked="0" behindDoc="1" simplePos="0" relativeHeight="487710208">
                <wp:simplePos x="0" y="0"/>
                <wp:positionH relativeFrom="page">
                  <wp:posOffset>1262481</wp:posOffset>
                </wp:positionH>
                <wp:positionV relativeFrom="paragraph">
                  <wp:posOffset>248184</wp:posOffset>
                </wp:positionV>
                <wp:extent cx="1829435" cy="9525"/>
                <wp:effectExtent l="0" t="0" r="0" b="0"/>
                <wp:wrapTopAndBottom/>
                <wp:docPr id="266" name="Graphic 266"/>
                <wp:cNvGraphicFramePr>
                  <a:graphicFrameLocks/>
                </wp:cNvGraphicFramePr>
                <a:graphic>
                  <a:graphicData uri="http://schemas.microsoft.com/office/word/2010/wordprocessingShape">
                    <wps:wsp>
                      <wps:cNvPr id="266" name="Graphic 266"/>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9.542118pt;width:144.050pt;height:.72003pt;mso-position-horizontal-relative:page;mso-position-vertical-relative:paragraph;z-index:-15606272;mso-wrap-distance-left:0;mso-wrap-distance-right:0" id="docshape221" filled="true" fillcolor="#000000" stroked="false">
                <v:fill type="solid"/>
                <w10:wrap type="topAndBottom"/>
              </v:rect>
            </w:pict>
          </mc:Fallback>
        </mc:AlternateContent>
      </w:r>
    </w:p>
    <w:p>
      <w:pPr>
        <w:spacing w:before="103"/>
        <w:ind w:left="308" w:right="2732" w:firstLine="0"/>
        <w:jc w:val="left"/>
        <w:rPr>
          <w:rFonts w:ascii="Calibri"/>
          <w:sz w:val="20"/>
        </w:rPr>
      </w:pPr>
      <w:r>
        <w:rPr>
          <w:rFonts w:ascii="Calibri"/>
          <w:sz w:val="20"/>
          <w:vertAlign w:val="superscript"/>
        </w:rPr>
        <w:t>349</w:t>
      </w:r>
      <w:r>
        <w:rPr>
          <w:rFonts w:ascii="Calibri"/>
          <w:sz w:val="20"/>
          <w:vertAlign w:val="baseline"/>
        </w:rPr>
        <w:t>Such as Davies, L.P. and Worthington, S.op.cit.andCorkery, F.J. op.cit.</w:t>
      </w:r>
      <w:r>
        <w:rPr>
          <w:rFonts w:ascii="Calibri"/>
          <w:spacing w:val="40"/>
          <w:sz w:val="20"/>
          <w:vertAlign w:val="baseline"/>
        </w:rPr>
        <w:t> </w:t>
      </w:r>
      <w:r>
        <w:rPr>
          <w:rFonts w:ascii="Calibri"/>
          <w:sz w:val="20"/>
          <w:vertAlign w:val="superscript"/>
        </w:rPr>
        <w:t>350</w:t>
      </w:r>
      <w:r>
        <w:rPr>
          <w:rFonts w:ascii="Calibri"/>
          <w:sz w:val="20"/>
          <w:vertAlign w:val="baseline"/>
        </w:rPr>
        <w:t> Gower,</w:t>
      </w:r>
      <w:r>
        <w:rPr>
          <w:rFonts w:ascii="Calibri"/>
          <w:spacing w:val="-7"/>
          <w:sz w:val="20"/>
          <w:vertAlign w:val="baseline"/>
        </w:rPr>
        <w:t> </w:t>
      </w:r>
      <w:r>
        <w:rPr>
          <w:rFonts w:ascii="Calibri"/>
          <w:sz w:val="20"/>
          <w:vertAlign w:val="baseline"/>
        </w:rPr>
        <w:t>L.C.B. (1971).</w:t>
      </w:r>
      <w:r>
        <w:rPr>
          <w:rFonts w:ascii="Calibri"/>
          <w:spacing w:val="-3"/>
          <w:sz w:val="20"/>
          <w:vertAlign w:val="baseline"/>
        </w:rPr>
        <w:t> </w:t>
      </w:r>
      <w:r>
        <w:rPr>
          <w:rFonts w:ascii="Calibri"/>
          <w:sz w:val="20"/>
          <w:vertAlign w:val="baseline"/>
        </w:rPr>
        <w:t>Principles</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Modern</w:t>
      </w:r>
      <w:r>
        <w:rPr>
          <w:rFonts w:ascii="Calibri"/>
          <w:spacing w:val="-5"/>
          <w:sz w:val="20"/>
          <w:vertAlign w:val="baseline"/>
        </w:rPr>
        <w:t> </w:t>
      </w:r>
      <w:r>
        <w:rPr>
          <w:rFonts w:ascii="Calibri"/>
          <w:sz w:val="20"/>
          <w:vertAlign w:val="baseline"/>
        </w:rPr>
        <w:t>Company</w:t>
      </w:r>
      <w:r>
        <w:rPr>
          <w:rFonts w:ascii="Calibri"/>
          <w:spacing w:val="-5"/>
          <w:sz w:val="20"/>
          <w:vertAlign w:val="baseline"/>
        </w:rPr>
        <w:t> </w:t>
      </w:r>
      <w:r>
        <w:rPr>
          <w:rFonts w:ascii="Calibri"/>
          <w:sz w:val="20"/>
          <w:vertAlign w:val="baseline"/>
        </w:rPr>
        <w:t>Law. 4</w:t>
      </w:r>
      <w:r>
        <w:rPr>
          <w:rFonts w:ascii="Calibri"/>
          <w:sz w:val="20"/>
          <w:vertAlign w:val="superscript"/>
        </w:rPr>
        <w:t>th</w:t>
      </w:r>
      <w:r>
        <w:rPr>
          <w:rFonts w:ascii="Calibri"/>
          <w:sz w:val="20"/>
          <w:vertAlign w:val="baseline"/>
        </w:rPr>
        <w:t>ed</w:t>
      </w:r>
      <w:r>
        <w:rPr>
          <w:rFonts w:ascii="Calibri"/>
          <w:spacing w:val="-1"/>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587. </w:t>
      </w:r>
      <w:r>
        <w:rPr>
          <w:rFonts w:ascii="Calibri"/>
          <w:sz w:val="20"/>
          <w:vertAlign w:val="superscript"/>
        </w:rPr>
        <w:t>351</w:t>
      </w:r>
      <w:r>
        <w:rPr>
          <w:rFonts w:ascii="Calibri"/>
          <w:sz w:val="20"/>
          <w:vertAlign w:val="baseline"/>
        </w:rPr>
        <w:t>Corkery, F.J. op.cit.at p.88.</w:t>
      </w:r>
    </w:p>
    <w:p>
      <w:pPr>
        <w:spacing w:before="2"/>
        <w:ind w:left="308" w:right="0" w:firstLine="0"/>
        <w:jc w:val="left"/>
        <w:rPr>
          <w:rFonts w:ascii="Calibri"/>
          <w:sz w:val="20"/>
        </w:rPr>
      </w:pPr>
      <w:r>
        <w:rPr>
          <w:rFonts w:ascii="Calibri"/>
          <w:sz w:val="20"/>
          <w:vertAlign w:val="superscript"/>
        </w:rPr>
        <w:t>352</w:t>
      </w:r>
      <w:r>
        <w:rPr>
          <w:rFonts w:ascii="Calibri"/>
          <w:spacing w:val="-3"/>
          <w:sz w:val="20"/>
          <w:vertAlign w:val="baseline"/>
        </w:rPr>
        <w:t> </w:t>
      </w:r>
      <w:r>
        <w:rPr>
          <w:rFonts w:ascii="Calibri"/>
          <w:sz w:val="20"/>
          <w:vertAlign w:val="baseline"/>
        </w:rPr>
        <w:t>Worthington,</w:t>
      </w:r>
      <w:r>
        <w:rPr>
          <w:rFonts w:ascii="Calibri"/>
          <w:spacing w:val="-10"/>
          <w:sz w:val="20"/>
          <w:vertAlign w:val="baseline"/>
        </w:rPr>
        <w:t> </w:t>
      </w:r>
      <w:r>
        <w:rPr>
          <w:rFonts w:ascii="Calibri"/>
          <w:sz w:val="20"/>
          <w:vertAlign w:val="baseline"/>
        </w:rPr>
        <w:t>S.</w:t>
      </w:r>
      <w:r>
        <w:rPr>
          <w:rFonts w:ascii="Calibri"/>
          <w:spacing w:val="-7"/>
          <w:sz w:val="20"/>
          <w:vertAlign w:val="baseline"/>
        </w:rPr>
        <w:t> </w:t>
      </w:r>
      <w:r>
        <w:rPr>
          <w:rFonts w:ascii="Calibri"/>
          <w:sz w:val="20"/>
          <w:vertAlign w:val="baseline"/>
        </w:rPr>
        <w:t>Op.cit.</w:t>
      </w:r>
      <w:r>
        <w:rPr>
          <w:rFonts w:ascii="Calibri"/>
          <w:spacing w:val="-2"/>
          <w:sz w:val="20"/>
          <w:vertAlign w:val="baseline"/>
        </w:rPr>
        <w:t> </w:t>
      </w:r>
      <w:r>
        <w:rPr>
          <w:rFonts w:ascii="Calibri"/>
          <w:sz w:val="20"/>
          <w:vertAlign w:val="baseline"/>
        </w:rPr>
        <w:t>at</w:t>
      </w:r>
      <w:r>
        <w:rPr>
          <w:rFonts w:ascii="Calibri"/>
          <w:spacing w:val="-9"/>
          <w:sz w:val="20"/>
          <w:vertAlign w:val="baseline"/>
        </w:rPr>
        <w:t> </w:t>
      </w:r>
      <w:r>
        <w:rPr>
          <w:rFonts w:ascii="Calibri"/>
          <w:sz w:val="20"/>
          <w:vertAlign w:val="baseline"/>
        </w:rPr>
        <w:t>pp.12-</w:t>
      </w:r>
      <w:r>
        <w:rPr>
          <w:rFonts w:ascii="Calibri"/>
          <w:spacing w:val="-5"/>
          <w:sz w:val="20"/>
          <w:vertAlign w:val="baseline"/>
        </w:rPr>
        <w:t>13.</w:t>
      </w:r>
    </w:p>
    <w:p>
      <w:pPr>
        <w:spacing w:before="0"/>
        <w:ind w:left="308" w:right="0" w:firstLine="0"/>
        <w:jc w:val="left"/>
        <w:rPr>
          <w:rFonts w:ascii="Calibri"/>
          <w:sz w:val="20"/>
        </w:rPr>
      </w:pPr>
      <w:r>
        <w:rPr>
          <w:rFonts w:ascii="Calibri"/>
          <w:sz w:val="20"/>
          <w:vertAlign w:val="superscript"/>
        </w:rPr>
        <w:t>353</w:t>
      </w:r>
      <w:r>
        <w:rPr>
          <w:rFonts w:ascii="Calibri"/>
          <w:spacing w:val="2"/>
          <w:sz w:val="20"/>
          <w:vertAlign w:val="baseline"/>
        </w:rPr>
        <w:t> </w:t>
      </w:r>
      <w:r>
        <w:rPr>
          <w:rFonts w:ascii="Calibri"/>
          <w:sz w:val="20"/>
          <w:vertAlign w:val="baseline"/>
        </w:rPr>
        <w:t>See</w:t>
      </w:r>
      <w:r>
        <w:rPr>
          <w:rFonts w:ascii="Calibri"/>
          <w:spacing w:val="-2"/>
          <w:sz w:val="20"/>
          <w:vertAlign w:val="baseline"/>
        </w:rPr>
        <w:t> s.182(4).</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1"/>
        <w:jc w:val="both"/>
      </w:pPr>
      <w:r>
        <w:rPr/>
        <w:t>though he is treated as being aware of matters of which he ought reasonably to be </w:t>
      </w:r>
      <w:r>
        <w:rPr>
          <w:spacing w:val="-2"/>
        </w:rPr>
        <w:t>aware.</w:t>
      </w:r>
      <w:r>
        <w:rPr>
          <w:spacing w:val="-2"/>
          <w:vertAlign w:val="superscript"/>
        </w:rPr>
        <w:t>354</w:t>
      </w:r>
    </w:p>
    <w:p>
      <w:pPr>
        <w:pStyle w:val="BodyText"/>
        <w:spacing w:line="480" w:lineRule="auto"/>
        <w:ind w:right="224" w:firstLine="720"/>
        <w:jc w:val="both"/>
      </w:pPr>
      <w:r>
        <w:rPr/>
        <w:t>Importantly, unlike failure to declare under s.177 which results in civil consequences,</w:t>
      </w:r>
      <w:r>
        <w:rPr>
          <w:vertAlign w:val="superscript"/>
        </w:rPr>
        <w:t>355</w:t>
      </w:r>
      <w:r>
        <w:rPr>
          <w:vertAlign w:val="baseline"/>
        </w:rPr>
        <w:t> failure to so declare under s.182 will attract criminal liability.</w:t>
      </w:r>
      <w:r>
        <w:rPr>
          <w:vertAlign w:val="superscript"/>
        </w:rPr>
        <w:t>356</w:t>
      </w:r>
      <w:r>
        <w:rPr>
          <w:vertAlign w:val="baseline"/>
        </w:rPr>
        <w:t> It is not immediately clear why</w:t>
      </w:r>
      <w:r>
        <w:rPr>
          <w:spacing w:val="-5"/>
          <w:vertAlign w:val="baseline"/>
        </w:rPr>
        <w:t> </w:t>
      </w:r>
      <w:r>
        <w:rPr>
          <w:vertAlign w:val="baseline"/>
        </w:rPr>
        <w:t>this is the case. Perhaps, the presumption is that there would be less civil remedies available to the company, such as rescission or avoidance, in the case of existing transactions. Furthermore, where the director‘s interests is so intertwined with a third party‘s, it may not be easy to ascertain the exact amount of benefit he gained, so as to resort to disgorgement, i.e. force him to account for the </w:t>
      </w:r>
      <w:r>
        <w:rPr>
          <w:spacing w:val="-2"/>
          <w:vertAlign w:val="baseline"/>
        </w:rPr>
        <w:t>profits.</w:t>
      </w:r>
    </w:p>
    <w:p>
      <w:pPr>
        <w:pStyle w:val="BodyText"/>
        <w:spacing w:line="480" w:lineRule="auto" w:before="2"/>
        <w:ind w:right="230" w:firstLine="720"/>
        <w:jc w:val="both"/>
      </w:pPr>
      <w:r>
        <w:rPr/>
        <w:t>Where there is a sole director in</w:t>
      </w:r>
      <w:r>
        <w:rPr>
          <w:spacing w:val="-1"/>
        </w:rPr>
        <w:t> </w:t>
      </w:r>
      <w:r>
        <w:rPr/>
        <w:t>a public company, the sole director must record the</w:t>
      </w:r>
      <w:r>
        <w:rPr>
          <w:spacing w:val="-2"/>
        </w:rPr>
        <w:t> </w:t>
      </w:r>
      <w:r>
        <w:rPr/>
        <w:t>nature</w:t>
      </w:r>
      <w:r>
        <w:rPr>
          <w:spacing w:val="-2"/>
        </w:rPr>
        <w:t> </w:t>
      </w:r>
      <w:r>
        <w:rPr/>
        <w:t>and</w:t>
      </w:r>
      <w:r>
        <w:rPr>
          <w:spacing w:val="-1"/>
        </w:rPr>
        <w:t> </w:t>
      </w:r>
      <w:r>
        <w:rPr/>
        <w:t>extent of</w:t>
      </w:r>
      <w:r>
        <w:rPr>
          <w:spacing w:val="-4"/>
        </w:rPr>
        <w:t> </w:t>
      </w:r>
      <w:r>
        <w:rPr/>
        <w:t>his interest in</w:t>
      </w:r>
      <w:r>
        <w:rPr>
          <w:spacing w:val="-6"/>
        </w:rPr>
        <w:t> </w:t>
      </w:r>
      <w:r>
        <w:rPr/>
        <w:t>any</w:t>
      </w:r>
      <w:r>
        <w:rPr>
          <w:spacing w:val="-6"/>
        </w:rPr>
        <w:t> </w:t>
      </w:r>
      <w:r>
        <w:rPr/>
        <w:t>transaction</w:t>
      </w:r>
      <w:r>
        <w:rPr>
          <w:spacing w:val="-6"/>
        </w:rPr>
        <w:t> </w:t>
      </w:r>
      <w:r>
        <w:rPr/>
        <w:t>or arrangement in</w:t>
      </w:r>
      <w:r>
        <w:rPr>
          <w:spacing w:val="-6"/>
        </w:rPr>
        <w:t> </w:t>
      </w:r>
      <w:r>
        <w:rPr/>
        <w:t>writing and</w:t>
      </w:r>
      <w:r>
        <w:rPr>
          <w:spacing w:val="-1"/>
        </w:rPr>
        <w:t> </w:t>
      </w:r>
      <w:r>
        <w:rPr/>
        <w:t>this is deemed to form</w:t>
      </w:r>
      <w:r>
        <w:rPr>
          <w:spacing w:val="-4"/>
        </w:rPr>
        <w:t> </w:t>
      </w:r>
      <w:r>
        <w:rPr/>
        <w:t>part of</w:t>
      </w:r>
      <w:r>
        <w:rPr>
          <w:spacing w:val="-2"/>
        </w:rPr>
        <w:t> </w:t>
      </w:r>
      <w:r>
        <w:rPr/>
        <w:t>the proceedings of</w:t>
      </w:r>
      <w:r>
        <w:rPr>
          <w:spacing w:val="-2"/>
        </w:rPr>
        <w:t> </w:t>
      </w:r>
      <w:r>
        <w:rPr/>
        <w:t>the next meeting of</w:t>
      </w:r>
      <w:r>
        <w:rPr>
          <w:spacing w:val="-2"/>
        </w:rPr>
        <w:t> </w:t>
      </w:r>
      <w:r>
        <w:rPr/>
        <w:t>the directors and must be properly minuted.</w:t>
      </w:r>
      <w:r>
        <w:rPr>
          <w:vertAlign w:val="superscript"/>
        </w:rPr>
        <w:t>357</w:t>
      </w:r>
      <w:r>
        <w:rPr>
          <w:vertAlign w:val="baseline"/>
        </w:rPr>
        <w:t> Also, where any sole director happens to contract with the company while being its only member, he is required to set down</w:t>
      </w:r>
      <w:r>
        <w:rPr>
          <w:spacing w:val="-1"/>
          <w:vertAlign w:val="baseline"/>
        </w:rPr>
        <w:t> </w:t>
      </w:r>
      <w:r>
        <w:rPr>
          <w:vertAlign w:val="baseline"/>
        </w:rPr>
        <w:t>the terms of</w:t>
      </w:r>
      <w:r>
        <w:rPr>
          <w:spacing w:val="-3"/>
          <w:vertAlign w:val="baseline"/>
        </w:rPr>
        <w:t> </w:t>
      </w:r>
      <w:r>
        <w:rPr>
          <w:vertAlign w:val="baseline"/>
        </w:rPr>
        <w:t>any such contract in writing or record them in the minutes of directors‘ meeting.</w:t>
      </w:r>
      <w:r>
        <w:rPr>
          <w:vertAlign w:val="superscript"/>
        </w:rPr>
        <w:t>358</w:t>
      </w:r>
    </w:p>
    <w:p>
      <w:pPr>
        <w:pStyle w:val="BodyText"/>
        <w:spacing w:line="480" w:lineRule="auto" w:before="1"/>
        <w:ind w:right="228" w:firstLine="720"/>
        <w:jc w:val="both"/>
      </w:pPr>
      <w:r>
        <w:rPr/>
        <w:t>With respect to a shadow director, the applicability of</w:t>
      </w:r>
      <w:r>
        <w:rPr>
          <w:spacing w:val="-2"/>
        </w:rPr>
        <w:t> </w:t>
      </w:r>
      <w:r>
        <w:rPr/>
        <w:t>the duty is not clear. This is because, although s.170(5) clarifies that all the general duties apply to shadow directors</w:t>
      </w:r>
      <w:r>
        <w:rPr>
          <w:spacing w:val="-3"/>
        </w:rPr>
        <w:t> </w:t>
      </w:r>
      <w:r>
        <w:rPr/>
        <w:t>where, and</w:t>
      </w:r>
      <w:r>
        <w:rPr>
          <w:spacing w:val="-1"/>
        </w:rPr>
        <w:t> </w:t>
      </w:r>
      <w:r>
        <w:rPr/>
        <w:t>to</w:t>
      </w:r>
      <w:r>
        <w:rPr>
          <w:spacing w:val="-1"/>
        </w:rPr>
        <w:t> </w:t>
      </w:r>
      <w:r>
        <w:rPr/>
        <w:t>the</w:t>
      </w:r>
      <w:r>
        <w:rPr>
          <w:spacing w:val="-2"/>
        </w:rPr>
        <w:t> </w:t>
      </w:r>
      <w:r>
        <w:rPr/>
        <w:t>extent</w:t>
      </w:r>
      <w:r>
        <w:rPr>
          <w:spacing w:val="-1"/>
        </w:rPr>
        <w:t> </w:t>
      </w:r>
      <w:r>
        <w:rPr/>
        <w:t>that,</w:t>
      </w:r>
      <w:r>
        <w:rPr>
          <w:spacing w:val="-8"/>
        </w:rPr>
        <w:t> </w:t>
      </w:r>
      <w:r>
        <w:rPr/>
        <w:t>the</w:t>
      </w:r>
      <w:r>
        <w:rPr>
          <w:spacing w:val="-2"/>
        </w:rPr>
        <w:t> </w:t>
      </w:r>
      <w:r>
        <w:rPr/>
        <w:t>corresponding</w:t>
      </w:r>
      <w:r>
        <w:rPr>
          <w:spacing w:val="-1"/>
        </w:rPr>
        <w:t> </w:t>
      </w:r>
      <w:r>
        <w:rPr/>
        <w:t>common</w:t>
      </w:r>
      <w:r>
        <w:rPr>
          <w:spacing w:val="-1"/>
        </w:rPr>
        <w:t> </w:t>
      </w:r>
      <w:r>
        <w:rPr/>
        <w:t>law</w:t>
      </w:r>
      <w:r>
        <w:rPr>
          <w:spacing w:val="-2"/>
        </w:rPr>
        <w:t> </w:t>
      </w:r>
      <w:r>
        <w:rPr/>
        <w:t>rules</w:t>
      </w:r>
      <w:r>
        <w:rPr>
          <w:spacing w:val="-3"/>
        </w:rPr>
        <w:t> </w:t>
      </w:r>
      <w:r>
        <w:rPr/>
        <w:t>or</w:t>
      </w:r>
      <w:r>
        <w:rPr>
          <w:spacing w:val="-1"/>
        </w:rPr>
        <w:t> </w:t>
      </w:r>
      <w:r>
        <w:rPr/>
        <w:t>equitable principles so apply, it</w:t>
      </w:r>
      <w:r>
        <w:rPr>
          <w:spacing w:val="23"/>
        </w:rPr>
        <w:t> </w:t>
      </w:r>
      <w:r>
        <w:rPr/>
        <w:t>is not in fact clear whether</w:t>
      </w:r>
      <w:r>
        <w:rPr>
          <w:spacing w:val="19"/>
        </w:rPr>
        <w:t> </w:t>
      </w:r>
      <w:r>
        <w:rPr/>
        <w:t>the duty of disclosure was applicable to</w:t>
      </w:r>
      <w:r>
        <w:rPr>
          <w:spacing w:val="41"/>
        </w:rPr>
        <w:t> </w:t>
      </w:r>
      <w:r>
        <w:rPr/>
        <w:t>shadow</w:t>
      </w:r>
      <w:r>
        <w:rPr>
          <w:spacing w:val="37"/>
        </w:rPr>
        <w:t> </w:t>
      </w:r>
      <w:r>
        <w:rPr/>
        <w:t>directors</w:t>
      </w:r>
      <w:r>
        <w:rPr>
          <w:spacing w:val="36"/>
        </w:rPr>
        <w:t> </w:t>
      </w:r>
      <w:r>
        <w:rPr/>
        <w:t>under</w:t>
      </w:r>
      <w:r>
        <w:rPr>
          <w:spacing w:val="38"/>
        </w:rPr>
        <w:t> </w:t>
      </w:r>
      <w:r>
        <w:rPr/>
        <w:t>common</w:t>
      </w:r>
      <w:r>
        <w:rPr>
          <w:spacing w:val="38"/>
        </w:rPr>
        <w:t> </w:t>
      </w:r>
      <w:r>
        <w:rPr/>
        <w:t>law.</w:t>
      </w:r>
      <w:r>
        <w:rPr>
          <w:vertAlign w:val="superscript"/>
        </w:rPr>
        <w:t>359</w:t>
      </w:r>
      <w:r>
        <w:rPr>
          <w:spacing w:val="2"/>
          <w:vertAlign w:val="baseline"/>
        </w:rPr>
        <w:t> </w:t>
      </w:r>
      <w:r>
        <w:rPr>
          <w:vertAlign w:val="baseline"/>
        </w:rPr>
        <w:t>In</w:t>
      </w:r>
      <w:r>
        <w:rPr>
          <w:spacing w:val="37"/>
          <w:vertAlign w:val="baseline"/>
        </w:rPr>
        <w:t> </w:t>
      </w:r>
      <w:r>
        <w:rPr>
          <w:vertAlign w:val="baseline"/>
        </w:rPr>
        <w:t>fact,</w:t>
      </w:r>
      <w:r>
        <w:rPr>
          <w:spacing w:val="39"/>
          <w:vertAlign w:val="baseline"/>
        </w:rPr>
        <w:t> </w:t>
      </w:r>
      <w:r>
        <w:rPr>
          <w:vertAlign w:val="baseline"/>
        </w:rPr>
        <w:t>the</w:t>
      </w:r>
      <w:r>
        <w:rPr>
          <w:spacing w:val="36"/>
          <w:vertAlign w:val="baseline"/>
        </w:rPr>
        <w:t> </w:t>
      </w:r>
      <w:r>
        <w:rPr>
          <w:vertAlign w:val="baseline"/>
        </w:rPr>
        <w:t>whole</w:t>
      </w:r>
      <w:r>
        <w:rPr>
          <w:spacing w:val="41"/>
          <w:vertAlign w:val="baseline"/>
        </w:rPr>
        <w:t> </w:t>
      </w:r>
      <w:r>
        <w:rPr>
          <w:vertAlign w:val="baseline"/>
        </w:rPr>
        <w:t>idea</w:t>
      </w:r>
      <w:r>
        <w:rPr>
          <w:spacing w:val="36"/>
          <w:vertAlign w:val="baseline"/>
        </w:rPr>
        <w:t> </w:t>
      </w:r>
      <w:r>
        <w:rPr>
          <w:vertAlign w:val="baseline"/>
        </w:rPr>
        <w:t>about</w:t>
      </w:r>
      <w:r>
        <w:rPr>
          <w:spacing w:val="37"/>
          <w:vertAlign w:val="baseline"/>
        </w:rPr>
        <w:t> </w:t>
      </w:r>
      <w:r>
        <w:rPr>
          <w:vertAlign w:val="baseline"/>
        </w:rPr>
        <w:t>the</w:t>
      </w:r>
      <w:r>
        <w:rPr>
          <w:spacing w:val="36"/>
          <w:vertAlign w:val="baseline"/>
        </w:rPr>
        <w:t> </w:t>
      </w:r>
      <w:r>
        <w:rPr>
          <w:spacing w:val="-2"/>
          <w:vertAlign w:val="baseline"/>
        </w:rPr>
        <w:t>shadow</w:t>
      </w:r>
    </w:p>
    <w:p>
      <w:pPr>
        <w:pStyle w:val="BodyText"/>
        <w:ind w:left="0"/>
        <w:rPr>
          <w:sz w:val="20"/>
        </w:rPr>
      </w:pPr>
    </w:p>
    <w:p>
      <w:pPr>
        <w:pStyle w:val="BodyText"/>
        <w:spacing w:before="111"/>
        <w:ind w:left="0"/>
        <w:rPr>
          <w:sz w:val="20"/>
        </w:rPr>
      </w:pPr>
      <w:r>
        <w:rPr/>
        <mc:AlternateContent>
          <mc:Choice Requires="wps">
            <w:drawing>
              <wp:anchor distT="0" distB="0" distL="0" distR="0" allowOverlap="1" layoutInCell="1" locked="0" behindDoc="1" simplePos="0" relativeHeight="487710720">
                <wp:simplePos x="0" y="0"/>
                <wp:positionH relativeFrom="page">
                  <wp:posOffset>1262481</wp:posOffset>
                </wp:positionH>
                <wp:positionV relativeFrom="paragraph">
                  <wp:posOffset>231777</wp:posOffset>
                </wp:positionV>
                <wp:extent cx="1829435" cy="9525"/>
                <wp:effectExtent l="0" t="0" r="0" b="0"/>
                <wp:wrapTopAndBottom/>
                <wp:docPr id="267" name="Graphic 267"/>
                <wp:cNvGraphicFramePr>
                  <a:graphicFrameLocks/>
                </wp:cNvGraphicFramePr>
                <a:graphic>
                  <a:graphicData uri="http://schemas.microsoft.com/office/word/2010/wordprocessingShape">
                    <wps:wsp>
                      <wps:cNvPr id="267" name="Graphic 26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250225pt;width:144.050pt;height:.71997pt;mso-position-horizontal-relative:page;mso-position-vertical-relative:paragraph;z-index:-15605760;mso-wrap-distance-left:0;mso-wrap-distance-right:0" id="docshape222" filled="true" fillcolor="#000000" stroked="false">
                <v:fill type="solid"/>
                <w10:wrap type="topAndBottom"/>
              </v:rect>
            </w:pict>
          </mc:Fallback>
        </mc:AlternateContent>
      </w:r>
    </w:p>
    <w:p>
      <w:pPr>
        <w:spacing w:before="97"/>
        <w:ind w:left="308" w:right="0" w:firstLine="0"/>
        <w:jc w:val="left"/>
        <w:rPr>
          <w:rFonts w:ascii="Calibri"/>
          <w:sz w:val="20"/>
        </w:rPr>
      </w:pPr>
      <w:r>
        <w:rPr>
          <w:rFonts w:ascii="Calibri"/>
          <w:sz w:val="20"/>
          <w:vertAlign w:val="superscript"/>
        </w:rPr>
        <w:t>354</w:t>
      </w:r>
      <w:r>
        <w:rPr>
          <w:rFonts w:ascii="Calibri"/>
          <w:spacing w:val="2"/>
          <w:sz w:val="20"/>
          <w:vertAlign w:val="baseline"/>
        </w:rPr>
        <w:t> </w:t>
      </w:r>
      <w:r>
        <w:rPr>
          <w:rFonts w:ascii="Calibri"/>
          <w:sz w:val="20"/>
          <w:vertAlign w:val="baseline"/>
        </w:rPr>
        <w:t>See</w:t>
      </w:r>
      <w:r>
        <w:rPr>
          <w:rFonts w:ascii="Calibri"/>
          <w:spacing w:val="-2"/>
          <w:sz w:val="20"/>
          <w:vertAlign w:val="baseline"/>
        </w:rPr>
        <w:t> s.182(5).</w:t>
      </w:r>
    </w:p>
    <w:p>
      <w:pPr>
        <w:spacing w:before="1"/>
        <w:ind w:left="308" w:right="0" w:firstLine="0"/>
        <w:jc w:val="left"/>
        <w:rPr>
          <w:rFonts w:ascii="Calibri"/>
          <w:sz w:val="20"/>
        </w:rPr>
      </w:pPr>
      <w:r>
        <w:rPr>
          <w:rFonts w:ascii="Calibri"/>
          <w:sz w:val="20"/>
          <w:vertAlign w:val="superscript"/>
        </w:rPr>
        <w:t>355</w:t>
      </w:r>
      <w:r>
        <w:rPr>
          <w:rFonts w:ascii="Calibri"/>
          <w:spacing w:val="2"/>
          <w:sz w:val="20"/>
          <w:vertAlign w:val="baseline"/>
        </w:rPr>
        <w:t> </w:t>
      </w:r>
      <w:r>
        <w:rPr>
          <w:rFonts w:ascii="Calibri"/>
          <w:sz w:val="20"/>
          <w:vertAlign w:val="baseline"/>
        </w:rPr>
        <w:t>See</w:t>
      </w:r>
      <w:r>
        <w:rPr>
          <w:rFonts w:ascii="Calibri"/>
          <w:spacing w:val="-2"/>
          <w:sz w:val="20"/>
          <w:vertAlign w:val="baseline"/>
        </w:rPr>
        <w:t> s.178(1).</w:t>
      </w:r>
    </w:p>
    <w:p>
      <w:pPr>
        <w:spacing w:before="1"/>
        <w:ind w:left="308" w:right="255" w:firstLine="0"/>
        <w:jc w:val="left"/>
        <w:rPr>
          <w:rFonts w:ascii="Calibri"/>
          <w:sz w:val="20"/>
        </w:rPr>
      </w:pPr>
      <w:r>
        <w:rPr>
          <w:rFonts w:ascii="Calibri"/>
          <w:sz w:val="20"/>
          <w:vertAlign w:val="superscript"/>
        </w:rPr>
        <w:t>356</w:t>
      </w:r>
      <w:r>
        <w:rPr>
          <w:rFonts w:ascii="Calibri"/>
          <w:sz w:val="20"/>
          <w:vertAlign w:val="baseline"/>
        </w:rPr>
        <w:t> Refer to</w:t>
      </w:r>
      <w:r>
        <w:rPr>
          <w:rFonts w:ascii="Calibri"/>
          <w:spacing w:val="-4"/>
          <w:sz w:val="20"/>
          <w:vertAlign w:val="baseline"/>
        </w:rPr>
        <w:t> </w:t>
      </w:r>
      <w:r>
        <w:rPr>
          <w:rFonts w:ascii="Calibri"/>
          <w:sz w:val="20"/>
          <w:vertAlign w:val="baseline"/>
        </w:rPr>
        <w:t>s. 183.</w:t>
      </w:r>
      <w:r>
        <w:rPr>
          <w:rFonts w:ascii="Calibri"/>
          <w:spacing w:val="-1"/>
          <w:sz w:val="20"/>
          <w:vertAlign w:val="baseline"/>
        </w:rPr>
        <w:t> </w:t>
      </w:r>
      <w:r>
        <w:rPr>
          <w:rFonts w:ascii="Calibri"/>
          <w:sz w:val="20"/>
          <w:vertAlign w:val="baseline"/>
        </w:rPr>
        <w:t>It</w:t>
      </w:r>
      <w:r>
        <w:rPr>
          <w:rFonts w:ascii="Calibri"/>
          <w:spacing w:val="-3"/>
          <w:sz w:val="20"/>
          <w:vertAlign w:val="baseline"/>
        </w:rPr>
        <w:t> </w:t>
      </w:r>
      <w:r>
        <w:rPr>
          <w:rFonts w:ascii="Calibri"/>
          <w:sz w:val="20"/>
          <w:vertAlign w:val="baseline"/>
        </w:rPr>
        <w:t>is curious that</w:t>
      </w:r>
      <w:r>
        <w:rPr>
          <w:rFonts w:ascii="Calibri"/>
          <w:spacing w:val="-3"/>
          <w:sz w:val="20"/>
          <w:vertAlign w:val="baseline"/>
        </w:rPr>
        <w:t> </w:t>
      </w:r>
      <w:r>
        <w:rPr>
          <w:rFonts w:ascii="Calibri"/>
          <w:sz w:val="20"/>
          <w:vertAlign w:val="baseline"/>
        </w:rPr>
        <w:t>the Act does not</w:t>
      </w:r>
      <w:r>
        <w:rPr>
          <w:rFonts w:ascii="Calibri"/>
          <w:spacing w:val="-3"/>
          <w:sz w:val="20"/>
          <w:vertAlign w:val="baseline"/>
        </w:rPr>
        <w:t> </w:t>
      </w:r>
      <w:r>
        <w:rPr>
          <w:rFonts w:ascii="Calibri"/>
          <w:sz w:val="20"/>
          <w:vertAlign w:val="baseline"/>
        </w:rPr>
        <w:t>also</w:t>
      </w:r>
      <w:r>
        <w:rPr>
          <w:rFonts w:ascii="Calibri"/>
          <w:spacing w:val="-3"/>
          <w:sz w:val="20"/>
          <w:vertAlign w:val="baseline"/>
        </w:rPr>
        <w:t> </w:t>
      </w:r>
      <w:r>
        <w:rPr>
          <w:rFonts w:ascii="Calibri"/>
          <w:sz w:val="20"/>
          <w:vertAlign w:val="baseline"/>
        </w:rPr>
        <w:t>grant</w:t>
      </w:r>
      <w:r>
        <w:rPr>
          <w:rFonts w:ascii="Calibri"/>
          <w:spacing w:val="-3"/>
          <w:sz w:val="20"/>
          <w:vertAlign w:val="baseline"/>
        </w:rPr>
        <w:t> </w:t>
      </w:r>
      <w:r>
        <w:rPr>
          <w:rFonts w:ascii="Calibri"/>
          <w:sz w:val="20"/>
          <w:vertAlign w:val="baseline"/>
        </w:rPr>
        <w:t>the company</w:t>
      </w:r>
      <w:r>
        <w:rPr>
          <w:rFonts w:ascii="Calibri"/>
          <w:spacing w:val="-3"/>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right to</w:t>
      </w:r>
      <w:r>
        <w:rPr>
          <w:rFonts w:ascii="Calibri"/>
          <w:spacing w:val="-4"/>
          <w:sz w:val="20"/>
          <w:vertAlign w:val="baseline"/>
        </w:rPr>
        <w:t> </w:t>
      </w:r>
      <w:r>
        <w:rPr>
          <w:rFonts w:ascii="Calibri"/>
          <w:sz w:val="20"/>
          <w:vertAlign w:val="baseline"/>
        </w:rPr>
        <w:t>avoid</w:t>
      </w:r>
      <w:r>
        <w:rPr>
          <w:rFonts w:ascii="Calibri"/>
          <w:spacing w:val="-3"/>
          <w:sz w:val="20"/>
          <w:vertAlign w:val="baseline"/>
        </w:rPr>
        <w:t> </w:t>
      </w:r>
      <w:r>
        <w:rPr>
          <w:rFonts w:ascii="Calibri"/>
          <w:sz w:val="20"/>
          <w:vertAlign w:val="baseline"/>
        </w:rPr>
        <w:t>or</w:t>
      </w:r>
      <w:r>
        <w:rPr>
          <w:rFonts w:ascii="Calibri"/>
          <w:spacing w:val="-1"/>
          <w:sz w:val="20"/>
          <w:vertAlign w:val="baseline"/>
        </w:rPr>
        <w:t> </w:t>
      </w:r>
      <w:r>
        <w:rPr>
          <w:rFonts w:ascii="Calibri"/>
          <w:sz w:val="20"/>
          <w:vertAlign w:val="baseline"/>
        </w:rPr>
        <w:t>rescind the contract as well, as is the case with proposed transactions.</w:t>
      </w:r>
    </w:p>
    <w:p>
      <w:pPr>
        <w:spacing w:before="1"/>
        <w:ind w:left="308" w:right="0" w:firstLine="0"/>
        <w:jc w:val="left"/>
        <w:rPr>
          <w:rFonts w:ascii="Calibri"/>
          <w:sz w:val="20"/>
        </w:rPr>
      </w:pPr>
      <w:r>
        <w:rPr>
          <w:rFonts w:ascii="Calibri"/>
          <w:sz w:val="20"/>
          <w:vertAlign w:val="superscript"/>
        </w:rPr>
        <w:t>357</w:t>
      </w:r>
      <w:r>
        <w:rPr>
          <w:rFonts w:ascii="Calibri"/>
          <w:spacing w:val="2"/>
          <w:sz w:val="20"/>
          <w:vertAlign w:val="baseline"/>
        </w:rPr>
        <w:t> </w:t>
      </w:r>
      <w:r>
        <w:rPr>
          <w:rFonts w:ascii="Calibri"/>
          <w:sz w:val="20"/>
          <w:vertAlign w:val="baseline"/>
        </w:rPr>
        <w:t>See</w:t>
      </w:r>
      <w:r>
        <w:rPr>
          <w:rFonts w:ascii="Calibri"/>
          <w:spacing w:val="-2"/>
          <w:sz w:val="20"/>
          <w:vertAlign w:val="baseline"/>
        </w:rPr>
        <w:t> s.186.</w:t>
      </w:r>
    </w:p>
    <w:p>
      <w:pPr>
        <w:spacing w:before="1"/>
        <w:ind w:left="308" w:right="0" w:firstLine="0"/>
        <w:jc w:val="left"/>
        <w:rPr>
          <w:rFonts w:ascii="Calibri"/>
          <w:sz w:val="20"/>
        </w:rPr>
      </w:pPr>
      <w:r>
        <w:rPr>
          <w:rFonts w:ascii="Calibri"/>
          <w:sz w:val="20"/>
          <w:vertAlign w:val="superscript"/>
        </w:rPr>
        <w:t>358</w:t>
      </w:r>
      <w:r>
        <w:rPr>
          <w:rFonts w:ascii="Calibri"/>
          <w:spacing w:val="2"/>
          <w:sz w:val="20"/>
          <w:vertAlign w:val="baseline"/>
        </w:rPr>
        <w:t> </w:t>
      </w:r>
      <w:r>
        <w:rPr>
          <w:rFonts w:ascii="Calibri"/>
          <w:sz w:val="20"/>
          <w:vertAlign w:val="baseline"/>
        </w:rPr>
        <w:t>See</w:t>
      </w:r>
      <w:r>
        <w:rPr>
          <w:rFonts w:ascii="Calibri"/>
          <w:spacing w:val="-2"/>
          <w:sz w:val="20"/>
          <w:vertAlign w:val="baseline"/>
        </w:rPr>
        <w:t> s.231.</w:t>
      </w:r>
    </w:p>
    <w:p>
      <w:pPr>
        <w:spacing w:before="1"/>
        <w:ind w:left="308" w:right="0" w:firstLine="0"/>
        <w:jc w:val="left"/>
        <w:rPr>
          <w:rFonts w:ascii="Calibri"/>
          <w:sz w:val="20"/>
        </w:rPr>
      </w:pPr>
      <w:r>
        <w:rPr>
          <w:rFonts w:ascii="Calibri"/>
          <w:sz w:val="20"/>
          <w:vertAlign w:val="superscript"/>
        </w:rPr>
        <w:t>359</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5"/>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4"/>
          <w:sz w:val="20"/>
          <w:vertAlign w:val="baseline"/>
        </w:rPr>
        <w:t> </w:t>
      </w:r>
      <w:r>
        <w:rPr>
          <w:rFonts w:ascii="Calibri"/>
          <w:sz w:val="20"/>
          <w:vertAlign w:val="baseline"/>
        </w:rPr>
        <w:t>S.,</w:t>
      </w:r>
      <w:r>
        <w:rPr>
          <w:rFonts w:ascii="Calibri"/>
          <w:spacing w:val="-5"/>
          <w:sz w:val="20"/>
          <w:vertAlign w:val="baseline"/>
        </w:rPr>
        <w:t> </w:t>
      </w:r>
      <w:r>
        <w:rPr>
          <w:rFonts w:ascii="Calibri"/>
          <w:sz w:val="20"/>
          <w:vertAlign w:val="baseline"/>
        </w:rPr>
        <w:t>op.cit.at</w:t>
      </w:r>
      <w:r>
        <w:rPr>
          <w:rFonts w:ascii="Calibri"/>
          <w:spacing w:val="-8"/>
          <w:sz w:val="20"/>
          <w:vertAlign w:val="baseline"/>
        </w:rPr>
        <w:t> </w:t>
      </w:r>
      <w:r>
        <w:rPr>
          <w:rFonts w:ascii="Calibri"/>
          <w:spacing w:val="-2"/>
          <w:sz w:val="20"/>
          <w:vertAlign w:val="baseline"/>
        </w:rPr>
        <w:t>p.564.</w:t>
      </w:r>
    </w:p>
    <w:p>
      <w:pPr>
        <w:spacing w:after="0"/>
        <w:jc w:val="left"/>
        <w:rPr>
          <w:rFonts w:ascii="Calibri"/>
          <w:sz w:val="20"/>
        </w:rPr>
        <w:sectPr>
          <w:pgSz w:w="11910" w:h="16840"/>
          <w:pgMar w:header="0" w:footer="1003" w:top="1320" w:bottom="1200" w:left="1680" w:right="1180"/>
        </w:sectPr>
      </w:pPr>
    </w:p>
    <w:p>
      <w:pPr>
        <w:spacing w:line="480" w:lineRule="auto" w:before="110"/>
        <w:ind w:left="308" w:right="224" w:firstLine="0"/>
        <w:jc w:val="both"/>
        <w:rPr>
          <w:sz w:val="24"/>
        </w:rPr>
      </w:pPr>
      <w:r>
        <w:rPr>
          <w:sz w:val="24"/>
        </w:rPr>
        <w:t>director</w:t>
      </w:r>
      <w:r>
        <w:rPr>
          <w:spacing w:val="40"/>
          <w:sz w:val="24"/>
        </w:rPr>
        <w:t> </w:t>
      </w:r>
      <w:r>
        <w:rPr>
          <w:sz w:val="24"/>
        </w:rPr>
        <w:t>owing</w:t>
      </w:r>
      <w:r>
        <w:rPr>
          <w:spacing w:val="40"/>
          <w:sz w:val="24"/>
        </w:rPr>
        <w:t> </w:t>
      </w:r>
      <w:r>
        <w:rPr>
          <w:sz w:val="24"/>
        </w:rPr>
        <w:t>fiduciary</w:t>
      </w:r>
      <w:r>
        <w:rPr>
          <w:spacing w:val="40"/>
          <w:sz w:val="24"/>
        </w:rPr>
        <w:t> </w:t>
      </w:r>
      <w:r>
        <w:rPr>
          <w:sz w:val="24"/>
        </w:rPr>
        <w:t>duties</w:t>
      </w:r>
      <w:r>
        <w:rPr>
          <w:spacing w:val="40"/>
          <w:sz w:val="24"/>
        </w:rPr>
        <w:t> </w:t>
      </w:r>
      <w:r>
        <w:rPr>
          <w:sz w:val="24"/>
        </w:rPr>
        <w:t>is</w:t>
      </w:r>
      <w:r>
        <w:rPr>
          <w:spacing w:val="40"/>
          <w:sz w:val="24"/>
        </w:rPr>
        <w:t> </w:t>
      </w:r>
      <w:r>
        <w:rPr>
          <w:sz w:val="24"/>
        </w:rPr>
        <w:t>debatable.</w:t>
      </w:r>
      <w:r>
        <w:rPr>
          <w:sz w:val="24"/>
          <w:vertAlign w:val="superscript"/>
        </w:rPr>
        <w:t>360</w:t>
      </w:r>
      <w:r>
        <w:rPr>
          <w:sz w:val="24"/>
          <w:vertAlign w:val="baseline"/>
        </w:rPr>
        <w:t>In</w:t>
      </w:r>
      <w:r>
        <w:rPr>
          <w:spacing w:val="-4"/>
          <w:sz w:val="24"/>
          <w:vertAlign w:val="baseline"/>
        </w:rPr>
        <w:t> </w:t>
      </w:r>
      <w:r>
        <w:rPr>
          <w:b/>
          <w:sz w:val="24"/>
          <w:vertAlign w:val="baseline"/>
        </w:rPr>
        <w:t>Ultraframe</w:t>
      </w:r>
      <w:r>
        <w:rPr>
          <w:b/>
          <w:spacing w:val="40"/>
          <w:sz w:val="24"/>
          <w:vertAlign w:val="baseline"/>
        </w:rPr>
        <w:t> </w:t>
      </w:r>
      <w:r>
        <w:rPr>
          <w:b/>
          <w:sz w:val="24"/>
          <w:vertAlign w:val="baseline"/>
        </w:rPr>
        <w:t>UK</w:t>
      </w:r>
      <w:r>
        <w:rPr>
          <w:b/>
          <w:spacing w:val="40"/>
          <w:sz w:val="24"/>
          <w:vertAlign w:val="baseline"/>
        </w:rPr>
        <w:t> </w:t>
      </w:r>
      <w:r>
        <w:rPr>
          <w:b/>
          <w:sz w:val="24"/>
          <w:vertAlign w:val="baseline"/>
        </w:rPr>
        <w:t>Ltd</w:t>
      </w:r>
      <w:r>
        <w:rPr>
          <w:b/>
          <w:spacing w:val="40"/>
          <w:sz w:val="24"/>
          <w:vertAlign w:val="baseline"/>
        </w:rPr>
        <w:t> </w:t>
      </w:r>
      <w:r>
        <w:rPr>
          <w:b/>
          <w:sz w:val="24"/>
          <w:vertAlign w:val="baseline"/>
        </w:rPr>
        <w:t>vs.</w:t>
      </w:r>
      <w:r>
        <w:rPr>
          <w:b/>
          <w:spacing w:val="40"/>
          <w:sz w:val="24"/>
          <w:vertAlign w:val="baseline"/>
        </w:rPr>
        <w:t> </w:t>
      </w:r>
      <w:r>
        <w:rPr>
          <w:b/>
          <w:sz w:val="24"/>
          <w:vertAlign w:val="baseline"/>
        </w:rPr>
        <w:t>Fielding</w:t>
      </w:r>
      <w:r>
        <w:rPr>
          <w:sz w:val="24"/>
          <w:vertAlign w:val="superscript"/>
        </w:rPr>
        <w:t>361</w:t>
      </w:r>
      <w:r>
        <w:rPr>
          <w:spacing w:val="-1"/>
          <w:sz w:val="24"/>
          <w:vertAlign w:val="baseline"/>
        </w:rPr>
        <w:t> </w:t>
      </w:r>
      <w:r>
        <w:rPr>
          <w:sz w:val="24"/>
          <w:vertAlign w:val="baseline"/>
        </w:rPr>
        <w:t>the High Court stated that "</w:t>
      </w:r>
      <w:r>
        <w:rPr>
          <w:i/>
          <w:sz w:val="24"/>
          <w:vertAlign w:val="baseline"/>
        </w:rPr>
        <w:t>the indirect influence exerted by a paradigm shadow</w:t>
      </w:r>
      <w:r>
        <w:rPr>
          <w:i/>
          <w:spacing w:val="-2"/>
          <w:sz w:val="24"/>
          <w:vertAlign w:val="baseline"/>
        </w:rPr>
        <w:t> </w:t>
      </w:r>
      <w:r>
        <w:rPr>
          <w:i/>
          <w:sz w:val="24"/>
          <w:vertAlign w:val="baseline"/>
        </w:rPr>
        <w:t>director who does not directly deal with or claim the right to deal directly with the company's assets will not usually...be enough to impose fiduciary duties upon him.</w:t>
      </w:r>
      <w:r>
        <w:rPr>
          <w:sz w:val="24"/>
          <w:vertAlign w:val="baseline"/>
        </w:rPr>
        <w:t>‖ At the most, it appears that he would owe the duty to act in good faith towards the company only in relation to the directions or instructions he gives the others.</w:t>
      </w:r>
      <w:r>
        <w:rPr>
          <w:sz w:val="24"/>
          <w:vertAlign w:val="superscript"/>
        </w:rPr>
        <w:t>362</w:t>
      </w:r>
      <w:r>
        <w:rPr>
          <w:sz w:val="24"/>
          <w:vertAlign w:val="baseline"/>
        </w:rPr>
        <w:t> Davies and Worthington</w:t>
      </w:r>
      <w:r>
        <w:rPr>
          <w:spacing w:val="-1"/>
          <w:sz w:val="24"/>
          <w:vertAlign w:val="baseline"/>
        </w:rPr>
        <w:t> </w:t>
      </w:r>
      <w:r>
        <w:rPr>
          <w:sz w:val="24"/>
          <w:vertAlign w:val="baseline"/>
        </w:rPr>
        <w:t>are also aligned to</w:t>
      </w:r>
      <w:r>
        <w:rPr>
          <w:spacing w:val="-1"/>
          <w:sz w:val="24"/>
          <w:vertAlign w:val="baseline"/>
        </w:rPr>
        <w:t> </w:t>
      </w:r>
      <w:r>
        <w:rPr>
          <w:sz w:val="24"/>
          <w:vertAlign w:val="baseline"/>
        </w:rPr>
        <w:t>this view,</w:t>
      </w:r>
      <w:r>
        <w:rPr>
          <w:sz w:val="24"/>
          <w:vertAlign w:val="superscript"/>
        </w:rPr>
        <w:t>363</w:t>
      </w:r>
      <w:r>
        <w:rPr>
          <w:sz w:val="24"/>
          <w:vertAlign w:val="baseline"/>
        </w:rPr>
        <w:t> although</w:t>
      </w:r>
      <w:r>
        <w:rPr>
          <w:spacing w:val="-1"/>
          <w:sz w:val="24"/>
          <w:vertAlign w:val="baseline"/>
        </w:rPr>
        <w:t> </w:t>
      </w:r>
      <w:r>
        <w:rPr>
          <w:sz w:val="24"/>
          <w:vertAlign w:val="baseline"/>
        </w:rPr>
        <w:t>generally, case context is all- </w:t>
      </w:r>
      <w:r>
        <w:rPr>
          <w:spacing w:val="-2"/>
          <w:sz w:val="24"/>
          <w:vertAlign w:val="baseline"/>
        </w:rPr>
        <w:t>important.</w:t>
      </w:r>
      <w:r>
        <w:rPr>
          <w:spacing w:val="-2"/>
          <w:sz w:val="24"/>
          <w:vertAlign w:val="superscript"/>
        </w:rPr>
        <w:t>364</w:t>
      </w:r>
    </w:p>
    <w:p>
      <w:pPr>
        <w:pStyle w:val="BodyText"/>
        <w:spacing w:line="480" w:lineRule="auto" w:before="2"/>
        <w:ind w:right="229" w:firstLine="720"/>
        <w:jc w:val="both"/>
      </w:pPr>
      <w:r>
        <w:rPr/>
        <w:t>Curiously, the shadow director is expressly obligated to disclose existing transactions or arrangements with the company.</w:t>
      </w:r>
      <w:r>
        <w:rPr>
          <w:vertAlign w:val="superscript"/>
        </w:rPr>
        <w:t>365</w:t>
      </w:r>
      <w:r>
        <w:rPr>
          <w:vertAlign w:val="baseline"/>
        </w:rPr>
        <w:t> Why the same is not the case for proposed transactions, is unclear. It has been opined,</w:t>
      </w:r>
      <w:r>
        <w:rPr>
          <w:vertAlign w:val="superscript"/>
        </w:rPr>
        <w:t>366</w:t>
      </w:r>
      <w:r>
        <w:rPr>
          <w:vertAlign w:val="baseline"/>
        </w:rPr>
        <w:t> and this writer subscribes to the opinion, that it is more imperative for the shadow director to disclose proposed than existing transactions, considering the company may not have the opportunity of pulling out in the case of the latter, unlike the former.</w:t>
      </w:r>
    </w:p>
    <w:p>
      <w:pPr>
        <w:pStyle w:val="BodyText"/>
        <w:spacing w:line="480" w:lineRule="auto" w:before="1"/>
        <w:ind w:right="231" w:firstLine="720"/>
        <w:jc w:val="both"/>
      </w:pPr>
      <w:r>
        <w:rPr/>
        <w:t>S.182 imposes upon a director a new and continuing duty to disclose, where he fails to disclose the interest in the beginning. Thus, if for whatever reason the director fails to disclose in the beginning (at the contract stage), he is still obliged to disclose even after the company commits itself to the transaction or arrangement, in spite of the fact that the company may not have the opportunity</w:t>
      </w:r>
      <w:r>
        <w:rPr>
          <w:spacing w:val="-1"/>
        </w:rPr>
        <w:t> </w:t>
      </w:r>
      <w:r>
        <w:rPr/>
        <w:t>to rescind. Connected as s.177 is to s.182,</w:t>
      </w:r>
      <w:r>
        <w:rPr>
          <w:spacing w:val="33"/>
        </w:rPr>
        <w:t>  </w:t>
      </w:r>
      <w:r>
        <w:rPr/>
        <w:t>it</w:t>
      </w:r>
      <w:r>
        <w:rPr>
          <w:spacing w:val="36"/>
        </w:rPr>
        <w:t>  </w:t>
      </w:r>
      <w:r>
        <w:rPr/>
        <w:t>is</w:t>
      </w:r>
      <w:r>
        <w:rPr>
          <w:spacing w:val="33"/>
        </w:rPr>
        <w:t>  </w:t>
      </w:r>
      <w:r>
        <w:rPr/>
        <w:t>curious</w:t>
      </w:r>
      <w:r>
        <w:rPr>
          <w:spacing w:val="33"/>
        </w:rPr>
        <w:t>  </w:t>
      </w:r>
      <w:r>
        <w:rPr/>
        <w:t>that</w:t>
      </w:r>
      <w:r>
        <w:rPr>
          <w:spacing w:val="35"/>
        </w:rPr>
        <w:t>  </w:t>
      </w:r>
      <w:r>
        <w:rPr/>
        <w:t>the</w:t>
      </w:r>
      <w:r>
        <w:rPr>
          <w:spacing w:val="33"/>
        </w:rPr>
        <w:t>  </w:t>
      </w:r>
      <w:r>
        <w:rPr/>
        <w:t>sections</w:t>
      </w:r>
      <w:r>
        <w:rPr>
          <w:spacing w:val="33"/>
        </w:rPr>
        <w:t>  </w:t>
      </w:r>
      <w:r>
        <w:rPr/>
        <w:t>are</w:t>
      </w:r>
      <w:r>
        <w:rPr>
          <w:spacing w:val="34"/>
        </w:rPr>
        <w:t>  </w:t>
      </w:r>
      <w:r>
        <w:rPr/>
        <w:t>so</w:t>
      </w:r>
      <w:r>
        <w:rPr>
          <w:spacing w:val="36"/>
        </w:rPr>
        <w:t>  </w:t>
      </w:r>
      <w:r>
        <w:rPr/>
        <w:t>far</w:t>
      </w:r>
      <w:r>
        <w:rPr>
          <w:spacing w:val="35"/>
        </w:rPr>
        <w:t>  </w:t>
      </w:r>
      <w:r>
        <w:rPr/>
        <w:t>apart</w:t>
      </w:r>
      <w:r>
        <w:rPr>
          <w:spacing w:val="32"/>
        </w:rPr>
        <w:t>  </w:t>
      </w:r>
      <w:r>
        <w:rPr/>
        <w:t>or</w:t>
      </w:r>
      <w:r>
        <w:rPr>
          <w:spacing w:val="33"/>
        </w:rPr>
        <w:t>  </w:t>
      </w:r>
      <w:r>
        <w:rPr/>
        <w:t>not</w:t>
      </w:r>
      <w:r>
        <w:rPr>
          <w:spacing w:val="37"/>
        </w:rPr>
        <w:t>  </w:t>
      </w:r>
      <w:r>
        <w:rPr>
          <w:spacing w:val="-2"/>
        </w:rPr>
        <w:t>incorporated.</w:t>
      </w:r>
    </w:p>
    <w:p>
      <w:pPr>
        <w:pStyle w:val="BodyText"/>
        <w:ind w:left="0"/>
        <w:rPr>
          <w:sz w:val="20"/>
        </w:rPr>
      </w:pPr>
    </w:p>
    <w:p>
      <w:pPr>
        <w:pStyle w:val="BodyText"/>
        <w:ind w:left="0"/>
        <w:rPr>
          <w:sz w:val="20"/>
        </w:rPr>
      </w:pPr>
    </w:p>
    <w:p>
      <w:pPr>
        <w:pStyle w:val="BodyText"/>
        <w:spacing w:before="188"/>
        <w:ind w:left="0"/>
        <w:rPr>
          <w:sz w:val="20"/>
        </w:rPr>
      </w:pPr>
      <w:r>
        <w:rPr/>
        <mc:AlternateContent>
          <mc:Choice Requires="wps">
            <w:drawing>
              <wp:anchor distT="0" distB="0" distL="0" distR="0" allowOverlap="1" layoutInCell="1" locked="0" behindDoc="1" simplePos="0" relativeHeight="487711232">
                <wp:simplePos x="0" y="0"/>
                <wp:positionH relativeFrom="page">
                  <wp:posOffset>1262481</wp:posOffset>
                </wp:positionH>
                <wp:positionV relativeFrom="paragraph">
                  <wp:posOffset>280782</wp:posOffset>
                </wp:positionV>
                <wp:extent cx="1829435" cy="9525"/>
                <wp:effectExtent l="0" t="0" r="0" b="0"/>
                <wp:wrapTopAndBottom/>
                <wp:docPr id="268" name="Graphic 268"/>
                <wp:cNvGraphicFramePr>
                  <a:graphicFrameLocks/>
                </wp:cNvGraphicFramePr>
                <a:graphic>
                  <a:graphicData uri="http://schemas.microsoft.com/office/word/2010/wordprocessingShape">
                    <wps:wsp>
                      <wps:cNvPr id="268" name="Graphic 26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2.108858pt;width:144.050pt;height:.71997pt;mso-position-horizontal-relative:page;mso-position-vertical-relative:paragraph;z-index:-15605248;mso-wrap-distance-left:0;mso-wrap-distance-right:0" id="docshape223"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360</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Birds,</w:t>
      </w:r>
      <w:r>
        <w:rPr>
          <w:rFonts w:ascii="Calibri"/>
          <w:spacing w:val="-4"/>
          <w:sz w:val="20"/>
          <w:vertAlign w:val="baseline"/>
        </w:rPr>
        <w:t> </w:t>
      </w:r>
      <w:r>
        <w:rPr>
          <w:rFonts w:ascii="Calibri"/>
          <w:sz w:val="20"/>
          <w:vertAlign w:val="baseline"/>
        </w:rPr>
        <w:t>J.</w:t>
      </w:r>
      <w:r>
        <w:rPr>
          <w:rFonts w:ascii="Calibri"/>
          <w:spacing w:val="-4"/>
          <w:sz w:val="20"/>
          <w:vertAlign w:val="baseline"/>
        </w:rPr>
        <w:t> </w:t>
      </w:r>
      <w:r>
        <w:rPr>
          <w:rFonts w:ascii="Calibri"/>
          <w:sz w:val="20"/>
          <w:vertAlign w:val="baseline"/>
        </w:rPr>
        <w:t>et</w:t>
      </w:r>
      <w:r>
        <w:rPr>
          <w:rFonts w:ascii="Calibri"/>
          <w:spacing w:val="-7"/>
          <w:sz w:val="20"/>
          <w:vertAlign w:val="baseline"/>
        </w:rPr>
        <w:t> </w:t>
      </w:r>
      <w:r>
        <w:rPr>
          <w:rFonts w:ascii="Calibri"/>
          <w:sz w:val="20"/>
          <w:vertAlign w:val="baseline"/>
        </w:rPr>
        <w:t>al.</w:t>
      </w:r>
      <w:r>
        <w:rPr>
          <w:rFonts w:ascii="Calibri"/>
          <w:spacing w:val="-5"/>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3"/>
          <w:sz w:val="20"/>
          <w:vertAlign w:val="baseline"/>
        </w:rPr>
        <w:t> </w:t>
      </w:r>
      <w:r>
        <w:rPr>
          <w:rFonts w:ascii="Calibri"/>
          <w:sz w:val="20"/>
          <w:vertAlign w:val="baseline"/>
        </w:rPr>
        <w:t>p.580</w:t>
      </w:r>
      <w:r>
        <w:rPr>
          <w:rFonts w:ascii="Calibri"/>
          <w:spacing w:val="-3"/>
          <w:sz w:val="20"/>
          <w:vertAlign w:val="baseline"/>
        </w:rPr>
        <w:t> </w:t>
      </w:r>
      <w:r>
        <w:rPr>
          <w:rFonts w:ascii="Calibri"/>
          <w:sz w:val="20"/>
          <w:vertAlign w:val="baseline"/>
        </w:rPr>
        <w:t>footnote</w:t>
      </w:r>
      <w:r>
        <w:rPr>
          <w:rFonts w:ascii="Calibri"/>
          <w:spacing w:val="-6"/>
          <w:sz w:val="20"/>
          <w:vertAlign w:val="baseline"/>
        </w:rPr>
        <w:t> </w:t>
      </w:r>
      <w:r>
        <w:rPr>
          <w:rFonts w:ascii="Calibri"/>
          <w:sz w:val="20"/>
          <w:vertAlign w:val="baseline"/>
        </w:rPr>
        <w:t>27</w:t>
      </w:r>
      <w:r>
        <w:rPr>
          <w:rFonts w:ascii="Calibri"/>
          <w:spacing w:val="-3"/>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pp.626-</w:t>
      </w:r>
      <w:r>
        <w:rPr>
          <w:rFonts w:ascii="Calibri"/>
          <w:spacing w:val="-4"/>
          <w:sz w:val="20"/>
          <w:vertAlign w:val="baseline"/>
        </w:rPr>
        <w:t>627.</w:t>
      </w:r>
    </w:p>
    <w:p>
      <w:pPr>
        <w:spacing w:line="242" w:lineRule="exact" w:before="0"/>
        <w:ind w:left="308" w:right="0" w:firstLine="0"/>
        <w:jc w:val="left"/>
        <w:rPr>
          <w:rFonts w:ascii="Calibri"/>
          <w:sz w:val="20"/>
        </w:rPr>
      </w:pPr>
      <w:r>
        <w:rPr>
          <w:rFonts w:ascii="Calibri"/>
          <w:sz w:val="20"/>
          <w:vertAlign w:val="superscript"/>
        </w:rPr>
        <w:t>361</w:t>
      </w:r>
      <w:r>
        <w:rPr>
          <w:rFonts w:ascii="Calibri"/>
          <w:sz w:val="20"/>
          <w:vertAlign w:val="baseline"/>
        </w:rPr>
        <w:t>(2005)</w:t>
      </w:r>
      <w:r>
        <w:rPr>
          <w:rFonts w:ascii="Calibri"/>
          <w:spacing w:val="-6"/>
          <w:sz w:val="20"/>
          <w:vertAlign w:val="baseline"/>
        </w:rPr>
        <w:t> </w:t>
      </w:r>
      <w:r>
        <w:rPr>
          <w:rFonts w:ascii="Calibri"/>
          <w:sz w:val="20"/>
          <w:vertAlign w:val="baseline"/>
        </w:rPr>
        <w:t>EWHC</w:t>
      </w:r>
      <w:r>
        <w:rPr>
          <w:rFonts w:ascii="Calibri"/>
          <w:spacing w:val="-4"/>
          <w:sz w:val="20"/>
          <w:vertAlign w:val="baseline"/>
        </w:rPr>
        <w:t> </w:t>
      </w:r>
      <w:r>
        <w:rPr>
          <w:rFonts w:ascii="Calibri"/>
          <w:sz w:val="20"/>
          <w:vertAlign w:val="baseline"/>
        </w:rPr>
        <w:t>1638</w:t>
      </w:r>
      <w:r>
        <w:rPr>
          <w:rFonts w:ascii="Calibri"/>
          <w:spacing w:val="-3"/>
          <w:sz w:val="20"/>
          <w:vertAlign w:val="baseline"/>
        </w:rPr>
        <w:t> </w:t>
      </w:r>
      <w:r>
        <w:rPr>
          <w:rFonts w:ascii="Calibri"/>
          <w:spacing w:val="-5"/>
          <w:sz w:val="20"/>
          <w:vertAlign w:val="baseline"/>
        </w:rPr>
        <w:t>Ch.</w:t>
      </w:r>
    </w:p>
    <w:p>
      <w:pPr>
        <w:spacing w:before="1"/>
        <w:ind w:left="308" w:right="0" w:firstLine="0"/>
        <w:jc w:val="left"/>
        <w:rPr>
          <w:rFonts w:ascii="Calibri"/>
          <w:b/>
          <w:sz w:val="20"/>
        </w:rPr>
      </w:pPr>
      <w:r>
        <w:rPr>
          <w:rFonts w:ascii="Calibri"/>
          <w:sz w:val="20"/>
          <w:vertAlign w:val="superscript"/>
        </w:rPr>
        <w:t>362</w:t>
      </w:r>
      <w:r>
        <w:rPr>
          <w:rFonts w:ascii="Calibri"/>
          <w:spacing w:val="-5"/>
          <w:sz w:val="20"/>
          <w:vertAlign w:val="baseline"/>
        </w:rPr>
        <w:t> </w:t>
      </w:r>
      <w:r>
        <w:rPr>
          <w:rFonts w:ascii="Calibri"/>
          <w:sz w:val="20"/>
          <w:vertAlign w:val="baseline"/>
        </w:rPr>
        <w:t>See</w:t>
      </w:r>
      <w:r>
        <w:rPr>
          <w:rFonts w:ascii="Calibri"/>
          <w:spacing w:val="-5"/>
          <w:sz w:val="20"/>
          <w:vertAlign w:val="baseline"/>
        </w:rPr>
        <w:t> </w:t>
      </w:r>
      <w:r>
        <w:rPr>
          <w:rFonts w:ascii="Calibri"/>
          <w:b/>
          <w:i/>
          <w:sz w:val="20"/>
          <w:vertAlign w:val="baseline"/>
        </w:rPr>
        <w:t>Vivendi</w:t>
      </w:r>
      <w:r>
        <w:rPr>
          <w:rFonts w:ascii="Calibri"/>
          <w:b/>
          <w:i/>
          <w:spacing w:val="-7"/>
          <w:sz w:val="20"/>
          <w:vertAlign w:val="baseline"/>
        </w:rPr>
        <w:t> </w:t>
      </w:r>
      <w:r>
        <w:rPr>
          <w:rFonts w:ascii="Calibri"/>
          <w:b/>
          <w:i/>
          <w:sz w:val="20"/>
          <w:vertAlign w:val="baseline"/>
        </w:rPr>
        <w:t>SA</w:t>
      </w:r>
      <w:r>
        <w:rPr>
          <w:rFonts w:ascii="Calibri"/>
          <w:b/>
          <w:i/>
          <w:spacing w:val="-8"/>
          <w:sz w:val="20"/>
          <w:vertAlign w:val="baseline"/>
        </w:rPr>
        <w:t> </w:t>
      </w:r>
      <w:r>
        <w:rPr>
          <w:rFonts w:ascii="Calibri"/>
          <w:b/>
          <w:i/>
          <w:sz w:val="20"/>
          <w:vertAlign w:val="baseline"/>
        </w:rPr>
        <w:t>vs.</w:t>
      </w:r>
      <w:r>
        <w:rPr>
          <w:rFonts w:ascii="Calibri"/>
          <w:b/>
          <w:i/>
          <w:spacing w:val="-7"/>
          <w:sz w:val="20"/>
          <w:vertAlign w:val="baseline"/>
        </w:rPr>
        <w:t> </w:t>
      </w:r>
      <w:r>
        <w:rPr>
          <w:rFonts w:ascii="Calibri"/>
          <w:b/>
          <w:i/>
          <w:sz w:val="20"/>
          <w:vertAlign w:val="baseline"/>
        </w:rPr>
        <w:t>Richards</w:t>
      </w:r>
      <w:r>
        <w:rPr>
          <w:rFonts w:ascii="Calibri"/>
          <w:b/>
          <w:i/>
          <w:spacing w:val="-1"/>
          <w:sz w:val="20"/>
          <w:vertAlign w:val="baseline"/>
        </w:rPr>
        <w:t> </w:t>
      </w:r>
      <w:r>
        <w:rPr>
          <w:rFonts w:ascii="Calibri"/>
          <w:b/>
          <w:sz w:val="20"/>
          <w:vertAlign w:val="baseline"/>
        </w:rPr>
        <w:t>(2013)</w:t>
      </w:r>
      <w:r>
        <w:rPr>
          <w:rFonts w:ascii="Calibri"/>
          <w:b/>
          <w:spacing w:val="-1"/>
          <w:sz w:val="20"/>
          <w:vertAlign w:val="baseline"/>
        </w:rPr>
        <w:t> </w:t>
      </w:r>
      <w:r>
        <w:rPr>
          <w:rFonts w:ascii="Calibri"/>
          <w:b/>
          <w:sz w:val="20"/>
          <w:vertAlign w:val="baseline"/>
        </w:rPr>
        <w:t>EWHC</w:t>
      </w:r>
      <w:r>
        <w:rPr>
          <w:rFonts w:ascii="Calibri"/>
          <w:b/>
          <w:spacing w:val="-1"/>
          <w:sz w:val="20"/>
          <w:vertAlign w:val="baseline"/>
        </w:rPr>
        <w:t> </w:t>
      </w:r>
      <w:r>
        <w:rPr>
          <w:rFonts w:ascii="Calibri"/>
          <w:b/>
          <w:spacing w:val="-2"/>
          <w:sz w:val="20"/>
          <w:vertAlign w:val="baseline"/>
        </w:rPr>
        <w:t>3006.</w:t>
      </w:r>
    </w:p>
    <w:p>
      <w:pPr>
        <w:spacing w:before="1"/>
        <w:ind w:left="308" w:right="0" w:firstLine="0"/>
        <w:jc w:val="left"/>
        <w:rPr>
          <w:rFonts w:ascii="Calibri"/>
          <w:sz w:val="20"/>
        </w:rPr>
      </w:pPr>
      <w:r>
        <w:rPr>
          <w:rFonts w:ascii="Calibri"/>
          <w:sz w:val="20"/>
          <w:vertAlign w:val="superscript"/>
        </w:rPr>
        <w:t>363</w:t>
      </w:r>
      <w:r>
        <w:rPr>
          <w:rFonts w:ascii="Calibri"/>
          <w:spacing w:val="-2"/>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Davies,</w:t>
      </w:r>
      <w:r>
        <w:rPr>
          <w:rFonts w:ascii="Calibri"/>
          <w:spacing w:val="-5"/>
          <w:sz w:val="20"/>
          <w:vertAlign w:val="baseline"/>
        </w:rPr>
        <w:t> </w:t>
      </w:r>
      <w:r>
        <w:rPr>
          <w:rFonts w:ascii="Calibri"/>
          <w:sz w:val="20"/>
          <w:vertAlign w:val="baseline"/>
        </w:rPr>
        <w:t>L.P.</w:t>
      </w:r>
      <w:r>
        <w:rPr>
          <w:rFonts w:ascii="Calibri"/>
          <w:spacing w:val="-2"/>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10"/>
          <w:sz w:val="20"/>
          <w:vertAlign w:val="baseline"/>
        </w:rPr>
        <w:t> </w:t>
      </w:r>
      <w:r>
        <w:rPr>
          <w:rFonts w:ascii="Calibri"/>
          <w:sz w:val="20"/>
          <w:vertAlign w:val="baseline"/>
        </w:rPr>
        <w:t>op.cit.</w:t>
      </w:r>
      <w:r>
        <w:rPr>
          <w:rFonts w:ascii="Calibri"/>
          <w:spacing w:val="-2"/>
          <w:sz w:val="20"/>
          <w:vertAlign w:val="baseline"/>
        </w:rPr>
        <w:t> </w:t>
      </w:r>
      <w:r>
        <w:rPr>
          <w:rFonts w:ascii="Calibri"/>
          <w:sz w:val="20"/>
          <w:vertAlign w:val="baseline"/>
        </w:rPr>
        <w:t>at</w:t>
      </w:r>
      <w:r>
        <w:rPr>
          <w:rFonts w:ascii="Calibri"/>
          <w:spacing w:val="-8"/>
          <w:sz w:val="20"/>
          <w:vertAlign w:val="baseline"/>
        </w:rPr>
        <w:t> </w:t>
      </w:r>
      <w:r>
        <w:rPr>
          <w:rFonts w:ascii="Calibri"/>
          <w:spacing w:val="-2"/>
          <w:sz w:val="20"/>
          <w:vertAlign w:val="baseline"/>
        </w:rPr>
        <w:t>p.514.</w:t>
      </w:r>
    </w:p>
    <w:p>
      <w:pPr>
        <w:spacing w:before="1"/>
        <w:ind w:left="308" w:right="233" w:firstLine="0"/>
        <w:jc w:val="left"/>
        <w:rPr>
          <w:rFonts w:ascii="Calibri"/>
          <w:sz w:val="20"/>
        </w:rPr>
      </w:pPr>
      <w:r>
        <w:rPr>
          <w:rFonts w:ascii="Calibri"/>
          <w:sz w:val="20"/>
          <w:vertAlign w:val="superscript"/>
        </w:rPr>
        <w:t>364</w:t>
      </w:r>
      <w:r>
        <w:rPr>
          <w:rFonts w:ascii="Calibri"/>
          <w:spacing w:val="28"/>
          <w:sz w:val="20"/>
          <w:vertAlign w:val="baseline"/>
        </w:rPr>
        <w:t> </w:t>
      </w:r>
      <w:r>
        <w:rPr>
          <w:rFonts w:ascii="Calibri"/>
          <w:sz w:val="20"/>
          <w:vertAlign w:val="baseline"/>
        </w:rPr>
        <w:t>Mackenzie, G.</w:t>
      </w:r>
      <w:r>
        <w:rPr>
          <w:rFonts w:ascii="Calibri"/>
          <w:spacing w:val="23"/>
          <w:sz w:val="20"/>
          <w:vertAlign w:val="baseline"/>
        </w:rPr>
        <w:t> </w:t>
      </w:r>
      <w:r>
        <w:rPr>
          <w:rFonts w:ascii="Calibri"/>
          <w:sz w:val="20"/>
          <w:vertAlign w:val="baseline"/>
        </w:rPr>
        <w:t>(2013).</w:t>
      </w:r>
      <w:r>
        <w:rPr>
          <w:rFonts w:ascii="Calibri"/>
          <w:spacing w:val="30"/>
          <w:sz w:val="20"/>
          <w:vertAlign w:val="baseline"/>
        </w:rPr>
        <w:t> </w:t>
      </w:r>
      <w:r>
        <w:rPr>
          <w:rFonts w:ascii="Calibri"/>
          <w:i/>
          <w:sz w:val="20"/>
          <w:vertAlign w:val="baseline"/>
        </w:rPr>
        <w:t>Shadow</w:t>
      </w:r>
      <w:r>
        <w:rPr>
          <w:rFonts w:ascii="Calibri"/>
          <w:i/>
          <w:spacing w:val="26"/>
          <w:sz w:val="20"/>
          <w:vertAlign w:val="baseline"/>
        </w:rPr>
        <w:t> </w:t>
      </w:r>
      <w:r>
        <w:rPr>
          <w:rFonts w:ascii="Calibri"/>
          <w:i/>
          <w:sz w:val="20"/>
          <w:vertAlign w:val="baseline"/>
        </w:rPr>
        <w:t>Directors</w:t>
      </w:r>
      <w:r>
        <w:rPr>
          <w:rFonts w:ascii="Calibri"/>
          <w:i/>
          <w:spacing w:val="24"/>
          <w:sz w:val="20"/>
          <w:vertAlign w:val="baseline"/>
        </w:rPr>
        <w:t> </w:t>
      </w:r>
      <w:r>
        <w:rPr>
          <w:rFonts w:ascii="Calibri"/>
          <w:i/>
          <w:sz w:val="20"/>
          <w:vertAlign w:val="baseline"/>
        </w:rPr>
        <w:t>and</w:t>
      </w:r>
      <w:r>
        <w:rPr>
          <w:rFonts w:ascii="Calibri"/>
          <w:i/>
          <w:spacing w:val="28"/>
          <w:sz w:val="20"/>
          <w:vertAlign w:val="baseline"/>
        </w:rPr>
        <w:t> </w:t>
      </w:r>
      <w:r>
        <w:rPr>
          <w:rFonts w:ascii="Calibri"/>
          <w:i/>
          <w:sz w:val="20"/>
          <w:vertAlign w:val="baseline"/>
        </w:rPr>
        <w:t>their</w:t>
      </w:r>
      <w:r>
        <w:rPr>
          <w:rFonts w:ascii="Calibri"/>
          <w:i/>
          <w:spacing w:val="24"/>
          <w:sz w:val="20"/>
          <w:vertAlign w:val="baseline"/>
        </w:rPr>
        <w:t> </w:t>
      </w:r>
      <w:r>
        <w:rPr>
          <w:rFonts w:ascii="Calibri"/>
          <w:i/>
          <w:sz w:val="20"/>
          <w:vertAlign w:val="baseline"/>
        </w:rPr>
        <w:t>Duties</w:t>
      </w:r>
      <w:r>
        <w:rPr>
          <w:rFonts w:ascii="Calibri"/>
          <w:sz w:val="20"/>
          <w:vertAlign w:val="baseline"/>
        </w:rPr>
        <w:t>.</w:t>
      </w:r>
      <w:r>
        <w:rPr>
          <w:rFonts w:ascii="Calibri"/>
          <w:spacing w:val="23"/>
          <w:sz w:val="20"/>
          <w:vertAlign w:val="baseline"/>
        </w:rPr>
        <w:t> </w:t>
      </w:r>
      <w:r>
        <w:rPr>
          <w:rFonts w:ascii="Calibri"/>
          <w:sz w:val="20"/>
          <w:vertAlign w:val="baseline"/>
        </w:rPr>
        <w:t>Walker</w:t>
      </w:r>
      <w:r>
        <w:rPr>
          <w:rFonts w:ascii="Calibri"/>
          <w:spacing w:val="22"/>
          <w:sz w:val="20"/>
          <w:vertAlign w:val="baseline"/>
        </w:rPr>
        <w:t> </w:t>
      </w:r>
      <w:r>
        <w:rPr>
          <w:rFonts w:ascii="Calibri"/>
          <w:sz w:val="20"/>
          <w:vertAlign w:val="baseline"/>
        </w:rPr>
        <w:t>Morris</w:t>
      </w:r>
      <w:r>
        <w:rPr>
          <w:rFonts w:ascii="Calibri"/>
          <w:spacing w:val="24"/>
          <w:sz w:val="20"/>
          <w:vertAlign w:val="baseline"/>
        </w:rPr>
        <w:t> </w:t>
      </w:r>
      <w:r>
        <w:rPr>
          <w:rFonts w:ascii="Calibri"/>
          <w:sz w:val="20"/>
          <w:vertAlign w:val="baseline"/>
        </w:rPr>
        <w:t>LLP.</w:t>
      </w:r>
      <w:r>
        <w:rPr>
          <w:rFonts w:ascii="Calibri"/>
          <w:spacing w:val="28"/>
          <w:sz w:val="20"/>
          <w:vertAlign w:val="baseline"/>
        </w:rPr>
        <w:t> </w:t>
      </w:r>
      <w:r>
        <w:rPr>
          <w:rFonts w:ascii="Calibri"/>
          <w:sz w:val="20"/>
          <w:vertAlign w:val="baseline"/>
        </w:rPr>
        <w:t>Retrieved</w:t>
      </w:r>
      <w:r>
        <w:rPr>
          <w:rFonts w:ascii="Calibri"/>
          <w:spacing w:val="26"/>
          <w:sz w:val="20"/>
          <w:vertAlign w:val="baseline"/>
        </w:rPr>
        <w:t> </w:t>
      </w:r>
      <w:r>
        <w:rPr>
          <w:rFonts w:ascii="Calibri"/>
          <w:sz w:val="20"/>
          <w:vertAlign w:val="baseline"/>
        </w:rPr>
        <w:t>2</w:t>
      </w:r>
      <w:r>
        <w:rPr>
          <w:rFonts w:ascii="Calibri"/>
          <w:sz w:val="20"/>
          <w:vertAlign w:val="superscript"/>
        </w:rPr>
        <w:t>nd</w:t>
      </w:r>
      <w:r>
        <w:rPr>
          <w:rFonts w:ascii="Calibri"/>
          <w:spacing w:val="25"/>
          <w:sz w:val="20"/>
          <w:vertAlign w:val="baseline"/>
        </w:rPr>
        <w:t> </w:t>
      </w:r>
      <w:r>
        <w:rPr>
          <w:rFonts w:ascii="Calibri"/>
          <w:sz w:val="20"/>
          <w:vertAlign w:val="baseline"/>
        </w:rPr>
        <w:t>March 2013 from </w:t>
      </w:r>
      <w:hyperlink r:id="rId63">
        <w:r>
          <w:rPr>
            <w:rFonts w:ascii="Calibri"/>
            <w:color w:val="0000FF"/>
            <w:sz w:val="20"/>
            <w:u w:val="single" w:color="0000FF"/>
            <w:vertAlign w:val="baseline"/>
          </w:rPr>
          <w:t>http://www.walkermorris.co.uk/shadow-directors-and-their-duties</w:t>
        </w:r>
      </w:hyperlink>
      <w:r>
        <w:rPr>
          <w:rFonts w:ascii="Calibri"/>
          <w:sz w:val="20"/>
          <w:vertAlign w:val="baseline"/>
        </w:rPr>
        <w:t>.</w:t>
      </w:r>
    </w:p>
    <w:p>
      <w:pPr>
        <w:spacing w:before="1"/>
        <w:ind w:left="308" w:right="0" w:firstLine="0"/>
        <w:jc w:val="left"/>
        <w:rPr>
          <w:rFonts w:ascii="Calibri"/>
          <w:sz w:val="20"/>
        </w:rPr>
      </w:pPr>
      <w:r>
        <w:rPr>
          <w:rFonts w:ascii="Calibri"/>
          <w:sz w:val="20"/>
          <w:vertAlign w:val="superscript"/>
        </w:rPr>
        <w:t>365</w:t>
      </w:r>
      <w:r>
        <w:rPr>
          <w:rFonts w:ascii="Calibri"/>
          <w:spacing w:val="2"/>
          <w:sz w:val="20"/>
          <w:vertAlign w:val="baseline"/>
        </w:rPr>
        <w:t> </w:t>
      </w:r>
      <w:r>
        <w:rPr>
          <w:rFonts w:ascii="Calibri"/>
          <w:sz w:val="20"/>
          <w:vertAlign w:val="baseline"/>
        </w:rPr>
        <w:t>See</w:t>
      </w:r>
      <w:r>
        <w:rPr>
          <w:rFonts w:ascii="Calibri"/>
          <w:spacing w:val="-2"/>
          <w:sz w:val="20"/>
          <w:vertAlign w:val="baseline"/>
        </w:rPr>
        <w:t> s.187.</w:t>
      </w:r>
    </w:p>
    <w:p>
      <w:pPr>
        <w:spacing w:before="1"/>
        <w:ind w:left="308" w:right="0" w:firstLine="0"/>
        <w:jc w:val="left"/>
        <w:rPr>
          <w:rFonts w:ascii="Calibri"/>
          <w:sz w:val="20"/>
        </w:rPr>
      </w:pPr>
      <w:r>
        <w:rPr>
          <w:rFonts w:ascii="Calibri"/>
          <w:sz w:val="20"/>
          <w:vertAlign w:val="superscript"/>
        </w:rPr>
        <w:t>366</w:t>
      </w:r>
      <w:r>
        <w:rPr>
          <w:rFonts w:ascii="Calibri"/>
          <w:sz w:val="20"/>
          <w:vertAlign w:val="baseline"/>
        </w:rPr>
        <w:t>Davies,</w:t>
      </w:r>
      <w:r>
        <w:rPr>
          <w:rFonts w:ascii="Calibri"/>
          <w:spacing w:val="-9"/>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4"/>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 </w:t>
      </w:r>
      <w:r>
        <w:rPr>
          <w:rFonts w:ascii="Calibri"/>
          <w:spacing w:val="-5"/>
          <w:sz w:val="20"/>
          <w:vertAlign w:val="baseline"/>
        </w:rPr>
        <w:t>564</w:t>
      </w:r>
    </w:p>
    <w:p>
      <w:pPr>
        <w:spacing w:after="0"/>
        <w:jc w:val="left"/>
        <w:rPr>
          <w:rFonts w:ascii="Calibri"/>
          <w:sz w:val="20"/>
        </w:rPr>
        <w:sectPr>
          <w:pgSz w:w="11910" w:h="16840"/>
          <w:pgMar w:header="0" w:footer="1003" w:top="1280" w:bottom="1200" w:left="1680" w:right="1180"/>
        </w:sectPr>
      </w:pPr>
    </w:p>
    <w:p>
      <w:pPr>
        <w:pStyle w:val="BodyText"/>
        <w:ind w:left="0"/>
        <w:rPr>
          <w:rFonts w:ascii="Calibri"/>
        </w:rPr>
      </w:pPr>
    </w:p>
    <w:p>
      <w:pPr>
        <w:pStyle w:val="BodyText"/>
        <w:ind w:left="0"/>
        <w:rPr>
          <w:rFonts w:ascii="Calibri"/>
        </w:rPr>
      </w:pPr>
    </w:p>
    <w:p>
      <w:pPr>
        <w:pStyle w:val="BodyText"/>
        <w:ind w:left="0"/>
        <w:rPr>
          <w:rFonts w:ascii="Calibri"/>
        </w:rPr>
      </w:pPr>
    </w:p>
    <w:p>
      <w:pPr>
        <w:pStyle w:val="BodyText"/>
        <w:spacing w:before="233"/>
        <w:ind w:left="0"/>
        <w:rPr>
          <w:rFonts w:ascii="Calibri"/>
        </w:rPr>
      </w:pPr>
    </w:p>
    <w:p>
      <w:pPr>
        <w:pStyle w:val="ListParagraph"/>
        <w:numPr>
          <w:ilvl w:val="1"/>
          <w:numId w:val="20"/>
        </w:numPr>
        <w:tabs>
          <w:tab w:pos="1028" w:val="left" w:leader="none"/>
        </w:tabs>
        <w:spacing w:line="240" w:lineRule="auto" w:before="1" w:after="0"/>
        <w:ind w:left="1028" w:right="0" w:hanging="720"/>
        <w:jc w:val="left"/>
        <w:rPr>
          <w:b/>
          <w:sz w:val="24"/>
        </w:rPr>
      </w:pPr>
      <w:r>
        <w:rPr>
          <w:b/>
          <w:spacing w:val="-2"/>
          <w:sz w:val="24"/>
        </w:rPr>
        <w:t>Introduction</w:t>
      </w:r>
    </w:p>
    <w:p>
      <w:pPr>
        <w:pStyle w:val="Heading1"/>
        <w:ind w:left="7" w:right="2298"/>
      </w:pPr>
      <w:bookmarkStart w:name="_TOC_250013" w:id="39"/>
      <w:r>
        <w:rPr/>
        <w:br w:type="column"/>
      </w:r>
      <w:r>
        <w:rPr/>
        <w:t>CHAPTER</w:t>
      </w:r>
      <w:r>
        <w:rPr>
          <w:spacing w:val="-13"/>
        </w:rPr>
        <w:t> </w:t>
      </w:r>
      <w:bookmarkEnd w:id="39"/>
      <w:r>
        <w:rPr>
          <w:spacing w:val="-4"/>
        </w:rPr>
        <w:t>FIVE</w:t>
      </w:r>
    </w:p>
    <w:p>
      <w:pPr>
        <w:pStyle w:val="BodyText"/>
        <w:spacing w:before="271"/>
        <w:ind w:left="0" w:right="2298"/>
        <w:jc w:val="center"/>
        <w:rPr>
          <w:rFonts w:ascii="Arial Black"/>
        </w:rPr>
      </w:pPr>
      <w:r>
        <w:rPr>
          <w:rFonts w:ascii="Arial Black"/>
        </w:rPr>
        <w:t>COMPARATIVE</w:t>
      </w:r>
      <w:r>
        <w:rPr>
          <w:rFonts w:ascii="Arial Black"/>
          <w:spacing w:val="-4"/>
        </w:rPr>
        <w:t> </w:t>
      </w:r>
      <w:r>
        <w:rPr>
          <w:rFonts w:ascii="Arial Black"/>
          <w:spacing w:val="-2"/>
        </w:rPr>
        <w:t>EVALUATION</w:t>
      </w:r>
    </w:p>
    <w:p>
      <w:pPr>
        <w:spacing w:after="0"/>
        <w:jc w:val="center"/>
        <w:rPr>
          <w:rFonts w:ascii="Arial Black"/>
        </w:rPr>
        <w:sectPr>
          <w:pgSz w:w="11910" w:h="16840"/>
          <w:pgMar w:header="0" w:footer="1003" w:top="1300" w:bottom="1200" w:left="1680" w:right="1180"/>
          <w:cols w:num="2" w:equalWidth="0">
            <w:col w:w="2332" w:space="40"/>
            <w:col w:w="6678"/>
          </w:cols>
        </w:sectPr>
      </w:pPr>
    </w:p>
    <w:p>
      <w:pPr>
        <w:pStyle w:val="BodyText"/>
        <w:spacing w:line="480" w:lineRule="auto" w:before="132"/>
        <w:ind w:right="229"/>
        <w:jc w:val="both"/>
      </w:pPr>
      <w:r>
        <w:rPr/>
        <w:t>This work acknowledges the similarities and common origins of</w:t>
      </w:r>
      <w:r>
        <w:rPr>
          <w:spacing w:val="-2"/>
        </w:rPr>
        <w:t> </w:t>
      </w:r>
      <w:r>
        <w:rPr/>
        <w:t>the two legislations on the topic under review. This is particularly referring to their equitable and common law foundations. However, each law was enacted in a different period: the Companies and Allied Matters Act 1990,</w:t>
      </w:r>
      <w:r>
        <w:rPr>
          <w:vertAlign w:val="superscript"/>
        </w:rPr>
        <w:t>1</w:t>
      </w:r>
      <w:r>
        <w:rPr>
          <w:vertAlign w:val="baseline"/>
        </w:rPr>
        <w:t> ―CAMA‖ in the early ‗90s and the Companies Act ―CA‖ rather early in the 21</w:t>
      </w:r>
      <w:r>
        <w:rPr>
          <w:vertAlign w:val="superscript"/>
        </w:rPr>
        <w:t>st</w:t>
      </w:r>
      <w:r>
        <w:rPr>
          <w:vertAlign w:val="baseline"/>
        </w:rPr>
        <w:t> century. It can therefore be safely assumed that the latter law would be more current and up to date with developments in case-law and business practice. In spite of this, the very basic principles of law on directors‘ duties developed since the early beginnings of the concept of the company, remain in place.</w:t>
      </w:r>
      <w:r>
        <w:rPr>
          <w:vertAlign w:val="superscript"/>
        </w:rPr>
        <w:t>2</w:t>
      </w:r>
    </w:p>
    <w:p>
      <w:pPr>
        <w:pStyle w:val="BodyText"/>
        <w:spacing w:line="480" w:lineRule="auto" w:before="1"/>
        <w:ind w:right="240" w:firstLine="720"/>
        <w:jc w:val="both"/>
      </w:pPr>
      <w:r>
        <w:rPr/>
        <w:t>A</w:t>
      </w:r>
      <w:r>
        <w:rPr>
          <w:spacing w:val="-1"/>
        </w:rPr>
        <w:t> </w:t>
      </w:r>
      <w:r>
        <w:rPr/>
        <w:t>cursory</w:t>
      </w:r>
      <w:r>
        <w:rPr>
          <w:spacing w:val="-5"/>
        </w:rPr>
        <w:t> </w:t>
      </w:r>
      <w:r>
        <w:rPr/>
        <w:t>examination of</w:t>
      </w:r>
      <w:r>
        <w:rPr>
          <w:spacing w:val="-3"/>
        </w:rPr>
        <w:t> </w:t>
      </w:r>
      <w:r>
        <w:rPr/>
        <w:t>the statement of</w:t>
      </w:r>
      <w:r>
        <w:rPr>
          <w:spacing w:val="-3"/>
        </w:rPr>
        <w:t> </w:t>
      </w:r>
      <w:r>
        <w:rPr/>
        <w:t>duties under the CAMA</w:t>
      </w:r>
      <w:r>
        <w:rPr>
          <w:spacing w:val="-1"/>
        </w:rPr>
        <w:t> </w:t>
      </w:r>
      <w:r>
        <w:rPr/>
        <w:t>suggests it is ambiguous in many</w:t>
      </w:r>
      <w:r>
        <w:rPr>
          <w:spacing w:val="-2"/>
        </w:rPr>
        <w:t> </w:t>
      </w:r>
      <w:r>
        <w:rPr/>
        <w:t>respects. The direction</w:t>
      </w:r>
      <w:r>
        <w:rPr>
          <w:spacing w:val="-2"/>
        </w:rPr>
        <w:t> </w:t>
      </w:r>
      <w:r>
        <w:rPr/>
        <w:t>of</w:t>
      </w:r>
      <w:r>
        <w:rPr>
          <w:spacing w:val="-5"/>
        </w:rPr>
        <w:t> </w:t>
      </w:r>
      <w:r>
        <w:rPr/>
        <w:t>the CA is commendable and makes much sense in many areas. In some aspects, however, the latter law is controversial and therefore not recommendable.</w:t>
      </w:r>
    </w:p>
    <w:p>
      <w:pPr>
        <w:pStyle w:val="Heading2"/>
        <w:numPr>
          <w:ilvl w:val="1"/>
          <w:numId w:val="20"/>
        </w:numPr>
        <w:tabs>
          <w:tab w:pos="1027" w:val="left" w:leader="none"/>
        </w:tabs>
        <w:spacing w:line="240" w:lineRule="auto" w:before="6" w:after="0"/>
        <w:ind w:left="1027" w:right="0" w:hanging="719"/>
        <w:jc w:val="both"/>
      </w:pPr>
      <w:bookmarkStart w:name="_TOC_250012" w:id="40"/>
      <w:r>
        <w:rPr/>
        <w:t>General</w:t>
      </w:r>
      <w:r>
        <w:rPr>
          <w:spacing w:val="-6"/>
        </w:rPr>
        <w:t> </w:t>
      </w:r>
      <w:bookmarkEnd w:id="40"/>
      <w:r>
        <w:rPr>
          <w:spacing w:val="-2"/>
        </w:rPr>
        <w:t>Observation</w:t>
      </w:r>
    </w:p>
    <w:p>
      <w:pPr>
        <w:pStyle w:val="BodyText"/>
        <w:spacing w:line="480" w:lineRule="auto" w:before="132"/>
        <w:ind w:right="228"/>
        <w:jc w:val="both"/>
      </w:pPr>
      <w:r>
        <w:rPr/>
        <w:t>From a general examination of the CA, the later of the two laws, the law appears to embrace the principle of a freer economy, whereby the state seeks to, as much as possible, deregulate the running of enterprises by simply laying ground rules for basic regulation and leaving the rest to investors.</w:t>
      </w:r>
      <w:r>
        <w:rPr>
          <w:vertAlign w:val="superscript"/>
        </w:rPr>
        <w:t>3</w:t>
      </w:r>
      <w:r>
        <w:rPr>
          <w:vertAlign w:val="baseline"/>
        </w:rPr>
        <w:t> This is informed by the fact that the CA allows</w:t>
      </w:r>
      <w:r>
        <w:rPr>
          <w:spacing w:val="73"/>
          <w:vertAlign w:val="baseline"/>
        </w:rPr>
        <w:t> </w:t>
      </w:r>
      <w:r>
        <w:rPr>
          <w:vertAlign w:val="baseline"/>
        </w:rPr>
        <w:t>for</w:t>
      </w:r>
      <w:r>
        <w:rPr>
          <w:spacing w:val="67"/>
          <w:vertAlign w:val="baseline"/>
        </w:rPr>
        <w:t> </w:t>
      </w:r>
      <w:r>
        <w:rPr>
          <w:vertAlign w:val="baseline"/>
        </w:rPr>
        <w:t>one-man</w:t>
      </w:r>
      <w:r>
        <w:rPr>
          <w:spacing w:val="67"/>
          <w:vertAlign w:val="baseline"/>
        </w:rPr>
        <w:t> </w:t>
      </w:r>
      <w:r>
        <w:rPr>
          <w:vertAlign w:val="baseline"/>
        </w:rPr>
        <w:t>companies</w:t>
      </w:r>
      <w:r>
        <w:rPr>
          <w:vertAlign w:val="superscript"/>
        </w:rPr>
        <w:t>4</w:t>
      </w:r>
      <w:r>
        <w:rPr>
          <w:spacing w:val="73"/>
          <w:vertAlign w:val="baseline"/>
        </w:rPr>
        <w:t> </w:t>
      </w:r>
      <w:r>
        <w:rPr>
          <w:vertAlign w:val="baseline"/>
        </w:rPr>
        <w:t>and</w:t>
      </w:r>
      <w:r>
        <w:rPr>
          <w:spacing w:val="75"/>
          <w:vertAlign w:val="baseline"/>
        </w:rPr>
        <w:t> </w:t>
      </w:r>
      <w:r>
        <w:rPr>
          <w:vertAlign w:val="baseline"/>
        </w:rPr>
        <w:t>boards.</w:t>
      </w:r>
      <w:r>
        <w:rPr>
          <w:vertAlign w:val="superscript"/>
        </w:rPr>
        <w:t>5</w:t>
      </w:r>
      <w:r>
        <w:rPr>
          <w:spacing w:val="73"/>
          <w:vertAlign w:val="baseline"/>
        </w:rPr>
        <w:t> </w:t>
      </w:r>
      <w:r>
        <w:rPr>
          <w:vertAlign w:val="baseline"/>
        </w:rPr>
        <w:t>A</w:t>
      </w:r>
      <w:r>
        <w:rPr>
          <w:spacing w:val="66"/>
          <w:vertAlign w:val="baseline"/>
        </w:rPr>
        <w:t> </w:t>
      </w:r>
      <w:r>
        <w:rPr>
          <w:vertAlign w:val="baseline"/>
        </w:rPr>
        <w:t>company</w:t>
      </w:r>
      <w:r>
        <w:rPr>
          <w:spacing w:val="66"/>
          <w:vertAlign w:val="baseline"/>
        </w:rPr>
        <w:t> </w:t>
      </w:r>
      <w:r>
        <w:rPr>
          <w:vertAlign w:val="baseline"/>
        </w:rPr>
        <w:t>may</w:t>
      </w:r>
      <w:r>
        <w:rPr>
          <w:spacing w:val="62"/>
          <w:vertAlign w:val="baseline"/>
        </w:rPr>
        <w:t> </w:t>
      </w:r>
      <w:r>
        <w:rPr>
          <w:vertAlign w:val="baseline"/>
        </w:rPr>
        <w:t>also</w:t>
      </w:r>
      <w:r>
        <w:rPr>
          <w:spacing w:val="75"/>
          <w:vertAlign w:val="baseline"/>
        </w:rPr>
        <w:t> </w:t>
      </w:r>
      <w:r>
        <w:rPr>
          <w:vertAlign w:val="baseline"/>
        </w:rPr>
        <w:t>do</w:t>
      </w:r>
      <w:r>
        <w:rPr>
          <w:spacing w:val="75"/>
          <w:vertAlign w:val="baseline"/>
        </w:rPr>
        <w:t> </w:t>
      </w:r>
      <w:r>
        <w:rPr>
          <w:vertAlign w:val="baseline"/>
        </w:rPr>
        <w:t>without</w:t>
      </w:r>
      <w:r>
        <w:rPr>
          <w:spacing w:val="71"/>
          <w:vertAlign w:val="baseline"/>
        </w:rPr>
        <w:t> </w:t>
      </w:r>
      <w:r>
        <w:rPr>
          <w:spacing w:val="-10"/>
          <w:vertAlign w:val="baseline"/>
        </w:rPr>
        <w:t>a</w:t>
      </w:r>
    </w:p>
    <w:p>
      <w:pPr>
        <w:pStyle w:val="BodyText"/>
        <w:spacing w:before="168"/>
        <w:ind w:left="0"/>
        <w:rPr>
          <w:sz w:val="20"/>
        </w:rPr>
      </w:pPr>
      <w:r>
        <w:rPr/>
        <mc:AlternateContent>
          <mc:Choice Requires="wps">
            <w:drawing>
              <wp:anchor distT="0" distB="0" distL="0" distR="0" allowOverlap="1" layoutInCell="1" locked="0" behindDoc="1" simplePos="0" relativeHeight="487711744">
                <wp:simplePos x="0" y="0"/>
                <wp:positionH relativeFrom="page">
                  <wp:posOffset>1262481</wp:posOffset>
                </wp:positionH>
                <wp:positionV relativeFrom="paragraph">
                  <wp:posOffset>268077</wp:posOffset>
                </wp:positionV>
                <wp:extent cx="1829435" cy="9525"/>
                <wp:effectExtent l="0" t="0" r="0" b="0"/>
                <wp:wrapTopAndBottom/>
                <wp:docPr id="269" name="Graphic 269"/>
                <wp:cNvGraphicFramePr>
                  <a:graphicFrameLocks/>
                </wp:cNvGraphicFramePr>
                <a:graphic>
                  <a:graphicData uri="http://schemas.microsoft.com/office/word/2010/wordprocessingShape">
                    <wps:wsp>
                      <wps:cNvPr id="269" name="Graphic 269"/>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108467pt;width:144.050pt;height:.71997pt;mso-position-horizontal-relative:page;mso-position-vertical-relative:paragraph;z-index:-15604736;mso-wrap-distance-left:0;mso-wrap-distance-right:0" id="docshape224" filled="true" fillcolor="#000000" stroked="false">
                <v:fill type="solid"/>
                <w10:wrap type="topAndBottom"/>
              </v:rect>
            </w:pict>
          </mc:Fallback>
        </mc:AlternateContent>
      </w:r>
    </w:p>
    <w:p>
      <w:pPr>
        <w:spacing w:line="242" w:lineRule="exact" w:before="102"/>
        <w:ind w:left="308" w:right="0" w:firstLine="0"/>
        <w:jc w:val="both"/>
        <w:rPr>
          <w:rFonts w:ascii="Calibri"/>
          <w:sz w:val="20"/>
        </w:rPr>
      </w:pPr>
      <w:r>
        <w:rPr>
          <w:rFonts w:ascii="Calibri"/>
          <w:sz w:val="20"/>
          <w:vertAlign w:val="superscript"/>
        </w:rPr>
        <w:t>1</w:t>
      </w:r>
      <w:r>
        <w:rPr>
          <w:rFonts w:ascii="Calibri"/>
          <w:spacing w:val="-1"/>
          <w:sz w:val="20"/>
          <w:vertAlign w:val="baseline"/>
        </w:rPr>
        <w:t> </w:t>
      </w:r>
      <w:r>
        <w:rPr>
          <w:rFonts w:ascii="Calibri"/>
          <w:sz w:val="20"/>
          <w:vertAlign w:val="baseline"/>
        </w:rPr>
        <w:t>Cap</w:t>
      </w:r>
      <w:r>
        <w:rPr>
          <w:rFonts w:ascii="Calibri"/>
          <w:spacing w:val="-2"/>
          <w:sz w:val="20"/>
          <w:vertAlign w:val="baseline"/>
        </w:rPr>
        <w:t> </w:t>
      </w:r>
      <w:r>
        <w:rPr>
          <w:rFonts w:ascii="Calibri"/>
          <w:sz w:val="20"/>
          <w:vertAlign w:val="baseline"/>
        </w:rPr>
        <w:t>C20,</w:t>
      </w:r>
      <w:r>
        <w:rPr>
          <w:rFonts w:ascii="Calibri"/>
          <w:spacing w:val="-4"/>
          <w:sz w:val="20"/>
          <w:vertAlign w:val="baseline"/>
        </w:rPr>
        <w:t> </w:t>
      </w:r>
      <w:r>
        <w:rPr>
          <w:rFonts w:ascii="Calibri"/>
          <w:sz w:val="20"/>
          <w:vertAlign w:val="baseline"/>
        </w:rPr>
        <w:t>Laws</w:t>
      </w:r>
      <w:r>
        <w:rPr>
          <w:rFonts w:ascii="Calibri"/>
          <w:spacing w:val="-4"/>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Federation</w:t>
      </w:r>
      <w:r>
        <w:rPr>
          <w:rFonts w:ascii="Calibri"/>
          <w:spacing w:val="-6"/>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Nigeria</w:t>
      </w:r>
      <w:r>
        <w:rPr>
          <w:rFonts w:ascii="Calibri"/>
          <w:spacing w:val="-6"/>
          <w:sz w:val="20"/>
          <w:vertAlign w:val="baseline"/>
        </w:rPr>
        <w:t> </w:t>
      </w:r>
      <w:r>
        <w:rPr>
          <w:rFonts w:ascii="Calibri"/>
          <w:spacing w:val="-2"/>
          <w:sz w:val="20"/>
          <w:vertAlign w:val="baseline"/>
        </w:rPr>
        <w:t>2004.</w:t>
      </w:r>
    </w:p>
    <w:p>
      <w:pPr>
        <w:spacing w:line="240" w:lineRule="auto" w:before="0"/>
        <w:ind w:left="308" w:right="226" w:firstLine="0"/>
        <w:jc w:val="both"/>
        <w:rPr>
          <w:rFonts w:ascii="Calibri" w:hAnsi="Calibri"/>
          <w:sz w:val="20"/>
        </w:rPr>
      </w:pPr>
      <w:r>
        <w:rPr>
          <w:rFonts w:ascii="Calibri" w:hAnsi="Calibri"/>
          <w:sz w:val="20"/>
          <w:vertAlign w:val="superscript"/>
        </w:rPr>
        <w:t>2</w:t>
      </w:r>
      <w:r>
        <w:rPr>
          <w:rFonts w:ascii="Calibri" w:hAnsi="Calibri"/>
          <w:sz w:val="20"/>
          <w:vertAlign w:val="baseline"/>
        </w:rPr>
        <w:t> For example, the principle that the duties of directors are owed to the company alone and that only</w:t>
      </w:r>
      <w:r>
        <w:rPr>
          <w:rFonts w:ascii="Calibri" w:hAnsi="Calibri"/>
          <w:spacing w:val="40"/>
          <w:sz w:val="20"/>
          <w:vertAlign w:val="baseline"/>
        </w:rPr>
        <w:t> </w:t>
      </w:r>
      <w:r>
        <w:rPr>
          <w:rFonts w:ascii="Calibri" w:hAnsi="Calibri"/>
          <w:sz w:val="20"/>
          <w:vertAlign w:val="baseline"/>
        </w:rPr>
        <w:t>the company can</w:t>
      </w:r>
      <w:r>
        <w:rPr>
          <w:rFonts w:ascii="Calibri" w:hAnsi="Calibri"/>
          <w:spacing w:val="-3"/>
          <w:sz w:val="20"/>
          <w:vertAlign w:val="baseline"/>
        </w:rPr>
        <w:t> </w:t>
      </w:r>
      <w:r>
        <w:rPr>
          <w:rFonts w:ascii="Calibri" w:hAnsi="Calibri"/>
          <w:sz w:val="20"/>
          <w:vertAlign w:val="baseline"/>
        </w:rPr>
        <w:t>enforce the directors’ duties and also that</w:t>
      </w:r>
      <w:r>
        <w:rPr>
          <w:rFonts w:ascii="Calibri" w:hAnsi="Calibri"/>
          <w:spacing w:val="-3"/>
          <w:sz w:val="20"/>
          <w:vertAlign w:val="baseline"/>
        </w:rPr>
        <w:t> </w:t>
      </w:r>
      <w:r>
        <w:rPr>
          <w:rFonts w:ascii="Calibri" w:hAnsi="Calibri"/>
          <w:sz w:val="20"/>
          <w:vertAlign w:val="baseline"/>
        </w:rPr>
        <w:t>the director’s business decision is evaluated by subjective standards.</w:t>
      </w:r>
    </w:p>
    <w:p>
      <w:pPr>
        <w:spacing w:before="1"/>
        <w:ind w:left="308" w:right="255" w:firstLine="0"/>
        <w:jc w:val="left"/>
        <w:rPr>
          <w:rFonts w:ascii="Calibri"/>
          <w:sz w:val="20"/>
        </w:rPr>
      </w:pPr>
      <w:r>
        <w:rPr>
          <w:rFonts w:ascii="Calibri"/>
          <w:sz w:val="20"/>
          <w:vertAlign w:val="superscript"/>
        </w:rPr>
        <w:t>3</w:t>
      </w:r>
      <w:r>
        <w:rPr>
          <w:rFonts w:ascii="Calibri"/>
          <w:sz w:val="20"/>
          <w:vertAlign w:val="baseline"/>
        </w:rPr>
        <w:t>Davies,</w:t>
      </w:r>
      <w:r>
        <w:rPr>
          <w:rFonts w:ascii="Calibri"/>
          <w:spacing w:val="40"/>
          <w:sz w:val="20"/>
          <w:vertAlign w:val="baseline"/>
        </w:rPr>
        <w:t> </w:t>
      </w:r>
      <w:r>
        <w:rPr>
          <w:rFonts w:ascii="Calibri"/>
          <w:sz w:val="20"/>
          <w:vertAlign w:val="baseline"/>
        </w:rPr>
        <w:t>L.P.</w:t>
      </w:r>
      <w:r>
        <w:rPr>
          <w:rFonts w:ascii="Calibri"/>
          <w:spacing w:val="40"/>
          <w:sz w:val="20"/>
          <w:vertAlign w:val="baseline"/>
        </w:rPr>
        <w:t> </w:t>
      </w:r>
      <w:r>
        <w:rPr>
          <w:rFonts w:ascii="Calibri"/>
          <w:sz w:val="20"/>
          <w:vertAlign w:val="baseline"/>
        </w:rPr>
        <w:t>and</w:t>
      </w:r>
      <w:r>
        <w:rPr>
          <w:rFonts w:ascii="Calibri"/>
          <w:spacing w:val="40"/>
          <w:sz w:val="20"/>
          <w:vertAlign w:val="baseline"/>
        </w:rPr>
        <w:t> </w:t>
      </w:r>
      <w:r>
        <w:rPr>
          <w:rFonts w:ascii="Calibri"/>
          <w:sz w:val="20"/>
          <w:vertAlign w:val="baseline"/>
        </w:rPr>
        <w:t>Worthington,</w:t>
      </w:r>
      <w:r>
        <w:rPr>
          <w:rFonts w:ascii="Calibri"/>
          <w:spacing w:val="40"/>
          <w:sz w:val="20"/>
          <w:vertAlign w:val="baseline"/>
        </w:rPr>
        <w:t> </w:t>
      </w:r>
      <w:r>
        <w:rPr>
          <w:rFonts w:ascii="Calibri"/>
          <w:sz w:val="20"/>
          <w:vertAlign w:val="baseline"/>
        </w:rPr>
        <w:t>S.</w:t>
      </w:r>
      <w:r>
        <w:rPr>
          <w:rFonts w:ascii="Calibri"/>
          <w:spacing w:val="40"/>
          <w:sz w:val="20"/>
          <w:vertAlign w:val="baseline"/>
        </w:rPr>
        <w:t> </w:t>
      </w:r>
      <w:r>
        <w:rPr>
          <w:rFonts w:ascii="Calibri"/>
          <w:sz w:val="20"/>
          <w:vertAlign w:val="baseline"/>
        </w:rPr>
        <w:t>(2012).</w:t>
      </w:r>
      <w:r>
        <w:rPr>
          <w:rFonts w:ascii="Calibri"/>
          <w:i/>
          <w:sz w:val="20"/>
          <w:vertAlign w:val="baseline"/>
        </w:rPr>
        <w:t>Gower</w:t>
      </w:r>
      <w:r>
        <w:rPr>
          <w:rFonts w:ascii="Calibri"/>
          <w:i/>
          <w:spacing w:val="40"/>
          <w:sz w:val="20"/>
          <w:vertAlign w:val="baseline"/>
        </w:rPr>
        <w:t> </w:t>
      </w:r>
      <w:r>
        <w:rPr>
          <w:rFonts w:ascii="Calibri"/>
          <w:i/>
          <w:sz w:val="20"/>
          <w:vertAlign w:val="baseline"/>
        </w:rPr>
        <w:t>&amp;</w:t>
      </w:r>
      <w:r>
        <w:rPr>
          <w:rFonts w:ascii="Calibri"/>
          <w:i/>
          <w:spacing w:val="40"/>
          <w:sz w:val="20"/>
          <w:vertAlign w:val="baseline"/>
        </w:rPr>
        <w:t> </w:t>
      </w:r>
      <w:r>
        <w:rPr>
          <w:rFonts w:ascii="Calibri"/>
          <w:i/>
          <w:sz w:val="20"/>
          <w:vertAlign w:val="baseline"/>
        </w:rPr>
        <w:t>Davies:</w:t>
      </w:r>
      <w:r>
        <w:rPr>
          <w:rFonts w:ascii="Calibri"/>
          <w:i/>
          <w:spacing w:val="40"/>
          <w:sz w:val="20"/>
          <w:vertAlign w:val="baseline"/>
        </w:rPr>
        <w:t> </w:t>
      </w:r>
      <w:r>
        <w:rPr>
          <w:rFonts w:ascii="Calibri"/>
          <w:i/>
          <w:sz w:val="20"/>
          <w:vertAlign w:val="baseline"/>
        </w:rPr>
        <w:t>Principles</w:t>
      </w:r>
      <w:r>
        <w:rPr>
          <w:rFonts w:ascii="Calibri"/>
          <w:i/>
          <w:spacing w:val="40"/>
          <w:sz w:val="20"/>
          <w:vertAlign w:val="baseline"/>
        </w:rPr>
        <w:t> </w:t>
      </w:r>
      <w:r>
        <w:rPr>
          <w:rFonts w:ascii="Calibri"/>
          <w:i/>
          <w:sz w:val="20"/>
          <w:vertAlign w:val="baseline"/>
        </w:rPr>
        <w:t>of</w:t>
      </w:r>
      <w:r>
        <w:rPr>
          <w:rFonts w:ascii="Calibri"/>
          <w:i/>
          <w:spacing w:val="40"/>
          <w:sz w:val="20"/>
          <w:vertAlign w:val="baseline"/>
        </w:rPr>
        <w:t> </w:t>
      </w:r>
      <w:r>
        <w:rPr>
          <w:rFonts w:ascii="Calibri"/>
          <w:i/>
          <w:sz w:val="20"/>
          <w:vertAlign w:val="baseline"/>
        </w:rPr>
        <w:t>Modern</w:t>
      </w:r>
      <w:r>
        <w:rPr>
          <w:rFonts w:ascii="Calibri"/>
          <w:i/>
          <w:spacing w:val="40"/>
          <w:sz w:val="20"/>
          <w:vertAlign w:val="baseline"/>
        </w:rPr>
        <w:t> </w:t>
      </w:r>
      <w:r>
        <w:rPr>
          <w:rFonts w:ascii="Calibri"/>
          <w:i/>
          <w:sz w:val="20"/>
          <w:vertAlign w:val="baseline"/>
        </w:rPr>
        <w:t>Company</w:t>
      </w:r>
      <w:r>
        <w:rPr>
          <w:rFonts w:ascii="Calibri"/>
          <w:i/>
          <w:spacing w:val="40"/>
          <w:sz w:val="20"/>
          <w:vertAlign w:val="baseline"/>
        </w:rPr>
        <w:t> </w:t>
      </w:r>
      <w:r>
        <w:rPr>
          <w:rFonts w:ascii="Calibri"/>
          <w:i/>
          <w:sz w:val="20"/>
          <w:vertAlign w:val="baseline"/>
        </w:rPr>
        <w:t>Law,</w:t>
      </w:r>
      <w:r>
        <w:rPr>
          <w:rFonts w:ascii="Calibri"/>
          <w:i/>
          <w:spacing w:val="40"/>
          <w:sz w:val="20"/>
          <w:vertAlign w:val="baseline"/>
        </w:rPr>
        <w:t> </w:t>
      </w:r>
      <w:r>
        <w:rPr>
          <w:rFonts w:ascii="Calibri"/>
          <w:sz w:val="20"/>
          <w:vertAlign w:val="baseline"/>
        </w:rPr>
        <w:t>9</w:t>
      </w:r>
      <w:r>
        <w:rPr>
          <w:rFonts w:ascii="Calibri"/>
          <w:sz w:val="20"/>
          <w:vertAlign w:val="superscript"/>
        </w:rPr>
        <w:t>th</w:t>
      </w:r>
      <w:r>
        <w:rPr>
          <w:rFonts w:ascii="Calibri"/>
          <w:sz w:val="20"/>
          <w:vertAlign w:val="baseline"/>
        </w:rPr>
        <w:t> edition, Sweet and Maxwell, London, p. 64.</w:t>
      </w:r>
    </w:p>
    <w:p>
      <w:pPr>
        <w:spacing w:before="1"/>
        <w:ind w:left="308" w:right="0" w:firstLine="0"/>
        <w:jc w:val="left"/>
        <w:rPr>
          <w:rFonts w:ascii="Calibri"/>
          <w:sz w:val="20"/>
        </w:rPr>
      </w:pPr>
      <w:r>
        <w:rPr>
          <w:rFonts w:ascii="Calibri"/>
          <w:sz w:val="20"/>
          <w:vertAlign w:val="superscript"/>
        </w:rPr>
        <w:t>4</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s.7(1)</w:t>
      </w:r>
      <w:r>
        <w:rPr>
          <w:rFonts w:ascii="Calibri"/>
          <w:spacing w:val="-3"/>
          <w:sz w:val="20"/>
          <w:vertAlign w:val="baseline"/>
        </w:rPr>
        <w:t> </w:t>
      </w:r>
      <w:r>
        <w:rPr>
          <w:rFonts w:ascii="Calibri"/>
          <w:spacing w:val="-5"/>
          <w:sz w:val="20"/>
          <w:vertAlign w:val="baseline"/>
        </w:rPr>
        <w:t>CA.</w:t>
      </w:r>
    </w:p>
    <w:p>
      <w:pPr>
        <w:spacing w:before="0"/>
        <w:ind w:left="308" w:right="0" w:firstLine="0"/>
        <w:jc w:val="left"/>
        <w:rPr>
          <w:rFonts w:ascii="Calibri"/>
          <w:sz w:val="20"/>
        </w:rPr>
      </w:pPr>
      <w:r>
        <w:rPr>
          <w:rFonts w:ascii="Calibri"/>
          <w:sz w:val="20"/>
          <w:vertAlign w:val="superscript"/>
        </w:rPr>
        <w:t>5</w:t>
      </w:r>
      <w:r>
        <w:rPr>
          <w:rFonts w:ascii="Calibri"/>
          <w:sz w:val="20"/>
          <w:vertAlign w:val="baseline"/>
        </w:rPr>
        <w:t> See</w:t>
      </w:r>
      <w:r>
        <w:rPr>
          <w:rFonts w:ascii="Calibri"/>
          <w:spacing w:val="-4"/>
          <w:sz w:val="20"/>
          <w:vertAlign w:val="baseline"/>
        </w:rPr>
        <w:t> </w:t>
      </w:r>
      <w:r>
        <w:rPr>
          <w:rFonts w:ascii="Calibri"/>
          <w:sz w:val="20"/>
          <w:vertAlign w:val="baseline"/>
        </w:rPr>
        <w:t>s.154</w:t>
      </w:r>
      <w:r>
        <w:rPr>
          <w:rFonts w:ascii="Calibri"/>
          <w:spacing w:val="-2"/>
          <w:sz w:val="20"/>
          <w:vertAlign w:val="baseline"/>
        </w:rPr>
        <w:t> </w:t>
      </w:r>
      <w:r>
        <w:rPr>
          <w:rFonts w:ascii="Calibri"/>
          <w:spacing w:val="-5"/>
          <w:sz w:val="20"/>
          <w:vertAlign w:val="baseline"/>
        </w:rPr>
        <w:t>CA.</w:t>
      </w:r>
    </w:p>
    <w:p>
      <w:pPr>
        <w:spacing w:after="0"/>
        <w:jc w:val="left"/>
        <w:rPr>
          <w:rFonts w:ascii="Calibri"/>
          <w:sz w:val="20"/>
        </w:rPr>
        <w:sectPr>
          <w:type w:val="continuous"/>
          <w:pgSz w:w="11910" w:h="16840"/>
          <w:pgMar w:header="0" w:footer="1003" w:top="1320" w:bottom="280" w:left="1680" w:right="1180"/>
        </w:sectPr>
      </w:pPr>
    </w:p>
    <w:p>
      <w:pPr>
        <w:pStyle w:val="BodyText"/>
        <w:spacing w:line="480" w:lineRule="auto" w:before="110"/>
        <w:ind w:right="228"/>
        <w:jc w:val="both"/>
      </w:pPr>
      <w:r>
        <w:rPr/>
        <w:t>company secretary.</w:t>
      </w:r>
      <w:r>
        <w:rPr>
          <w:vertAlign w:val="superscript"/>
        </w:rPr>
        <w:t>6</w:t>
      </w:r>
      <w:r>
        <w:rPr>
          <w:vertAlign w:val="baseline"/>
        </w:rPr>
        <w:t> The CA</w:t>
      </w:r>
      <w:r>
        <w:rPr>
          <w:spacing w:val="-1"/>
          <w:vertAlign w:val="baseline"/>
        </w:rPr>
        <w:t> </w:t>
      </w:r>
      <w:r>
        <w:rPr>
          <w:vertAlign w:val="baseline"/>
        </w:rPr>
        <w:t>also abolishes the requirement for companies to state</w:t>
      </w:r>
      <w:r>
        <w:rPr>
          <w:spacing w:val="-1"/>
          <w:vertAlign w:val="baseline"/>
        </w:rPr>
        <w:t> </w:t>
      </w:r>
      <w:r>
        <w:rPr>
          <w:vertAlign w:val="baseline"/>
        </w:rPr>
        <w:t>their objects in the memorandum. Therefore, unless a company‘s articles specifically restrict its scope, its objects are unrestricted.</w:t>
      </w:r>
      <w:r>
        <w:rPr>
          <w:vertAlign w:val="superscript"/>
        </w:rPr>
        <w:t>7</w:t>
      </w:r>
      <w:r>
        <w:rPr>
          <w:vertAlign w:val="baseline"/>
        </w:rPr>
        <w:t> Thus, members could easily decide at every</w:t>
      </w:r>
      <w:r>
        <w:rPr>
          <w:spacing w:val="-1"/>
          <w:vertAlign w:val="baseline"/>
        </w:rPr>
        <w:t> </w:t>
      </w:r>
      <w:r>
        <w:rPr>
          <w:vertAlign w:val="baseline"/>
        </w:rPr>
        <w:t>turn, what the company should aim to achieve. Furthermore, situations of conflicts of</w:t>
      </w:r>
      <w:r>
        <w:rPr>
          <w:spacing w:val="40"/>
          <w:vertAlign w:val="baseline"/>
        </w:rPr>
        <w:t> </w:t>
      </w:r>
      <w:r>
        <w:rPr>
          <w:vertAlign w:val="baseline"/>
        </w:rPr>
        <w:t>interests</w:t>
      </w:r>
      <w:r>
        <w:rPr>
          <w:spacing w:val="-15"/>
          <w:vertAlign w:val="baseline"/>
        </w:rPr>
        <w:t> </w:t>
      </w:r>
      <w:r>
        <w:rPr>
          <w:vertAlign w:val="baseline"/>
        </w:rPr>
        <w:t>are</w:t>
      </w:r>
      <w:r>
        <w:rPr>
          <w:spacing w:val="-8"/>
          <w:vertAlign w:val="baseline"/>
        </w:rPr>
        <w:t> </w:t>
      </w:r>
      <w:r>
        <w:rPr>
          <w:vertAlign w:val="baseline"/>
        </w:rPr>
        <w:t>more</w:t>
      </w:r>
      <w:r>
        <w:rPr>
          <w:spacing w:val="-1"/>
          <w:vertAlign w:val="baseline"/>
        </w:rPr>
        <w:t> </w:t>
      </w:r>
      <w:r>
        <w:rPr>
          <w:vertAlign w:val="baseline"/>
        </w:rPr>
        <w:t>often left to the</w:t>
      </w:r>
      <w:r>
        <w:rPr>
          <w:spacing w:val="-1"/>
          <w:vertAlign w:val="baseline"/>
        </w:rPr>
        <w:t> </w:t>
      </w:r>
      <w:r>
        <w:rPr>
          <w:vertAlign w:val="baseline"/>
        </w:rPr>
        <w:t>decision of</w:t>
      </w:r>
      <w:r>
        <w:rPr>
          <w:spacing w:val="-3"/>
          <w:vertAlign w:val="baseline"/>
        </w:rPr>
        <w:t> </w:t>
      </w:r>
      <w:r>
        <w:rPr>
          <w:vertAlign w:val="baseline"/>
        </w:rPr>
        <w:t>the company</w:t>
      </w:r>
      <w:r>
        <w:rPr>
          <w:spacing w:val="-5"/>
          <w:vertAlign w:val="baseline"/>
        </w:rPr>
        <w:t> </w:t>
      </w:r>
      <w:r>
        <w:rPr>
          <w:vertAlign w:val="baseline"/>
        </w:rPr>
        <w:t>through</w:t>
      </w:r>
      <w:r>
        <w:rPr>
          <w:spacing w:val="-5"/>
          <w:vertAlign w:val="baseline"/>
        </w:rPr>
        <w:t> </w:t>
      </w:r>
      <w:r>
        <w:rPr>
          <w:vertAlign w:val="baseline"/>
        </w:rPr>
        <w:t>the articles.</w:t>
      </w:r>
      <w:r>
        <w:rPr>
          <w:spacing w:val="-15"/>
          <w:vertAlign w:val="baseline"/>
        </w:rPr>
        <w:t> </w:t>
      </w:r>
      <w:r>
        <w:rPr>
          <w:vertAlign w:val="superscript"/>
        </w:rPr>
        <w:t>8</w:t>
      </w:r>
      <w:r>
        <w:rPr>
          <w:vertAlign w:val="baseline"/>
        </w:rPr>
        <w:t> In fact, a ‗disinterested‘ general meeting is allowed to ratify any conduct by a director amounting to negligence, default, breach of duty or breach of trust in relation to the company.</w:t>
      </w:r>
      <w:r>
        <w:rPr>
          <w:vertAlign w:val="superscript"/>
        </w:rPr>
        <w:t>9</w:t>
      </w:r>
      <w:r>
        <w:rPr>
          <w:vertAlign w:val="baseline"/>
        </w:rPr>
        <w:t> It is thus apparent from the codified duties of directors that the rules have changed and have been ‗loosened‘ in order</w:t>
      </w:r>
      <w:r>
        <w:rPr>
          <w:spacing w:val="-1"/>
          <w:vertAlign w:val="baseline"/>
        </w:rPr>
        <w:t> </w:t>
      </w:r>
      <w:r>
        <w:rPr>
          <w:vertAlign w:val="baseline"/>
        </w:rPr>
        <w:t>to allow companies to be run in the way</w:t>
      </w:r>
      <w:r>
        <w:rPr>
          <w:spacing w:val="-2"/>
          <w:vertAlign w:val="baseline"/>
        </w:rPr>
        <w:t> </w:t>
      </w:r>
      <w:r>
        <w:rPr>
          <w:vertAlign w:val="baseline"/>
        </w:rPr>
        <w:t>the members, who are in fact the residual owners, determine that they should be run, with minimum interference from the state.</w:t>
      </w:r>
    </w:p>
    <w:p>
      <w:pPr>
        <w:pStyle w:val="BodyText"/>
        <w:spacing w:line="480" w:lineRule="auto" w:before="2"/>
        <w:ind w:right="220" w:firstLine="720"/>
        <w:jc w:val="both"/>
      </w:pPr>
      <w:r>
        <w:rPr/>
        <w:t>Thus, it would appear the modern approach towards encouraging enterprises is deregulation, as opposed to the approach</w:t>
      </w:r>
      <w:r>
        <w:rPr>
          <w:spacing w:val="-4"/>
        </w:rPr>
        <w:t> </w:t>
      </w:r>
      <w:r>
        <w:rPr/>
        <w:t>apparent in the CAMA, which is characterized by considerable state regulation in the running of companies in a bid to stifle fraud and as much as possible, prevent mismanagement. This tone is evident in the tenor of the law.</w:t>
      </w:r>
      <w:r>
        <w:rPr>
          <w:vertAlign w:val="superscript"/>
        </w:rPr>
        <w:t>10</w:t>
      </w:r>
      <w:r>
        <w:rPr>
          <w:vertAlign w:val="baseline"/>
        </w:rPr>
        <w:t> Thus, a minimum of two persons is required for incorporation;</w:t>
      </w:r>
      <w:r>
        <w:rPr>
          <w:vertAlign w:val="superscript"/>
        </w:rPr>
        <w:t>11</w:t>
      </w:r>
      <w:r>
        <w:rPr>
          <w:vertAlign w:val="baseline"/>
        </w:rPr>
        <w:t> even small limited companies still require a minimum of 2 directors</w:t>
      </w:r>
      <w:r>
        <w:rPr>
          <w:vertAlign w:val="superscript"/>
        </w:rPr>
        <w:t>12</w:t>
      </w:r>
      <w:r>
        <w:rPr>
          <w:vertAlign w:val="baseline"/>
        </w:rPr>
        <w:t> in addition to a company secretary;</w:t>
      </w:r>
      <w:r>
        <w:rPr>
          <w:vertAlign w:val="superscript"/>
        </w:rPr>
        <w:t>13</w:t>
      </w:r>
      <w:r>
        <w:rPr>
          <w:vertAlign w:val="baseline"/>
        </w:rPr>
        <w:t> and companies objects are restricted to those mentioned in the memorandum,</w:t>
      </w:r>
      <w:r>
        <w:rPr>
          <w:vertAlign w:val="superscript"/>
        </w:rPr>
        <w:t>14</w:t>
      </w:r>
      <w:r>
        <w:rPr>
          <w:vertAlign w:val="baseline"/>
        </w:rPr>
        <w:t> alteration of which requires considerable technical procedures.</w:t>
      </w:r>
      <w:r>
        <w:rPr>
          <w:vertAlign w:val="superscript"/>
        </w:rPr>
        <w:t>15</w:t>
      </w:r>
      <w:r>
        <w:rPr>
          <w:vertAlign w:val="baseline"/>
        </w:rPr>
        <w:t> Many of</w:t>
      </w:r>
      <w:r>
        <w:rPr>
          <w:spacing w:val="40"/>
          <w:vertAlign w:val="baseline"/>
        </w:rPr>
        <w:t> </w:t>
      </w:r>
      <w:r>
        <w:rPr>
          <w:vertAlign w:val="baseline"/>
        </w:rPr>
        <w:t>the</w:t>
      </w:r>
      <w:r>
        <w:rPr>
          <w:spacing w:val="40"/>
          <w:vertAlign w:val="baseline"/>
        </w:rPr>
        <w:t> </w:t>
      </w:r>
      <w:r>
        <w:rPr>
          <w:vertAlign w:val="baseline"/>
        </w:rPr>
        <w:t>rules</w:t>
      </w:r>
      <w:r>
        <w:rPr>
          <w:spacing w:val="40"/>
          <w:vertAlign w:val="baseline"/>
        </w:rPr>
        <w:t> </w:t>
      </w:r>
      <w:r>
        <w:rPr>
          <w:vertAlign w:val="baseline"/>
        </w:rPr>
        <w:t>relating</w:t>
      </w:r>
      <w:r>
        <w:rPr>
          <w:spacing w:val="40"/>
          <w:vertAlign w:val="baseline"/>
        </w:rPr>
        <w:t> </w:t>
      </w:r>
      <w:r>
        <w:rPr>
          <w:vertAlign w:val="baseline"/>
        </w:rPr>
        <w:t>to</w:t>
      </w:r>
      <w:r>
        <w:rPr>
          <w:spacing w:val="40"/>
          <w:vertAlign w:val="baseline"/>
        </w:rPr>
        <w:t> </w:t>
      </w:r>
      <w:r>
        <w:rPr>
          <w:vertAlign w:val="baseline"/>
        </w:rPr>
        <w:t>directors</w:t>
      </w:r>
      <w:r>
        <w:rPr>
          <w:spacing w:val="40"/>
          <w:vertAlign w:val="baseline"/>
        </w:rPr>
        <w:t> </w:t>
      </w:r>
      <w:r>
        <w:rPr>
          <w:vertAlign w:val="baseline"/>
        </w:rPr>
        <w:t>duties</w:t>
      </w:r>
      <w:r>
        <w:rPr>
          <w:spacing w:val="40"/>
          <w:vertAlign w:val="baseline"/>
        </w:rPr>
        <w:t> </w:t>
      </w:r>
      <w:r>
        <w:rPr>
          <w:vertAlign w:val="baseline"/>
        </w:rPr>
        <w:t>under</w:t>
      </w:r>
      <w:r>
        <w:rPr>
          <w:spacing w:val="40"/>
          <w:vertAlign w:val="baseline"/>
        </w:rPr>
        <w:t> </w:t>
      </w:r>
      <w:r>
        <w:rPr>
          <w:vertAlign w:val="baseline"/>
        </w:rPr>
        <w:t>the</w:t>
      </w:r>
      <w:r>
        <w:rPr>
          <w:spacing w:val="40"/>
          <w:vertAlign w:val="baseline"/>
        </w:rPr>
        <w:t> </w:t>
      </w:r>
      <w:r>
        <w:rPr>
          <w:vertAlign w:val="baseline"/>
        </w:rPr>
        <w:t>CAMA</w:t>
      </w:r>
      <w:r>
        <w:rPr>
          <w:spacing w:val="40"/>
          <w:vertAlign w:val="baseline"/>
        </w:rPr>
        <w:t> </w:t>
      </w:r>
      <w:r>
        <w:rPr>
          <w:vertAlign w:val="baseline"/>
        </w:rPr>
        <w:t>cannot</w:t>
      </w:r>
      <w:r>
        <w:rPr>
          <w:spacing w:val="60"/>
          <w:vertAlign w:val="baseline"/>
        </w:rPr>
        <w:t> </w:t>
      </w:r>
      <w:r>
        <w:rPr>
          <w:vertAlign w:val="baseline"/>
        </w:rPr>
        <w:t>be</w:t>
      </w:r>
      <w:r>
        <w:rPr>
          <w:spacing w:val="40"/>
          <w:vertAlign w:val="baseline"/>
        </w:rPr>
        <w:t> </w:t>
      </w:r>
      <w:r>
        <w:rPr>
          <w:vertAlign w:val="baseline"/>
        </w:rPr>
        <w:t>altered</w:t>
      </w:r>
      <w:r>
        <w:rPr>
          <w:spacing w:val="40"/>
          <w:vertAlign w:val="baseline"/>
        </w:rPr>
        <w:t> </w:t>
      </w:r>
      <w:r>
        <w:rPr>
          <w:vertAlign w:val="baseline"/>
        </w:rPr>
        <w:t>by</w:t>
      </w:r>
      <w:r>
        <w:rPr>
          <w:spacing w:val="40"/>
          <w:vertAlign w:val="baseline"/>
        </w:rPr>
        <w:t> </w:t>
      </w:r>
      <w:r>
        <w:rPr>
          <w:vertAlign w:val="baseline"/>
        </w:rPr>
        <w:t>the</w:t>
      </w:r>
    </w:p>
    <w:p>
      <w:pPr>
        <w:pStyle w:val="BodyText"/>
        <w:spacing w:before="5"/>
        <w:ind w:left="0"/>
        <w:rPr>
          <w:sz w:val="10"/>
        </w:rPr>
      </w:pPr>
      <w:r>
        <w:rPr/>
        <mc:AlternateContent>
          <mc:Choice Requires="wps">
            <w:drawing>
              <wp:anchor distT="0" distB="0" distL="0" distR="0" allowOverlap="1" layoutInCell="1" locked="0" behindDoc="1" simplePos="0" relativeHeight="487712256">
                <wp:simplePos x="0" y="0"/>
                <wp:positionH relativeFrom="page">
                  <wp:posOffset>1262481</wp:posOffset>
                </wp:positionH>
                <wp:positionV relativeFrom="paragraph">
                  <wp:posOffset>91907</wp:posOffset>
                </wp:positionV>
                <wp:extent cx="1829435" cy="9525"/>
                <wp:effectExtent l="0" t="0" r="0" b="0"/>
                <wp:wrapTopAndBottom/>
                <wp:docPr id="270" name="Graphic 270"/>
                <wp:cNvGraphicFramePr>
                  <a:graphicFrameLocks/>
                </wp:cNvGraphicFramePr>
                <a:graphic>
                  <a:graphicData uri="http://schemas.microsoft.com/office/word/2010/wordprocessingShape">
                    <wps:wsp>
                      <wps:cNvPr id="270" name="Graphic 27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7.236845pt;width:144.050pt;height:.72003pt;mso-position-horizontal-relative:page;mso-position-vertical-relative:paragraph;z-index:-15604224;mso-wrap-distance-left:0;mso-wrap-distance-right:0" id="docshape225"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6</w:t>
      </w:r>
      <w:r>
        <w:rPr>
          <w:rFonts w:ascii="Calibri"/>
          <w:sz w:val="20"/>
          <w:vertAlign w:val="baseline"/>
        </w:rPr>
        <w:t> See</w:t>
      </w:r>
      <w:r>
        <w:rPr>
          <w:rFonts w:ascii="Calibri"/>
          <w:spacing w:val="-4"/>
          <w:sz w:val="20"/>
          <w:vertAlign w:val="baseline"/>
        </w:rPr>
        <w:t> </w:t>
      </w:r>
      <w:r>
        <w:rPr>
          <w:rFonts w:ascii="Calibri"/>
          <w:sz w:val="20"/>
          <w:vertAlign w:val="baseline"/>
        </w:rPr>
        <w:t>s.270</w:t>
      </w:r>
      <w:r>
        <w:rPr>
          <w:rFonts w:ascii="Calibri"/>
          <w:spacing w:val="-2"/>
          <w:sz w:val="20"/>
          <w:vertAlign w:val="baseline"/>
        </w:rPr>
        <w:t> </w:t>
      </w:r>
      <w:r>
        <w:rPr>
          <w:rFonts w:ascii="Calibri"/>
          <w:spacing w:val="-5"/>
          <w:sz w:val="20"/>
          <w:vertAlign w:val="baseline"/>
        </w:rPr>
        <w:t>CA.</w:t>
      </w:r>
    </w:p>
    <w:p>
      <w:pPr>
        <w:spacing w:before="1"/>
        <w:ind w:left="308" w:right="0" w:firstLine="0"/>
        <w:jc w:val="left"/>
        <w:rPr>
          <w:rFonts w:ascii="Calibri"/>
          <w:sz w:val="20"/>
        </w:rPr>
      </w:pPr>
      <w:r>
        <w:rPr>
          <w:rFonts w:ascii="Calibri"/>
          <w:sz w:val="20"/>
          <w:vertAlign w:val="superscript"/>
        </w:rPr>
        <w:t>7</w:t>
      </w:r>
      <w:r>
        <w:rPr>
          <w:rFonts w:ascii="Calibri"/>
          <w:spacing w:val="1"/>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s.31</w:t>
      </w:r>
      <w:r>
        <w:rPr>
          <w:rFonts w:ascii="Calibri"/>
          <w:spacing w:val="-1"/>
          <w:sz w:val="20"/>
          <w:vertAlign w:val="baseline"/>
        </w:rPr>
        <w:t> </w:t>
      </w:r>
      <w:r>
        <w:rPr>
          <w:rFonts w:ascii="Calibri"/>
          <w:spacing w:val="-5"/>
          <w:sz w:val="20"/>
          <w:vertAlign w:val="baseline"/>
        </w:rPr>
        <w:t>CA.</w:t>
      </w:r>
    </w:p>
    <w:p>
      <w:pPr>
        <w:spacing w:before="0"/>
        <w:ind w:left="308" w:right="0" w:firstLine="0"/>
        <w:jc w:val="left"/>
        <w:rPr>
          <w:rFonts w:ascii="Calibri"/>
          <w:sz w:val="20"/>
        </w:rPr>
      </w:pPr>
      <w:r>
        <w:rPr>
          <w:rFonts w:ascii="Calibri"/>
          <w:sz w:val="20"/>
          <w:vertAlign w:val="superscript"/>
        </w:rPr>
        <w:t>8</w:t>
      </w:r>
      <w:r>
        <w:rPr>
          <w:rFonts w:ascii="Calibri"/>
          <w:sz w:val="20"/>
          <w:vertAlign w:val="baseline"/>
        </w:rPr>
        <w:t>S.180(4)(b)</w:t>
      </w:r>
      <w:r>
        <w:rPr>
          <w:rFonts w:ascii="Calibri"/>
          <w:spacing w:val="-8"/>
          <w:sz w:val="20"/>
          <w:vertAlign w:val="baseline"/>
        </w:rPr>
        <w:t> </w:t>
      </w:r>
      <w:r>
        <w:rPr>
          <w:rFonts w:ascii="Calibri"/>
          <w:sz w:val="20"/>
          <w:vertAlign w:val="baseline"/>
        </w:rPr>
        <w:t>CA</w:t>
      </w:r>
      <w:r>
        <w:rPr>
          <w:rFonts w:ascii="Calibri"/>
          <w:spacing w:val="-4"/>
          <w:sz w:val="20"/>
          <w:vertAlign w:val="baseline"/>
        </w:rPr>
        <w:t> </w:t>
      </w:r>
      <w:r>
        <w:rPr>
          <w:rFonts w:ascii="Calibri"/>
          <w:sz w:val="20"/>
          <w:vertAlign w:val="baseline"/>
        </w:rPr>
        <w:t>allows</w:t>
      </w:r>
      <w:r>
        <w:rPr>
          <w:rFonts w:ascii="Calibri"/>
          <w:spacing w:val="-9"/>
          <w:sz w:val="20"/>
          <w:vertAlign w:val="baseline"/>
        </w:rPr>
        <w:t> </w:t>
      </w:r>
      <w:r>
        <w:rPr>
          <w:rFonts w:ascii="Calibri"/>
          <w:sz w:val="20"/>
          <w:vertAlign w:val="baseline"/>
        </w:rPr>
        <w:t>the</w:t>
      </w:r>
      <w:r>
        <w:rPr>
          <w:rFonts w:ascii="Calibri"/>
          <w:spacing w:val="-8"/>
          <w:sz w:val="20"/>
          <w:vertAlign w:val="baseline"/>
        </w:rPr>
        <w:t> </w:t>
      </w:r>
      <w:r>
        <w:rPr>
          <w:rFonts w:ascii="Calibri"/>
          <w:sz w:val="20"/>
          <w:vertAlign w:val="baseline"/>
        </w:rPr>
        <w:t>articles</w:t>
      </w:r>
      <w:r>
        <w:rPr>
          <w:rFonts w:ascii="Calibri"/>
          <w:spacing w:val="-5"/>
          <w:sz w:val="20"/>
          <w:vertAlign w:val="baseline"/>
        </w:rPr>
        <w:t> </w:t>
      </w:r>
      <w:r>
        <w:rPr>
          <w:rFonts w:ascii="Calibri"/>
          <w:sz w:val="20"/>
          <w:vertAlign w:val="baseline"/>
        </w:rPr>
        <w:t>to</w:t>
      </w:r>
      <w:r>
        <w:rPr>
          <w:rFonts w:ascii="Calibri"/>
          <w:spacing w:val="-11"/>
          <w:sz w:val="20"/>
          <w:vertAlign w:val="baseline"/>
        </w:rPr>
        <w:t> </w:t>
      </w:r>
      <w:r>
        <w:rPr>
          <w:rFonts w:ascii="Calibri"/>
          <w:sz w:val="20"/>
          <w:vertAlign w:val="baseline"/>
        </w:rPr>
        <w:t>make</w:t>
      </w:r>
      <w:r>
        <w:rPr>
          <w:rFonts w:ascii="Calibri"/>
          <w:spacing w:val="-7"/>
          <w:sz w:val="20"/>
          <w:vertAlign w:val="baseline"/>
        </w:rPr>
        <w:t> </w:t>
      </w:r>
      <w:r>
        <w:rPr>
          <w:rFonts w:ascii="Calibri"/>
          <w:sz w:val="20"/>
          <w:vertAlign w:val="baseline"/>
        </w:rPr>
        <w:t>provisions</w:t>
      </w:r>
      <w:r>
        <w:rPr>
          <w:rFonts w:ascii="Calibri"/>
          <w:spacing w:val="-4"/>
          <w:sz w:val="20"/>
          <w:vertAlign w:val="baseline"/>
        </w:rPr>
        <w:t> </w:t>
      </w:r>
      <w:r>
        <w:rPr>
          <w:rFonts w:ascii="Calibri"/>
          <w:sz w:val="20"/>
          <w:vertAlign w:val="baseline"/>
        </w:rPr>
        <w:t>dealing</w:t>
      </w:r>
      <w:r>
        <w:rPr>
          <w:rFonts w:ascii="Calibri"/>
          <w:spacing w:val="-7"/>
          <w:sz w:val="20"/>
          <w:vertAlign w:val="baseline"/>
        </w:rPr>
        <w:t> </w:t>
      </w:r>
      <w:r>
        <w:rPr>
          <w:rFonts w:ascii="Calibri"/>
          <w:sz w:val="20"/>
          <w:vertAlign w:val="baseline"/>
        </w:rPr>
        <w:t>with</w:t>
      </w:r>
      <w:r>
        <w:rPr>
          <w:rFonts w:ascii="Calibri"/>
          <w:spacing w:val="-8"/>
          <w:sz w:val="20"/>
          <w:vertAlign w:val="baseline"/>
        </w:rPr>
        <w:t> </w:t>
      </w:r>
      <w:r>
        <w:rPr>
          <w:rFonts w:ascii="Calibri"/>
          <w:sz w:val="20"/>
          <w:vertAlign w:val="baseline"/>
        </w:rPr>
        <w:t>conflicts</w:t>
      </w:r>
      <w:r>
        <w:rPr>
          <w:rFonts w:ascii="Calibri"/>
          <w:spacing w:val="-4"/>
          <w:sz w:val="20"/>
          <w:vertAlign w:val="baseline"/>
        </w:rPr>
        <w:t> </w:t>
      </w:r>
      <w:r>
        <w:rPr>
          <w:rFonts w:ascii="Calibri"/>
          <w:sz w:val="20"/>
          <w:vertAlign w:val="baseline"/>
        </w:rPr>
        <w:t>of</w:t>
      </w:r>
      <w:r>
        <w:rPr>
          <w:rFonts w:ascii="Calibri"/>
          <w:spacing w:val="-7"/>
          <w:sz w:val="20"/>
          <w:vertAlign w:val="baseline"/>
        </w:rPr>
        <w:t> </w:t>
      </w:r>
      <w:r>
        <w:rPr>
          <w:rFonts w:ascii="Calibri"/>
          <w:spacing w:val="-2"/>
          <w:sz w:val="20"/>
          <w:vertAlign w:val="baseline"/>
        </w:rPr>
        <w:t>interest.</w:t>
      </w:r>
    </w:p>
    <w:p>
      <w:pPr>
        <w:spacing w:before="1"/>
        <w:ind w:left="308" w:right="0" w:firstLine="0"/>
        <w:jc w:val="left"/>
        <w:rPr>
          <w:rFonts w:ascii="Calibri"/>
          <w:sz w:val="20"/>
        </w:rPr>
      </w:pPr>
      <w:r>
        <w:rPr>
          <w:rFonts w:ascii="Calibri"/>
          <w:sz w:val="20"/>
          <w:vertAlign w:val="superscript"/>
        </w:rPr>
        <w:t>9</w:t>
      </w:r>
      <w:r>
        <w:rPr>
          <w:rFonts w:ascii="Calibri"/>
          <w:sz w:val="20"/>
          <w:vertAlign w:val="baseline"/>
        </w:rPr>
        <w:t> See</w:t>
      </w:r>
      <w:r>
        <w:rPr>
          <w:rFonts w:ascii="Calibri"/>
          <w:spacing w:val="-4"/>
          <w:sz w:val="20"/>
          <w:vertAlign w:val="baseline"/>
        </w:rPr>
        <w:t> </w:t>
      </w:r>
      <w:r>
        <w:rPr>
          <w:rFonts w:ascii="Calibri"/>
          <w:sz w:val="20"/>
          <w:vertAlign w:val="baseline"/>
        </w:rPr>
        <w:t>s.239</w:t>
      </w:r>
      <w:r>
        <w:rPr>
          <w:rFonts w:ascii="Calibri"/>
          <w:spacing w:val="-2"/>
          <w:sz w:val="20"/>
          <w:vertAlign w:val="baseline"/>
        </w:rPr>
        <w:t> </w:t>
      </w:r>
      <w:r>
        <w:rPr>
          <w:rFonts w:ascii="Calibri"/>
          <w:spacing w:val="-5"/>
          <w:sz w:val="20"/>
          <w:vertAlign w:val="baseline"/>
        </w:rPr>
        <w:t>CA.</w:t>
      </w:r>
    </w:p>
    <w:p>
      <w:pPr>
        <w:spacing w:line="244" w:lineRule="auto" w:before="15"/>
        <w:ind w:left="308" w:right="233" w:firstLine="0"/>
        <w:jc w:val="left"/>
        <w:rPr>
          <w:rFonts w:ascii="Calibri"/>
          <w:sz w:val="20"/>
        </w:rPr>
      </w:pPr>
      <w:r>
        <w:rPr>
          <w:rFonts w:ascii="Calibri"/>
          <w:sz w:val="20"/>
          <w:vertAlign w:val="superscript"/>
        </w:rPr>
        <w:t>10</w:t>
      </w:r>
      <w:r>
        <w:rPr>
          <w:rFonts w:ascii="Calibri"/>
          <w:sz w:val="20"/>
          <w:vertAlign w:val="baseline"/>
        </w:rPr>
        <w:t>The</w:t>
      </w:r>
      <w:r>
        <w:rPr>
          <w:rFonts w:ascii="Calibri"/>
          <w:spacing w:val="32"/>
          <w:sz w:val="20"/>
          <w:vertAlign w:val="baseline"/>
        </w:rPr>
        <w:t> </w:t>
      </w:r>
      <w:r>
        <w:rPr>
          <w:rFonts w:ascii="Calibri"/>
          <w:sz w:val="20"/>
          <w:vertAlign w:val="baseline"/>
        </w:rPr>
        <w:t>CAMA</w:t>
      </w:r>
      <w:r>
        <w:rPr>
          <w:rFonts w:ascii="Calibri"/>
          <w:spacing w:val="31"/>
          <w:sz w:val="20"/>
          <w:vertAlign w:val="baseline"/>
        </w:rPr>
        <w:t> </w:t>
      </w:r>
      <w:r>
        <w:rPr>
          <w:rFonts w:ascii="Calibri"/>
          <w:sz w:val="20"/>
          <w:vertAlign w:val="baseline"/>
        </w:rPr>
        <w:t>is</w:t>
      </w:r>
      <w:r>
        <w:rPr>
          <w:rFonts w:ascii="Calibri"/>
          <w:spacing w:val="30"/>
          <w:sz w:val="20"/>
          <w:vertAlign w:val="baseline"/>
        </w:rPr>
        <w:t> </w:t>
      </w:r>
      <w:r>
        <w:rPr>
          <w:rFonts w:ascii="Calibri"/>
          <w:sz w:val="20"/>
          <w:vertAlign w:val="baseline"/>
        </w:rPr>
        <w:t>more</w:t>
      </w:r>
      <w:r>
        <w:rPr>
          <w:rFonts w:ascii="Calibri"/>
          <w:spacing w:val="32"/>
          <w:sz w:val="20"/>
          <w:vertAlign w:val="baseline"/>
        </w:rPr>
        <w:t> </w:t>
      </w:r>
      <w:r>
        <w:rPr>
          <w:rFonts w:ascii="Calibri"/>
          <w:sz w:val="20"/>
          <w:vertAlign w:val="baseline"/>
        </w:rPr>
        <w:t>often</w:t>
      </w:r>
      <w:r>
        <w:rPr>
          <w:rFonts w:ascii="Calibri"/>
          <w:spacing w:val="32"/>
          <w:sz w:val="20"/>
          <w:vertAlign w:val="baseline"/>
        </w:rPr>
        <w:t> </w:t>
      </w:r>
      <w:r>
        <w:rPr>
          <w:rFonts w:ascii="Calibri"/>
          <w:sz w:val="20"/>
          <w:vertAlign w:val="baseline"/>
        </w:rPr>
        <w:t>in</w:t>
      </w:r>
      <w:r>
        <w:rPr>
          <w:rFonts w:ascii="Calibri"/>
          <w:spacing w:val="27"/>
          <w:sz w:val="20"/>
          <w:vertAlign w:val="baseline"/>
        </w:rPr>
        <w:t> </w:t>
      </w:r>
      <w:r>
        <w:rPr>
          <w:rFonts w:ascii="Calibri"/>
          <w:sz w:val="20"/>
          <w:vertAlign w:val="baseline"/>
        </w:rPr>
        <w:t>mandatory</w:t>
      </w:r>
      <w:r>
        <w:rPr>
          <w:rFonts w:ascii="Calibri"/>
          <w:spacing w:val="35"/>
          <w:sz w:val="20"/>
          <w:vertAlign w:val="baseline"/>
        </w:rPr>
        <w:t> </w:t>
      </w:r>
      <w:r>
        <w:rPr>
          <w:rFonts w:ascii="Calibri"/>
          <w:sz w:val="20"/>
          <w:vertAlign w:val="baseline"/>
        </w:rPr>
        <w:t>terms</w:t>
      </w:r>
      <w:r>
        <w:rPr>
          <w:rFonts w:ascii="Calibri"/>
          <w:spacing w:val="30"/>
          <w:sz w:val="20"/>
          <w:vertAlign w:val="baseline"/>
        </w:rPr>
        <w:t> </w:t>
      </w:r>
      <w:r>
        <w:rPr>
          <w:rFonts w:ascii="Calibri"/>
          <w:sz w:val="20"/>
          <w:vertAlign w:val="baseline"/>
        </w:rPr>
        <w:t>so</w:t>
      </w:r>
      <w:r>
        <w:rPr>
          <w:rFonts w:ascii="Calibri"/>
          <w:spacing w:val="31"/>
          <w:sz w:val="20"/>
          <w:vertAlign w:val="baseline"/>
        </w:rPr>
        <w:t> </w:t>
      </w:r>
      <w:r>
        <w:rPr>
          <w:rFonts w:ascii="Calibri"/>
          <w:sz w:val="20"/>
          <w:vertAlign w:val="baseline"/>
        </w:rPr>
        <w:t>that</w:t>
      </w:r>
      <w:r>
        <w:rPr>
          <w:rFonts w:ascii="Calibri"/>
          <w:spacing w:val="31"/>
          <w:sz w:val="20"/>
          <w:vertAlign w:val="baseline"/>
        </w:rPr>
        <w:t> </w:t>
      </w:r>
      <w:r>
        <w:rPr>
          <w:rFonts w:ascii="Calibri"/>
          <w:sz w:val="20"/>
          <w:vertAlign w:val="baseline"/>
        </w:rPr>
        <w:t>companies</w:t>
      </w:r>
      <w:r>
        <w:rPr>
          <w:rFonts w:ascii="Calibri"/>
          <w:spacing w:val="30"/>
          <w:sz w:val="20"/>
          <w:vertAlign w:val="baseline"/>
        </w:rPr>
        <w:t> </w:t>
      </w:r>
      <w:r>
        <w:rPr>
          <w:rFonts w:ascii="Calibri"/>
          <w:sz w:val="20"/>
          <w:vertAlign w:val="baseline"/>
        </w:rPr>
        <w:t>have</w:t>
      </w:r>
      <w:r>
        <w:rPr>
          <w:rFonts w:ascii="Calibri"/>
          <w:spacing w:val="32"/>
          <w:sz w:val="20"/>
          <w:vertAlign w:val="baseline"/>
        </w:rPr>
        <w:t> </w:t>
      </w:r>
      <w:r>
        <w:rPr>
          <w:rFonts w:ascii="Calibri"/>
          <w:sz w:val="20"/>
          <w:vertAlign w:val="baseline"/>
        </w:rPr>
        <w:t>no</w:t>
      </w:r>
      <w:r>
        <w:rPr>
          <w:rFonts w:ascii="Calibri"/>
          <w:spacing w:val="31"/>
          <w:sz w:val="20"/>
          <w:vertAlign w:val="baseline"/>
        </w:rPr>
        <w:t> </w:t>
      </w:r>
      <w:r>
        <w:rPr>
          <w:rFonts w:ascii="Calibri"/>
          <w:sz w:val="20"/>
          <w:vertAlign w:val="baseline"/>
        </w:rPr>
        <w:t>discretion</w:t>
      </w:r>
      <w:r>
        <w:rPr>
          <w:rFonts w:ascii="Calibri"/>
          <w:spacing w:val="31"/>
          <w:sz w:val="20"/>
          <w:vertAlign w:val="baseline"/>
        </w:rPr>
        <w:t> </w:t>
      </w:r>
      <w:r>
        <w:rPr>
          <w:rFonts w:ascii="Calibri"/>
          <w:sz w:val="20"/>
          <w:vertAlign w:val="baseline"/>
        </w:rPr>
        <w:t>to</w:t>
      </w:r>
      <w:r>
        <w:rPr>
          <w:rFonts w:ascii="Calibri"/>
          <w:spacing w:val="31"/>
          <w:sz w:val="20"/>
          <w:vertAlign w:val="baseline"/>
        </w:rPr>
        <w:t> </w:t>
      </w:r>
      <w:r>
        <w:rPr>
          <w:rFonts w:ascii="Calibri"/>
          <w:sz w:val="20"/>
          <w:vertAlign w:val="baseline"/>
        </w:rPr>
        <w:t>exercise</w:t>
      </w:r>
      <w:r>
        <w:rPr>
          <w:rFonts w:ascii="Calibri"/>
          <w:spacing w:val="27"/>
          <w:sz w:val="20"/>
          <w:vertAlign w:val="baseline"/>
        </w:rPr>
        <w:t> </w:t>
      </w:r>
      <w:r>
        <w:rPr>
          <w:rFonts w:ascii="Calibri"/>
          <w:sz w:val="20"/>
          <w:vertAlign w:val="baseline"/>
        </w:rPr>
        <w:t>in certain</w:t>
      </w:r>
      <w:r>
        <w:rPr>
          <w:rFonts w:ascii="Calibri"/>
          <w:spacing w:val="-1"/>
          <w:sz w:val="20"/>
          <w:vertAlign w:val="baseline"/>
        </w:rPr>
        <w:t> </w:t>
      </w:r>
      <w:r>
        <w:rPr>
          <w:rFonts w:ascii="Calibri"/>
          <w:sz w:val="20"/>
          <w:vertAlign w:val="baseline"/>
        </w:rPr>
        <w:t>matters.</w:t>
      </w:r>
    </w:p>
    <w:p>
      <w:pPr>
        <w:spacing w:line="241" w:lineRule="exact" w:before="0"/>
        <w:ind w:left="308" w:right="0" w:firstLine="0"/>
        <w:jc w:val="left"/>
        <w:rPr>
          <w:rFonts w:ascii="Calibri"/>
          <w:sz w:val="20"/>
        </w:rPr>
      </w:pPr>
      <w:r>
        <w:rPr>
          <w:rFonts w:ascii="Calibri"/>
          <w:sz w:val="20"/>
          <w:vertAlign w:val="superscript"/>
        </w:rPr>
        <w:t>11</w:t>
      </w:r>
      <w:r>
        <w:rPr>
          <w:rFonts w:ascii="Calibri"/>
          <w:spacing w:val="1"/>
          <w:sz w:val="20"/>
          <w:vertAlign w:val="baseline"/>
        </w:rPr>
        <w:t> </w:t>
      </w:r>
      <w:r>
        <w:rPr>
          <w:rFonts w:ascii="Calibri"/>
          <w:sz w:val="20"/>
          <w:vertAlign w:val="baseline"/>
        </w:rPr>
        <w:t>See</w:t>
      </w:r>
      <w:r>
        <w:rPr>
          <w:rFonts w:ascii="Calibri"/>
          <w:spacing w:val="-4"/>
          <w:sz w:val="20"/>
          <w:vertAlign w:val="baseline"/>
        </w:rPr>
        <w:t> </w:t>
      </w:r>
      <w:r>
        <w:rPr>
          <w:rFonts w:ascii="Calibri"/>
          <w:sz w:val="20"/>
          <w:vertAlign w:val="baseline"/>
        </w:rPr>
        <w:t>s.18</w:t>
      </w:r>
      <w:r>
        <w:rPr>
          <w:rFonts w:ascii="Calibri"/>
          <w:spacing w:val="-1"/>
          <w:sz w:val="20"/>
          <w:vertAlign w:val="baseline"/>
        </w:rPr>
        <w:t> </w:t>
      </w:r>
      <w:r>
        <w:rPr>
          <w:rFonts w:ascii="Calibri"/>
          <w:spacing w:val="-4"/>
          <w:sz w:val="20"/>
          <w:vertAlign w:val="baseline"/>
        </w:rPr>
        <w:t>CAMA</w:t>
      </w:r>
    </w:p>
    <w:p>
      <w:pPr>
        <w:spacing w:before="1"/>
        <w:ind w:left="308" w:right="0" w:firstLine="0"/>
        <w:jc w:val="left"/>
        <w:rPr>
          <w:rFonts w:ascii="Calibri"/>
          <w:sz w:val="20"/>
        </w:rPr>
      </w:pPr>
      <w:r>
        <w:rPr>
          <w:rFonts w:ascii="Calibri"/>
          <w:sz w:val="20"/>
          <w:vertAlign w:val="superscript"/>
        </w:rPr>
        <w:t>12</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s.246</w:t>
      </w:r>
      <w:r>
        <w:rPr>
          <w:rFonts w:ascii="Calibri"/>
          <w:spacing w:val="-2"/>
          <w:sz w:val="20"/>
          <w:vertAlign w:val="baseline"/>
        </w:rPr>
        <w:t> CAMA.</w:t>
      </w:r>
    </w:p>
    <w:p>
      <w:pPr>
        <w:spacing w:before="0"/>
        <w:ind w:left="308" w:right="0" w:firstLine="0"/>
        <w:jc w:val="left"/>
        <w:rPr>
          <w:rFonts w:ascii="Calibri"/>
          <w:sz w:val="20"/>
        </w:rPr>
      </w:pPr>
      <w:r>
        <w:rPr>
          <w:rFonts w:ascii="Calibri"/>
          <w:sz w:val="20"/>
          <w:vertAlign w:val="superscript"/>
        </w:rPr>
        <w:t>13</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s.293(1)</w:t>
      </w:r>
      <w:r>
        <w:rPr>
          <w:rFonts w:ascii="Calibri"/>
          <w:spacing w:val="-5"/>
          <w:sz w:val="20"/>
          <w:vertAlign w:val="baseline"/>
        </w:rPr>
        <w:t> </w:t>
      </w:r>
      <w:r>
        <w:rPr>
          <w:rFonts w:ascii="Calibri"/>
          <w:spacing w:val="-4"/>
          <w:sz w:val="20"/>
          <w:vertAlign w:val="baseline"/>
        </w:rPr>
        <w:t>CAMA.</w:t>
      </w:r>
    </w:p>
    <w:p>
      <w:pPr>
        <w:spacing w:before="1"/>
        <w:ind w:left="308" w:right="0" w:firstLine="0"/>
        <w:jc w:val="left"/>
        <w:rPr>
          <w:rFonts w:ascii="Calibri"/>
          <w:sz w:val="20"/>
        </w:rPr>
      </w:pPr>
      <w:r>
        <w:rPr>
          <w:rFonts w:ascii="Calibri"/>
          <w:sz w:val="20"/>
          <w:vertAlign w:val="superscript"/>
        </w:rPr>
        <w:t>14</w:t>
      </w:r>
      <w:r>
        <w:rPr>
          <w:rFonts w:ascii="Calibri"/>
          <w:spacing w:val="2"/>
          <w:sz w:val="20"/>
          <w:vertAlign w:val="baseline"/>
        </w:rPr>
        <w:t> </w:t>
      </w:r>
      <w:r>
        <w:rPr>
          <w:rFonts w:ascii="Calibri"/>
          <w:sz w:val="20"/>
          <w:vertAlign w:val="baseline"/>
        </w:rPr>
        <w:t>See</w:t>
      </w:r>
      <w:r>
        <w:rPr>
          <w:rFonts w:ascii="Calibri"/>
          <w:spacing w:val="-3"/>
          <w:sz w:val="20"/>
          <w:vertAlign w:val="baseline"/>
        </w:rPr>
        <w:t> </w:t>
      </w:r>
      <w:r>
        <w:rPr>
          <w:rFonts w:ascii="Calibri"/>
          <w:spacing w:val="-2"/>
          <w:sz w:val="20"/>
          <w:vertAlign w:val="baseline"/>
        </w:rPr>
        <w:t>s.39(1).</w:t>
      </w:r>
    </w:p>
    <w:p>
      <w:pPr>
        <w:spacing w:before="1"/>
        <w:ind w:left="308" w:right="0" w:firstLine="0"/>
        <w:jc w:val="left"/>
        <w:rPr>
          <w:rFonts w:ascii="Calibri"/>
          <w:sz w:val="20"/>
        </w:rPr>
      </w:pPr>
      <w:r>
        <w:rPr>
          <w:rFonts w:ascii="Calibri"/>
          <w:sz w:val="20"/>
          <w:vertAlign w:val="superscript"/>
        </w:rPr>
        <w:t>15</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ss.44,</w:t>
      </w:r>
      <w:r>
        <w:rPr>
          <w:rFonts w:ascii="Calibri"/>
          <w:spacing w:val="-4"/>
          <w:sz w:val="20"/>
          <w:vertAlign w:val="baseline"/>
        </w:rPr>
        <w:t> </w:t>
      </w:r>
      <w:r>
        <w:rPr>
          <w:rFonts w:ascii="Calibri"/>
          <w:sz w:val="20"/>
          <w:vertAlign w:val="baseline"/>
        </w:rPr>
        <w:t>45(2)</w:t>
      </w:r>
      <w:r>
        <w:rPr>
          <w:rFonts w:ascii="Calibri"/>
          <w:spacing w:val="-2"/>
          <w:sz w:val="20"/>
          <w:vertAlign w:val="baseline"/>
        </w:rPr>
        <w:t> </w:t>
      </w:r>
      <w:r>
        <w:rPr>
          <w:rFonts w:ascii="Calibri"/>
          <w:sz w:val="20"/>
          <w:vertAlign w:val="baseline"/>
        </w:rPr>
        <w:t>and</w:t>
      </w:r>
      <w:r>
        <w:rPr>
          <w:rFonts w:ascii="Calibri"/>
          <w:spacing w:val="-2"/>
          <w:sz w:val="20"/>
          <w:vertAlign w:val="baseline"/>
        </w:rPr>
        <w:t> </w:t>
      </w:r>
      <w:r>
        <w:rPr>
          <w:rFonts w:ascii="Calibri"/>
          <w:sz w:val="20"/>
          <w:vertAlign w:val="baseline"/>
        </w:rPr>
        <w:t>46</w:t>
      </w:r>
      <w:r>
        <w:rPr>
          <w:rFonts w:ascii="Calibri"/>
          <w:spacing w:val="-8"/>
          <w:sz w:val="20"/>
          <w:vertAlign w:val="baseline"/>
        </w:rPr>
        <w:t> </w:t>
      </w:r>
      <w:r>
        <w:rPr>
          <w:rFonts w:ascii="Calibri"/>
          <w:spacing w:val="-2"/>
          <w:sz w:val="20"/>
          <w:vertAlign w:val="baseline"/>
        </w:rPr>
        <w:t>CAMA.</w:t>
      </w:r>
    </w:p>
    <w:p>
      <w:pPr>
        <w:spacing w:after="0"/>
        <w:jc w:val="left"/>
        <w:rPr>
          <w:rFonts w:ascii="Calibri"/>
          <w:sz w:val="20"/>
        </w:rPr>
        <w:sectPr>
          <w:pgSz w:w="11910" w:h="16840"/>
          <w:pgMar w:header="0" w:footer="1003" w:top="1280" w:bottom="1200" w:left="1680" w:right="1180"/>
        </w:sectPr>
      </w:pPr>
    </w:p>
    <w:p>
      <w:pPr>
        <w:pStyle w:val="BodyText"/>
        <w:spacing w:line="480" w:lineRule="auto" w:before="110"/>
        <w:ind w:right="234"/>
        <w:jc w:val="both"/>
      </w:pPr>
      <w:r>
        <w:rPr/>
        <w:t>articles.</w:t>
      </w:r>
      <w:r>
        <w:rPr>
          <w:vertAlign w:val="superscript"/>
        </w:rPr>
        <w:t>16</w:t>
      </w:r>
      <w:r>
        <w:rPr>
          <w:vertAlign w:val="baseline"/>
        </w:rPr>
        <w:t> Arguably, it may be that the sum total of these principles is the discouragement of incorporation, especially by sole proprietors or one-man business owners who would not want to share control, no matter how insignificantly. Therefore, the approach of each of the two legislations in relation to directors‘ duties, is reflective of other aspects of company law within the respective legislations.</w:t>
      </w:r>
    </w:p>
    <w:p>
      <w:pPr>
        <w:pStyle w:val="BodyText"/>
        <w:spacing w:line="480" w:lineRule="auto" w:before="1"/>
        <w:ind w:right="233" w:firstLine="720"/>
        <w:jc w:val="both"/>
      </w:pPr>
      <w:r>
        <w:rPr/>
        <w:t>In</w:t>
      </w:r>
      <w:r>
        <w:rPr>
          <w:spacing w:val="-1"/>
        </w:rPr>
        <w:t> </w:t>
      </w:r>
      <w:r>
        <w:rPr/>
        <w:t>terms of</w:t>
      </w:r>
      <w:r>
        <w:rPr>
          <w:spacing w:val="-4"/>
        </w:rPr>
        <w:t> </w:t>
      </w:r>
      <w:r>
        <w:rPr/>
        <w:t>structure and general</w:t>
      </w:r>
      <w:r>
        <w:rPr>
          <w:spacing w:val="-1"/>
        </w:rPr>
        <w:t> </w:t>
      </w:r>
      <w:r>
        <w:rPr/>
        <w:t>style, the CA</w:t>
      </w:r>
      <w:r>
        <w:rPr>
          <w:spacing w:val="-2"/>
        </w:rPr>
        <w:t> </w:t>
      </w:r>
      <w:r>
        <w:rPr/>
        <w:t>has much</w:t>
      </w:r>
      <w:r>
        <w:rPr>
          <w:spacing w:val="-1"/>
        </w:rPr>
        <w:t> </w:t>
      </w:r>
      <w:r>
        <w:rPr/>
        <w:t>to commend it over the CAMA. First, the sections regarding the general duties of directors are arranged sequentially, so that they are found in the same part of the Act. Thus, the duties run</w:t>
      </w:r>
      <w:r>
        <w:rPr>
          <w:spacing w:val="40"/>
        </w:rPr>
        <w:t> </w:t>
      </w:r>
      <w:r>
        <w:rPr/>
        <w:t>from ss.171 to 177. The only other related aspect separated, owing to having a different consequence of breach, is the duty of disclosure with respect to existing transactions. Second, the language used in the sections aimed at achieving simplicity, clarity and unambiguity.</w:t>
      </w:r>
      <w:r>
        <w:rPr>
          <w:vertAlign w:val="superscript"/>
        </w:rPr>
        <w:t>17</w:t>
      </w:r>
      <w:r>
        <w:rPr>
          <w:vertAlign w:val="baseline"/>
        </w:rPr>
        <w:t> In fact, this is the most obvious aspect of the codification of directors‘ duties in the CA. The achievement of this feat was aided in part by the use of introductory</w:t>
      </w:r>
      <w:r>
        <w:rPr>
          <w:spacing w:val="-1"/>
          <w:vertAlign w:val="baseline"/>
        </w:rPr>
        <w:t> </w:t>
      </w:r>
      <w:r>
        <w:rPr>
          <w:vertAlign w:val="baseline"/>
        </w:rPr>
        <w:t>sections and subsections that helped to further clarify</w:t>
      </w:r>
      <w:r>
        <w:rPr>
          <w:spacing w:val="-1"/>
          <w:vertAlign w:val="baseline"/>
        </w:rPr>
        <w:t> </w:t>
      </w:r>
      <w:r>
        <w:rPr>
          <w:vertAlign w:val="baseline"/>
        </w:rPr>
        <w:t>the main substantive provisions. This is the case with ss.170, 174(2), 175(2), and 176(2). Also, exceptions to the rules in each section regarding each duty, have been clearly stated. Third, the provisions are made in a language general enough to admit judicial activism in order to further</w:t>
      </w:r>
      <w:r>
        <w:rPr>
          <w:spacing w:val="35"/>
          <w:vertAlign w:val="baseline"/>
        </w:rPr>
        <w:t> </w:t>
      </w:r>
      <w:r>
        <w:rPr>
          <w:vertAlign w:val="baseline"/>
        </w:rPr>
        <w:t>develop</w:t>
      </w:r>
      <w:r>
        <w:rPr>
          <w:spacing w:val="33"/>
          <w:vertAlign w:val="baseline"/>
        </w:rPr>
        <w:t> </w:t>
      </w:r>
      <w:r>
        <w:rPr>
          <w:vertAlign w:val="baseline"/>
        </w:rPr>
        <w:t>the</w:t>
      </w:r>
      <w:r>
        <w:rPr>
          <w:spacing w:val="37"/>
          <w:vertAlign w:val="baseline"/>
        </w:rPr>
        <w:t> </w:t>
      </w:r>
      <w:r>
        <w:rPr>
          <w:vertAlign w:val="baseline"/>
        </w:rPr>
        <w:t>law</w:t>
      </w:r>
      <w:r>
        <w:rPr>
          <w:spacing w:val="38"/>
          <w:vertAlign w:val="baseline"/>
        </w:rPr>
        <w:t> </w:t>
      </w:r>
      <w:r>
        <w:rPr>
          <w:vertAlign w:val="baseline"/>
        </w:rPr>
        <w:t>in</w:t>
      </w:r>
      <w:r>
        <w:rPr>
          <w:spacing w:val="33"/>
          <w:vertAlign w:val="baseline"/>
        </w:rPr>
        <w:t> </w:t>
      </w:r>
      <w:r>
        <w:rPr>
          <w:vertAlign w:val="baseline"/>
        </w:rPr>
        <w:t>practice.</w:t>
      </w:r>
      <w:r>
        <w:rPr>
          <w:spacing w:val="35"/>
          <w:vertAlign w:val="baseline"/>
        </w:rPr>
        <w:t> </w:t>
      </w:r>
      <w:r>
        <w:rPr>
          <w:vertAlign w:val="baseline"/>
        </w:rPr>
        <w:t>This</w:t>
      </w:r>
      <w:r>
        <w:rPr>
          <w:spacing w:val="36"/>
          <w:vertAlign w:val="baseline"/>
        </w:rPr>
        <w:t> </w:t>
      </w:r>
      <w:r>
        <w:rPr>
          <w:vertAlign w:val="baseline"/>
        </w:rPr>
        <w:t>is</w:t>
      </w:r>
      <w:r>
        <w:rPr>
          <w:spacing w:val="36"/>
          <w:vertAlign w:val="baseline"/>
        </w:rPr>
        <w:t> </w:t>
      </w:r>
      <w:r>
        <w:rPr>
          <w:vertAlign w:val="baseline"/>
        </w:rPr>
        <w:t>especially</w:t>
      </w:r>
      <w:r>
        <w:rPr>
          <w:spacing w:val="28"/>
          <w:vertAlign w:val="baseline"/>
        </w:rPr>
        <w:t> </w:t>
      </w:r>
      <w:r>
        <w:rPr>
          <w:vertAlign w:val="baseline"/>
        </w:rPr>
        <w:t>evident</w:t>
      </w:r>
      <w:r>
        <w:rPr>
          <w:spacing w:val="40"/>
          <w:vertAlign w:val="baseline"/>
        </w:rPr>
        <w:t> </w:t>
      </w:r>
      <w:r>
        <w:rPr>
          <w:vertAlign w:val="baseline"/>
        </w:rPr>
        <w:t>from</w:t>
      </w:r>
      <w:r>
        <w:rPr>
          <w:spacing w:val="24"/>
          <w:vertAlign w:val="baseline"/>
        </w:rPr>
        <w:t> </w:t>
      </w:r>
      <w:r>
        <w:rPr>
          <w:vertAlign w:val="baseline"/>
        </w:rPr>
        <w:t>the</w:t>
      </w:r>
      <w:r>
        <w:rPr>
          <w:spacing w:val="32"/>
          <w:vertAlign w:val="baseline"/>
        </w:rPr>
        <w:t> </w:t>
      </w:r>
      <w:r>
        <w:rPr>
          <w:vertAlign w:val="baseline"/>
        </w:rPr>
        <w:t>admission</w:t>
      </w:r>
      <w:r>
        <w:rPr>
          <w:spacing w:val="28"/>
          <w:vertAlign w:val="baseline"/>
        </w:rPr>
        <w:t> </w:t>
      </w:r>
      <w:r>
        <w:rPr>
          <w:vertAlign w:val="baseline"/>
        </w:rPr>
        <w:t>of</w:t>
      </w:r>
    </w:p>
    <w:p>
      <w:pPr>
        <w:pStyle w:val="BodyText"/>
        <w:spacing w:line="480" w:lineRule="auto" w:before="2"/>
        <w:ind w:right="236"/>
        <w:jc w:val="both"/>
      </w:pPr>
      <w:r>
        <w:rPr/>
        <w:t>‗reasonability‘ in determining breach in some cases. Finally, the duties are couched in more proper language that effectively reduces the principles developed under common law,</w:t>
      </w:r>
      <w:r>
        <w:rPr>
          <w:spacing w:val="-4"/>
        </w:rPr>
        <w:t> </w:t>
      </w:r>
      <w:r>
        <w:rPr/>
        <w:t>into</w:t>
      </w:r>
      <w:r>
        <w:rPr>
          <w:spacing w:val="-9"/>
        </w:rPr>
        <w:t> </w:t>
      </w:r>
      <w:r>
        <w:rPr/>
        <w:t>the</w:t>
      </w:r>
      <w:r>
        <w:rPr>
          <w:spacing w:val="-10"/>
        </w:rPr>
        <w:t> </w:t>
      </w:r>
      <w:r>
        <w:rPr/>
        <w:t>proper</w:t>
      </w:r>
      <w:r>
        <w:rPr>
          <w:spacing w:val="-11"/>
        </w:rPr>
        <w:t> </w:t>
      </w:r>
      <w:r>
        <w:rPr/>
        <w:t>tone</w:t>
      </w:r>
      <w:r>
        <w:rPr>
          <w:spacing w:val="-10"/>
        </w:rPr>
        <w:t> </w:t>
      </w:r>
      <w:r>
        <w:rPr/>
        <w:t>of</w:t>
      </w:r>
      <w:r>
        <w:rPr>
          <w:spacing w:val="-15"/>
        </w:rPr>
        <w:t> </w:t>
      </w:r>
      <w:r>
        <w:rPr/>
        <w:t>obligation.</w:t>
      </w:r>
      <w:r>
        <w:rPr>
          <w:spacing w:val="-7"/>
        </w:rPr>
        <w:t> </w:t>
      </w:r>
      <w:r>
        <w:rPr/>
        <w:t>Thus,</w:t>
      </w:r>
      <w:r>
        <w:rPr>
          <w:spacing w:val="-7"/>
        </w:rPr>
        <w:t> </w:t>
      </w:r>
      <w:r>
        <w:rPr/>
        <w:t>all</w:t>
      </w:r>
      <w:r>
        <w:rPr>
          <w:spacing w:val="-13"/>
        </w:rPr>
        <w:t> </w:t>
      </w:r>
      <w:r>
        <w:rPr/>
        <w:t>the</w:t>
      </w:r>
      <w:r>
        <w:rPr>
          <w:spacing w:val="-10"/>
        </w:rPr>
        <w:t> </w:t>
      </w:r>
      <w:r>
        <w:rPr/>
        <w:t>sections</w:t>
      </w:r>
      <w:r>
        <w:rPr>
          <w:spacing w:val="-7"/>
        </w:rPr>
        <w:t> </w:t>
      </w:r>
      <w:r>
        <w:rPr/>
        <w:t>begin</w:t>
      </w:r>
      <w:r>
        <w:rPr>
          <w:spacing w:val="-9"/>
        </w:rPr>
        <w:t> </w:t>
      </w:r>
      <w:r>
        <w:rPr/>
        <w:t>thus,</w:t>
      </w:r>
      <w:r>
        <w:rPr>
          <w:spacing w:val="-3"/>
        </w:rPr>
        <w:t> </w:t>
      </w:r>
      <w:r>
        <w:rPr/>
        <w:t>―A</w:t>
      </w:r>
      <w:r>
        <w:rPr>
          <w:spacing w:val="-14"/>
        </w:rPr>
        <w:t> </w:t>
      </w:r>
      <w:r>
        <w:rPr/>
        <w:t>director</w:t>
      </w:r>
      <w:r>
        <w:rPr>
          <w:spacing w:val="-11"/>
        </w:rPr>
        <w:t> </w:t>
      </w:r>
      <w:r>
        <w:rPr/>
        <w:t>of</w:t>
      </w:r>
      <w:r>
        <w:rPr>
          <w:spacing w:val="-15"/>
        </w:rPr>
        <w:t> </w:t>
      </w:r>
      <w:r>
        <w:rPr/>
        <w:t>a company must…‖</w:t>
      </w:r>
    </w:p>
    <w:p>
      <w:pPr>
        <w:pStyle w:val="BodyText"/>
        <w:ind w:left="0"/>
        <w:rPr>
          <w:sz w:val="20"/>
        </w:rPr>
      </w:pPr>
    </w:p>
    <w:p>
      <w:pPr>
        <w:pStyle w:val="BodyText"/>
        <w:spacing w:before="43"/>
        <w:ind w:left="0"/>
        <w:rPr>
          <w:sz w:val="20"/>
        </w:rPr>
      </w:pPr>
      <w:r>
        <w:rPr/>
        <mc:AlternateContent>
          <mc:Choice Requires="wps">
            <w:drawing>
              <wp:anchor distT="0" distB="0" distL="0" distR="0" allowOverlap="1" layoutInCell="1" locked="0" behindDoc="1" simplePos="0" relativeHeight="487712768">
                <wp:simplePos x="0" y="0"/>
                <wp:positionH relativeFrom="page">
                  <wp:posOffset>1262481</wp:posOffset>
                </wp:positionH>
                <wp:positionV relativeFrom="paragraph">
                  <wp:posOffset>189134</wp:posOffset>
                </wp:positionV>
                <wp:extent cx="1829435" cy="9525"/>
                <wp:effectExtent l="0" t="0" r="0" b="0"/>
                <wp:wrapTopAndBottom/>
                <wp:docPr id="271" name="Graphic 271"/>
                <wp:cNvGraphicFramePr>
                  <a:graphicFrameLocks/>
                </wp:cNvGraphicFramePr>
                <a:graphic>
                  <a:graphicData uri="http://schemas.microsoft.com/office/word/2010/wordprocessingShape">
                    <wps:wsp>
                      <wps:cNvPr id="271" name="Graphic 271"/>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892509pt;width:144.050pt;height:.72003pt;mso-position-horizontal-relative:page;mso-position-vertical-relative:paragraph;z-index:-15603712;mso-wrap-distance-left:0;mso-wrap-distance-right:0" id="docshape226" filled="true" fillcolor="#000000" stroked="false">
                <v:fill type="solid"/>
                <w10:wrap type="topAndBottom"/>
              </v:rect>
            </w:pict>
          </mc:Fallback>
        </mc:AlternateContent>
      </w:r>
    </w:p>
    <w:p>
      <w:pPr>
        <w:spacing w:before="103"/>
        <w:ind w:left="308" w:right="0" w:firstLine="0"/>
        <w:jc w:val="both"/>
        <w:rPr>
          <w:rFonts w:ascii="Calibri"/>
          <w:sz w:val="20"/>
        </w:rPr>
      </w:pPr>
      <w:r>
        <w:rPr>
          <w:rFonts w:ascii="Calibri"/>
          <w:sz w:val="20"/>
          <w:vertAlign w:val="superscript"/>
        </w:rPr>
        <w:t>16</w:t>
      </w:r>
      <w:r>
        <w:rPr>
          <w:rFonts w:ascii="Calibri"/>
          <w:spacing w:val="2"/>
          <w:sz w:val="20"/>
          <w:vertAlign w:val="baseline"/>
        </w:rPr>
        <w:t> </w:t>
      </w:r>
      <w:r>
        <w:rPr>
          <w:rFonts w:ascii="Calibri"/>
          <w:sz w:val="20"/>
          <w:vertAlign w:val="baseline"/>
        </w:rPr>
        <w:t>See</w:t>
      </w:r>
      <w:r>
        <w:rPr>
          <w:rFonts w:ascii="Calibri"/>
          <w:spacing w:val="-3"/>
          <w:sz w:val="20"/>
          <w:vertAlign w:val="baseline"/>
        </w:rPr>
        <w:t> </w:t>
      </w:r>
      <w:r>
        <w:rPr>
          <w:rFonts w:ascii="Calibri"/>
          <w:spacing w:val="-2"/>
          <w:sz w:val="20"/>
          <w:vertAlign w:val="baseline"/>
        </w:rPr>
        <w:t>s.279(8).</w:t>
      </w:r>
    </w:p>
    <w:p>
      <w:pPr>
        <w:spacing w:before="0"/>
        <w:ind w:left="308" w:right="231" w:firstLine="0"/>
        <w:jc w:val="both"/>
        <w:rPr>
          <w:sz w:val="20"/>
        </w:rPr>
      </w:pPr>
      <w:r>
        <w:rPr>
          <w:rFonts w:ascii="Calibri"/>
          <w:sz w:val="20"/>
          <w:vertAlign w:val="superscript"/>
        </w:rPr>
        <w:t>17</w:t>
      </w:r>
      <w:r>
        <w:rPr>
          <w:rFonts w:ascii="Calibri"/>
          <w:sz w:val="20"/>
          <w:vertAlign w:val="baseline"/>
        </w:rPr>
        <w:t> Part of the terms of reference for the CLRSG was modernising company law in order to provide a simple, efficient and cost-effective framework, drafted in clear, concise and unambiguous language which can be readily understood by those involved in business enterprise. See Appendix A to the CLRSG Final Report, July 2001. Retrieved October 4, 2013, from </w:t>
      </w:r>
      <w:hyperlink r:id="rId64">
        <w:r>
          <w:rPr>
            <w:color w:val="0000FF"/>
            <w:sz w:val="20"/>
            <w:u w:val="single" w:color="0000FF"/>
            <w:vertAlign w:val="baseline"/>
          </w:rPr>
          <w:t>http://www.dti.gov.uk/cld/review.htm</w:t>
        </w:r>
        <w:r>
          <w:rPr>
            <w:sz w:val="20"/>
            <w:vertAlign w:val="baseline"/>
          </w:rPr>
          <w:t>.</w:t>
        </w:r>
      </w:hyperlink>
    </w:p>
    <w:p>
      <w:pPr>
        <w:spacing w:after="0"/>
        <w:jc w:val="both"/>
        <w:rPr>
          <w:sz w:val="20"/>
        </w:rPr>
        <w:sectPr>
          <w:pgSz w:w="11910" w:h="16840"/>
          <w:pgMar w:header="0" w:footer="1003" w:top="1280" w:bottom="1200" w:left="1680" w:right="1180"/>
        </w:sectPr>
      </w:pPr>
    </w:p>
    <w:p>
      <w:pPr>
        <w:pStyle w:val="BodyText"/>
        <w:spacing w:line="480" w:lineRule="auto" w:before="70"/>
        <w:ind w:right="232" w:firstLine="720"/>
        <w:jc w:val="both"/>
      </w:pPr>
      <w:r>
        <w:rPr/>
        <w:t>These commendable characteristics are not observable in the CAMA. Here, the sections on the topic are not sequentially arranged, with aspects of allied principles dispersed within the provisions. For example, conflict of interest principles in s.280 are separated from allied principles on self-dealing and secret benefits in ss.277 and 287. The same is true of the duty to act in good faith, which is to be found variously in ss.279(1), (3) and s.282 as well as the duty to exercise care and skill captured in ss.279(3) and 282. The language of the law in the CAMA in some cases, is either ambiguous and therefore, unclear, or even downright misleading. This is observable in ss.279(1), (2), (3), (4), (5) and (6). Furthermore, although also constituting ―duties of directors‖, the principles captured under ss.280, 282 and 287 have, apparently inadvertently, been excluded from the ambit of the rule in s.279(9), which requires the company to enforce the duties of directors.Thus, the arrangement of the relevant</w:t>
      </w:r>
      <w:r>
        <w:rPr>
          <w:spacing w:val="40"/>
        </w:rPr>
        <w:t> </w:t>
      </w:r>
      <w:r>
        <w:rPr/>
        <w:t>sections on directors‘ duties in the CAMA disrupt a good flow of the law: the CA is better on this point. In fact, the statement of duties under the CA would be more comprehendible to a director of average acumen than the provisions of the CAMA. In the latter case, the director may have to go through a horde of court decisions or pay substantial professional fees in order to find out their proper interpretation.</w:t>
      </w:r>
    </w:p>
    <w:p>
      <w:pPr>
        <w:pStyle w:val="BodyText"/>
        <w:spacing w:line="480" w:lineRule="auto" w:before="3"/>
        <w:ind w:right="233" w:firstLine="720"/>
        <w:jc w:val="both"/>
      </w:pPr>
      <w:r>
        <w:rPr/>
        <w:t>Both legislations in</w:t>
      </w:r>
      <w:r>
        <w:rPr>
          <w:spacing w:val="-1"/>
        </w:rPr>
        <w:t> </w:t>
      </w:r>
      <w:r>
        <w:rPr/>
        <w:t>principle require the duties to be observed by</w:t>
      </w:r>
      <w:r>
        <w:rPr>
          <w:spacing w:val="-6"/>
        </w:rPr>
        <w:t> </w:t>
      </w:r>
      <w:r>
        <w:rPr/>
        <w:t>every</w:t>
      </w:r>
      <w:r>
        <w:rPr>
          <w:spacing w:val="-6"/>
        </w:rPr>
        <w:t> </w:t>
      </w:r>
      <w:r>
        <w:rPr/>
        <w:t>director, presumably both de facto and de jure. However, their applicability to shadow directors</w:t>
      </w:r>
      <w:r>
        <w:rPr>
          <w:spacing w:val="40"/>
        </w:rPr>
        <w:t> </w:t>
      </w:r>
      <w:r>
        <w:rPr/>
        <w:t>is not clear. The CAMA specifically imposes the obligations in s.281 on the shadow director as a multiple director.</w:t>
      </w:r>
      <w:r>
        <w:rPr>
          <w:vertAlign w:val="superscript"/>
        </w:rPr>
        <w:t>18</w:t>
      </w:r>
      <w:r>
        <w:rPr>
          <w:vertAlign w:val="baseline"/>
        </w:rPr>
        <w:t> The said section requires him to observe the fiduciary duties, particularly those against conflicts of interests and duties. On the other hand, the CA simply states that the general duties are applicable to shadow directors</w:t>
      </w:r>
      <w:r>
        <w:rPr>
          <w:spacing w:val="-1"/>
          <w:vertAlign w:val="baseline"/>
        </w:rPr>
        <w:t> </w:t>
      </w:r>
      <w:r>
        <w:rPr>
          <w:vertAlign w:val="baseline"/>
        </w:rPr>
        <w:t>to the extent applicable to them under corresponding common law and equitable principles, while it</w:t>
      </w:r>
    </w:p>
    <w:p>
      <w:pPr>
        <w:pStyle w:val="BodyText"/>
        <w:spacing w:before="149"/>
        <w:ind w:left="0"/>
        <w:rPr>
          <w:sz w:val="20"/>
        </w:rPr>
      </w:pPr>
      <w:r>
        <w:rPr/>
        <mc:AlternateContent>
          <mc:Choice Requires="wps">
            <w:drawing>
              <wp:anchor distT="0" distB="0" distL="0" distR="0" allowOverlap="1" layoutInCell="1" locked="0" behindDoc="1" simplePos="0" relativeHeight="487713280">
                <wp:simplePos x="0" y="0"/>
                <wp:positionH relativeFrom="page">
                  <wp:posOffset>1262481</wp:posOffset>
                </wp:positionH>
                <wp:positionV relativeFrom="paragraph">
                  <wp:posOffset>256314</wp:posOffset>
                </wp:positionV>
                <wp:extent cx="1829435" cy="9525"/>
                <wp:effectExtent l="0" t="0" r="0" b="0"/>
                <wp:wrapTopAndBottom/>
                <wp:docPr id="272" name="Graphic 272"/>
                <wp:cNvGraphicFramePr>
                  <a:graphicFrameLocks/>
                </wp:cNvGraphicFramePr>
                <a:graphic>
                  <a:graphicData uri="http://schemas.microsoft.com/office/word/2010/wordprocessingShape">
                    <wps:wsp>
                      <wps:cNvPr id="272" name="Graphic 27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82280pt;width:144.050pt;height:.71997pt;mso-position-horizontal-relative:page;mso-position-vertical-relative:paragraph;z-index:-15603200;mso-wrap-distance-left:0;mso-wrap-distance-right:0" id="docshape22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18</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s.245(1)</w:t>
      </w:r>
      <w:r>
        <w:rPr>
          <w:rFonts w:ascii="Calibri"/>
          <w:spacing w:val="-5"/>
          <w:sz w:val="20"/>
          <w:vertAlign w:val="baseline"/>
        </w:rPr>
        <w:t> </w:t>
      </w:r>
      <w:r>
        <w:rPr>
          <w:rFonts w:ascii="Calibri"/>
          <w:spacing w:val="-4"/>
          <w:sz w:val="20"/>
          <w:vertAlign w:val="baseline"/>
        </w:rPr>
        <w:t>CAMA.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0"/>
        <w:jc w:val="both"/>
      </w:pPr>
      <w:r>
        <w:rPr/>
        <w:t>is not clear the extent to which they were so obliged under those two. However, more recent judicial</w:t>
      </w:r>
      <w:r>
        <w:rPr>
          <w:spacing w:val="-4"/>
        </w:rPr>
        <w:t> </w:t>
      </w:r>
      <w:r>
        <w:rPr/>
        <w:t>decision in the UK suggests</w:t>
      </w:r>
      <w:r>
        <w:rPr>
          <w:spacing w:val="-1"/>
        </w:rPr>
        <w:t> </w:t>
      </w:r>
      <w:r>
        <w:rPr/>
        <w:t>that the shadow director owes</w:t>
      </w:r>
      <w:r>
        <w:rPr>
          <w:spacing w:val="-6"/>
        </w:rPr>
        <w:t> </w:t>
      </w:r>
      <w:r>
        <w:rPr/>
        <w:t>the duty</w:t>
      </w:r>
      <w:r>
        <w:rPr>
          <w:spacing w:val="-9"/>
        </w:rPr>
        <w:t> </w:t>
      </w:r>
      <w:r>
        <w:rPr/>
        <w:t>to act in good faith</w:t>
      </w:r>
      <w:r>
        <w:rPr>
          <w:spacing w:val="-4"/>
        </w:rPr>
        <w:t> </w:t>
      </w:r>
      <w:r>
        <w:rPr/>
        <w:t>towards</w:t>
      </w:r>
      <w:r>
        <w:rPr>
          <w:spacing w:val="-1"/>
        </w:rPr>
        <w:t> </w:t>
      </w:r>
      <w:r>
        <w:rPr/>
        <w:t>the company</w:t>
      </w:r>
      <w:r>
        <w:rPr>
          <w:spacing w:val="-4"/>
        </w:rPr>
        <w:t> </w:t>
      </w:r>
      <w:r>
        <w:rPr/>
        <w:t>at least in</w:t>
      </w:r>
      <w:r>
        <w:rPr>
          <w:spacing w:val="-4"/>
        </w:rPr>
        <w:t> </w:t>
      </w:r>
      <w:r>
        <w:rPr/>
        <w:t>relation</w:t>
      </w:r>
      <w:r>
        <w:rPr>
          <w:spacing w:val="-4"/>
        </w:rPr>
        <w:t> </w:t>
      </w:r>
      <w:r>
        <w:rPr/>
        <w:t>to the directions</w:t>
      </w:r>
      <w:r>
        <w:rPr>
          <w:spacing w:val="-1"/>
        </w:rPr>
        <w:t> </w:t>
      </w:r>
      <w:r>
        <w:rPr/>
        <w:t>or instructions he gives the others.</w:t>
      </w:r>
      <w:r>
        <w:rPr>
          <w:vertAlign w:val="superscript"/>
        </w:rPr>
        <w:t>19</w:t>
      </w:r>
      <w:r>
        <w:rPr>
          <w:vertAlign w:val="baseline"/>
        </w:rPr>
        <w:t> Apparently, case context is all-important.</w:t>
      </w:r>
      <w:r>
        <w:rPr>
          <w:vertAlign w:val="superscript"/>
        </w:rPr>
        <w:t>20</w:t>
      </w:r>
      <w:r>
        <w:rPr>
          <w:vertAlign w:val="baseline"/>
        </w:rPr>
        <w:t> But it has been argued,</w:t>
      </w:r>
      <w:r>
        <w:rPr>
          <w:vertAlign w:val="superscript"/>
        </w:rPr>
        <w:t>21</w:t>
      </w:r>
      <w:r>
        <w:rPr>
          <w:vertAlign w:val="baseline"/>
        </w:rPr>
        <w:t> and this writer subscribes to the opinion, that the general duties should apply to shadow directors, at least to the extent that the shadow directors have exercised control</w:t>
      </w:r>
      <w:r>
        <w:rPr>
          <w:spacing w:val="-6"/>
          <w:vertAlign w:val="baseline"/>
        </w:rPr>
        <w:t> </w:t>
      </w:r>
      <w:r>
        <w:rPr>
          <w:vertAlign w:val="baseline"/>
        </w:rPr>
        <w:t>over the </w:t>
      </w:r>
      <w:r>
        <w:rPr>
          <w:spacing w:val="-2"/>
          <w:vertAlign w:val="baseline"/>
        </w:rPr>
        <w:t>board.</w:t>
      </w:r>
    </w:p>
    <w:p>
      <w:pPr>
        <w:pStyle w:val="BodyText"/>
        <w:spacing w:line="480" w:lineRule="auto" w:before="1"/>
        <w:ind w:right="226" w:firstLine="720"/>
        <w:jc w:val="both"/>
      </w:pPr>
      <w:r>
        <w:rPr/>
        <w:t>It is noteworthy that the duties codified under the CA are complemented by</w:t>
      </w:r>
      <w:r>
        <w:rPr>
          <w:spacing w:val="40"/>
        </w:rPr>
        <w:t> </w:t>
      </w:r>
      <w:r>
        <w:rPr/>
        <w:t>other legislations such as the Company Directors Disqualification Act 1986, and the Insolvency Act 2000. There appears to be no legislation supportive of the CAMA on directors‘ duties.</w:t>
      </w:r>
      <w:r>
        <w:rPr>
          <w:vertAlign w:val="superscript"/>
        </w:rPr>
        <w:t>22</w:t>
      </w:r>
    </w:p>
    <w:p>
      <w:pPr>
        <w:pStyle w:val="Heading2"/>
        <w:numPr>
          <w:ilvl w:val="1"/>
          <w:numId w:val="20"/>
        </w:numPr>
        <w:tabs>
          <w:tab w:pos="1027" w:val="left" w:leader="none"/>
        </w:tabs>
        <w:spacing w:line="240" w:lineRule="auto" w:before="208" w:after="0"/>
        <w:ind w:left="1027" w:right="0" w:hanging="719"/>
        <w:jc w:val="both"/>
      </w:pPr>
      <w:bookmarkStart w:name="_TOC_250011" w:id="41"/>
      <w:r>
        <w:rPr/>
        <w:t>Comparative</w:t>
      </w:r>
      <w:r>
        <w:rPr>
          <w:spacing w:val="-4"/>
        </w:rPr>
        <w:t> </w:t>
      </w:r>
      <w:bookmarkEnd w:id="41"/>
      <w:r>
        <w:rPr>
          <w:spacing w:val="-2"/>
        </w:rPr>
        <w:t>Analyses</w:t>
      </w:r>
    </w:p>
    <w:p>
      <w:pPr>
        <w:pStyle w:val="BodyText"/>
        <w:spacing w:line="480" w:lineRule="auto" w:before="132"/>
        <w:ind w:right="237"/>
        <w:jc w:val="both"/>
      </w:pPr>
      <w:r>
        <w:rPr/>
        <w:t>In the last two preceding chapters, this work considered the statutory provisions on directors‘ duties available in both legislations, where some ambiguities were observed</w:t>
      </w:r>
      <w:r>
        <w:rPr>
          <w:spacing w:val="40"/>
        </w:rPr>
        <w:t> </w:t>
      </w:r>
      <w:r>
        <w:rPr/>
        <w:t>in the CAMA and also criticisms noted regarding some aspects of the duties codified under the CA. Presently, this work compares the two laws on the issue under consideration, seriatim.</w:t>
      </w:r>
    </w:p>
    <w:p>
      <w:pPr>
        <w:pStyle w:val="BodyText"/>
        <w:spacing w:line="480" w:lineRule="auto" w:before="1"/>
        <w:ind w:right="236" w:firstLine="720"/>
        <w:jc w:val="both"/>
      </w:pPr>
      <w:r>
        <w:rPr/>
        <w:t>The</w:t>
      </w:r>
      <w:r>
        <w:rPr>
          <w:spacing w:val="-8"/>
        </w:rPr>
        <w:t> </w:t>
      </w:r>
      <w:r>
        <w:rPr/>
        <w:t>duties</w:t>
      </w:r>
      <w:r>
        <w:rPr>
          <w:spacing w:val="-10"/>
        </w:rPr>
        <w:t> </w:t>
      </w:r>
      <w:r>
        <w:rPr/>
        <w:t>codified</w:t>
      </w:r>
      <w:r>
        <w:rPr>
          <w:spacing w:val="-8"/>
        </w:rPr>
        <w:t> </w:t>
      </w:r>
      <w:r>
        <w:rPr/>
        <w:t>under</w:t>
      </w:r>
      <w:r>
        <w:rPr>
          <w:spacing w:val="-7"/>
        </w:rPr>
        <w:t> </w:t>
      </w:r>
      <w:r>
        <w:rPr/>
        <w:t>the</w:t>
      </w:r>
      <w:r>
        <w:rPr>
          <w:spacing w:val="-8"/>
        </w:rPr>
        <w:t> </w:t>
      </w:r>
      <w:r>
        <w:rPr/>
        <w:t>CAMA</w:t>
      </w:r>
      <w:r>
        <w:rPr>
          <w:spacing w:val="-8"/>
        </w:rPr>
        <w:t> </w:t>
      </w:r>
      <w:r>
        <w:rPr/>
        <w:t>have</w:t>
      </w:r>
      <w:r>
        <w:rPr>
          <w:spacing w:val="-5"/>
        </w:rPr>
        <w:t> </w:t>
      </w:r>
      <w:r>
        <w:rPr/>
        <w:t>been</w:t>
      </w:r>
      <w:r>
        <w:rPr>
          <w:spacing w:val="-11"/>
        </w:rPr>
        <w:t> </w:t>
      </w:r>
      <w:r>
        <w:rPr/>
        <w:t>referred</w:t>
      </w:r>
      <w:r>
        <w:rPr>
          <w:spacing w:val="-8"/>
        </w:rPr>
        <w:t> </w:t>
      </w:r>
      <w:r>
        <w:rPr/>
        <w:t>to</w:t>
      </w:r>
      <w:r>
        <w:rPr>
          <w:spacing w:val="-3"/>
        </w:rPr>
        <w:t> </w:t>
      </w:r>
      <w:r>
        <w:rPr/>
        <w:t>as</w:t>
      </w:r>
      <w:r>
        <w:rPr>
          <w:spacing w:val="-10"/>
        </w:rPr>
        <w:t> </w:t>
      </w:r>
      <w:r>
        <w:rPr/>
        <w:t>―the</w:t>
      </w:r>
      <w:r>
        <w:rPr>
          <w:spacing w:val="-8"/>
        </w:rPr>
        <w:t> </w:t>
      </w:r>
      <w:r>
        <w:rPr/>
        <w:t>principles</w:t>
      </w:r>
      <w:r>
        <w:rPr>
          <w:spacing w:val="-10"/>
        </w:rPr>
        <w:t> </w:t>
      </w:r>
      <w:r>
        <w:rPr/>
        <w:t>on which the duties of directors are based.‖</w:t>
      </w:r>
      <w:r>
        <w:rPr>
          <w:vertAlign w:val="superscript"/>
        </w:rPr>
        <w:t>23</w:t>
      </w:r>
      <w:r>
        <w:rPr>
          <w:vertAlign w:val="baseline"/>
        </w:rPr>
        <w:t> This is due to the fact that, although the CAMA heads s.279 ―duties of directors‖, much of the content of the section is merely making</w:t>
      </w:r>
      <w:r>
        <w:rPr>
          <w:spacing w:val="59"/>
          <w:vertAlign w:val="baseline"/>
        </w:rPr>
        <w:t> </w:t>
      </w:r>
      <w:r>
        <w:rPr>
          <w:vertAlign w:val="baseline"/>
        </w:rPr>
        <w:t>statements</w:t>
      </w:r>
      <w:r>
        <w:rPr>
          <w:spacing w:val="60"/>
          <w:vertAlign w:val="baseline"/>
        </w:rPr>
        <w:t> </w:t>
      </w:r>
      <w:r>
        <w:rPr>
          <w:vertAlign w:val="baseline"/>
        </w:rPr>
        <w:t>of</w:t>
      </w:r>
      <w:r>
        <w:rPr>
          <w:spacing w:val="54"/>
          <w:vertAlign w:val="baseline"/>
        </w:rPr>
        <w:t> </w:t>
      </w:r>
      <w:r>
        <w:rPr>
          <w:vertAlign w:val="baseline"/>
        </w:rPr>
        <w:t>principles</w:t>
      </w:r>
      <w:r>
        <w:rPr>
          <w:spacing w:val="60"/>
          <w:vertAlign w:val="baseline"/>
        </w:rPr>
        <w:t> </w:t>
      </w:r>
      <w:r>
        <w:rPr>
          <w:vertAlign w:val="baseline"/>
        </w:rPr>
        <w:t>of</w:t>
      </w:r>
      <w:r>
        <w:rPr>
          <w:spacing w:val="58"/>
          <w:vertAlign w:val="baseline"/>
        </w:rPr>
        <w:t> </w:t>
      </w:r>
      <w:r>
        <w:rPr>
          <w:vertAlign w:val="baseline"/>
        </w:rPr>
        <w:t>law,</w:t>
      </w:r>
      <w:r>
        <w:rPr>
          <w:spacing w:val="64"/>
          <w:vertAlign w:val="baseline"/>
        </w:rPr>
        <w:t> </w:t>
      </w:r>
      <w:r>
        <w:rPr>
          <w:vertAlign w:val="baseline"/>
        </w:rPr>
        <w:t>rather</w:t>
      </w:r>
      <w:r>
        <w:rPr>
          <w:spacing w:val="59"/>
          <w:vertAlign w:val="baseline"/>
        </w:rPr>
        <w:t> </w:t>
      </w:r>
      <w:r>
        <w:rPr>
          <w:vertAlign w:val="baseline"/>
        </w:rPr>
        <w:t>than</w:t>
      </w:r>
      <w:r>
        <w:rPr>
          <w:spacing w:val="57"/>
          <w:vertAlign w:val="baseline"/>
        </w:rPr>
        <w:t> </w:t>
      </w:r>
      <w:r>
        <w:rPr>
          <w:vertAlign w:val="baseline"/>
        </w:rPr>
        <w:t>requiring</w:t>
      </w:r>
      <w:r>
        <w:rPr>
          <w:spacing w:val="62"/>
          <w:vertAlign w:val="baseline"/>
        </w:rPr>
        <w:t> </w:t>
      </w:r>
      <w:r>
        <w:rPr>
          <w:vertAlign w:val="baseline"/>
        </w:rPr>
        <w:t>the</w:t>
      </w:r>
      <w:r>
        <w:rPr>
          <w:spacing w:val="60"/>
          <w:vertAlign w:val="baseline"/>
        </w:rPr>
        <w:t> </w:t>
      </w:r>
      <w:r>
        <w:rPr>
          <w:vertAlign w:val="baseline"/>
        </w:rPr>
        <w:t>director</w:t>
      </w:r>
      <w:r>
        <w:rPr>
          <w:spacing w:val="59"/>
          <w:vertAlign w:val="baseline"/>
        </w:rPr>
        <w:t> </w:t>
      </w:r>
      <w:r>
        <w:rPr>
          <w:vertAlign w:val="baseline"/>
        </w:rPr>
        <w:t>to</w:t>
      </w:r>
      <w:r>
        <w:rPr>
          <w:spacing w:val="63"/>
          <w:vertAlign w:val="baseline"/>
        </w:rPr>
        <w:t> </w:t>
      </w:r>
      <w:r>
        <w:rPr>
          <w:vertAlign w:val="baseline"/>
        </w:rPr>
        <w:t>do</w:t>
      </w:r>
      <w:r>
        <w:rPr>
          <w:spacing w:val="67"/>
          <w:vertAlign w:val="baseline"/>
        </w:rPr>
        <w:t> </w:t>
      </w:r>
      <w:r>
        <w:rPr>
          <w:spacing w:val="-10"/>
          <w:vertAlign w:val="baseline"/>
        </w:rPr>
        <w:t>a</w:t>
      </w:r>
    </w:p>
    <w:p>
      <w:pPr>
        <w:pStyle w:val="BodyText"/>
        <w:spacing w:before="33"/>
        <w:ind w:left="0"/>
        <w:rPr>
          <w:sz w:val="20"/>
        </w:rPr>
      </w:pPr>
      <w:r>
        <w:rPr/>
        <mc:AlternateContent>
          <mc:Choice Requires="wps">
            <w:drawing>
              <wp:anchor distT="0" distB="0" distL="0" distR="0" allowOverlap="1" layoutInCell="1" locked="0" behindDoc="1" simplePos="0" relativeHeight="487713792">
                <wp:simplePos x="0" y="0"/>
                <wp:positionH relativeFrom="page">
                  <wp:posOffset>1262481</wp:posOffset>
                </wp:positionH>
                <wp:positionV relativeFrom="paragraph">
                  <wp:posOffset>182347</wp:posOffset>
                </wp:positionV>
                <wp:extent cx="1829435" cy="9525"/>
                <wp:effectExtent l="0" t="0" r="0" b="0"/>
                <wp:wrapTopAndBottom/>
                <wp:docPr id="273" name="Graphic 273"/>
                <wp:cNvGraphicFramePr>
                  <a:graphicFrameLocks/>
                </wp:cNvGraphicFramePr>
                <a:graphic>
                  <a:graphicData uri="http://schemas.microsoft.com/office/word/2010/wordprocessingShape">
                    <wps:wsp>
                      <wps:cNvPr id="273" name="Graphic 27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358077pt;width:144.050pt;height:.71997pt;mso-position-horizontal-relative:page;mso-position-vertical-relative:paragraph;z-index:-15602688;mso-wrap-distance-left:0;mso-wrap-distance-right:0" id="docshape228" filled="true" fillcolor="#000000" stroked="false">
                <v:fill type="solid"/>
                <w10:wrap type="topAndBottom"/>
              </v:rect>
            </w:pict>
          </mc:Fallback>
        </mc:AlternateContent>
      </w:r>
    </w:p>
    <w:p>
      <w:pPr>
        <w:spacing w:line="242" w:lineRule="exact" w:before="102"/>
        <w:ind w:left="308" w:right="0" w:firstLine="0"/>
        <w:jc w:val="left"/>
        <w:rPr>
          <w:rFonts w:ascii="Calibri"/>
          <w:b/>
          <w:sz w:val="20"/>
        </w:rPr>
      </w:pPr>
      <w:r>
        <w:rPr>
          <w:rFonts w:ascii="Calibri"/>
          <w:sz w:val="20"/>
          <w:vertAlign w:val="superscript"/>
        </w:rPr>
        <w:t>19</w:t>
      </w:r>
      <w:r>
        <w:rPr>
          <w:rFonts w:ascii="Calibri"/>
          <w:spacing w:val="-4"/>
          <w:sz w:val="20"/>
          <w:vertAlign w:val="baseline"/>
        </w:rPr>
        <w:t> </w:t>
      </w:r>
      <w:r>
        <w:rPr>
          <w:rFonts w:ascii="Calibri"/>
          <w:sz w:val="20"/>
          <w:vertAlign w:val="baseline"/>
        </w:rPr>
        <w:t>See</w:t>
      </w:r>
      <w:r>
        <w:rPr>
          <w:rFonts w:ascii="Calibri"/>
          <w:spacing w:val="-4"/>
          <w:sz w:val="20"/>
          <w:vertAlign w:val="baseline"/>
        </w:rPr>
        <w:t> </w:t>
      </w:r>
      <w:r>
        <w:rPr>
          <w:rFonts w:ascii="Calibri"/>
          <w:b/>
          <w:i/>
          <w:sz w:val="20"/>
          <w:vertAlign w:val="baseline"/>
        </w:rPr>
        <w:t>Vivendi</w:t>
      </w:r>
      <w:r>
        <w:rPr>
          <w:rFonts w:ascii="Calibri"/>
          <w:b/>
          <w:i/>
          <w:spacing w:val="-6"/>
          <w:sz w:val="20"/>
          <w:vertAlign w:val="baseline"/>
        </w:rPr>
        <w:t> </w:t>
      </w:r>
      <w:r>
        <w:rPr>
          <w:rFonts w:ascii="Calibri"/>
          <w:b/>
          <w:i/>
          <w:sz w:val="20"/>
          <w:vertAlign w:val="baseline"/>
        </w:rPr>
        <w:t>SA</w:t>
      </w:r>
      <w:r>
        <w:rPr>
          <w:rFonts w:ascii="Calibri"/>
          <w:b/>
          <w:i/>
          <w:spacing w:val="-7"/>
          <w:sz w:val="20"/>
          <w:vertAlign w:val="baseline"/>
        </w:rPr>
        <w:t> </w:t>
      </w:r>
      <w:r>
        <w:rPr>
          <w:rFonts w:ascii="Calibri"/>
          <w:b/>
          <w:i/>
          <w:sz w:val="20"/>
          <w:vertAlign w:val="baseline"/>
        </w:rPr>
        <w:t>vs.</w:t>
      </w:r>
      <w:r>
        <w:rPr>
          <w:rFonts w:ascii="Calibri"/>
          <w:b/>
          <w:i/>
          <w:spacing w:val="-6"/>
          <w:sz w:val="20"/>
          <w:vertAlign w:val="baseline"/>
        </w:rPr>
        <w:t> </w:t>
      </w:r>
      <w:r>
        <w:rPr>
          <w:rFonts w:ascii="Calibri"/>
          <w:b/>
          <w:i/>
          <w:sz w:val="20"/>
          <w:vertAlign w:val="baseline"/>
        </w:rPr>
        <w:t>Richards</w:t>
      </w:r>
      <w:r>
        <w:rPr>
          <w:rFonts w:ascii="Calibri"/>
          <w:b/>
          <w:sz w:val="20"/>
          <w:vertAlign w:val="baseline"/>
        </w:rPr>
        <w:t>(2013)</w:t>
      </w:r>
      <w:r>
        <w:rPr>
          <w:rFonts w:ascii="Calibri"/>
          <w:b/>
          <w:spacing w:val="-6"/>
          <w:sz w:val="20"/>
          <w:vertAlign w:val="baseline"/>
        </w:rPr>
        <w:t> </w:t>
      </w:r>
      <w:r>
        <w:rPr>
          <w:rFonts w:ascii="Calibri"/>
          <w:b/>
          <w:sz w:val="20"/>
          <w:vertAlign w:val="baseline"/>
        </w:rPr>
        <w:t>EWHC</w:t>
      </w:r>
      <w:r>
        <w:rPr>
          <w:rFonts w:ascii="Calibri"/>
          <w:b/>
          <w:spacing w:val="-6"/>
          <w:sz w:val="20"/>
          <w:vertAlign w:val="baseline"/>
        </w:rPr>
        <w:t> </w:t>
      </w:r>
      <w:r>
        <w:rPr>
          <w:rFonts w:ascii="Calibri"/>
          <w:b/>
          <w:spacing w:val="-2"/>
          <w:sz w:val="20"/>
          <w:vertAlign w:val="baseline"/>
        </w:rPr>
        <w:t>3006.</w:t>
      </w:r>
    </w:p>
    <w:p>
      <w:pPr>
        <w:spacing w:line="240" w:lineRule="auto" w:before="0"/>
        <w:ind w:left="308" w:right="0" w:firstLine="0"/>
        <w:jc w:val="left"/>
        <w:rPr>
          <w:rFonts w:ascii="Calibri"/>
          <w:sz w:val="20"/>
        </w:rPr>
      </w:pPr>
      <w:r>
        <w:rPr>
          <w:rFonts w:ascii="Calibri"/>
          <w:sz w:val="20"/>
          <w:vertAlign w:val="superscript"/>
        </w:rPr>
        <w:t>20</w:t>
      </w:r>
      <w:r>
        <w:rPr>
          <w:rFonts w:ascii="Calibri"/>
          <w:sz w:val="20"/>
          <w:vertAlign w:val="baseline"/>
        </w:rPr>
        <w:t> Mackenzie,</w:t>
      </w:r>
      <w:r>
        <w:rPr>
          <w:rFonts w:ascii="Calibri"/>
          <w:spacing w:val="-1"/>
          <w:sz w:val="20"/>
          <w:vertAlign w:val="baseline"/>
        </w:rPr>
        <w:t> </w:t>
      </w:r>
      <w:r>
        <w:rPr>
          <w:rFonts w:ascii="Calibri"/>
          <w:sz w:val="20"/>
          <w:vertAlign w:val="baseline"/>
        </w:rPr>
        <w:t>G. (2013). </w:t>
      </w:r>
      <w:r>
        <w:rPr>
          <w:rFonts w:ascii="Calibri"/>
          <w:i/>
          <w:sz w:val="20"/>
          <w:vertAlign w:val="baseline"/>
        </w:rPr>
        <w:t>Shadow</w:t>
      </w:r>
      <w:r>
        <w:rPr>
          <w:rFonts w:ascii="Calibri"/>
          <w:i/>
          <w:spacing w:val="-4"/>
          <w:sz w:val="20"/>
          <w:vertAlign w:val="baseline"/>
        </w:rPr>
        <w:t> </w:t>
      </w:r>
      <w:r>
        <w:rPr>
          <w:rFonts w:ascii="Calibri"/>
          <w:i/>
          <w:sz w:val="20"/>
          <w:vertAlign w:val="baseline"/>
        </w:rPr>
        <w:t>Directors</w:t>
      </w:r>
      <w:r>
        <w:rPr>
          <w:rFonts w:ascii="Calibri"/>
          <w:i/>
          <w:spacing w:val="-1"/>
          <w:sz w:val="20"/>
          <w:vertAlign w:val="baseline"/>
        </w:rPr>
        <w:t> </w:t>
      </w:r>
      <w:r>
        <w:rPr>
          <w:rFonts w:ascii="Calibri"/>
          <w:i/>
          <w:sz w:val="20"/>
          <w:vertAlign w:val="baseline"/>
        </w:rPr>
        <w:t>and their</w:t>
      </w:r>
      <w:r>
        <w:rPr>
          <w:rFonts w:ascii="Calibri"/>
          <w:i/>
          <w:spacing w:val="-6"/>
          <w:sz w:val="20"/>
          <w:vertAlign w:val="baseline"/>
        </w:rPr>
        <w:t> </w:t>
      </w:r>
      <w:r>
        <w:rPr>
          <w:rFonts w:ascii="Calibri"/>
          <w:i/>
          <w:sz w:val="20"/>
          <w:vertAlign w:val="baseline"/>
        </w:rPr>
        <w:t>Duties</w:t>
      </w:r>
      <w:r>
        <w:rPr>
          <w:rFonts w:ascii="Calibri"/>
          <w:sz w:val="20"/>
          <w:vertAlign w:val="baseline"/>
        </w:rPr>
        <w:t>. Walker</w:t>
      </w:r>
      <w:r>
        <w:rPr>
          <w:rFonts w:ascii="Calibri"/>
          <w:spacing w:val="-2"/>
          <w:sz w:val="20"/>
          <w:vertAlign w:val="baseline"/>
        </w:rPr>
        <w:t> </w:t>
      </w:r>
      <w:r>
        <w:rPr>
          <w:rFonts w:ascii="Calibri"/>
          <w:sz w:val="20"/>
          <w:vertAlign w:val="baseline"/>
        </w:rPr>
        <w:t>Morris</w:t>
      </w:r>
      <w:r>
        <w:rPr>
          <w:rFonts w:ascii="Calibri"/>
          <w:spacing w:val="-6"/>
          <w:sz w:val="20"/>
          <w:vertAlign w:val="baseline"/>
        </w:rPr>
        <w:t> </w:t>
      </w:r>
      <w:r>
        <w:rPr>
          <w:rFonts w:ascii="Calibri"/>
          <w:sz w:val="20"/>
          <w:vertAlign w:val="baseline"/>
        </w:rPr>
        <w:t>LLP.</w:t>
      </w:r>
      <w:r>
        <w:rPr>
          <w:rFonts w:ascii="Calibri"/>
          <w:spacing w:val="-2"/>
          <w:sz w:val="20"/>
          <w:vertAlign w:val="baseline"/>
        </w:rPr>
        <w:t> </w:t>
      </w:r>
      <w:r>
        <w:rPr>
          <w:rFonts w:ascii="Calibri"/>
          <w:sz w:val="20"/>
          <w:vertAlign w:val="baseline"/>
        </w:rPr>
        <w:t>Retrieved March 2,</w:t>
      </w:r>
      <w:r>
        <w:rPr>
          <w:rFonts w:ascii="Calibri"/>
          <w:spacing w:val="-1"/>
          <w:sz w:val="20"/>
          <w:vertAlign w:val="baseline"/>
        </w:rPr>
        <w:t> </w:t>
      </w:r>
      <w:r>
        <w:rPr>
          <w:rFonts w:ascii="Calibri"/>
          <w:sz w:val="20"/>
          <w:vertAlign w:val="baseline"/>
        </w:rPr>
        <w:t>2013, from </w:t>
      </w:r>
      <w:hyperlink r:id="rId63">
        <w:r>
          <w:rPr>
            <w:rFonts w:ascii="Calibri"/>
            <w:color w:val="0000FF"/>
            <w:sz w:val="20"/>
            <w:u w:val="single" w:color="0000FF"/>
            <w:vertAlign w:val="baseline"/>
          </w:rPr>
          <w:t>http://www.walkermorris.co.uk/shadow-directors-and-their-duties</w:t>
        </w:r>
        <w:r>
          <w:rPr>
            <w:rFonts w:ascii="Calibri"/>
            <w:sz w:val="20"/>
            <w:vertAlign w:val="baseline"/>
          </w:rPr>
          <w:t>.</w:t>
        </w:r>
      </w:hyperlink>
    </w:p>
    <w:p>
      <w:pPr>
        <w:spacing w:before="0"/>
        <w:ind w:left="308" w:right="0" w:firstLine="0"/>
        <w:jc w:val="left"/>
        <w:rPr>
          <w:rFonts w:ascii="Calibri"/>
          <w:sz w:val="20"/>
        </w:rPr>
      </w:pPr>
      <w:r>
        <w:rPr>
          <w:rFonts w:ascii="Calibri"/>
          <w:sz w:val="20"/>
          <w:vertAlign w:val="superscript"/>
        </w:rPr>
        <w:t>21</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5"/>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4"/>
          <w:sz w:val="20"/>
          <w:vertAlign w:val="baseline"/>
        </w:rPr>
        <w:t> </w:t>
      </w:r>
      <w:r>
        <w:rPr>
          <w:rFonts w:ascii="Calibri"/>
          <w:sz w:val="20"/>
          <w:vertAlign w:val="baseline"/>
        </w:rPr>
        <w:t>op.cit.at</w:t>
      </w:r>
      <w:r>
        <w:rPr>
          <w:rFonts w:ascii="Calibri"/>
          <w:spacing w:val="-9"/>
          <w:sz w:val="20"/>
          <w:vertAlign w:val="baseline"/>
        </w:rPr>
        <w:t> </w:t>
      </w:r>
      <w:r>
        <w:rPr>
          <w:rFonts w:ascii="Calibri"/>
          <w:spacing w:val="-2"/>
          <w:sz w:val="20"/>
          <w:vertAlign w:val="baseline"/>
        </w:rPr>
        <w:t>p.514.</w:t>
      </w:r>
    </w:p>
    <w:p>
      <w:pPr>
        <w:spacing w:before="1"/>
        <w:ind w:left="308" w:right="0" w:firstLine="0"/>
        <w:jc w:val="left"/>
        <w:rPr>
          <w:rFonts w:ascii="Calibri"/>
          <w:sz w:val="20"/>
        </w:rPr>
      </w:pPr>
      <w:r>
        <w:rPr>
          <w:rFonts w:ascii="Calibri"/>
          <w:sz w:val="20"/>
          <w:vertAlign w:val="superscript"/>
        </w:rPr>
        <w:t>22</w:t>
      </w:r>
      <w:r>
        <w:rPr>
          <w:rFonts w:ascii="Calibri"/>
          <w:spacing w:val="40"/>
          <w:sz w:val="20"/>
          <w:vertAlign w:val="baseline"/>
        </w:rPr>
        <w:t> </w:t>
      </w:r>
      <w:r>
        <w:rPr>
          <w:rFonts w:ascii="Calibri"/>
          <w:sz w:val="20"/>
          <w:vertAlign w:val="baseline"/>
        </w:rPr>
        <w:t>Though</w:t>
      </w:r>
      <w:r>
        <w:rPr>
          <w:rFonts w:ascii="Calibri"/>
          <w:spacing w:val="40"/>
          <w:sz w:val="20"/>
          <w:vertAlign w:val="baseline"/>
        </w:rPr>
        <w:t> </w:t>
      </w:r>
      <w:r>
        <w:rPr>
          <w:rFonts w:ascii="Calibri"/>
          <w:sz w:val="20"/>
          <w:vertAlign w:val="baseline"/>
        </w:rPr>
        <w:t>there</w:t>
      </w:r>
      <w:r>
        <w:rPr>
          <w:rFonts w:ascii="Calibri"/>
          <w:spacing w:val="40"/>
          <w:sz w:val="20"/>
          <w:vertAlign w:val="baseline"/>
        </w:rPr>
        <w:t> </w:t>
      </w:r>
      <w:r>
        <w:rPr>
          <w:rFonts w:ascii="Calibri"/>
          <w:sz w:val="20"/>
          <w:vertAlign w:val="baseline"/>
        </w:rPr>
        <w:t>are</w:t>
      </w:r>
      <w:r>
        <w:rPr>
          <w:rFonts w:ascii="Calibri"/>
          <w:spacing w:val="40"/>
          <w:sz w:val="20"/>
          <w:vertAlign w:val="baseline"/>
        </w:rPr>
        <w:t> </w:t>
      </w:r>
      <w:r>
        <w:rPr>
          <w:rFonts w:ascii="Calibri"/>
          <w:sz w:val="20"/>
          <w:vertAlign w:val="baseline"/>
        </w:rPr>
        <w:t>a</w:t>
      </w:r>
      <w:r>
        <w:rPr>
          <w:rFonts w:ascii="Calibri"/>
          <w:spacing w:val="40"/>
          <w:sz w:val="20"/>
          <w:vertAlign w:val="baseline"/>
        </w:rPr>
        <w:t> </w:t>
      </w:r>
      <w:r>
        <w:rPr>
          <w:rFonts w:ascii="Calibri"/>
          <w:sz w:val="20"/>
          <w:vertAlign w:val="baseline"/>
        </w:rPr>
        <w:t>number</w:t>
      </w:r>
      <w:r>
        <w:rPr>
          <w:rFonts w:ascii="Calibri"/>
          <w:spacing w:val="40"/>
          <w:sz w:val="20"/>
          <w:vertAlign w:val="baseline"/>
        </w:rPr>
        <w:t> </w:t>
      </w:r>
      <w:r>
        <w:rPr>
          <w:rFonts w:ascii="Calibri"/>
          <w:sz w:val="20"/>
          <w:vertAlign w:val="baseline"/>
        </w:rPr>
        <w:t>of</w:t>
      </w:r>
      <w:r>
        <w:rPr>
          <w:rFonts w:ascii="Calibri"/>
          <w:spacing w:val="40"/>
          <w:sz w:val="20"/>
          <w:vertAlign w:val="baseline"/>
        </w:rPr>
        <w:t> </w:t>
      </w:r>
      <w:r>
        <w:rPr>
          <w:rFonts w:ascii="Calibri"/>
          <w:sz w:val="20"/>
          <w:vertAlign w:val="baseline"/>
        </w:rPr>
        <w:t>related</w:t>
      </w:r>
      <w:r>
        <w:rPr>
          <w:rFonts w:ascii="Calibri"/>
          <w:spacing w:val="40"/>
          <w:sz w:val="20"/>
          <w:vertAlign w:val="baseline"/>
        </w:rPr>
        <w:t> </w:t>
      </w:r>
      <w:r>
        <w:rPr>
          <w:rFonts w:ascii="Calibri"/>
          <w:sz w:val="20"/>
          <w:vertAlign w:val="baseline"/>
        </w:rPr>
        <w:t>provisions</w:t>
      </w:r>
      <w:r>
        <w:rPr>
          <w:rFonts w:ascii="Calibri"/>
          <w:spacing w:val="40"/>
          <w:sz w:val="20"/>
          <w:vertAlign w:val="baseline"/>
        </w:rPr>
        <w:t> </w:t>
      </w:r>
      <w:r>
        <w:rPr>
          <w:rFonts w:ascii="Calibri"/>
          <w:sz w:val="20"/>
          <w:vertAlign w:val="baseline"/>
        </w:rPr>
        <w:t>in</w:t>
      </w:r>
      <w:r>
        <w:rPr>
          <w:rFonts w:ascii="Calibri"/>
          <w:spacing w:val="40"/>
          <w:sz w:val="20"/>
          <w:vertAlign w:val="baseline"/>
        </w:rPr>
        <w:t> </w:t>
      </w:r>
      <w:r>
        <w:rPr>
          <w:rFonts w:ascii="Calibri"/>
          <w:sz w:val="20"/>
          <w:vertAlign w:val="baseline"/>
        </w:rPr>
        <w:t>legislations</w:t>
      </w:r>
      <w:r>
        <w:rPr>
          <w:rFonts w:ascii="Calibri"/>
          <w:spacing w:val="40"/>
          <w:sz w:val="20"/>
          <w:vertAlign w:val="baseline"/>
        </w:rPr>
        <w:t> </w:t>
      </w:r>
      <w:r>
        <w:rPr>
          <w:rFonts w:ascii="Calibri"/>
          <w:sz w:val="20"/>
          <w:vertAlign w:val="baseline"/>
        </w:rPr>
        <w:t>which</w:t>
      </w:r>
      <w:r>
        <w:rPr>
          <w:rFonts w:ascii="Calibri"/>
          <w:spacing w:val="40"/>
          <w:sz w:val="20"/>
          <w:vertAlign w:val="baseline"/>
        </w:rPr>
        <w:t> </w:t>
      </w:r>
      <w:r>
        <w:rPr>
          <w:rFonts w:ascii="Calibri"/>
          <w:sz w:val="20"/>
          <w:vertAlign w:val="baseline"/>
        </w:rPr>
        <w:t>are</w:t>
      </w:r>
      <w:r>
        <w:rPr>
          <w:rFonts w:ascii="Calibri"/>
          <w:spacing w:val="40"/>
          <w:sz w:val="20"/>
          <w:vertAlign w:val="baseline"/>
        </w:rPr>
        <w:t> </w:t>
      </w:r>
      <w:r>
        <w:rPr>
          <w:rFonts w:ascii="Calibri"/>
          <w:sz w:val="20"/>
          <w:vertAlign w:val="baseline"/>
        </w:rPr>
        <w:t>industry-specific</w:t>
      </w:r>
      <w:r>
        <w:rPr>
          <w:rFonts w:ascii="Calibri"/>
          <w:spacing w:val="40"/>
          <w:sz w:val="20"/>
          <w:vertAlign w:val="baseline"/>
        </w:rPr>
        <w:t> </w:t>
      </w:r>
      <w:r>
        <w:rPr>
          <w:rFonts w:ascii="Calibri"/>
          <w:sz w:val="20"/>
          <w:vertAlign w:val="baseline"/>
        </w:rPr>
        <w:t>and therefore not applicable to directors generally. For example, BOFIA.</w:t>
      </w:r>
    </w:p>
    <w:p>
      <w:pPr>
        <w:spacing w:before="1"/>
        <w:ind w:left="308" w:right="255" w:firstLine="0"/>
        <w:jc w:val="left"/>
        <w:rPr>
          <w:rFonts w:ascii="Calibri"/>
          <w:sz w:val="20"/>
        </w:rPr>
      </w:pPr>
      <w:r>
        <w:rPr>
          <w:rFonts w:ascii="Calibri"/>
          <w:sz w:val="20"/>
          <w:vertAlign w:val="superscript"/>
        </w:rPr>
        <w:t>23</w:t>
      </w:r>
      <w:r>
        <w:rPr>
          <w:rFonts w:ascii="Calibri"/>
          <w:sz w:val="20"/>
          <w:vertAlign w:val="baseline"/>
        </w:rPr>
        <w:t> See</w:t>
      </w:r>
      <w:r>
        <w:rPr>
          <w:rFonts w:ascii="Calibri"/>
          <w:spacing w:val="-3"/>
          <w:sz w:val="20"/>
          <w:vertAlign w:val="baseline"/>
        </w:rPr>
        <w:t> </w:t>
      </w:r>
      <w:r>
        <w:rPr>
          <w:rFonts w:ascii="Calibri"/>
          <w:sz w:val="20"/>
          <w:vertAlign w:val="baseline"/>
        </w:rPr>
        <w:t>Orojo,</w:t>
      </w:r>
      <w:r>
        <w:rPr>
          <w:rFonts w:ascii="Calibri"/>
          <w:spacing w:val="-1"/>
          <w:sz w:val="20"/>
          <w:vertAlign w:val="baseline"/>
        </w:rPr>
        <w:t> </w:t>
      </w:r>
      <w:r>
        <w:rPr>
          <w:rFonts w:ascii="Calibri"/>
          <w:sz w:val="20"/>
          <w:vertAlign w:val="baseline"/>
        </w:rPr>
        <w:t>J.O.</w:t>
      </w:r>
      <w:r>
        <w:rPr>
          <w:rFonts w:ascii="Calibri"/>
          <w:spacing w:val="-2"/>
          <w:sz w:val="20"/>
          <w:vertAlign w:val="baseline"/>
        </w:rPr>
        <w:t> </w:t>
      </w:r>
      <w:r>
        <w:rPr>
          <w:rFonts w:ascii="Calibri"/>
          <w:sz w:val="20"/>
          <w:vertAlign w:val="baseline"/>
        </w:rPr>
        <w:t>(2008).</w:t>
      </w:r>
      <w:r>
        <w:rPr>
          <w:rFonts w:ascii="Calibri"/>
          <w:i/>
          <w:sz w:val="20"/>
          <w:vertAlign w:val="baseline"/>
        </w:rPr>
        <w:t>Company</w:t>
      </w:r>
      <w:r>
        <w:rPr>
          <w:rFonts w:ascii="Calibri"/>
          <w:i/>
          <w:spacing w:val="-3"/>
          <w:sz w:val="20"/>
          <w:vertAlign w:val="baseline"/>
        </w:rPr>
        <w:t> </w:t>
      </w:r>
      <w:r>
        <w:rPr>
          <w:rFonts w:ascii="Calibri"/>
          <w:i/>
          <w:sz w:val="20"/>
          <w:vertAlign w:val="baseline"/>
        </w:rPr>
        <w:t>Law</w:t>
      </w:r>
      <w:r>
        <w:rPr>
          <w:rFonts w:ascii="Calibri"/>
          <w:i/>
          <w:spacing w:val="-4"/>
          <w:sz w:val="20"/>
          <w:vertAlign w:val="baseline"/>
        </w:rPr>
        <w:t> </w:t>
      </w:r>
      <w:r>
        <w:rPr>
          <w:rFonts w:ascii="Calibri"/>
          <w:i/>
          <w:sz w:val="20"/>
          <w:vertAlign w:val="baseline"/>
        </w:rPr>
        <w:t>and</w:t>
      </w:r>
      <w:r>
        <w:rPr>
          <w:rFonts w:ascii="Calibri"/>
          <w:i/>
          <w:spacing w:val="-2"/>
          <w:sz w:val="20"/>
          <w:vertAlign w:val="baseline"/>
        </w:rPr>
        <w:t> </w:t>
      </w:r>
      <w:r>
        <w:rPr>
          <w:rFonts w:ascii="Calibri"/>
          <w:i/>
          <w:sz w:val="20"/>
          <w:vertAlign w:val="baseline"/>
        </w:rPr>
        <w:t>Practice</w:t>
      </w:r>
      <w:r>
        <w:rPr>
          <w:rFonts w:ascii="Calibri"/>
          <w:i/>
          <w:spacing w:val="-4"/>
          <w:sz w:val="20"/>
          <w:vertAlign w:val="baseline"/>
        </w:rPr>
        <w:t> </w:t>
      </w:r>
      <w:r>
        <w:rPr>
          <w:rFonts w:ascii="Calibri"/>
          <w:i/>
          <w:sz w:val="20"/>
          <w:vertAlign w:val="baseline"/>
        </w:rPr>
        <w:t>in</w:t>
      </w:r>
      <w:r>
        <w:rPr>
          <w:rFonts w:ascii="Calibri"/>
          <w:i/>
          <w:spacing w:val="-2"/>
          <w:sz w:val="20"/>
          <w:vertAlign w:val="baseline"/>
        </w:rPr>
        <w:t> </w:t>
      </w:r>
      <w:r>
        <w:rPr>
          <w:rFonts w:ascii="Calibri"/>
          <w:i/>
          <w:sz w:val="20"/>
          <w:vertAlign w:val="baseline"/>
        </w:rPr>
        <w:t>Nigeria</w:t>
      </w:r>
      <w:r>
        <w:rPr>
          <w:rFonts w:ascii="Calibri"/>
          <w:sz w:val="20"/>
          <w:vertAlign w:val="baseline"/>
        </w:rPr>
        <w:t>.Durban,</w:t>
      </w:r>
      <w:r>
        <w:rPr>
          <w:rFonts w:ascii="Calibri"/>
          <w:spacing w:val="-1"/>
          <w:sz w:val="20"/>
          <w:vertAlign w:val="baseline"/>
        </w:rPr>
        <w:t> </w:t>
      </w:r>
      <w:r>
        <w:rPr>
          <w:rFonts w:ascii="Calibri"/>
          <w:sz w:val="20"/>
          <w:vertAlign w:val="baseline"/>
        </w:rPr>
        <w:t>South</w:t>
      </w:r>
      <w:r>
        <w:rPr>
          <w:rFonts w:ascii="Calibri"/>
          <w:spacing w:val="-5"/>
          <w:sz w:val="20"/>
          <w:vertAlign w:val="baseline"/>
        </w:rPr>
        <w:t> </w:t>
      </w:r>
      <w:r>
        <w:rPr>
          <w:rFonts w:ascii="Calibri"/>
          <w:sz w:val="20"/>
          <w:vertAlign w:val="baseline"/>
        </w:rPr>
        <w:t>Africa.5th</w:t>
      </w:r>
      <w:r>
        <w:rPr>
          <w:rFonts w:ascii="Calibri"/>
          <w:spacing w:val="-4"/>
          <w:sz w:val="20"/>
          <w:vertAlign w:val="baseline"/>
        </w:rPr>
        <w:t> </w:t>
      </w:r>
      <w:r>
        <w:rPr>
          <w:rFonts w:ascii="Calibri"/>
          <w:sz w:val="20"/>
          <w:vertAlign w:val="baseline"/>
        </w:rPr>
        <w:t>edition. LexisNexis Butterworths, p.266.</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4"/>
        <w:jc w:val="both"/>
      </w:pPr>
      <w:r>
        <w:rPr/>
        <w:t>positive act, which a ‗duty‘ normally entails. The same can be said of</w:t>
      </w:r>
      <w:r>
        <w:rPr>
          <w:spacing w:val="-2"/>
        </w:rPr>
        <w:t> </w:t>
      </w:r>
      <w:r>
        <w:rPr/>
        <w:t>other sections on the topic. On the other hand, as earlier observed, the drafters of</w:t>
      </w:r>
      <w:r>
        <w:rPr>
          <w:spacing w:val="-3"/>
        </w:rPr>
        <w:t> </w:t>
      </w:r>
      <w:r>
        <w:rPr/>
        <w:t>the CA have cleverly— and, this writer submits, more appropriately—transformed the various legal principles on directors duties developed over time, into positive duties. Thus, each of the seven duties</w:t>
      </w:r>
      <w:r>
        <w:rPr>
          <w:spacing w:val="-2"/>
        </w:rPr>
        <w:t> </w:t>
      </w:r>
      <w:r>
        <w:rPr/>
        <w:t>discussed</w:t>
      </w:r>
      <w:r>
        <w:rPr>
          <w:spacing w:val="-1"/>
        </w:rPr>
        <w:t> </w:t>
      </w:r>
      <w:r>
        <w:rPr/>
        <w:t>under Chapter Four</w:t>
      </w:r>
      <w:r>
        <w:rPr>
          <w:spacing w:val="-7"/>
        </w:rPr>
        <w:t> </w:t>
      </w:r>
      <w:r>
        <w:rPr/>
        <w:t>of</w:t>
      </w:r>
      <w:r>
        <w:rPr>
          <w:spacing w:val="-7"/>
        </w:rPr>
        <w:t> </w:t>
      </w:r>
      <w:r>
        <w:rPr/>
        <w:t>this</w:t>
      </w:r>
      <w:r>
        <w:rPr>
          <w:spacing w:val="-2"/>
        </w:rPr>
        <w:t> </w:t>
      </w:r>
      <w:r>
        <w:rPr/>
        <w:t>work</w:t>
      </w:r>
      <w:r>
        <w:rPr>
          <w:spacing w:val="-5"/>
        </w:rPr>
        <w:t> </w:t>
      </w:r>
      <w:r>
        <w:rPr/>
        <w:t>begins</w:t>
      </w:r>
      <w:r>
        <w:rPr>
          <w:spacing w:val="-2"/>
        </w:rPr>
        <w:t> </w:t>
      </w:r>
      <w:r>
        <w:rPr/>
        <w:t>thus, ―a</w:t>
      </w:r>
      <w:r>
        <w:rPr>
          <w:spacing w:val="-1"/>
        </w:rPr>
        <w:t> </w:t>
      </w:r>
      <w:r>
        <w:rPr/>
        <w:t>director</w:t>
      </w:r>
      <w:r>
        <w:rPr>
          <w:spacing w:val="-7"/>
        </w:rPr>
        <w:t> </w:t>
      </w:r>
      <w:r>
        <w:rPr/>
        <w:t>of</w:t>
      </w:r>
      <w:r>
        <w:rPr>
          <w:spacing w:val="-7"/>
        </w:rPr>
        <w:t> </w:t>
      </w:r>
      <w:r>
        <w:rPr/>
        <w:t>a</w:t>
      </w:r>
      <w:r>
        <w:rPr>
          <w:spacing w:val="-1"/>
        </w:rPr>
        <w:t> </w:t>
      </w:r>
      <w:r>
        <w:rPr/>
        <w:t>company must…‖ To make the work under this chapter easier, therefore, the duties will be compared under the headings, and in the order in which they</w:t>
      </w:r>
      <w:r>
        <w:rPr>
          <w:spacing w:val="-1"/>
        </w:rPr>
        <w:t> </w:t>
      </w:r>
      <w:r>
        <w:rPr/>
        <w:t>appear, in the CA.</w:t>
      </w:r>
    </w:p>
    <w:p>
      <w:pPr>
        <w:pStyle w:val="Heading2"/>
        <w:numPr>
          <w:ilvl w:val="2"/>
          <w:numId w:val="20"/>
        </w:numPr>
        <w:tabs>
          <w:tab w:pos="1027" w:val="left" w:leader="none"/>
        </w:tabs>
        <w:spacing w:line="240" w:lineRule="auto" w:before="6" w:after="0"/>
        <w:ind w:left="1027" w:right="0" w:hanging="719"/>
        <w:jc w:val="both"/>
      </w:pPr>
      <w:bookmarkStart w:name="_TOC_250010" w:id="42"/>
      <w:r>
        <w:rPr/>
        <w:t>Duty</w:t>
      </w:r>
      <w:r>
        <w:rPr>
          <w:spacing w:val="-2"/>
        </w:rPr>
        <w:t> </w:t>
      </w:r>
      <w:r>
        <w:rPr/>
        <w:t>to</w:t>
      </w:r>
      <w:r>
        <w:rPr>
          <w:spacing w:val="-3"/>
        </w:rPr>
        <w:t> </w:t>
      </w:r>
      <w:r>
        <w:rPr/>
        <w:t>Act</w:t>
      </w:r>
      <w:r>
        <w:rPr>
          <w:spacing w:val="1"/>
        </w:rPr>
        <w:t> </w:t>
      </w:r>
      <w:r>
        <w:rPr/>
        <w:t>Within</w:t>
      </w:r>
      <w:bookmarkEnd w:id="42"/>
      <w:r>
        <w:rPr>
          <w:spacing w:val="-2"/>
        </w:rPr>
        <w:t> Powers</w:t>
      </w:r>
    </w:p>
    <w:p>
      <w:pPr>
        <w:pStyle w:val="BodyText"/>
        <w:spacing w:line="480" w:lineRule="auto" w:before="137"/>
        <w:ind w:right="229"/>
        <w:jc w:val="both"/>
      </w:pPr>
      <w:r>
        <w:rPr/>
        <w:t>The</w:t>
      </w:r>
      <w:r>
        <w:rPr>
          <w:spacing w:val="-7"/>
        </w:rPr>
        <w:t> </w:t>
      </w:r>
      <w:r>
        <w:rPr/>
        <w:t>duty</w:t>
      </w:r>
      <w:r>
        <w:rPr>
          <w:spacing w:val="-11"/>
        </w:rPr>
        <w:t> </w:t>
      </w:r>
      <w:r>
        <w:rPr/>
        <w:t>here</w:t>
      </w:r>
      <w:r>
        <w:rPr>
          <w:spacing w:val="-3"/>
        </w:rPr>
        <w:t> </w:t>
      </w:r>
      <w:r>
        <w:rPr/>
        <w:t>is</w:t>
      </w:r>
      <w:r>
        <w:rPr>
          <w:spacing w:val="-5"/>
        </w:rPr>
        <w:t> </w:t>
      </w:r>
      <w:r>
        <w:rPr/>
        <w:t>codified</w:t>
      </w:r>
      <w:r>
        <w:rPr>
          <w:spacing w:val="-6"/>
        </w:rPr>
        <w:t> </w:t>
      </w:r>
      <w:r>
        <w:rPr/>
        <w:t>under</w:t>
      </w:r>
      <w:r>
        <w:rPr>
          <w:spacing w:val="-6"/>
        </w:rPr>
        <w:t> </w:t>
      </w:r>
      <w:r>
        <w:rPr/>
        <w:t>s.171</w:t>
      </w:r>
      <w:r>
        <w:rPr>
          <w:spacing w:val="-6"/>
        </w:rPr>
        <w:t> </w:t>
      </w:r>
      <w:r>
        <w:rPr/>
        <w:t>of</w:t>
      </w:r>
      <w:r>
        <w:rPr>
          <w:spacing w:val="-13"/>
        </w:rPr>
        <w:t> </w:t>
      </w:r>
      <w:r>
        <w:rPr/>
        <w:t>the</w:t>
      </w:r>
      <w:r>
        <w:rPr>
          <w:spacing w:val="-4"/>
        </w:rPr>
        <w:t> </w:t>
      </w:r>
      <w:r>
        <w:rPr/>
        <w:t>CA</w:t>
      </w:r>
      <w:r>
        <w:rPr>
          <w:spacing w:val="-12"/>
        </w:rPr>
        <w:t> </w:t>
      </w:r>
      <w:r>
        <w:rPr/>
        <w:t>and</w:t>
      </w:r>
      <w:r>
        <w:rPr>
          <w:spacing w:val="-6"/>
        </w:rPr>
        <w:t> </w:t>
      </w:r>
      <w:r>
        <w:rPr/>
        <w:t>states</w:t>
      </w:r>
      <w:r>
        <w:rPr>
          <w:spacing w:val="-13"/>
        </w:rPr>
        <w:t> </w:t>
      </w:r>
      <w:r>
        <w:rPr/>
        <w:t>that ―a</w:t>
      </w:r>
      <w:r>
        <w:rPr>
          <w:spacing w:val="-7"/>
        </w:rPr>
        <w:t> </w:t>
      </w:r>
      <w:r>
        <w:rPr/>
        <w:t>director</w:t>
      </w:r>
      <w:r>
        <w:rPr>
          <w:spacing w:val="-6"/>
        </w:rPr>
        <w:t> </w:t>
      </w:r>
      <w:r>
        <w:rPr/>
        <w:t>of</w:t>
      </w:r>
      <w:r>
        <w:rPr>
          <w:spacing w:val="-13"/>
        </w:rPr>
        <w:t> </w:t>
      </w:r>
      <w:r>
        <w:rPr/>
        <w:t>a</w:t>
      </w:r>
      <w:r>
        <w:rPr>
          <w:spacing w:val="-7"/>
        </w:rPr>
        <w:t> </w:t>
      </w:r>
      <w:r>
        <w:rPr/>
        <w:t>company must (a) act in accordance with the company‘s constitution, and (b) only exercise powers for the purposes for which they are conferred‖. The duty is captioned ―to act within powers‖ and the provisions thereunder clearly amplify what that statement requires. The important pointer here is</w:t>
      </w:r>
      <w:r>
        <w:rPr>
          <w:spacing w:val="-3"/>
        </w:rPr>
        <w:t> </w:t>
      </w:r>
      <w:r>
        <w:rPr/>
        <w:t>the</w:t>
      </w:r>
      <w:r>
        <w:rPr>
          <w:spacing w:val="-2"/>
        </w:rPr>
        <w:t> </w:t>
      </w:r>
      <w:r>
        <w:rPr/>
        <w:t>reference</w:t>
      </w:r>
      <w:r>
        <w:rPr>
          <w:spacing w:val="-2"/>
        </w:rPr>
        <w:t> </w:t>
      </w:r>
      <w:r>
        <w:rPr/>
        <w:t>to ―the</w:t>
      </w:r>
      <w:r>
        <w:rPr>
          <w:spacing w:val="-2"/>
        </w:rPr>
        <w:t> </w:t>
      </w:r>
      <w:r>
        <w:rPr/>
        <w:t>company‘s</w:t>
      </w:r>
      <w:r>
        <w:rPr>
          <w:spacing w:val="-3"/>
        </w:rPr>
        <w:t> </w:t>
      </w:r>
      <w:r>
        <w:rPr/>
        <w:t>constitution‖</w:t>
      </w:r>
      <w:r>
        <w:rPr>
          <w:spacing w:val="-2"/>
        </w:rPr>
        <w:t> </w:t>
      </w:r>
      <w:r>
        <w:rPr/>
        <w:t>as the source of that power within which the director is required to act.</w:t>
      </w:r>
    </w:p>
    <w:p>
      <w:pPr>
        <w:pStyle w:val="BodyText"/>
        <w:spacing w:line="480" w:lineRule="auto" w:before="1"/>
        <w:ind w:right="243" w:firstLine="720"/>
        <w:jc w:val="both"/>
      </w:pPr>
      <w:r>
        <w:rPr/>
        <w:t>Early</w:t>
      </w:r>
      <w:r>
        <w:rPr>
          <w:spacing w:val="-2"/>
        </w:rPr>
        <w:t> </w:t>
      </w:r>
      <w:r>
        <w:rPr/>
        <w:t>in</w:t>
      </w:r>
      <w:r>
        <w:rPr>
          <w:spacing w:val="-4"/>
        </w:rPr>
        <w:t> </w:t>
      </w:r>
      <w:r>
        <w:rPr/>
        <w:t>the</w:t>
      </w:r>
      <w:r>
        <w:rPr>
          <w:spacing w:val="-3"/>
        </w:rPr>
        <w:t> </w:t>
      </w:r>
      <w:r>
        <w:rPr/>
        <w:t>CA,</w:t>
      </w:r>
      <w:r>
        <w:rPr>
          <w:spacing w:val="-4"/>
        </w:rPr>
        <w:t> </w:t>
      </w:r>
      <w:r>
        <w:rPr/>
        <w:t>s.17</w:t>
      </w:r>
      <w:r>
        <w:rPr>
          <w:spacing w:val="-6"/>
        </w:rPr>
        <w:t> </w:t>
      </w:r>
      <w:r>
        <w:rPr/>
        <w:t>clearly</w:t>
      </w:r>
      <w:r>
        <w:rPr>
          <w:spacing w:val="-9"/>
        </w:rPr>
        <w:t> </w:t>
      </w:r>
      <w:r>
        <w:rPr/>
        <w:t>explains</w:t>
      </w:r>
      <w:r>
        <w:rPr>
          <w:spacing w:val="-4"/>
        </w:rPr>
        <w:t> </w:t>
      </w:r>
      <w:r>
        <w:rPr/>
        <w:t>what</w:t>
      </w:r>
      <w:r>
        <w:rPr>
          <w:spacing w:val="-1"/>
        </w:rPr>
        <w:t> </w:t>
      </w:r>
      <w:r>
        <w:rPr/>
        <w:t>―the</w:t>
      </w:r>
      <w:r>
        <w:rPr>
          <w:spacing w:val="-3"/>
        </w:rPr>
        <w:t> </w:t>
      </w:r>
      <w:r>
        <w:rPr/>
        <w:t>company‘s</w:t>
      </w:r>
      <w:r>
        <w:rPr>
          <w:spacing w:val="-4"/>
        </w:rPr>
        <w:t> </w:t>
      </w:r>
      <w:r>
        <w:rPr/>
        <w:t>constitution‖</w:t>
      </w:r>
      <w:r>
        <w:rPr>
          <w:spacing w:val="-6"/>
        </w:rPr>
        <w:t> </w:t>
      </w:r>
      <w:r>
        <w:rPr/>
        <w:t>entails as</w:t>
      </w:r>
      <w:r>
        <w:rPr>
          <w:spacing w:val="8"/>
        </w:rPr>
        <w:t> </w:t>
      </w:r>
      <w:r>
        <w:rPr/>
        <w:t>including</w:t>
      </w:r>
      <w:r>
        <w:rPr>
          <w:spacing w:val="8"/>
        </w:rPr>
        <w:t> </w:t>
      </w:r>
      <w:r>
        <w:rPr/>
        <w:t>the</w:t>
      </w:r>
      <w:r>
        <w:rPr>
          <w:spacing w:val="7"/>
        </w:rPr>
        <w:t> </w:t>
      </w:r>
      <w:r>
        <w:rPr/>
        <w:t>company‘s</w:t>
      </w:r>
      <w:r>
        <w:rPr>
          <w:spacing w:val="10"/>
        </w:rPr>
        <w:t> </w:t>
      </w:r>
      <w:r>
        <w:rPr/>
        <w:t>articles</w:t>
      </w:r>
      <w:r>
        <w:rPr>
          <w:spacing w:val="6"/>
        </w:rPr>
        <w:t> </w:t>
      </w:r>
      <w:r>
        <w:rPr/>
        <w:t>and</w:t>
      </w:r>
      <w:r>
        <w:rPr>
          <w:spacing w:val="8"/>
        </w:rPr>
        <w:t> </w:t>
      </w:r>
      <w:r>
        <w:rPr/>
        <w:t>any</w:t>
      </w:r>
      <w:r>
        <w:rPr>
          <w:spacing w:val="3"/>
        </w:rPr>
        <w:t> </w:t>
      </w:r>
      <w:r>
        <w:rPr/>
        <w:t>resolutions</w:t>
      </w:r>
      <w:r>
        <w:rPr>
          <w:spacing w:val="5"/>
        </w:rPr>
        <w:t> </w:t>
      </w:r>
      <w:r>
        <w:rPr/>
        <w:t>or</w:t>
      </w:r>
      <w:r>
        <w:rPr>
          <w:spacing w:val="10"/>
        </w:rPr>
        <w:t> </w:t>
      </w:r>
      <w:r>
        <w:rPr/>
        <w:t>agreements</w:t>
      </w:r>
      <w:r>
        <w:rPr>
          <w:spacing w:val="6"/>
        </w:rPr>
        <w:t> </w:t>
      </w:r>
      <w:r>
        <w:rPr/>
        <w:t>applicable</w:t>
      </w:r>
      <w:r>
        <w:rPr>
          <w:spacing w:val="7"/>
        </w:rPr>
        <w:t> </w:t>
      </w:r>
      <w:r>
        <w:rPr>
          <w:spacing w:val="-2"/>
        </w:rPr>
        <w:t>under</w:t>
      </w:r>
    </w:p>
    <w:p>
      <w:pPr>
        <w:pStyle w:val="BodyText"/>
        <w:spacing w:line="480" w:lineRule="auto"/>
        <w:ind w:right="230"/>
        <w:jc w:val="both"/>
      </w:pPr>
      <w:r>
        <w:rPr/>
        <w:t>s.29 of the CA. As pointed out earlier in this work,</w:t>
      </w:r>
      <w:r>
        <w:rPr>
          <w:vertAlign w:val="superscript"/>
        </w:rPr>
        <w:t>24</w:t>
      </w:r>
      <w:r>
        <w:rPr>
          <w:vertAlign w:val="baseline"/>
        </w:rPr>
        <w:t> this effectively grants the general meeting reserve powers to order the board to do or refrain from</w:t>
      </w:r>
      <w:r>
        <w:rPr>
          <w:spacing w:val="-4"/>
          <w:vertAlign w:val="baseline"/>
        </w:rPr>
        <w:t> </w:t>
      </w:r>
      <w:r>
        <w:rPr>
          <w:vertAlign w:val="baseline"/>
        </w:rPr>
        <w:t>doing an act, simply by passing a special resolution. In other words, the general meeting would not constantly have to resort to the lengthy process of</w:t>
      </w:r>
      <w:r>
        <w:rPr>
          <w:spacing w:val="-3"/>
          <w:vertAlign w:val="baseline"/>
        </w:rPr>
        <w:t> </w:t>
      </w:r>
      <w:r>
        <w:rPr>
          <w:vertAlign w:val="baseline"/>
        </w:rPr>
        <w:t>altering the articles in order to request the board to act in a certain way, particularly where time is of the essence.</w:t>
      </w:r>
    </w:p>
    <w:p>
      <w:pPr>
        <w:pStyle w:val="BodyText"/>
        <w:spacing w:line="480" w:lineRule="auto"/>
        <w:ind w:right="235" w:firstLine="720"/>
        <w:jc w:val="both"/>
      </w:pPr>
      <w:r>
        <w:rPr/>
        <mc:AlternateContent>
          <mc:Choice Requires="wps">
            <w:drawing>
              <wp:anchor distT="0" distB="0" distL="0" distR="0" allowOverlap="1" layoutInCell="1" locked="0" behindDoc="1" simplePos="0" relativeHeight="487714304">
                <wp:simplePos x="0" y="0"/>
                <wp:positionH relativeFrom="page">
                  <wp:posOffset>1262481</wp:posOffset>
                </wp:positionH>
                <wp:positionV relativeFrom="paragraph">
                  <wp:posOffset>1082650</wp:posOffset>
                </wp:positionV>
                <wp:extent cx="1829435" cy="9525"/>
                <wp:effectExtent l="0" t="0" r="0" b="0"/>
                <wp:wrapTopAndBottom/>
                <wp:docPr id="274" name="Graphic 274"/>
                <wp:cNvGraphicFramePr>
                  <a:graphicFrameLocks/>
                </wp:cNvGraphicFramePr>
                <a:graphic>
                  <a:graphicData uri="http://schemas.microsoft.com/office/word/2010/wordprocessingShape">
                    <wps:wsp>
                      <wps:cNvPr id="274" name="Graphic 274"/>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5.248077pt;width:144.050pt;height:.71997pt;mso-position-horizontal-relative:page;mso-position-vertical-relative:paragraph;z-index:-15602176;mso-wrap-distance-left:0;mso-wrap-distance-right:0" id="docshape229" filled="true" fillcolor="#000000" stroked="false">
                <v:fill type="solid"/>
                <w10:wrap type="topAndBottom"/>
              </v:rect>
            </w:pict>
          </mc:Fallback>
        </mc:AlternateContent>
      </w:r>
      <w:r>
        <w:rPr/>
        <w:t>Under the CAMA, the equivalent of the duty under review is codified under s.279(5) as</w:t>
      </w:r>
      <w:r>
        <w:rPr>
          <w:spacing w:val="-3"/>
        </w:rPr>
        <w:t> </w:t>
      </w:r>
      <w:r>
        <w:rPr/>
        <w:t>discussed earlier in</w:t>
      </w:r>
      <w:r>
        <w:rPr>
          <w:spacing w:val="-1"/>
        </w:rPr>
        <w:t> </w:t>
      </w:r>
      <w:r>
        <w:rPr/>
        <w:t>this</w:t>
      </w:r>
      <w:r>
        <w:rPr>
          <w:spacing w:val="-3"/>
        </w:rPr>
        <w:t> </w:t>
      </w:r>
      <w:r>
        <w:rPr/>
        <w:t>work.</w:t>
      </w:r>
      <w:r>
        <w:rPr>
          <w:vertAlign w:val="superscript"/>
        </w:rPr>
        <w:t>25</w:t>
      </w:r>
      <w:r>
        <w:rPr>
          <w:vertAlign w:val="baseline"/>
        </w:rPr>
        <w:t> It has</w:t>
      </w:r>
      <w:r>
        <w:rPr>
          <w:spacing w:val="-3"/>
          <w:vertAlign w:val="baseline"/>
        </w:rPr>
        <w:t> </w:t>
      </w:r>
      <w:r>
        <w:rPr>
          <w:vertAlign w:val="baseline"/>
        </w:rPr>
        <w:t>been</w:t>
      </w:r>
      <w:r>
        <w:rPr>
          <w:spacing w:val="-6"/>
          <w:vertAlign w:val="baseline"/>
        </w:rPr>
        <w:t> </w:t>
      </w:r>
      <w:r>
        <w:rPr>
          <w:vertAlign w:val="baseline"/>
        </w:rPr>
        <w:t>observed</w:t>
      </w:r>
      <w:r>
        <w:rPr>
          <w:spacing w:val="-1"/>
          <w:vertAlign w:val="baseline"/>
        </w:rPr>
        <w:t> </w:t>
      </w:r>
      <w:r>
        <w:rPr>
          <w:vertAlign w:val="baseline"/>
        </w:rPr>
        <w:t>that</w:t>
      </w:r>
      <w:r>
        <w:rPr>
          <w:spacing w:val="-1"/>
          <w:vertAlign w:val="baseline"/>
        </w:rPr>
        <w:t> </w:t>
      </w:r>
      <w:r>
        <w:rPr>
          <w:vertAlign w:val="baseline"/>
        </w:rPr>
        <w:t>the language</w:t>
      </w:r>
      <w:r>
        <w:rPr>
          <w:spacing w:val="-2"/>
          <w:vertAlign w:val="baseline"/>
        </w:rPr>
        <w:t> </w:t>
      </w:r>
      <w:r>
        <w:rPr>
          <w:vertAlign w:val="baseline"/>
        </w:rPr>
        <w:t>of</w:t>
      </w:r>
      <w:r>
        <w:rPr>
          <w:spacing w:val="-9"/>
          <w:vertAlign w:val="baseline"/>
        </w:rPr>
        <w:t> </w:t>
      </w:r>
      <w:r>
        <w:rPr>
          <w:vertAlign w:val="baseline"/>
        </w:rPr>
        <w:t>the law</w:t>
      </w:r>
      <w:r>
        <w:rPr>
          <w:spacing w:val="6"/>
          <w:vertAlign w:val="baseline"/>
        </w:rPr>
        <w:t> </w:t>
      </w:r>
      <w:r>
        <w:rPr>
          <w:vertAlign w:val="baseline"/>
        </w:rPr>
        <w:t>confuses,</w:t>
      </w:r>
      <w:r>
        <w:rPr>
          <w:spacing w:val="6"/>
          <w:vertAlign w:val="baseline"/>
        </w:rPr>
        <w:t> </w:t>
      </w:r>
      <w:r>
        <w:rPr>
          <w:vertAlign w:val="baseline"/>
        </w:rPr>
        <w:t>rather</w:t>
      </w:r>
      <w:r>
        <w:rPr>
          <w:spacing w:val="5"/>
          <w:vertAlign w:val="baseline"/>
        </w:rPr>
        <w:t> </w:t>
      </w:r>
      <w:r>
        <w:rPr>
          <w:vertAlign w:val="baseline"/>
        </w:rPr>
        <w:t>than</w:t>
      </w:r>
      <w:r>
        <w:rPr>
          <w:spacing w:val="4"/>
          <w:vertAlign w:val="baseline"/>
        </w:rPr>
        <w:t> </w:t>
      </w:r>
      <w:r>
        <w:rPr>
          <w:vertAlign w:val="baseline"/>
        </w:rPr>
        <w:t>clarifies</w:t>
      </w:r>
      <w:r>
        <w:rPr>
          <w:spacing w:val="6"/>
          <w:vertAlign w:val="baseline"/>
        </w:rPr>
        <w:t> </w:t>
      </w:r>
      <w:r>
        <w:rPr>
          <w:vertAlign w:val="baseline"/>
        </w:rPr>
        <w:t>what</w:t>
      </w:r>
      <w:r>
        <w:rPr>
          <w:spacing w:val="9"/>
          <w:vertAlign w:val="baseline"/>
        </w:rPr>
        <w:t> </w:t>
      </w:r>
      <w:r>
        <w:rPr>
          <w:vertAlign w:val="baseline"/>
        </w:rPr>
        <w:t>exactly</w:t>
      </w:r>
      <w:r>
        <w:rPr>
          <w:spacing w:val="8"/>
          <w:vertAlign w:val="baseline"/>
        </w:rPr>
        <w:t> </w:t>
      </w:r>
      <w:r>
        <w:rPr>
          <w:vertAlign w:val="baseline"/>
        </w:rPr>
        <w:t>is</w:t>
      </w:r>
      <w:r>
        <w:rPr>
          <w:spacing w:val="6"/>
          <w:vertAlign w:val="baseline"/>
        </w:rPr>
        <w:t> </w:t>
      </w:r>
      <w:r>
        <w:rPr>
          <w:vertAlign w:val="baseline"/>
        </w:rPr>
        <w:t>required</w:t>
      </w:r>
      <w:r>
        <w:rPr>
          <w:spacing w:val="4"/>
          <w:vertAlign w:val="baseline"/>
        </w:rPr>
        <w:t> </w:t>
      </w:r>
      <w:r>
        <w:rPr>
          <w:vertAlign w:val="baseline"/>
        </w:rPr>
        <w:t>of the</w:t>
      </w:r>
      <w:r>
        <w:rPr>
          <w:spacing w:val="4"/>
          <w:vertAlign w:val="baseline"/>
        </w:rPr>
        <w:t> </w:t>
      </w:r>
      <w:r>
        <w:rPr>
          <w:vertAlign w:val="baseline"/>
        </w:rPr>
        <w:t>director.</w:t>
      </w:r>
      <w:r>
        <w:rPr>
          <w:spacing w:val="6"/>
          <w:vertAlign w:val="baseline"/>
        </w:rPr>
        <w:t> </w:t>
      </w:r>
      <w:r>
        <w:rPr>
          <w:vertAlign w:val="baseline"/>
        </w:rPr>
        <w:t>The</w:t>
      </w:r>
      <w:r>
        <w:rPr>
          <w:spacing w:val="7"/>
          <w:vertAlign w:val="baseline"/>
        </w:rPr>
        <w:t> </w:t>
      </w:r>
      <w:r>
        <w:rPr>
          <w:vertAlign w:val="baseline"/>
        </w:rPr>
        <w:t>law</w:t>
      </w:r>
      <w:r>
        <w:rPr>
          <w:spacing w:val="4"/>
          <w:vertAlign w:val="baseline"/>
        </w:rPr>
        <w:t> </w:t>
      </w:r>
      <w:r>
        <w:rPr>
          <w:spacing w:val="-4"/>
          <w:vertAlign w:val="baseline"/>
        </w:rPr>
        <w:t>says</w:t>
      </w:r>
    </w:p>
    <w:p>
      <w:pPr>
        <w:spacing w:before="102"/>
        <w:ind w:left="308" w:right="255" w:firstLine="0"/>
        <w:jc w:val="left"/>
        <w:rPr>
          <w:rFonts w:ascii="Calibri"/>
          <w:sz w:val="20"/>
        </w:rPr>
      </w:pPr>
      <w:r>
        <w:rPr>
          <w:rFonts w:ascii="Calibri"/>
          <w:sz w:val="20"/>
          <w:vertAlign w:val="superscript"/>
        </w:rPr>
        <w:t>24</w:t>
      </w:r>
      <w:r>
        <w:rPr>
          <w:rFonts w:ascii="Calibri"/>
          <w:sz w:val="20"/>
          <w:vertAlign w:val="baseline"/>
        </w:rPr>
        <w:t> Refer back to </w:t>
      </w:r>
      <w:r>
        <w:rPr>
          <w:rFonts w:ascii="Calibri"/>
          <w:b/>
          <w:sz w:val="20"/>
          <w:vertAlign w:val="baseline"/>
        </w:rPr>
        <w:t>2.7 </w:t>
      </w:r>
      <w:r>
        <w:rPr>
          <w:rFonts w:ascii="Calibri"/>
          <w:sz w:val="20"/>
          <w:vertAlign w:val="baseline"/>
        </w:rPr>
        <w:t>on Division of Power between the Directors and the General Meeting and </w:t>
      </w:r>
      <w:r>
        <w:rPr>
          <w:rFonts w:ascii="Calibri"/>
          <w:b/>
          <w:sz w:val="20"/>
          <w:vertAlign w:val="baseline"/>
        </w:rPr>
        <w:t>4.2.2 </w:t>
      </w:r>
      <w:r>
        <w:rPr>
          <w:rFonts w:ascii="Calibri"/>
          <w:sz w:val="20"/>
          <w:vertAlign w:val="baseline"/>
        </w:rPr>
        <w:t>on Duty to Act Within Powers, supra.</w:t>
      </w:r>
    </w:p>
    <w:p>
      <w:pPr>
        <w:spacing w:before="1"/>
        <w:ind w:left="308" w:right="0" w:firstLine="0"/>
        <w:jc w:val="left"/>
        <w:rPr>
          <w:rFonts w:ascii="Calibri" w:hAnsi="Calibri"/>
          <w:sz w:val="20"/>
        </w:rPr>
      </w:pPr>
      <w:r>
        <w:rPr>
          <w:rFonts w:ascii="Calibri" w:hAnsi="Calibri"/>
          <w:sz w:val="20"/>
          <w:vertAlign w:val="superscript"/>
        </w:rPr>
        <w:t>25</w:t>
      </w:r>
      <w:r>
        <w:rPr>
          <w:rFonts w:ascii="Calibri" w:hAnsi="Calibri"/>
          <w:sz w:val="20"/>
          <w:vertAlign w:val="baseline"/>
        </w:rPr>
        <w:t> Refer</w:t>
      </w:r>
      <w:r>
        <w:rPr>
          <w:rFonts w:ascii="Calibri" w:hAnsi="Calibri"/>
          <w:spacing w:val="-5"/>
          <w:sz w:val="20"/>
          <w:vertAlign w:val="baseline"/>
        </w:rPr>
        <w:t> </w:t>
      </w:r>
      <w:r>
        <w:rPr>
          <w:rFonts w:ascii="Calibri" w:hAnsi="Calibri"/>
          <w:sz w:val="20"/>
          <w:vertAlign w:val="baseline"/>
        </w:rPr>
        <w:t>to</w:t>
      </w:r>
      <w:r>
        <w:rPr>
          <w:rFonts w:ascii="Calibri" w:hAnsi="Calibri"/>
          <w:spacing w:val="-6"/>
          <w:sz w:val="20"/>
          <w:vertAlign w:val="baseline"/>
        </w:rPr>
        <w:t> </w:t>
      </w:r>
      <w:r>
        <w:rPr>
          <w:rFonts w:ascii="Calibri" w:hAnsi="Calibri"/>
          <w:b/>
          <w:sz w:val="20"/>
          <w:vertAlign w:val="baseline"/>
        </w:rPr>
        <w:t>3.5</w:t>
      </w:r>
      <w:r>
        <w:rPr>
          <w:rFonts w:ascii="Calibri" w:hAnsi="Calibri"/>
          <w:b/>
          <w:spacing w:val="-2"/>
          <w:sz w:val="20"/>
          <w:vertAlign w:val="baseline"/>
        </w:rPr>
        <w:t> </w:t>
      </w:r>
      <w:r>
        <w:rPr>
          <w:rFonts w:ascii="Calibri" w:hAnsi="Calibri"/>
          <w:sz w:val="20"/>
          <w:vertAlign w:val="baseline"/>
        </w:rPr>
        <w:t>supra</w:t>
      </w:r>
      <w:r>
        <w:rPr>
          <w:rFonts w:ascii="Calibri" w:hAnsi="Calibri"/>
          <w:spacing w:val="-7"/>
          <w:sz w:val="20"/>
          <w:vertAlign w:val="baseline"/>
        </w:rPr>
        <w:t> </w:t>
      </w:r>
      <w:r>
        <w:rPr>
          <w:rFonts w:ascii="Calibri" w:hAnsi="Calibri"/>
          <w:sz w:val="20"/>
          <w:vertAlign w:val="baseline"/>
        </w:rPr>
        <w:t>on</w:t>
      </w:r>
      <w:r>
        <w:rPr>
          <w:rFonts w:ascii="Calibri" w:hAnsi="Calibri"/>
          <w:spacing w:val="-6"/>
          <w:sz w:val="20"/>
          <w:vertAlign w:val="baseline"/>
        </w:rPr>
        <w:t> </w:t>
      </w:r>
      <w:r>
        <w:rPr>
          <w:rFonts w:ascii="Calibri" w:hAnsi="Calibri"/>
          <w:sz w:val="20"/>
          <w:vertAlign w:val="baseline"/>
        </w:rPr>
        <w:t>“Duty</w:t>
      </w:r>
      <w:r>
        <w:rPr>
          <w:rFonts w:ascii="Calibri" w:hAnsi="Calibri"/>
          <w:spacing w:val="-2"/>
          <w:sz w:val="20"/>
          <w:vertAlign w:val="baseline"/>
        </w:rPr>
        <w:t> </w:t>
      </w:r>
      <w:r>
        <w:rPr>
          <w:rFonts w:ascii="Calibri" w:hAnsi="Calibri"/>
          <w:sz w:val="20"/>
          <w:vertAlign w:val="baseline"/>
        </w:rPr>
        <w:t>to</w:t>
      </w:r>
      <w:r>
        <w:rPr>
          <w:rFonts w:ascii="Calibri" w:hAnsi="Calibri"/>
          <w:spacing w:val="-6"/>
          <w:sz w:val="20"/>
          <w:vertAlign w:val="baseline"/>
        </w:rPr>
        <w:t> </w:t>
      </w:r>
      <w:r>
        <w:rPr>
          <w:rFonts w:ascii="Calibri" w:hAnsi="Calibri"/>
          <w:sz w:val="20"/>
          <w:vertAlign w:val="baseline"/>
        </w:rPr>
        <w:t>Act</w:t>
      </w:r>
      <w:r>
        <w:rPr>
          <w:rFonts w:ascii="Calibri" w:hAnsi="Calibri"/>
          <w:spacing w:val="-6"/>
          <w:sz w:val="20"/>
          <w:vertAlign w:val="baseline"/>
        </w:rPr>
        <w:t> </w:t>
      </w:r>
      <w:r>
        <w:rPr>
          <w:rFonts w:ascii="Calibri" w:hAnsi="Calibri"/>
          <w:sz w:val="20"/>
          <w:vertAlign w:val="baseline"/>
        </w:rPr>
        <w:t>in</w:t>
      </w:r>
      <w:r>
        <w:rPr>
          <w:rFonts w:ascii="Calibri" w:hAnsi="Calibri"/>
          <w:spacing w:val="-6"/>
          <w:sz w:val="20"/>
          <w:vertAlign w:val="baseline"/>
        </w:rPr>
        <w:t> </w:t>
      </w:r>
      <w:r>
        <w:rPr>
          <w:rFonts w:ascii="Calibri" w:hAnsi="Calibri"/>
          <w:sz w:val="20"/>
          <w:vertAlign w:val="baseline"/>
        </w:rPr>
        <w:t>the</w:t>
      </w:r>
      <w:r>
        <w:rPr>
          <w:rFonts w:ascii="Calibri" w:hAnsi="Calibri"/>
          <w:spacing w:val="-6"/>
          <w:sz w:val="20"/>
          <w:vertAlign w:val="baseline"/>
        </w:rPr>
        <w:t> </w:t>
      </w:r>
      <w:r>
        <w:rPr>
          <w:rFonts w:ascii="Calibri" w:hAnsi="Calibri"/>
          <w:sz w:val="20"/>
          <w:vertAlign w:val="baseline"/>
        </w:rPr>
        <w:t>Best</w:t>
      </w:r>
      <w:r>
        <w:rPr>
          <w:rFonts w:ascii="Calibri" w:hAnsi="Calibri"/>
          <w:spacing w:val="-2"/>
          <w:sz w:val="20"/>
          <w:vertAlign w:val="baseline"/>
        </w:rPr>
        <w:t> </w:t>
      </w:r>
      <w:r>
        <w:rPr>
          <w:rFonts w:ascii="Calibri" w:hAnsi="Calibri"/>
          <w:sz w:val="20"/>
          <w:vertAlign w:val="baseline"/>
        </w:rPr>
        <w:t>Interests</w:t>
      </w:r>
      <w:r>
        <w:rPr>
          <w:rFonts w:ascii="Calibri" w:hAnsi="Calibri"/>
          <w:spacing w:val="-4"/>
          <w:sz w:val="20"/>
          <w:vertAlign w:val="baseline"/>
        </w:rPr>
        <w:t> </w:t>
      </w:r>
      <w:r>
        <w:rPr>
          <w:rFonts w:ascii="Calibri" w:hAnsi="Calibri"/>
          <w:sz w:val="20"/>
          <w:vertAlign w:val="baseline"/>
        </w:rPr>
        <w:t>of</w:t>
      </w:r>
      <w:r>
        <w:rPr>
          <w:rFonts w:ascii="Calibri" w:hAnsi="Calibri"/>
          <w:spacing w:val="-5"/>
          <w:sz w:val="20"/>
          <w:vertAlign w:val="baseline"/>
        </w:rPr>
        <w:t> </w:t>
      </w:r>
      <w:r>
        <w:rPr>
          <w:rFonts w:ascii="Calibri" w:hAnsi="Calibri"/>
          <w:sz w:val="20"/>
          <w:vertAlign w:val="baseline"/>
        </w:rPr>
        <w:t>the</w:t>
      </w:r>
      <w:r>
        <w:rPr>
          <w:rFonts w:ascii="Calibri" w:hAnsi="Calibri"/>
          <w:spacing w:val="-1"/>
          <w:sz w:val="20"/>
          <w:vertAlign w:val="baseline"/>
        </w:rPr>
        <w:t> </w:t>
      </w:r>
      <w:r>
        <w:rPr>
          <w:rFonts w:ascii="Calibri" w:hAnsi="Calibri"/>
          <w:sz w:val="20"/>
          <w:vertAlign w:val="baseline"/>
        </w:rPr>
        <w:t>Company</w:t>
      </w:r>
      <w:r>
        <w:rPr>
          <w:rFonts w:ascii="Calibri" w:hAnsi="Calibri"/>
          <w:spacing w:val="-1"/>
          <w:sz w:val="20"/>
          <w:vertAlign w:val="baseline"/>
        </w:rPr>
        <w:t> </w:t>
      </w:r>
      <w:r>
        <w:rPr>
          <w:rFonts w:ascii="Calibri" w:hAnsi="Calibri"/>
          <w:sz w:val="20"/>
          <w:vertAlign w:val="baseline"/>
        </w:rPr>
        <w:t>and</w:t>
      </w:r>
      <w:r>
        <w:rPr>
          <w:rFonts w:ascii="Calibri" w:hAnsi="Calibri"/>
          <w:spacing w:val="-6"/>
          <w:sz w:val="20"/>
          <w:vertAlign w:val="baseline"/>
        </w:rPr>
        <w:t> </w:t>
      </w:r>
      <w:r>
        <w:rPr>
          <w:rFonts w:ascii="Calibri" w:hAnsi="Calibri"/>
          <w:sz w:val="20"/>
          <w:vertAlign w:val="baseline"/>
        </w:rPr>
        <w:t>for</w:t>
      </w:r>
      <w:r>
        <w:rPr>
          <w:rFonts w:ascii="Calibri" w:hAnsi="Calibri"/>
          <w:spacing w:val="-5"/>
          <w:sz w:val="20"/>
          <w:vertAlign w:val="baseline"/>
        </w:rPr>
        <w:t> </w:t>
      </w:r>
      <w:r>
        <w:rPr>
          <w:rFonts w:ascii="Calibri" w:hAnsi="Calibri"/>
          <w:sz w:val="20"/>
          <w:vertAlign w:val="baseline"/>
        </w:rPr>
        <w:t>Proper</w:t>
      </w:r>
      <w:r>
        <w:rPr>
          <w:rFonts w:ascii="Calibri" w:hAnsi="Calibri"/>
          <w:spacing w:val="-9"/>
          <w:sz w:val="20"/>
          <w:vertAlign w:val="baseline"/>
        </w:rPr>
        <w:t> </w:t>
      </w:r>
      <w:r>
        <w:rPr>
          <w:rFonts w:ascii="Calibri" w:hAnsi="Calibri"/>
          <w:spacing w:val="-2"/>
          <w:sz w:val="20"/>
          <w:vertAlign w:val="baseline"/>
        </w:rPr>
        <w:t>Purpose.”</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229"/>
        <w:jc w:val="both"/>
      </w:pPr>
      <w:r>
        <w:rPr/>
        <w:t>―a</w:t>
      </w:r>
      <w:r>
        <w:rPr>
          <w:spacing w:val="-2"/>
        </w:rPr>
        <w:t> </w:t>
      </w:r>
      <w:r>
        <w:rPr/>
        <w:t>director shall</w:t>
      </w:r>
      <w:r>
        <w:rPr>
          <w:spacing w:val="-4"/>
        </w:rPr>
        <w:t> </w:t>
      </w:r>
      <w:r>
        <w:rPr/>
        <w:t>exercise his</w:t>
      </w:r>
      <w:r>
        <w:rPr>
          <w:spacing w:val="-3"/>
        </w:rPr>
        <w:t> </w:t>
      </w:r>
      <w:r>
        <w:rPr/>
        <w:t>powers for the</w:t>
      </w:r>
      <w:r>
        <w:rPr>
          <w:spacing w:val="-2"/>
        </w:rPr>
        <w:t> </w:t>
      </w:r>
      <w:r>
        <w:rPr/>
        <w:t>purpose for which </w:t>
      </w:r>
      <w:r>
        <w:rPr>
          <w:i/>
        </w:rPr>
        <w:t>he </w:t>
      </w:r>
      <w:r>
        <w:rPr/>
        <w:t>is specified</w:t>
      </w:r>
      <w:r>
        <w:rPr>
          <w:spacing w:val="-1"/>
        </w:rPr>
        <w:t> </w:t>
      </w:r>
      <w:r>
        <w:rPr/>
        <w:t>and shall not do</w:t>
      </w:r>
      <w:r>
        <w:rPr>
          <w:spacing w:val="-2"/>
        </w:rPr>
        <w:t> </w:t>
      </w:r>
      <w:r>
        <w:rPr/>
        <w:t>so</w:t>
      </w:r>
      <w:r>
        <w:rPr>
          <w:spacing w:val="-2"/>
        </w:rPr>
        <w:t> </w:t>
      </w:r>
      <w:r>
        <w:rPr/>
        <w:t>for</w:t>
      </w:r>
      <w:r>
        <w:rPr>
          <w:spacing w:val="-1"/>
        </w:rPr>
        <w:t> </w:t>
      </w:r>
      <w:r>
        <w:rPr/>
        <w:t>a</w:t>
      </w:r>
      <w:r>
        <w:rPr>
          <w:spacing w:val="-3"/>
        </w:rPr>
        <w:t> </w:t>
      </w:r>
      <w:r>
        <w:rPr/>
        <w:t>collateral</w:t>
      </w:r>
      <w:r>
        <w:rPr>
          <w:spacing w:val="-10"/>
        </w:rPr>
        <w:t> </w:t>
      </w:r>
      <w:r>
        <w:rPr/>
        <w:t>purpose, and</w:t>
      </w:r>
      <w:r>
        <w:rPr>
          <w:spacing w:val="-2"/>
        </w:rPr>
        <w:t> </w:t>
      </w:r>
      <w:r>
        <w:rPr/>
        <w:t>the</w:t>
      </w:r>
      <w:r>
        <w:rPr>
          <w:spacing w:val="-3"/>
        </w:rPr>
        <w:t> </w:t>
      </w:r>
      <w:r>
        <w:rPr/>
        <w:t>power, if</w:t>
      </w:r>
      <w:r>
        <w:rPr>
          <w:spacing w:val="-5"/>
        </w:rPr>
        <w:t> </w:t>
      </w:r>
      <w:r>
        <w:rPr/>
        <w:t>exercised for</w:t>
      </w:r>
      <w:r>
        <w:rPr>
          <w:spacing w:val="-1"/>
        </w:rPr>
        <w:t> </w:t>
      </w:r>
      <w:r>
        <w:rPr/>
        <w:t>the</w:t>
      </w:r>
      <w:r>
        <w:rPr>
          <w:spacing w:val="-3"/>
        </w:rPr>
        <w:t> </w:t>
      </w:r>
      <w:r>
        <w:rPr/>
        <w:t>right purposes</w:t>
      </w:r>
      <w:r>
        <w:rPr>
          <w:spacing w:val="-4"/>
        </w:rPr>
        <w:t> </w:t>
      </w:r>
      <w:r>
        <w:rPr/>
        <w:t>does not constitute a breach of</w:t>
      </w:r>
      <w:r>
        <w:rPr>
          <w:spacing w:val="-1"/>
        </w:rPr>
        <w:t> </w:t>
      </w:r>
      <w:r>
        <w:rPr/>
        <w:t>duty, if it incidentally affects a member adversely.‖ There are about four discernible issues with this provision, as earlier discussed.</w:t>
      </w:r>
    </w:p>
    <w:p>
      <w:pPr>
        <w:pStyle w:val="BodyText"/>
        <w:spacing w:line="480" w:lineRule="auto"/>
        <w:ind w:right="231" w:firstLine="720"/>
        <w:jc w:val="both"/>
      </w:pPr>
      <w:r>
        <w:rPr/>
        <w:t>First, if a director has any powers by himself, it is not clear from the provision what they are or where he is likely to find them. Generally, whatever powers directors wield are not in fact theirs but the company‘s. Also, when they act, they act as a collegiate body, although they owe their duties individually.</w:t>
      </w:r>
      <w:r>
        <w:rPr>
          <w:vertAlign w:val="superscript"/>
        </w:rPr>
        <w:t>26</w:t>
      </w:r>
      <w:r>
        <w:rPr>
          <w:vertAlign w:val="baseline"/>
        </w:rPr>
        <w:t> Yet, here the law speaks of ―his powers‖. Second, the part stating ―he is specified‖ does not make much sense because</w:t>
      </w:r>
      <w:r>
        <w:rPr>
          <w:spacing w:val="-11"/>
          <w:vertAlign w:val="baseline"/>
        </w:rPr>
        <w:t> </w:t>
      </w:r>
      <w:r>
        <w:rPr>
          <w:vertAlign w:val="baseline"/>
        </w:rPr>
        <w:t>the</w:t>
      </w:r>
      <w:r>
        <w:rPr>
          <w:spacing w:val="-11"/>
          <w:vertAlign w:val="baseline"/>
        </w:rPr>
        <w:t> </w:t>
      </w:r>
      <w:r>
        <w:rPr>
          <w:vertAlign w:val="baseline"/>
        </w:rPr>
        <w:t>provision</w:t>
      </w:r>
      <w:r>
        <w:rPr>
          <w:spacing w:val="-10"/>
          <w:vertAlign w:val="baseline"/>
        </w:rPr>
        <w:t> </w:t>
      </w:r>
      <w:r>
        <w:rPr>
          <w:vertAlign w:val="baseline"/>
        </w:rPr>
        <w:t>is</w:t>
      </w:r>
      <w:r>
        <w:rPr>
          <w:spacing w:val="-12"/>
          <w:vertAlign w:val="baseline"/>
        </w:rPr>
        <w:t> </w:t>
      </w:r>
      <w:r>
        <w:rPr>
          <w:vertAlign w:val="baseline"/>
        </w:rPr>
        <w:t>obviously</w:t>
      </w:r>
      <w:r>
        <w:rPr>
          <w:spacing w:val="-10"/>
          <w:vertAlign w:val="baseline"/>
        </w:rPr>
        <w:t> </w:t>
      </w:r>
      <w:r>
        <w:rPr>
          <w:vertAlign w:val="baseline"/>
        </w:rPr>
        <w:t>alluding</w:t>
      </w:r>
      <w:r>
        <w:rPr>
          <w:spacing w:val="-10"/>
          <w:vertAlign w:val="baseline"/>
        </w:rPr>
        <w:t> </w:t>
      </w:r>
      <w:r>
        <w:rPr>
          <w:vertAlign w:val="baseline"/>
        </w:rPr>
        <w:t>to</w:t>
      </w:r>
      <w:r>
        <w:rPr>
          <w:spacing w:val="-7"/>
          <w:vertAlign w:val="baseline"/>
        </w:rPr>
        <w:t> </w:t>
      </w:r>
      <w:r>
        <w:rPr>
          <w:vertAlign w:val="baseline"/>
        </w:rPr>
        <w:t>―the</w:t>
      </w:r>
      <w:r>
        <w:rPr>
          <w:spacing w:val="-11"/>
          <w:vertAlign w:val="baseline"/>
        </w:rPr>
        <w:t> </w:t>
      </w:r>
      <w:r>
        <w:rPr>
          <w:vertAlign w:val="baseline"/>
        </w:rPr>
        <w:t>powers‖</w:t>
      </w:r>
      <w:r>
        <w:rPr>
          <w:spacing w:val="-4"/>
          <w:vertAlign w:val="baseline"/>
        </w:rPr>
        <w:t> </w:t>
      </w:r>
      <w:r>
        <w:rPr>
          <w:vertAlign w:val="baseline"/>
        </w:rPr>
        <w:t>mentioned</w:t>
      </w:r>
      <w:r>
        <w:rPr>
          <w:spacing w:val="-7"/>
          <w:vertAlign w:val="baseline"/>
        </w:rPr>
        <w:t> </w:t>
      </w:r>
      <w:r>
        <w:rPr>
          <w:vertAlign w:val="baseline"/>
        </w:rPr>
        <w:t>earlier.</w:t>
      </w:r>
      <w:r>
        <w:rPr>
          <w:spacing w:val="-8"/>
          <w:vertAlign w:val="baseline"/>
        </w:rPr>
        <w:t> </w:t>
      </w:r>
      <w:r>
        <w:rPr>
          <w:vertAlign w:val="baseline"/>
        </w:rPr>
        <w:t>Thus,</w:t>
      </w:r>
      <w:r>
        <w:rPr>
          <w:spacing w:val="-8"/>
          <w:vertAlign w:val="baseline"/>
        </w:rPr>
        <w:t> </w:t>
      </w:r>
      <w:r>
        <w:rPr>
          <w:vertAlign w:val="baseline"/>
        </w:rPr>
        <w:t>the pronoun ―he‖ ought to read ―they‖ in order to properly refer to the powers, which are the proper subjects being addressed. This assumption is further supported by the later statement,</w:t>
      </w:r>
      <w:r>
        <w:rPr>
          <w:spacing w:val="-11"/>
          <w:vertAlign w:val="baseline"/>
        </w:rPr>
        <w:t> </w:t>
      </w:r>
      <w:r>
        <w:rPr>
          <w:vertAlign w:val="baseline"/>
        </w:rPr>
        <w:t>―and</w:t>
      </w:r>
      <w:r>
        <w:rPr>
          <w:spacing w:val="-11"/>
          <w:vertAlign w:val="baseline"/>
        </w:rPr>
        <w:t> </w:t>
      </w:r>
      <w:r>
        <w:rPr>
          <w:i/>
          <w:vertAlign w:val="baseline"/>
        </w:rPr>
        <w:t>the</w:t>
      </w:r>
      <w:r>
        <w:rPr>
          <w:i/>
          <w:spacing w:val="-9"/>
          <w:vertAlign w:val="baseline"/>
        </w:rPr>
        <w:t> </w:t>
      </w:r>
      <w:r>
        <w:rPr>
          <w:vertAlign w:val="baseline"/>
        </w:rPr>
        <w:t>power….‖</w:t>
      </w:r>
      <w:r>
        <w:rPr>
          <w:spacing w:val="-13"/>
          <w:vertAlign w:val="baseline"/>
        </w:rPr>
        <w:t> </w:t>
      </w:r>
      <w:r>
        <w:rPr>
          <w:vertAlign w:val="baseline"/>
        </w:rPr>
        <w:t>Third,</w:t>
      </w:r>
      <w:r>
        <w:rPr>
          <w:spacing w:val="-11"/>
          <w:vertAlign w:val="baseline"/>
        </w:rPr>
        <w:t> </w:t>
      </w:r>
      <w:r>
        <w:rPr>
          <w:vertAlign w:val="baseline"/>
        </w:rPr>
        <w:t>the</w:t>
      </w:r>
      <w:r>
        <w:rPr>
          <w:spacing w:val="-10"/>
          <w:vertAlign w:val="baseline"/>
        </w:rPr>
        <w:t> </w:t>
      </w:r>
      <w:r>
        <w:rPr>
          <w:vertAlign w:val="baseline"/>
        </w:rPr>
        <w:t>subsection</w:t>
      </w:r>
      <w:r>
        <w:rPr>
          <w:spacing w:val="-13"/>
          <w:vertAlign w:val="baseline"/>
        </w:rPr>
        <w:t> </w:t>
      </w:r>
      <w:r>
        <w:rPr>
          <w:vertAlign w:val="baseline"/>
        </w:rPr>
        <w:t>initially</w:t>
      </w:r>
      <w:r>
        <w:rPr>
          <w:spacing w:val="-13"/>
          <w:vertAlign w:val="baseline"/>
        </w:rPr>
        <w:t> </w:t>
      </w:r>
      <w:r>
        <w:rPr>
          <w:vertAlign w:val="baseline"/>
        </w:rPr>
        <w:t>mentions</w:t>
      </w:r>
      <w:r>
        <w:rPr>
          <w:spacing w:val="-11"/>
          <w:vertAlign w:val="baseline"/>
        </w:rPr>
        <w:t> </w:t>
      </w:r>
      <w:r>
        <w:rPr>
          <w:vertAlign w:val="baseline"/>
        </w:rPr>
        <w:t>―his</w:t>
      </w:r>
      <w:r>
        <w:rPr>
          <w:spacing w:val="-11"/>
          <w:vertAlign w:val="baseline"/>
        </w:rPr>
        <w:t> </w:t>
      </w:r>
      <w:r>
        <w:rPr>
          <w:vertAlign w:val="baseline"/>
        </w:rPr>
        <w:t>powers‖</w:t>
      </w:r>
      <w:r>
        <w:rPr>
          <w:spacing w:val="-10"/>
          <w:vertAlign w:val="baseline"/>
        </w:rPr>
        <w:t> </w:t>
      </w:r>
      <w:r>
        <w:rPr>
          <w:vertAlign w:val="baseline"/>
        </w:rPr>
        <w:t>i.e. in the plural, but later refers to ―the power‖, in the singular, and further confounds this with</w:t>
      </w:r>
      <w:r>
        <w:rPr>
          <w:spacing w:val="-6"/>
          <w:vertAlign w:val="baseline"/>
        </w:rPr>
        <w:t> </w:t>
      </w:r>
      <w:r>
        <w:rPr>
          <w:vertAlign w:val="baseline"/>
        </w:rPr>
        <w:t>―purposes,‖</w:t>
      </w:r>
      <w:r>
        <w:rPr>
          <w:spacing w:val="-6"/>
          <w:vertAlign w:val="baseline"/>
        </w:rPr>
        <w:t> </w:t>
      </w:r>
      <w:r>
        <w:rPr>
          <w:vertAlign w:val="baseline"/>
        </w:rPr>
        <w:t>also in</w:t>
      </w:r>
      <w:r>
        <w:rPr>
          <w:spacing w:val="-6"/>
          <w:vertAlign w:val="baseline"/>
        </w:rPr>
        <w:t> </w:t>
      </w:r>
      <w:r>
        <w:rPr>
          <w:vertAlign w:val="baseline"/>
        </w:rPr>
        <w:t>the</w:t>
      </w:r>
      <w:r>
        <w:rPr>
          <w:spacing w:val="-6"/>
          <w:vertAlign w:val="baseline"/>
        </w:rPr>
        <w:t> </w:t>
      </w:r>
      <w:r>
        <w:rPr>
          <w:vertAlign w:val="baseline"/>
        </w:rPr>
        <w:t>plural. Fourth,</w:t>
      </w:r>
      <w:r>
        <w:rPr>
          <w:spacing w:val="-4"/>
          <w:vertAlign w:val="baseline"/>
        </w:rPr>
        <w:t> </w:t>
      </w:r>
      <w:r>
        <w:rPr>
          <w:vertAlign w:val="baseline"/>
        </w:rPr>
        <w:t>the</w:t>
      </w:r>
      <w:r>
        <w:rPr>
          <w:spacing w:val="-6"/>
          <w:vertAlign w:val="baseline"/>
        </w:rPr>
        <w:t> </w:t>
      </w:r>
      <w:r>
        <w:rPr>
          <w:vertAlign w:val="baseline"/>
        </w:rPr>
        <w:t>use</w:t>
      </w:r>
      <w:r>
        <w:rPr>
          <w:spacing w:val="-6"/>
          <w:vertAlign w:val="baseline"/>
        </w:rPr>
        <w:t> </w:t>
      </w:r>
      <w:r>
        <w:rPr>
          <w:vertAlign w:val="baseline"/>
        </w:rPr>
        <w:t>of</w:t>
      </w:r>
      <w:r>
        <w:rPr>
          <w:spacing w:val="-12"/>
          <w:vertAlign w:val="baseline"/>
        </w:rPr>
        <w:t> </w:t>
      </w:r>
      <w:r>
        <w:rPr>
          <w:vertAlign w:val="baseline"/>
        </w:rPr>
        <w:t>the</w:t>
      </w:r>
      <w:r>
        <w:rPr>
          <w:spacing w:val="-2"/>
          <w:vertAlign w:val="baseline"/>
        </w:rPr>
        <w:t> </w:t>
      </w:r>
      <w:r>
        <w:rPr>
          <w:vertAlign w:val="baseline"/>
        </w:rPr>
        <w:t>qualifier ―specified‖</w:t>
      </w:r>
      <w:r>
        <w:rPr>
          <w:spacing w:val="-2"/>
          <w:vertAlign w:val="baseline"/>
        </w:rPr>
        <w:t> </w:t>
      </w:r>
      <w:r>
        <w:rPr>
          <w:vertAlign w:val="baseline"/>
        </w:rPr>
        <w:t>suggests that</w:t>
      </w:r>
      <w:r>
        <w:rPr>
          <w:spacing w:val="-1"/>
          <w:vertAlign w:val="baseline"/>
        </w:rPr>
        <w:t> </w:t>
      </w:r>
      <w:r>
        <w:rPr>
          <w:vertAlign w:val="baseline"/>
        </w:rPr>
        <w:t>the</w:t>
      </w:r>
      <w:r>
        <w:rPr>
          <w:spacing w:val="-2"/>
          <w:vertAlign w:val="baseline"/>
        </w:rPr>
        <w:t> </w:t>
      </w:r>
      <w:r>
        <w:rPr>
          <w:vertAlign w:val="baseline"/>
        </w:rPr>
        <w:t>powers</w:t>
      </w:r>
      <w:r>
        <w:rPr>
          <w:spacing w:val="-3"/>
          <w:vertAlign w:val="baseline"/>
        </w:rPr>
        <w:t> </w:t>
      </w:r>
      <w:r>
        <w:rPr>
          <w:vertAlign w:val="baseline"/>
        </w:rPr>
        <w:t>are</w:t>
      </w:r>
      <w:r>
        <w:rPr>
          <w:spacing w:val="-2"/>
          <w:vertAlign w:val="baseline"/>
        </w:rPr>
        <w:t> </w:t>
      </w:r>
      <w:r>
        <w:rPr>
          <w:vertAlign w:val="baseline"/>
        </w:rPr>
        <w:t>contained</w:t>
      </w:r>
      <w:r>
        <w:rPr>
          <w:spacing w:val="-1"/>
          <w:vertAlign w:val="baseline"/>
        </w:rPr>
        <w:t> </w:t>
      </w:r>
      <w:r>
        <w:rPr>
          <w:vertAlign w:val="baseline"/>
        </w:rPr>
        <w:t>somewhere. But</w:t>
      </w:r>
      <w:r>
        <w:rPr>
          <w:spacing w:val="-1"/>
          <w:vertAlign w:val="baseline"/>
        </w:rPr>
        <w:t> </w:t>
      </w:r>
      <w:r>
        <w:rPr>
          <w:vertAlign w:val="baseline"/>
        </w:rPr>
        <w:t>the</w:t>
      </w:r>
      <w:r>
        <w:rPr>
          <w:spacing w:val="-2"/>
          <w:vertAlign w:val="baseline"/>
        </w:rPr>
        <w:t> </w:t>
      </w:r>
      <w:r>
        <w:rPr>
          <w:vertAlign w:val="baseline"/>
        </w:rPr>
        <w:t>provision</w:t>
      </w:r>
      <w:r>
        <w:rPr>
          <w:spacing w:val="-1"/>
          <w:vertAlign w:val="baseline"/>
        </w:rPr>
        <w:t> </w:t>
      </w:r>
      <w:r>
        <w:rPr>
          <w:vertAlign w:val="baseline"/>
        </w:rPr>
        <w:t>neglected</w:t>
      </w:r>
      <w:r>
        <w:rPr>
          <w:spacing w:val="-1"/>
          <w:vertAlign w:val="baseline"/>
        </w:rPr>
        <w:t> </w:t>
      </w:r>
      <w:r>
        <w:rPr>
          <w:vertAlign w:val="baseline"/>
        </w:rPr>
        <w:t>to at least refer to the likely source.</w:t>
      </w:r>
    </w:p>
    <w:p>
      <w:pPr>
        <w:pStyle w:val="BodyText"/>
        <w:spacing w:line="480" w:lineRule="auto" w:before="3"/>
        <w:ind w:right="242" w:firstLine="720"/>
        <w:jc w:val="both"/>
      </w:pPr>
      <w:r>
        <w:rPr/>
        <w:t>The cumulative effect of</w:t>
      </w:r>
      <w:r>
        <w:rPr>
          <w:spacing w:val="-4"/>
        </w:rPr>
        <w:t> </w:t>
      </w:r>
      <w:r>
        <w:rPr/>
        <w:t>these observations is to render the provision unclear. It is hardly</w:t>
      </w:r>
      <w:r>
        <w:rPr>
          <w:spacing w:val="-5"/>
        </w:rPr>
        <w:t> </w:t>
      </w:r>
      <w:r>
        <w:rPr/>
        <w:t>the intention</w:t>
      </w:r>
      <w:r>
        <w:rPr>
          <w:spacing w:val="-5"/>
        </w:rPr>
        <w:t> </w:t>
      </w:r>
      <w:r>
        <w:rPr/>
        <w:t>of</w:t>
      </w:r>
      <w:r>
        <w:rPr>
          <w:spacing w:val="-8"/>
        </w:rPr>
        <w:t> </w:t>
      </w:r>
      <w:r>
        <w:rPr/>
        <w:t>the</w:t>
      </w:r>
      <w:r>
        <w:rPr>
          <w:spacing w:val="-1"/>
        </w:rPr>
        <w:t> </w:t>
      </w:r>
      <w:r>
        <w:rPr/>
        <w:t>drafters</w:t>
      </w:r>
      <w:r>
        <w:rPr>
          <w:spacing w:val="-2"/>
        </w:rPr>
        <w:t> </w:t>
      </w:r>
      <w:r>
        <w:rPr/>
        <w:t>that this</w:t>
      </w:r>
      <w:r>
        <w:rPr>
          <w:spacing w:val="-2"/>
        </w:rPr>
        <w:t> </w:t>
      </w:r>
      <w:r>
        <w:rPr/>
        <w:t>should be</w:t>
      </w:r>
      <w:r>
        <w:rPr>
          <w:spacing w:val="-1"/>
        </w:rPr>
        <w:t> </w:t>
      </w:r>
      <w:r>
        <w:rPr/>
        <w:t>the</w:t>
      </w:r>
      <w:r>
        <w:rPr>
          <w:spacing w:val="-1"/>
        </w:rPr>
        <w:t> </w:t>
      </w:r>
      <w:r>
        <w:rPr/>
        <w:t>case. It is</w:t>
      </w:r>
      <w:r>
        <w:rPr>
          <w:spacing w:val="-2"/>
        </w:rPr>
        <w:t> </w:t>
      </w:r>
      <w:r>
        <w:rPr/>
        <w:t>submitted that, for a director to properly discharge his duties here, the law ought to be clear regarding a critical issue such as ―his powers.‖ It is important that the law here should not be so ambiguous as to be beyond the comprehension of a director of average acumen.</w:t>
      </w:r>
    </w:p>
    <w:p>
      <w:pPr>
        <w:pStyle w:val="BodyText"/>
        <w:spacing w:line="480" w:lineRule="auto" w:before="1"/>
        <w:ind w:right="237" w:firstLine="720"/>
        <w:jc w:val="both"/>
      </w:pPr>
      <w:r>
        <w:rPr/>
        <w:t>One would need to comb through other parts of the CAMA in order to learn of the likely</w:t>
      </w:r>
      <w:r>
        <w:rPr>
          <w:spacing w:val="-5"/>
        </w:rPr>
        <w:t> </w:t>
      </w:r>
      <w:r>
        <w:rPr/>
        <w:t>powers and power sources</w:t>
      </w:r>
      <w:r>
        <w:rPr>
          <w:spacing w:val="-2"/>
        </w:rPr>
        <w:t> </w:t>
      </w:r>
      <w:r>
        <w:rPr/>
        <w:t>of</w:t>
      </w:r>
      <w:r>
        <w:rPr>
          <w:spacing w:val="-3"/>
        </w:rPr>
        <w:t> </w:t>
      </w:r>
      <w:r>
        <w:rPr/>
        <w:t>the director. The combined effect of</w:t>
      </w:r>
      <w:r>
        <w:rPr>
          <w:spacing w:val="-3"/>
        </w:rPr>
        <w:t> </w:t>
      </w:r>
      <w:r>
        <w:rPr/>
        <w:t>s.63(1) and</w:t>
      </w:r>
    </w:p>
    <w:p>
      <w:pPr>
        <w:pStyle w:val="BodyText"/>
        <w:spacing w:before="148"/>
        <w:ind w:left="0"/>
        <w:rPr>
          <w:sz w:val="20"/>
        </w:rPr>
      </w:pPr>
      <w:r>
        <w:rPr/>
        <mc:AlternateContent>
          <mc:Choice Requires="wps">
            <w:drawing>
              <wp:anchor distT="0" distB="0" distL="0" distR="0" allowOverlap="1" layoutInCell="1" locked="0" behindDoc="1" simplePos="0" relativeHeight="487714816">
                <wp:simplePos x="0" y="0"/>
                <wp:positionH relativeFrom="page">
                  <wp:posOffset>1262481</wp:posOffset>
                </wp:positionH>
                <wp:positionV relativeFrom="paragraph">
                  <wp:posOffset>255679</wp:posOffset>
                </wp:positionV>
                <wp:extent cx="1829435" cy="9525"/>
                <wp:effectExtent l="0" t="0" r="0" b="0"/>
                <wp:wrapTopAndBottom/>
                <wp:docPr id="275" name="Graphic 275"/>
                <wp:cNvGraphicFramePr>
                  <a:graphicFrameLocks/>
                </wp:cNvGraphicFramePr>
                <a:graphic>
                  <a:graphicData uri="http://schemas.microsoft.com/office/word/2010/wordprocessingShape">
                    <wps:wsp>
                      <wps:cNvPr id="275" name="Graphic 27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32280pt;width:144.050pt;height:.71997pt;mso-position-horizontal-relative:page;mso-position-vertical-relative:paragraph;z-index:-15601664;mso-wrap-distance-left:0;mso-wrap-distance-right:0" id="docshape230"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26</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s.282(3)</w:t>
      </w:r>
      <w:r>
        <w:rPr>
          <w:rFonts w:ascii="Calibri"/>
          <w:spacing w:val="-5"/>
          <w:sz w:val="20"/>
          <w:vertAlign w:val="baseline"/>
        </w:rPr>
        <w:t> </w:t>
      </w:r>
      <w:r>
        <w:rPr>
          <w:rFonts w:ascii="Calibri"/>
          <w:spacing w:val="-4"/>
          <w:sz w:val="20"/>
          <w:vertAlign w:val="baseline"/>
        </w:rPr>
        <w:t>CAMA.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4"/>
        <w:jc w:val="both"/>
      </w:pPr>
      <w:r>
        <w:rPr/>
        <w:t>(2) is</w:t>
      </w:r>
      <w:r>
        <w:rPr>
          <w:spacing w:val="-3"/>
        </w:rPr>
        <w:t> </w:t>
      </w:r>
      <w:r>
        <w:rPr/>
        <w:t>to</w:t>
      </w:r>
      <w:r>
        <w:rPr>
          <w:spacing w:val="-1"/>
        </w:rPr>
        <w:t> </w:t>
      </w:r>
      <w:r>
        <w:rPr/>
        <w:t>allow</w:t>
      </w:r>
      <w:r>
        <w:rPr>
          <w:spacing w:val="-2"/>
        </w:rPr>
        <w:t> </w:t>
      </w:r>
      <w:r>
        <w:rPr/>
        <w:t>the</w:t>
      </w:r>
      <w:r>
        <w:rPr>
          <w:spacing w:val="-2"/>
        </w:rPr>
        <w:t> </w:t>
      </w:r>
      <w:r>
        <w:rPr/>
        <w:t>articles</w:t>
      </w:r>
      <w:r>
        <w:rPr>
          <w:spacing w:val="-3"/>
        </w:rPr>
        <w:t> </w:t>
      </w:r>
      <w:r>
        <w:rPr/>
        <w:t>to specify</w:t>
      </w:r>
      <w:r>
        <w:rPr>
          <w:spacing w:val="-6"/>
        </w:rPr>
        <w:t> </w:t>
      </w:r>
      <w:r>
        <w:rPr/>
        <w:t>the</w:t>
      </w:r>
      <w:r>
        <w:rPr>
          <w:spacing w:val="-2"/>
        </w:rPr>
        <w:t> </w:t>
      </w:r>
      <w:r>
        <w:rPr/>
        <w:t>powers</w:t>
      </w:r>
      <w:r>
        <w:rPr>
          <w:spacing w:val="-8"/>
        </w:rPr>
        <w:t> </w:t>
      </w:r>
      <w:r>
        <w:rPr/>
        <w:t>of</w:t>
      </w:r>
      <w:r>
        <w:rPr>
          <w:spacing w:val="-4"/>
        </w:rPr>
        <w:t> </w:t>
      </w:r>
      <w:r>
        <w:rPr/>
        <w:t>the</w:t>
      </w:r>
      <w:r>
        <w:rPr>
          <w:spacing w:val="-2"/>
        </w:rPr>
        <w:t> </w:t>
      </w:r>
      <w:r>
        <w:rPr/>
        <w:t>directors</w:t>
      </w:r>
      <w:r>
        <w:rPr>
          <w:spacing w:val="-3"/>
        </w:rPr>
        <w:t> </w:t>
      </w:r>
      <w:r>
        <w:rPr/>
        <w:t>as</w:t>
      </w:r>
      <w:r>
        <w:rPr>
          <w:spacing w:val="-3"/>
        </w:rPr>
        <w:t> </w:t>
      </w:r>
      <w:r>
        <w:rPr/>
        <w:t>a</w:t>
      </w:r>
      <w:r>
        <w:rPr>
          <w:spacing w:val="-2"/>
        </w:rPr>
        <w:t> </w:t>
      </w:r>
      <w:r>
        <w:rPr/>
        <w:t>board, acting for</w:t>
      </w:r>
      <w:r>
        <w:rPr>
          <w:spacing w:val="-4"/>
        </w:rPr>
        <w:t> </w:t>
      </w:r>
      <w:r>
        <w:rPr/>
        <w:t>the company. It can safely be assumed that whatever individual powers the directors have would also be stated in the articles. By s. 63(3), it is clear that the board also exercises the residual powers of the company. The general meeting may come in only in the four instances listed under s. 63(5). Thus, if the general meeting requires the directors to act in a certain way or refrain from doing anything within their powers under the articles, the general meeting would need to go through the cumbersome process of altering the articles to reflect that. It is submitted that this fact and the automatic allocation of residual powers to directors, further subordinates the general meeting to the </w:t>
      </w:r>
      <w:r>
        <w:rPr>
          <w:spacing w:val="-2"/>
        </w:rPr>
        <w:t>management.</w:t>
      </w:r>
    </w:p>
    <w:p>
      <w:pPr>
        <w:pStyle w:val="BodyText"/>
        <w:spacing w:line="480" w:lineRule="auto" w:before="2"/>
        <w:ind w:right="224" w:firstLine="720"/>
        <w:jc w:val="both"/>
      </w:pPr>
      <w:r>
        <w:rPr/>
        <w:t>Evidently, s.171 of</w:t>
      </w:r>
      <w:r>
        <w:rPr>
          <w:spacing w:val="-7"/>
        </w:rPr>
        <w:t> </w:t>
      </w:r>
      <w:r>
        <w:rPr/>
        <w:t>the CA is comparatively</w:t>
      </w:r>
      <w:r>
        <w:rPr>
          <w:spacing w:val="-4"/>
        </w:rPr>
        <w:t> </w:t>
      </w:r>
      <w:r>
        <w:rPr/>
        <w:t>the better provision</w:t>
      </w:r>
      <w:r>
        <w:rPr>
          <w:spacing w:val="-4"/>
        </w:rPr>
        <w:t> </w:t>
      </w:r>
      <w:r>
        <w:rPr/>
        <w:t>over s.279(5) of the</w:t>
      </w:r>
      <w:r>
        <w:rPr>
          <w:spacing w:val="80"/>
        </w:rPr>
        <w:t> </w:t>
      </w:r>
      <w:r>
        <w:rPr/>
        <w:t>CAMA for obvious reasons. First, the former provision is straightforward and hardly needs any further clarification. Second, the CA rightly recognizes that the</w:t>
      </w:r>
      <w:r>
        <w:rPr>
          <w:spacing w:val="80"/>
        </w:rPr>
        <w:t> </w:t>
      </w:r>
      <w:r>
        <w:rPr/>
        <w:t>powers</w:t>
      </w:r>
      <w:r>
        <w:rPr>
          <w:spacing w:val="-7"/>
        </w:rPr>
        <w:t> </w:t>
      </w:r>
      <w:r>
        <w:rPr/>
        <w:t>to be</w:t>
      </w:r>
      <w:r>
        <w:rPr>
          <w:spacing w:val="-1"/>
        </w:rPr>
        <w:t> </w:t>
      </w:r>
      <w:r>
        <w:rPr/>
        <w:t>exercised by</w:t>
      </w:r>
      <w:r>
        <w:rPr>
          <w:spacing w:val="-5"/>
        </w:rPr>
        <w:t> </w:t>
      </w:r>
      <w:r>
        <w:rPr/>
        <w:t>the</w:t>
      </w:r>
      <w:r>
        <w:rPr>
          <w:spacing w:val="-1"/>
        </w:rPr>
        <w:t> </w:t>
      </w:r>
      <w:r>
        <w:rPr/>
        <w:t>director are</w:t>
      </w:r>
      <w:r>
        <w:rPr>
          <w:spacing w:val="-6"/>
        </w:rPr>
        <w:t> </w:t>
      </w:r>
      <w:r>
        <w:rPr/>
        <w:t>those</w:t>
      </w:r>
      <w:r>
        <w:rPr>
          <w:spacing w:val="-6"/>
        </w:rPr>
        <w:t> </w:t>
      </w:r>
      <w:r>
        <w:rPr/>
        <w:t>of</w:t>
      </w:r>
      <w:r>
        <w:rPr>
          <w:spacing w:val="-3"/>
        </w:rPr>
        <w:t> </w:t>
      </w:r>
      <w:r>
        <w:rPr/>
        <w:t>the</w:t>
      </w:r>
      <w:r>
        <w:rPr>
          <w:spacing w:val="-1"/>
        </w:rPr>
        <w:t> </w:t>
      </w:r>
      <w:r>
        <w:rPr/>
        <w:t>company. Importantly, the</w:t>
      </w:r>
      <w:r>
        <w:rPr>
          <w:spacing w:val="-1"/>
        </w:rPr>
        <w:t> </w:t>
      </w:r>
      <w:r>
        <w:rPr/>
        <w:t>source of the powers has been identified as the company‘s constitution, while the constituents of the constitution have been properly stated. A significant aspect of these constituents</w:t>
      </w:r>
      <w:r>
        <w:rPr>
          <w:spacing w:val="40"/>
        </w:rPr>
        <w:t> </w:t>
      </w:r>
      <w:r>
        <w:rPr/>
        <w:t>is the resolution of the general meeting. It is submitted that this power of the general meeting better provides the much needed check to the powers</w:t>
      </w:r>
      <w:r>
        <w:rPr>
          <w:spacing w:val="-1"/>
        </w:rPr>
        <w:t> </w:t>
      </w:r>
      <w:r>
        <w:rPr/>
        <w:t>of the directors.</w:t>
      </w:r>
    </w:p>
    <w:p>
      <w:pPr>
        <w:pStyle w:val="BodyText"/>
        <w:spacing w:line="480" w:lineRule="auto" w:before="1"/>
        <w:ind w:right="229" w:firstLine="720"/>
        <w:jc w:val="both"/>
      </w:pPr>
      <w:r>
        <w:rPr/>
        <w:t>Thus, although upon proper interpretation, both provisions are interpreted substantially the same way in practice—having both recognized the articles as the primary</w:t>
      </w:r>
      <w:r>
        <w:rPr>
          <w:spacing w:val="-10"/>
        </w:rPr>
        <w:t> </w:t>
      </w:r>
      <w:r>
        <w:rPr/>
        <w:t>source</w:t>
      </w:r>
      <w:r>
        <w:rPr>
          <w:spacing w:val="-2"/>
        </w:rPr>
        <w:t> </w:t>
      </w:r>
      <w:r>
        <w:rPr/>
        <w:t>of</w:t>
      </w:r>
      <w:r>
        <w:rPr>
          <w:spacing w:val="-9"/>
        </w:rPr>
        <w:t> </w:t>
      </w:r>
      <w:r>
        <w:rPr/>
        <w:t>the</w:t>
      </w:r>
      <w:r>
        <w:rPr>
          <w:spacing w:val="-2"/>
        </w:rPr>
        <w:t> </w:t>
      </w:r>
      <w:r>
        <w:rPr/>
        <w:t>directors‘</w:t>
      </w:r>
      <w:r>
        <w:rPr>
          <w:spacing w:val="-4"/>
        </w:rPr>
        <w:t> </w:t>
      </w:r>
      <w:r>
        <w:rPr/>
        <w:t>powers—still, s.279(5) would</w:t>
      </w:r>
      <w:r>
        <w:rPr>
          <w:spacing w:val="-1"/>
        </w:rPr>
        <w:t> </w:t>
      </w:r>
      <w:r>
        <w:rPr/>
        <w:t>have</w:t>
      </w:r>
      <w:r>
        <w:rPr>
          <w:spacing w:val="-2"/>
        </w:rPr>
        <w:t> </w:t>
      </w:r>
      <w:r>
        <w:rPr/>
        <w:t>to be</w:t>
      </w:r>
      <w:r>
        <w:rPr>
          <w:spacing w:val="-2"/>
        </w:rPr>
        <w:t> </w:t>
      </w:r>
      <w:r>
        <w:rPr/>
        <w:t>redrafted if</w:t>
      </w:r>
      <w:r>
        <w:rPr>
          <w:spacing w:val="-9"/>
        </w:rPr>
        <w:t> </w:t>
      </w:r>
      <w:r>
        <w:rPr/>
        <w:t>the law therein is to make proper sense. Adopting the tenor of s.171 of the CA will not do without first recognizing the</w:t>
      </w:r>
      <w:r>
        <w:rPr>
          <w:spacing w:val="-1"/>
        </w:rPr>
        <w:t> </w:t>
      </w:r>
      <w:r>
        <w:rPr/>
        <w:t>resolution</w:t>
      </w:r>
      <w:r>
        <w:rPr>
          <w:spacing w:val="-5"/>
        </w:rPr>
        <w:t> </w:t>
      </w:r>
      <w:r>
        <w:rPr/>
        <w:t>of</w:t>
      </w:r>
      <w:r>
        <w:rPr>
          <w:spacing w:val="-3"/>
        </w:rPr>
        <w:t> </w:t>
      </w:r>
      <w:r>
        <w:rPr/>
        <w:t>members</w:t>
      </w:r>
      <w:r>
        <w:rPr>
          <w:spacing w:val="-2"/>
        </w:rPr>
        <w:t> </w:t>
      </w:r>
      <w:r>
        <w:rPr/>
        <w:t>as</w:t>
      </w:r>
      <w:r>
        <w:rPr>
          <w:spacing w:val="-2"/>
        </w:rPr>
        <w:t> </w:t>
      </w:r>
      <w:r>
        <w:rPr/>
        <w:t>a</w:t>
      </w:r>
      <w:r>
        <w:rPr>
          <w:spacing w:val="-1"/>
        </w:rPr>
        <w:t> </w:t>
      </w:r>
      <w:r>
        <w:rPr/>
        <w:t>potential</w:t>
      </w:r>
      <w:r>
        <w:rPr>
          <w:spacing w:val="-5"/>
        </w:rPr>
        <w:t> </w:t>
      </w:r>
      <w:r>
        <w:rPr/>
        <w:t>source</w:t>
      </w:r>
      <w:r>
        <w:rPr>
          <w:spacing w:val="-1"/>
        </w:rPr>
        <w:t> </w:t>
      </w:r>
      <w:r>
        <w:rPr/>
        <w:t>of power</w:t>
      </w:r>
      <w:r>
        <w:rPr>
          <w:spacing w:val="-3"/>
        </w:rPr>
        <w:t> </w:t>
      </w:r>
      <w:r>
        <w:rPr/>
        <w:t>of</w:t>
      </w:r>
      <w:r>
        <w:rPr>
          <w:spacing w:val="-8"/>
        </w:rPr>
        <w:t> </w:t>
      </w:r>
      <w:r>
        <w:rPr/>
        <w:t>the directors. However, even without this, the law can still be</w:t>
      </w:r>
      <w:r>
        <w:rPr>
          <w:spacing w:val="-1"/>
        </w:rPr>
        <w:t> </w:t>
      </w:r>
      <w:r>
        <w:rPr/>
        <w:t>redrafted to accommodate</w:t>
      </w:r>
      <w:r>
        <w:rPr>
          <w:spacing w:val="-1"/>
        </w:rPr>
        <w:t> </w:t>
      </w:r>
      <w:r>
        <w:rPr/>
        <w:t>the </w:t>
      </w:r>
      <w:r>
        <w:rPr>
          <w:spacing w:val="-2"/>
        </w:rPr>
        <w:t>articles.</w:t>
      </w:r>
    </w:p>
    <w:p>
      <w:pPr>
        <w:spacing w:after="0" w:line="480" w:lineRule="auto"/>
        <w:jc w:val="both"/>
        <w:sectPr>
          <w:pgSz w:w="11910" w:h="16840"/>
          <w:pgMar w:header="0" w:footer="1003" w:top="1320" w:bottom="1200" w:left="1680" w:right="1180"/>
        </w:sectPr>
      </w:pPr>
    </w:p>
    <w:p>
      <w:pPr>
        <w:pStyle w:val="Heading2"/>
        <w:numPr>
          <w:ilvl w:val="2"/>
          <w:numId w:val="20"/>
        </w:numPr>
        <w:tabs>
          <w:tab w:pos="1027" w:val="left" w:leader="none"/>
        </w:tabs>
        <w:spacing w:line="240" w:lineRule="auto" w:before="74" w:after="0"/>
        <w:ind w:left="1027" w:right="0" w:hanging="719"/>
        <w:jc w:val="both"/>
      </w:pPr>
      <w:bookmarkStart w:name="_TOC_250009" w:id="43"/>
      <w:r>
        <w:rPr/>
        <w:t>Duty to</w:t>
      </w:r>
      <w:r>
        <w:rPr>
          <w:spacing w:val="-4"/>
        </w:rPr>
        <w:t> </w:t>
      </w:r>
      <w:r>
        <w:rPr/>
        <w:t>Promote</w:t>
      </w:r>
      <w:r>
        <w:rPr>
          <w:spacing w:val="-1"/>
        </w:rPr>
        <w:t> </w:t>
      </w:r>
      <w:r>
        <w:rPr/>
        <w:t>the Success</w:t>
      </w:r>
      <w:r>
        <w:rPr>
          <w:spacing w:val="-2"/>
        </w:rPr>
        <w:t> </w:t>
      </w:r>
      <w:r>
        <w:rPr/>
        <w:t>of</w:t>
      </w:r>
      <w:r>
        <w:rPr>
          <w:spacing w:val="-2"/>
        </w:rPr>
        <w:t> </w:t>
      </w:r>
      <w:r>
        <w:rPr/>
        <w:t>the </w:t>
      </w:r>
      <w:bookmarkEnd w:id="43"/>
      <w:r>
        <w:rPr>
          <w:spacing w:val="-2"/>
        </w:rPr>
        <w:t>Company</w:t>
      </w:r>
    </w:p>
    <w:p>
      <w:pPr>
        <w:pStyle w:val="BodyText"/>
        <w:spacing w:line="480" w:lineRule="auto" w:before="137"/>
        <w:ind w:right="230"/>
        <w:jc w:val="both"/>
      </w:pPr>
      <w:r>
        <w:rPr/>
        <w:t>This duty is perhaps the most controversial of the duties of directors codified in the CA.</w:t>
      </w:r>
      <w:r>
        <w:rPr>
          <w:vertAlign w:val="superscript"/>
        </w:rPr>
        <w:t>27</w:t>
      </w:r>
      <w:r>
        <w:rPr>
          <w:vertAlign w:val="baseline"/>
        </w:rPr>
        <w:t> From</w:t>
      </w:r>
      <w:r>
        <w:rPr>
          <w:spacing w:val="-9"/>
          <w:vertAlign w:val="baseline"/>
        </w:rPr>
        <w:t> </w:t>
      </w:r>
      <w:r>
        <w:rPr>
          <w:vertAlign w:val="baseline"/>
        </w:rPr>
        <w:t>parliamentary</w:t>
      </w:r>
      <w:r>
        <w:rPr>
          <w:spacing w:val="-10"/>
          <w:vertAlign w:val="baseline"/>
        </w:rPr>
        <w:t> </w:t>
      </w:r>
      <w:r>
        <w:rPr>
          <w:vertAlign w:val="baseline"/>
        </w:rPr>
        <w:t>debate</w:t>
      </w:r>
      <w:r>
        <w:rPr>
          <w:spacing w:val="-2"/>
          <w:vertAlign w:val="baseline"/>
        </w:rPr>
        <w:t> </w:t>
      </w:r>
      <w:r>
        <w:rPr>
          <w:vertAlign w:val="baseline"/>
        </w:rPr>
        <w:t>to enactment, it raised</w:t>
      </w:r>
      <w:r>
        <w:rPr>
          <w:spacing w:val="-1"/>
          <w:vertAlign w:val="baseline"/>
        </w:rPr>
        <w:t> </w:t>
      </w:r>
      <w:r>
        <w:rPr>
          <w:vertAlign w:val="baseline"/>
        </w:rPr>
        <w:t>several</w:t>
      </w:r>
      <w:r>
        <w:rPr>
          <w:spacing w:val="-5"/>
          <w:vertAlign w:val="baseline"/>
        </w:rPr>
        <w:t> </w:t>
      </w:r>
      <w:r>
        <w:rPr>
          <w:vertAlign w:val="baseline"/>
        </w:rPr>
        <w:t>questions, including</w:t>
      </w:r>
      <w:r>
        <w:rPr>
          <w:spacing w:val="-1"/>
          <w:vertAlign w:val="baseline"/>
        </w:rPr>
        <w:t> </w:t>
      </w:r>
      <w:r>
        <w:rPr>
          <w:vertAlign w:val="baseline"/>
        </w:rPr>
        <w:t>the meaning of success, the extent to which the interests of other groups outside of members, can be favoured, and importantly, the matter of its enforceability. In the end, theCompany Law Review Steering Group (CLRSG), which was saddled with the responsibility of making proposals for the new legislation, went ahead to introduce the novel concept of enlightened shareholder value (ESV), which is neither based on shareholder primacy nor the stakeholder principles,</w:t>
      </w:r>
      <w:r>
        <w:rPr>
          <w:vertAlign w:val="superscript"/>
        </w:rPr>
        <w:t>28</w:t>
      </w:r>
      <w:r>
        <w:rPr>
          <w:vertAlign w:val="baseline"/>
        </w:rPr>
        <w:t> but adopts aspects of both. S. 172 provides, inter alia, that</w:t>
      </w:r>
    </w:p>
    <w:p>
      <w:pPr>
        <w:pStyle w:val="ListParagraph"/>
        <w:numPr>
          <w:ilvl w:val="3"/>
          <w:numId w:val="15"/>
        </w:numPr>
        <w:tabs>
          <w:tab w:pos="2293" w:val="left" w:leader="none"/>
          <w:tab w:pos="2295" w:val="left" w:leader="none"/>
        </w:tabs>
        <w:spacing w:line="240" w:lineRule="auto" w:before="2" w:after="0"/>
        <w:ind w:left="2295" w:right="1880" w:hanging="288"/>
        <w:jc w:val="both"/>
        <w:rPr>
          <w:i/>
          <w:sz w:val="24"/>
        </w:rPr>
      </w:pPr>
      <w:r>
        <w:rPr>
          <w:i/>
          <w:sz w:val="24"/>
        </w:rPr>
        <w:t>A director of a company must act in the way he considers, in good faith, would be most likely to promote the success of the company for </w:t>
      </w:r>
      <w:r>
        <w:rPr>
          <w:i/>
          <w:sz w:val="24"/>
        </w:rPr>
        <w:t>the</w:t>
      </w:r>
      <w:r>
        <w:rPr>
          <w:i/>
          <w:spacing w:val="80"/>
          <w:sz w:val="24"/>
        </w:rPr>
        <w:t> </w:t>
      </w:r>
      <w:r>
        <w:rPr>
          <w:i/>
          <w:sz w:val="24"/>
        </w:rPr>
        <w:t>benefit of its members as a whole, and in doing so have regard (amongst other matters) to—</w:t>
      </w:r>
    </w:p>
    <w:p>
      <w:pPr>
        <w:pStyle w:val="ListParagraph"/>
        <w:numPr>
          <w:ilvl w:val="0"/>
          <w:numId w:val="21"/>
        </w:numPr>
        <w:tabs>
          <w:tab w:pos="2295" w:val="left" w:leader="none"/>
          <w:tab w:pos="2350" w:val="left" w:leader="none"/>
        </w:tabs>
        <w:spacing w:line="242" w:lineRule="auto" w:before="0" w:after="0"/>
        <w:ind w:left="2295" w:right="1881" w:hanging="288"/>
        <w:jc w:val="both"/>
        <w:rPr>
          <w:i/>
          <w:sz w:val="24"/>
        </w:rPr>
      </w:pPr>
      <w:r>
        <w:rPr>
          <w:i/>
          <w:sz w:val="24"/>
        </w:rPr>
        <w:tab/>
        <w:t>the likely consequences of any decision in the</w:t>
      </w:r>
      <w:r>
        <w:rPr>
          <w:i/>
          <w:spacing w:val="40"/>
          <w:sz w:val="24"/>
        </w:rPr>
        <w:t> </w:t>
      </w:r>
      <w:r>
        <w:rPr>
          <w:i/>
          <w:sz w:val="24"/>
        </w:rPr>
        <w:t>long term,</w:t>
      </w:r>
    </w:p>
    <w:p>
      <w:pPr>
        <w:pStyle w:val="ListParagraph"/>
        <w:numPr>
          <w:ilvl w:val="0"/>
          <w:numId w:val="21"/>
        </w:numPr>
        <w:tabs>
          <w:tab w:pos="2355" w:val="left" w:leader="none"/>
        </w:tabs>
        <w:spacing w:line="271" w:lineRule="exact" w:before="0" w:after="0"/>
        <w:ind w:left="2355" w:right="0" w:hanging="348"/>
        <w:jc w:val="both"/>
        <w:rPr>
          <w:i/>
          <w:sz w:val="24"/>
        </w:rPr>
      </w:pPr>
      <w:r>
        <w:rPr>
          <w:i/>
          <w:sz w:val="24"/>
        </w:rPr>
        <w:t>the</w:t>
      </w:r>
      <w:r>
        <w:rPr>
          <w:i/>
          <w:spacing w:val="-2"/>
          <w:sz w:val="24"/>
        </w:rPr>
        <w:t> </w:t>
      </w:r>
      <w:r>
        <w:rPr>
          <w:i/>
          <w:sz w:val="24"/>
        </w:rPr>
        <w:t>interests</w:t>
      </w:r>
      <w:r>
        <w:rPr>
          <w:i/>
          <w:spacing w:val="-2"/>
          <w:sz w:val="24"/>
        </w:rPr>
        <w:t> </w:t>
      </w:r>
      <w:r>
        <w:rPr>
          <w:i/>
          <w:sz w:val="24"/>
        </w:rPr>
        <w:t>of the</w:t>
      </w:r>
      <w:r>
        <w:rPr>
          <w:i/>
          <w:spacing w:val="-1"/>
          <w:sz w:val="24"/>
        </w:rPr>
        <w:t> </w:t>
      </w:r>
      <w:r>
        <w:rPr>
          <w:i/>
          <w:sz w:val="24"/>
        </w:rPr>
        <w:t>company‘s</w:t>
      </w:r>
      <w:r>
        <w:rPr>
          <w:i/>
          <w:spacing w:val="-3"/>
          <w:sz w:val="24"/>
        </w:rPr>
        <w:t> </w:t>
      </w:r>
      <w:r>
        <w:rPr>
          <w:i/>
          <w:spacing w:val="-2"/>
          <w:sz w:val="24"/>
        </w:rPr>
        <w:t>employees,</w:t>
      </w:r>
    </w:p>
    <w:p>
      <w:pPr>
        <w:pStyle w:val="ListParagraph"/>
        <w:numPr>
          <w:ilvl w:val="0"/>
          <w:numId w:val="21"/>
        </w:numPr>
        <w:tabs>
          <w:tab w:pos="2295" w:val="left" w:leader="none"/>
          <w:tab w:pos="2351" w:val="left" w:leader="none"/>
        </w:tabs>
        <w:spacing w:line="240" w:lineRule="auto" w:before="1" w:after="0"/>
        <w:ind w:left="2295" w:right="1887" w:hanging="288"/>
        <w:jc w:val="both"/>
        <w:rPr>
          <w:i/>
          <w:sz w:val="24"/>
        </w:rPr>
      </w:pPr>
      <w:r>
        <w:rPr>
          <w:i/>
          <w:sz w:val="24"/>
        </w:rPr>
        <w:tab/>
        <w:t>the need to foster the company‘s business relationships with suppliers, customers and</w:t>
      </w:r>
      <w:r>
        <w:rPr>
          <w:i/>
          <w:spacing w:val="40"/>
          <w:sz w:val="24"/>
        </w:rPr>
        <w:t> </w:t>
      </w:r>
      <w:r>
        <w:rPr>
          <w:i/>
          <w:spacing w:val="-2"/>
          <w:sz w:val="24"/>
        </w:rPr>
        <w:t>others,</w:t>
      </w:r>
    </w:p>
    <w:p>
      <w:pPr>
        <w:pStyle w:val="ListParagraph"/>
        <w:numPr>
          <w:ilvl w:val="0"/>
          <w:numId w:val="21"/>
        </w:numPr>
        <w:tabs>
          <w:tab w:pos="2295" w:val="left" w:leader="none"/>
          <w:tab w:pos="2351" w:val="left" w:leader="none"/>
        </w:tabs>
        <w:spacing w:line="242" w:lineRule="auto" w:before="0" w:after="0"/>
        <w:ind w:left="2295" w:right="1890" w:hanging="288"/>
        <w:jc w:val="both"/>
        <w:rPr>
          <w:i/>
          <w:sz w:val="24"/>
        </w:rPr>
      </w:pPr>
      <w:r>
        <w:rPr>
          <w:i/>
          <w:sz w:val="24"/>
        </w:rPr>
        <w:tab/>
        <w:t>the impact of the company‘s operations on the community and the environment,</w:t>
      </w:r>
    </w:p>
    <w:p>
      <w:pPr>
        <w:pStyle w:val="ListParagraph"/>
        <w:numPr>
          <w:ilvl w:val="0"/>
          <w:numId w:val="21"/>
        </w:numPr>
        <w:tabs>
          <w:tab w:pos="2293" w:val="left" w:leader="none"/>
          <w:tab w:pos="2295" w:val="left" w:leader="none"/>
        </w:tabs>
        <w:spacing w:line="240" w:lineRule="auto" w:before="0" w:after="0"/>
        <w:ind w:left="2295" w:right="1881" w:hanging="288"/>
        <w:jc w:val="both"/>
        <w:rPr>
          <w:i/>
          <w:sz w:val="24"/>
        </w:rPr>
      </w:pPr>
      <w:r>
        <w:rPr>
          <w:i/>
          <w:sz w:val="24"/>
        </w:rPr>
        <w:t>the desirability of the company maintaining a reputation for</w:t>
      </w:r>
      <w:r>
        <w:rPr>
          <w:i/>
          <w:spacing w:val="-1"/>
          <w:sz w:val="24"/>
        </w:rPr>
        <w:t> </w:t>
      </w:r>
      <w:r>
        <w:rPr>
          <w:i/>
          <w:sz w:val="24"/>
        </w:rPr>
        <w:t>high</w:t>
      </w:r>
      <w:r>
        <w:rPr>
          <w:i/>
          <w:spacing w:val="-3"/>
          <w:sz w:val="24"/>
        </w:rPr>
        <w:t> </w:t>
      </w:r>
      <w:r>
        <w:rPr>
          <w:i/>
          <w:sz w:val="24"/>
        </w:rPr>
        <w:t>standards</w:t>
      </w:r>
      <w:r>
        <w:rPr>
          <w:i/>
          <w:spacing w:val="-1"/>
          <w:sz w:val="24"/>
        </w:rPr>
        <w:t> </w:t>
      </w:r>
      <w:r>
        <w:rPr>
          <w:i/>
          <w:sz w:val="24"/>
        </w:rPr>
        <w:t>of business</w:t>
      </w:r>
      <w:r>
        <w:rPr>
          <w:i/>
          <w:spacing w:val="-1"/>
          <w:sz w:val="24"/>
        </w:rPr>
        <w:t> </w:t>
      </w:r>
      <w:r>
        <w:rPr>
          <w:i/>
          <w:sz w:val="24"/>
        </w:rPr>
        <w:t>conduct, </w:t>
      </w:r>
      <w:r>
        <w:rPr>
          <w:i/>
          <w:spacing w:val="-4"/>
          <w:sz w:val="24"/>
        </w:rPr>
        <w:t>and</w:t>
      </w:r>
    </w:p>
    <w:p>
      <w:pPr>
        <w:pStyle w:val="ListParagraph"/>
        <w:numPr>
          <w:ilvl w:val="0"/>
          <w:numId w:val="21"/>
        </w:numPr>
        <w:tabs>
          <w:tab w:pos="2293" w:val="left" w:leader="none"/>
          <w:tab w:pos="2295" w:val="left" w:leader="none"/>
        </w:tabs>
        <w:spacing w:line="242" w:lineRule="auto" w:before="0" w:after="0"/>
        <w:ind w:left="2295" w:right="1886" w:hanging="288"/>
        <w:jc w:val="both"/>
        <w:rPr>
          <w:sz w:val="24"/>
        </w:rPr>
      </w:pPr>
      <w:r>
        <w:rPr>
          <w:i/>
          <w:sz w:val="24"/>
        </w:rPr>
        <w:t>the need to act fairly as between members of the </w:t>
      </w:r>
      <w:r>
        <w:rPr>
          <w:i/>
          <w:spacing w:val="-2"/>
          <w:sz w:val="24"/>
        </w:rPr>
        <w:t>company.</w:t>
      </w:r>
    </w:p>
    <w:p>
      <w:pPr>
        <w:pStyle w:val="BodyText"/>
        <w:spacing w:line="480" w:lineRule="auto" w:before="264"/>
        <w:ind w:right="225"/>
        <w:jc w:val="both"/>
      </w:pPr>
      <w:r>
        <w:rPr/>
        <w:t>The premise upon which the CLRSG proposed a section like 172 was that―the state of directors‘ duties at common law are often regarded as leading to directors having an undue</w:t>
      </w:r>
      <w:r>
        <w:rPr>
          <w:spacing w:val="27"/>
        </w:rPr>
        <w:t> </w:t>
      </w:r>
      <w:r>
        <w:rPr/>
        <w:t>focus</w:t>
      </w:r>
      <w:r>
        <w:rPr>
          <w:spacing w:val="23"/>
        </w:rPr>
        <w:t> </w:t>
      </w:r>
      <w:r>
        <w:rPr/>
        <w:t>on</w:t>
      </w:r>
      <w:r>
        <w:rPr>
          <w:spacing w:val="20"/>
        </w:rPr>
        <w:t> </w:t>
      </w:r>
      <w:r>
        <w:rPr/>
        <w:t>the</w:t>
      </w:r>
      <w:r>
        <w:rPr>
          <w:spacing w:val="29"/>
        </w:rPr>
        <w:t> </w:t>
      </w:r>
      <w:r>
        <w:rPr/>
        <w:t>short-term</w:t>
      </w:r>
      <w:r>
        <w:rPr>
          <w:spacing w:val="16"/>
        </w:rPr>
        <w:t> </w:t>
      </w:r>
      <w:r>
        <w:rPr/>
        <w:t>and</w:t>
      </w:r>
      <w:r>
        <w:rPr>
          <w:spacing w:val="25"/>
        </w:rPr>
        <w:t> </w:t>
      </w:r>
      <w:r>
        <w:rPr/>
        <w:t>the</w:t>
      </w:r>
      <w:r>
        <w:rPr>
          <w:spacing w:val="34"/>
        </w:rPr>
        <w:t> </w:t>
      </w:r>
      <w:r>
        <w:rPr/>
        <w:t>narrow</w:t>
      </w:r>
      <w:r>
        <w:rPr>
          <w:spacing w:val="24"/>
        </w:rPr>
        <w:t> </w:t>
      </w:r>
      <w:r>
        <w:rPr/>
        <w:t>interests</w:t>
      </w:r>
      <w:r>
        <w:rPr>
          <w:spacing w:val="23"/>
        </w:rPr>
        <w:t> </w:t>
      </w:r>
      <w:r>
        <w:rPr/>
        <w:t>of</w:t>
      </w:r>
      <w:r>
        <w:rPr>
          <w:spacing w:val="22"/>
        </w:rPr>
        <w:t> </w:t>
      </w:r>
      <w:r>
        <w:rPr/>
        <w:t>members</w:t>
      </w:r>
      <w:r>
        <w:rPr>
          <w:spacing w:val="27"/>
        </w:rPr>
        <w:t> </w:t>
      </w:r>
      <w:r>
        <w:rPr/>
        <w:t>at</w:t>
      </w:r>
      <w:r>
        <w:rPr>
          <w:spacing w:val="30"/>
        </w:rPr>
        <w:t> </w:t>
      </w:r>
      <w:r>
        <w:rPr/>
        <w:t>the</w:t>
      </w:r>
      <w:r>
        <w:rPr>
          <w:spacing w:val="24"/>
        </w:rPr>
        <w:t> </w:t>
      </w:r>
      <w:r>
        <w:rPr/>
        <w:t>expense</w:t>
      </w:r>
      <w:r>
        <w:rPr>
          <w:spacing w:val="25"/>
        </w:rPr>
        <w:t> </w:t>
      </w:r>
      <w:r>
        <w:rPr>
          <w:spacing w:val="-5"/>
        </w:rPr>
        <w:t>of</w:t>
      </w:r>
    </w:p>
    <w:p>
      <w:pPr>
        <w:pStyle w:val="BodyText"/>
        <w:ind w:left="0"/>
        <w:rPr>
          <w:sz w:val="20"/>
        </w:rPr>
      </w:pPr>
    </w:p>
    <w:p>
      <w:pPr>
        <w:pStyle w:val="BodyText"/>
        <w:ind w:left="0"/>
        <w:rPr>
          <w:sz w:val="20"/>
        </w:rPr>
      </w:pPr>
    </w:p>
    <w:p>
      <w:pPr>
        <w:pStyle w:val="BodyText"/>
        <w:spacing w:before="163"/>
        <w:ind w:left="0"/>
        <w:rPr>
          <w:sz w:val="20"/>
        </w:rPr>
      </w:pPr>
      <w:r>
        <w:rPr/>
        <mc:AlternateContent>
          <mc:Choice Requires="wps">
            <w:drawing>
              <wp:anchor distT="0" distB="0" distL="0" distR="0" allowOverlap="1" layoutInCell="1" locked="0" behindDoc="1" simplePos="0" relativeHeight="487715328">
                <wp:simplePos x="0" y="0"/>
                <wp:positionH relativeFrom="page">
                  <wp:posOffset>1262481</wp:posOffset>
                </wp:positionH>
                <wp:positionV relativeFrom="paragraph">
                  <wp:posOffset>265405</wp:posOffset>
                </wp:positionV>
                <wp:extent cx="1829435" cy="9525"/>
                <wp:effectExtent l="0" t="0" r="0" b="0"/>
                <wp:wrapTopAndBottom/>
                <wp:docPr id="276" name="Graphic 276"/>
                <wp:cNvGraphicFramePr>
                  <a:graphicFrameLocks/>
                </wp:cNvGraphicFramePr>
                <a:graphic>
                  <a:graphicData uri="http://schemas.microsoft.com/office/word/2010/wordprocessingShape">
                    <wps:wsp>
                      <wps:cNvPr id="276" name="Graphic 27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898071pt;width:144.050pt;height:.71997pt;mso-position-horizontal-relative:page;mso-position-vertical-relative:paragraph;z-index:-15601152;mso-wrap-distance-left:0;mso-wrap-distance-right:0" id="docshape231"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27</w:t>
      </w:r>
      <w:r>
        <w:rPr>
          <w:rFonts w:ascii="Calibri"/>
          <w:sz w:val="20"/>
          <w:vertAlign w:val="baseline"/>
        </w:rPr>
        <w:t> Refer</w:t>
      </w:r>
      <w:r>
        <w:rPr>
          <w:rFonts w:ascii="Calibri"/>
          <w:spacing w:val="-4"/>
          <w:sz w:val="20"/>
          <w:vertAlign w:val="baseline"/>
        </w:rPr>
        <w:t> </w:t>
      </w:r>
      <w:r>
        <w:rPr>
          <w:rFonts w:ascii="Calibri"/>
          <w:sz w:val="20"/>
          <w:vertAlign w:val="baseline"/>
        </w:rPr>
        <w:t>to</w:t>
      </w:r>
      <w:r>
        <w:rPr>
          <w:rFonts w:ascii="Calibri"/>
          <w:spacing w:val="-6"/>
          <w:sz w:val="20"/>
          <w:vertAlign w:val="baseline"/>
        </w:rPr>
        <w:t> </w:t>
      </w:r>
      <w:r>
        <w:rPr>
          <w:rFonts w:ascii="Calibri"/>
          <w:b/>
          <w:sz w:val="20"/>
          <w:vertAlign w:val="baseline"/>
        </w:rPr>
        <w:t>4.2.3</w:t>
      </w:r>
      <w:r>
        <w:rPr>
          <w:rFonts w:ascii="Calibri"/>
          <w:b/>
          <w:spacing w:val="-3"/>
          <w:sz w:val="20"/>
          <w:vertAlign w:val="baseline"/>
        </w:rPr>
        <w:t> </w:t>
      </w:r>
      <w:r>
        <w:rPr>
          <w:rFonts w:ascii="Calibri"/>
          <w:sz w:val="20"/>
          <w:vertAlign w:val="baseline"/>
        </w:rPr>
        <w:t>supra</w:t>
      </w:r>
      <w:r>
        <w:rPr>
          <w:rFonts w:ascii="Calibri"/>
          <w:spacing w:val="-6"/>
          <w:sz w:val="20"/>
          <w:vertAlign w:val="baseline"/>
        </w:rPr>
        <w:t> </w:t>
      </w:r>
      <w:r>
        <w:rPr>
          <w:rFonts w:ascii="Calibri"/>
          <w:sz w:val="20"/>
          <w:vertAlign w:val="baseline"/>
        </w:rPr>
        <w:t>for</w:t>
      </w:r>
      <w:r>
        <w:rPr>
          <w:rFonts w:ascii="Calibri"/>
          <w:spacing w:val="-8"/>
          <w:sz w:val="20"/>
          <w:vertAlign w:val="baseline"/>
        </w:rPr>
        <w:t> </w:t>
      </w:r>
      <w:r>
        <w:rPr>
          <w:rFonts w:ascii="Calibri"/>
          <w:sz w:val="20"/>
          <w:vertAlign w:val="baseline"/>
        </w:rPr>
        <w:t>more</w:t>
      </w:r>
      <w:r>
        <w:rPr>
          <w:rFonts w:ascii="Calibri"/>
          <w:spacing w:val="-6"/>
          <w:sz w:val="20"/>
          <w:vertAlign w:val="baseline"/>
        </w:rPr>
        <w:t> </w:t>
      </w:r>
      <w:r>
        <w:rPr>
          <w:rFonts w:ascii="Calibri"/>
          <w:sz w:val="20"/>
          <w:vertAlign w:val="baseline"/>
        </w:rPr>
        <w:t>discussions</w:t>
      </w:r>
      <w:r>
        <w:rPr>
          <w:rFonts w:ascii="Calibri"/>
          <w:spacing w:val="-3"/>
          <w:sz w:val="20"/>
          <w:vertAlign w:val="baseline"/>
        </w:rPr>
        <w:t> </w:t>
      </w:r>
      <w:r>
        <w:rPr>
          <w:rFonts w:ascii="Calibri"/>
          <w:sz w:val="20"/>
          <w:vertAlign w:val="baseline"/>
        </w:rPr>
        <w:t>on</w:t>
      </w:r>
      <w:r>
        <w:rPr>
          <w:rFonts w:ascii="Calibri"/>
          <w:spacing w:val="-6"/>
          <w:sz w:val="20"/>
          <w:vertAlign w:val="baseline"/>
        </w:rPr>
        <w:t> </w:t>
      </w:r>
      <w:r>
        <w:rPr>
          <w:rFonts w:ascii="Calibri"/>
          <w:sz w:val="20"/>
          <w:vertAlign w:val="baseline"/>
        </w:rPr>
        <w:t>this</w:t>
      </w:r>
      <w:r>
        <w:rPr>
          <w:rFonts w:ascii="Calibri"/>
          <w:spacing w:val="-8"/>
          <w:sz w:val="20"/>
          <w:vertAlign w:val="baseline"/>
        </w:rPr>
        <w:t> </w:t>
      </w:r>
      <w:r>
        <w:rPr>
          <w:rFonts w:ascii="Calibri"/>
          <w:spacing w:val="-2"/>
          <w:sz w:val="20"/>
          <w:vertAlign w:val="baseline"/>
        </w:rPr>
        <w:t>point.</w:t>
      </w:r>
    </w:p>
    <w:p>
      <w:pPr>
        <w:spacing w:before="1"/>
        <w:ind w:left="308" w:right="0" w:firstLine="0"/>
        <w:jc w:val="left"/>
        <w:rPr>
          <w:rFonts w:ascii="Calibri"/>
          <w:sz w:val="20"/>
        </w:rPr>
      </w:pPr>
      <w:r>
        <w:rPr>
          <w:rFonts w:ascii="Calibri"/>
          <w:sz w:val="20"/>
          <w:vertAlign w:val="superscript"/>
        </w:rPr>
        <w:t>28</w:t>
      </w:r>
      <w:r>
        <w:rPr>
          <w:rFonts w:ascii="Calibri"/>
          <w:spacing w:val="21"/>
          <w:sz w:val="20"/>
          <w:vertAlign w:val="baseline"/>
        </w:rPr>
        <w:t> </w:t>
      </w:r>
      <w:r>
        <w:rPr>
          <w:rFonts w:ascii="Calibri"/>
          <w:sz w:val="20"/>
          <w:vertAlign w:val="baseline"/>
        </w:rPr>
        <w:t>For</w:t>
      </w:r>
      <w:r>
        <w:rPr>
          <w:rFonts w:ascii="Calibri"/>
          <w:spacing w:val="20"/>
          <w:sz w:val="20"/>
          <w:vertAlign w:val="baseline"/>
        </w:rPr>
        <w:t> </w:t>
      </w:r>
      <w:r>
        <w:rPr>
          <w:rFonts w:ascii="Calibri"/>
          <w:sz w:val="20"/>
          <w:vertAlign w:val="baseline"/>
        </w:rPr>
        <w:t>detailed</w:t>
      </w:r>
      <w:r>
        <w:rPr>
          <w:rFonts w:ascii="Calibri"/>
          <w:spacing w:val="19"/>
          <w:sz w:val="20"/>
          <w:vertAlign w:val="baseline"/>
        </w:rPr>
        <w:t> </w:t>
      </w:r>
      <w:r>
        <w:rPr>
          <w:rFonts w:ascii="Calibri"/>
          <w:sz w:val="20"/>
          <w:vertAlign w:val="baseline"/>
        </w:rPr>
        <w:t>discussion</w:t>
      </w:r>
      <w:r>
        <w:rPr>
          <w:rFonts w:ascii="Calibri"/>
          <w:spacing w:val="19"/>
          <w:sz w:val="20"/>
          <w:vertAlign w:val="baseline"/>
        </w:rPr>
        <w:t> </w:t>
      </w:r>
      <w:r>
        <w:rPr>
          <w:rFonts w:ascii="Calibri"/>
          <w:sz w:val="20"/>
          <w:vertAlign w:val="baseline"/>
        </w:rPr>
        <w:t>on</w:t>
      </w:r>
      <w:r>
        <w:rPr>
          <w:rFonts w:ascii="Calibri"/>
          <w:spacing w:val="19"/>
          <w:sz w:val="20"/>
          <w:vertAlign w:val="baseline"/>
        </w:rPr>
        <w:t> </w:t>
      </w:r>
      <w:r>
        <w:rPr>
          <w:rFonts w:ascii="Calibri"/>
          <w:sz w:val="20"/>
          <w:vertAlign w:val="baseline"/>
        </w:rPr>
        <w:t>these, refer to</w:t>
      </w:r>
      <w:r>
        <w:rPr>
          <w:rFonts w:ascii="Calibri"/>
          <w:spacing w:val="22"/>
          <w:sz w:val="20"/>
          <w:vertAlign w:val="baseline"/>
        </w:rPr>
        <w:t> </w:t>
      </w:r>
      <w:r>
        <w:rPr>
          <w:rFonts w:ascii="Calibri"/>
          <w:b/>
          <w:sz w:val="20"/>
          <w:vertAlign w:val="baseline"/>
        </w:rPr>
        <w:t>3.4.2</w:t>
      </w:r>
      <w:r>
        <w:rPr>
          <w:rFonts w:ascii="Calibri"/>
          <w:b/>
          <w:spacing w:val="18"/>
          <w:sz w:val="20"/>
          <w:vertAlign w:val="baseline"/>
        </w:rPr>
        <w:t> </w:t>
      </w:r>
      <w:r>
        <w:rPr>
          <w:rFonts w:ascii="Calibri"/>
          <w:sz w:val="20"/>
          <w:vertAlign w:val="baseline"/>
        </w:rPr>
        <w:t>supra on</w:t>
      </w:r>
      <w:r>
        <w:rPr>
          <w:rFonts w:ascii="Calibri"/>
          <w:spacing w:val="19"/>
          <w:sz w:val="20"/>
          <w:vertAlign w:val="baseline"/>
        </w:rPr>
        <w:t> </w:t>
      </w:r>
      <w:r>
        <w:rPr>
          <w:rFonts w:ascii="Calibri"/>
          <w:sz w:val="20"/>
          <w:vertAlign w:val="baseline"/>
        </w:rPr>
        <w:t>In</w:t>
      </w:r>
      <w:r>
        <w:rPr>
          <w:rFonts w:ascii="Calibri"/>
          <w:spacing w:val="19"/>
          <w:sz w:val="20"/>
          <w:vertAlign w:val="baseline"/>
        </w:rPr>
        <w:t> </w:t>
      </w:r>
      <w:r>
        <w:rPr>
          <w:rFonts w:ascii="Calibri"/>
          <w:sz w:val="20"/>
          <w:vertAlign w:val="baseline"/>
        </w:rPr>
        <w:t>Whose</w:t>
      </w:r>
      <w:r>
        <w:rPr>
          <w:rFonts w:ascii="Calibri"/>
          <w:spacing w:val="20"/>
          <w:sz w:val="20"/>
          <w:vertAlign w:val="baseline"/>
        </w:rPr>
        <w:t> </w:t>
      </w:r>
      <w:r>
        <w:rPr>
          <w:rFonts w:ascii="Calibri"/>
          <w:sz w:val="20"/>
          <w:vertAlign w:val="baseline"/>
        </w:rPr>
        <w:t>Interests and for Whose</w:t>
      </w:r>
      <w:r>
        <w:rPr>
          <w:rFonts w:ascii="Calibri"/>
          <w:spacing w:val="20"/>
          <w:sz w:val="20"/>
          <w:vertAlign w:val="baseline"/>
        </w:rPr>
        <w:t> </w:t>
      </w:r>
      <w:r>
        <w:rPr>
          <w:rFonts w:ascii="Calibri"/>
          <w:sz w:val="20"/>
          <w:vertAlign w:val="baseline"/>
        </w:rPr>
        <w:t>Benefit Should Directors Manage the Company.</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230"/>
        <w:jc w:val="both"/>
      </w:pPr>
      <w:r>
        <w:rPr/>
        <w:t>what</w:t>
      </w:r>
      <w:r>
        <w:rPr>
          <w:spacing w:val="40"/>
        </w:rPr>
        <w:t> </w:t>
      </w:r>
      <w:r>
        <w:rPr/>
        <w:t>is in</w:t>
      </w:r>
      <w:r>
        <w:rPr>
          <w:spacing w:val="40"/>
        </w:rPr>
        <w:t> </w:t>
      </w:r>
      <w:r>
        <w:rPr/>
        <w:t>a broader and a</w:t>
      </w:r>
      <w:r>
        <w:rPr>
          <w:spacing w:val="40"/>
        </w:rPr>
        <w:t> </w:t>
      </w:r>
      <w:r>
        <w:rPr/>
        <w:t>longer-term sense, the</w:t>
      </w:r>
      <w:r>
        <w:rPr>
          <w:spacing w:val="40"/>
        </w:rPr>
        <w:t> </w:t>
      </w:r>
      <w:r>
        <w:rPr/>
        <w:t>best</w:t>
      </w:r>
      <w:r>
        <w:rPr>
          <w:spacing w:val="40"/>
        </w:rPr>
        <w:t> </w:t>
      </w:r>
      <w:r>
        <w:rPr/>
        <w:t>interests of the enterprise.‖</w:t>
      </w:r>
      <w:r>
        <w:rPr>
          <w:vertAlign w:val="superscript"/>
        </w:rPr>
        <w:t>29</w:t>
      </w:r>
      <w:r>
        <w:rPr>
          <w:vertAlign w:val="baseline"/>
        </w:rPr>
        <w:t> Thus, the section is intended to address the issue of short-termism, which is reputed to be the major cause of corporate failure in recent times.</w:t>
      </w:r>
      <w:r>
        <w:rPr>
          <w:vertAlign w:val="superscript"/>
        </w:rPr>
        <w:t>30</w:t>
      </w:r>
    </w:p>
    <w:p>
      <w:pPr>
        <w:pStyle w:val="BodyText"/>
        <w:spacing w:line="480" w:lineRule="auto"/>
        <w:ind w:right="230" w:firstLine="720"/>
        <w:jc w:val="both"/>
      </w:pPr>
      <w:r>
        <w:rPr/>
        <w:t>The section contains the foremost fiduciary duty of directors. They are required to act always in good faith with the aim of promoting the success of the company. The idea of </w:t>
      </w:r>
      <w:r>
        <w:rPr>
          <w:i/>
        </w:rPr>
        <w:t>success </w:t>
      </w:r>
      <w:r>
        <w:rPr/>
        <w:t>is left to be defined by every company to suit its objective. But importantly, it is to be achieved ultimately for the benefit of the members as a whole, and if the company is not pro-profit, achieving whatever purpose for which the</w:t>
      </w:r>
      <w:r>
        <w:rPr>
          <w:spacing w:val="40"/>
        </w:rPr>
        <w:t> </w:t>
      </w:r>
      <w:r>
        <w:rPr/>
        <w:t>company was set up. The section then lists a number of factors which every director must consider in arriving at his decisions, including the company‘s employees, host community, the environment and the need to act fairly as between members. This is in addition to any others the director might wish to consider. The provision is further supported by a requirement for business review under s.417 of the CA, in which the directors would state how, if at all, they have performed their duty under s.172, to be presented before the general meeting as part of the (annual) directors‘ report.</w:t>
      </w:r>
    </w:p>
    <w:p>
      <w:pPr>
        <w:pStyle w:val="BodyText"/>
        <w:spacing w:line="480" w:lineRule="auto" w:before="3"/>
        <w:ind w:right="234" w:firstLine="720"/>
        <w:jc w:val="both"/>
      </w:pPr>
      <w:r>
        <w:rPr/>
        <w:t>Much</w:t>
      </w:r>
      <w:r>
        <w:rPr>
          <w:spacing w:val="-1"/>
        </w:rPr>
        <w:t> </w:t>
      </w:r>
      <w:r>
        <w:rPr/>
        <w:t>as the section</w:t>
      </w:r>
      <w:r>
        <w:rPr>
          <w:spacing w:val="-1"/>
        </w:rPr>
        <w:t> </w:t>
      </w:r>
      <w:r>
        <w:rPr/>
        <w:t>set out to satisfy</w:t>
      </w:r>
      <w:r>
        <w:rPr>
          <w:spacing w:val="-1"/>
        </w:rPr>
        <w:t> </w:t>
      </w:r>
      <w:r>
        <w:rPr/>
        <w:t>all (varied) interests, there have been more criticisms than commendations regarding it. This work has already considered these in great detail in the previous chapter.</w:t>
      </w:r>
      <w:r>
        <w:rPr>
          <w:vertAlign w:val="superscript"/>
        </w:rPr>
        <w:t>31</w:t>
      </w:r>
      <w:r>
        <w:rPr>
          <w:vertAlign w:val="baseline"/>
        </w:rPr>
        <w:t> However, a recap of the main points is apposite, </w:t>
      </w:r>
      <w:r>
        <w:rPr>
          <w:spacing w:val="-2"/>
          <w:vertAlign w:val="baseline"/>
        </w:rPr>
        <w:t>here.</w:t>
      </w:r>
    </w:p>
    <w:p>
      <w:pPr>
        <w:pStyle w:val="BodyText"/>
        <w:spacing w:line="480" w:lineRule="auto" w:before="1"/>
        <w:ind w:right="232" w:firstLine="720"/>
        <w:jc w:val="both"/>
      </w:pPr>
      <w:r>
        <w:rPr/>
        <w:t>First, the law allows a director to act in a way ―he considers…most likely to promote the success of the company‖, but goes further to suggest to the director some factors</w:t>
      </w:r>
      <w:r>
        <w:rPr>
          <w:spacing w:val="-2"/>
        </w:rPr>
        <w:t> </w:t>
      </w:r>
      <w:r>
        <w:rPr/>
        <w:t>for his</w:t>
      </w:r>
      <w:r>
        <w:rPr>
          <w:spacing w:val="-2"/>
        </w:rPr>
        <w:t> </w:t>
      </w:r>
      <w:r>
        <w:rPr/>
        <w:t>consideration. In</w:t>
      </w:r>
      <w:r>
        <w:rPr>
          <w:spacing w:val="-5"/>
        </w:rPr>
        <w:t> </w:t>
      </w:r>
      <w:r>
        <w:rPr/>
        <w:t>other words,</w:t>
      </w:r>
      <w:r>
        <w:rPr>
          <w:spacing w:val="-3"/>
        </w:rPr>
        <w:t> </w:t>
      </w:r>
      <w:r>
        <w:rPr/>
        <w:t>the law</w:t>
      </w:r>
      <w:r>
        <w:rPr>
          <w:spacing w:val="-1"/>
        </w:rPr>
        <w:t> </w:t>
      </w:r>
      <w:r>
        <w:rPr/>
        <w:t>acknowledges</w:t>
      </w:r>
      <w:r>
        <w:rPr>
          <w:spacing w:val="-2"/>
        </w:rPr>
        <w:t> </w:t>
      </w:r>
      <w:r>
        <w:rPr/>
        <w:t>the legitimacy</w:t>
      </w:r>
      <w:r>
        <w:rPr>
          <w:spacing w:val="-5"/>
        </w:rPr>
        <w:t> </w:t>
      </w:r>
      <w:r>
        <w:rPr/>
        <w:t>of</w:t>
      </w:r>
      <w:r>
        <w:rPr>
          <w:spacing w:val="-8"/>
        </w:rPr>
        <w:t> </w:t>
      </w:r>
      <w:r>
        <w:rPr/>
        <w:t>the director‘s</w:t>
      </w:r>
      <w:r>
        <w:rPr>
          <w:spacing w:val="23"/>
        </w:rPr>
        <w:t> </w:t>
      </w:r>
      <w:r>
        <w:rPr/>
        <w:t>subjective</w:t>
      </w:r>
      <w:r>
        <w:rPr>
          <w:spacing w:val="30"/>
        </w:rPr>
        <w:t> </w:t>
      </w:r>
      <w:r>
        <w:rPr/>
        <w:t>business</w:t>
      </w:r>
      <w:r>
        <w:rPr>
          <w:spacing w:val="30"/>
        </w:rPr>
        <w:t> </w:t>
      </w:r>
      <w:r>
        <w:rPr/>
        <w:t>judgement,</w:t>
      </w:r>
      <w:r>
        <w:rPr>
          <w:spacing w:val="30"/>
        </w:rPr>
        <w:t> </w:t>
      </w:r>
      <w:r>
        <w:rPr/>
        <w:t>yet,</w:t>
      </w:r>
      <w:r>
        <w:rPr>
          <w:spacing w:val="30"/>
        </w:rPr>
        <w:t> </w:t>
      </w:r>
      <w:r>
        <w:rPr/>
        <w:t>as</w:t>
      </w:r>
      <w:r>
        <w:rPr>
          <w:spacing w:val="25"/>
        </w:rPr>
        <w:t> </w:t>
      </w:r>
      <w:r>
        <w:rPr/>
        <w:t>Hollington</w:t>
      </w:r>
      <w:r>
        <w:rPr>
          <w:spacing w:val="23"/>
        </w:rPr>
        <w:t> </w:t>
      </w:r>
      <w:r>
        <w:rPr/>
        <w:t>puts</w:t>
      </w:r>
      <w:r>
        <w:rPr>
          <w:spacing w:val="25"/>
        </w:rPr>
        <w:t> </w:t>
      </w:r>
      <w:r>
        <w:rPr/>
        <w:t>it,</w:t>
      </w:r>
      <w:r>
        <w:rPr>
          <w:spacing w:val="30"/>
        </w:rPr>
        <w:t> </w:t>
      </w:r>
      <w:r>
        <w:rPr/>
        <w:t>proposes</w:t>
      </w:r>
      <w:r>
        <w:rPr>
          <w:spacing w:val="25"/>
        </w:rPr>
        <w:t> </w:t>
      </w:r>
      <w:r>
        <w:rPr/>
        <w:t>to</w:t>
      </w:r>
      <w:r>
        <w:rPr>
          <w:spacing w:val="28"/>
        </w:rPr>
        <w:t> </w:t>
      </w:r>
      <w:r>
        <w:rPr>
          <w:spacing w:val="-2"/>
        </w:rPr>
        <w:t>teach</w:t>
      </w:r>
    </w:p>
    <w:p>
      <w:pPr>
        <w:pStyle w:val="BodyText"/>
        <w:ind w:left="0"/>
        <w:rPr>
          <w:sz w:val="17"/>
        </w:rPr>
      </w:pPr>
      <w:r>
        <w:rPr/>
        <mc:AlternateContent>
          <mc:Choice Requires="wps">
            <w:drawing>
              <wp:anchor distT="0" distB="0" distL="0" distR="0" allowOverlap="1" layoutInCell="1" locked="0" behindDoc="1" simplePos="0" relativeHeight="487715840">
                <wp:simplePos x="0" y="0"/>
                <wp:positionH relativeFrom="page">
                  <wp:posOffset>1262481</wp:posOffset>
                </wp:positionH>
                <wp:positionV relativeFrom="paragraph">
                  <wp:posOffset>139876</wp:posOffset>
                </wp:positionV>
                <wp:extent cx="1829435" cy="9525"/>
                <wp:effectExtent l="0" t="0" r="0" b="0"/>
                <wp:wrapTopAndBottom/>
                <wp:docPr id="277" name="Graphic 277"/>
                <wp:cNvGraphicFramePr>
                  <a:graphicFrameLocks/>
                </wp:cNvGraphicFramePr>
                <a:graphic>
                  <a:graphicData uri="http://schemas.microsoft.com/office/word/2010/wordprocessingShape">
                    <wps:wsp>
                      <wps:cNvPr id="277" name="Graphic 277"/>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013876pt;width:144.050pt;height:.72003pt;mso-position-horizontal-relative:page;mso-position-vertical-relative:paragraph;z-index:-15600640;mso-wrap-distance-left:0;mso-wrap-distance-right:0" id="docshape23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29</w:t>
      </w:r>
      <w:r>
        <w:rPr>
          <w:rFonts w:ascii="Calibri"/>
          <w:spacing w:val="26"/>
          <w:sz w:val="20"/>
          <w:vertAlign w:val="baseline"/>
        </w:rPr>
        <w:t> </w:t>
      </w:r>
      <w:r>
        <w:rPr>
          <w:rFonts w:ascii="Calibri"/>
          <w:sz w:val="20"/>
          <w:vertAlign w:val="baseline"/>
        </w:rPr>
        <w:t>Company Law Review</w:t>
      </w:r>
      <w:r>
        <w:rPr>
          <w:rFonts w:ascii="Calibri"/>
          <w:spacing w:val="25"/>
          <w:sz w:val="20"/>
          <w:vertAlign w:val="baseline"/>
        </w:rPr>
        <w:t> </w:t>
      </w:r>
      <w:r>
        <w:rPr>
          <w:rFonts w:ascii="Calibri"/>
          <w:i/>
          <w:sz w:val="20"/>
          <w:vertAlign w:val="baseline"/>
        </w:rPr>
        <w:t>Modern</w:t>
      </w:r>
      <w:r>
        <w:rPr>
          <w:rFonts w:ascii="Calibri"/>
          <w:i/>
          <w:spacing w:val="26"/>
          <w:sz w:val="20"/>
          <w:vertAlign w:val="baseline"/>
        </w:rPr>
        <w:t> </w:t>
      </w:r>
      <w:r>
        <w:rPr>
          <w:rFonts w:ascii="Calibri"/>
          <w:i/>
          <w:sz w:val="20"/>
          <w:vertAlign w:val="baseline"/>
        </w:rPr>
        <w:t>Company Law for a</w:t>
      </w:r>
      <w:r>
        <w:rPr>
          <w:rFonts w:ascii="Calibri"/>
          <w:i/>
          <w:spacing w:val="26"/>
          <w:sz w:val="20"/>
          <w:vertAlign w:val="baseline"/>
        </w:rPr>
        <w:t> </w:t>
      </w:r>
      <w:r>
        <w:rPr>
          <w:rFonts w:ascii="Calibri"/>
          <w:i/>
          <w:sz w:val="20"/>
          <w:vertAlign w:val="baseline"/>
        </w:rPr>
        <w:t>Competitive Economy</w:t>
      </w:r>
      <w:r>
        <w:rPr>
          <w:rFonts w:ascii="Calibri"/>
          <w:sz w:val="20"/>
          <w:vertAlign w:val="baseline"/>
        </w:rPr>
        <w:t>:</w:t>
      </w:r>
      <w:r>
        <w:rPr>
          <w:rFonts w:ascii="Calibri"/>
          <w:spacing w:val="23"/>
          <w:sz w:val="20"/>
          <w:vertAlign w:val="baseline"/>
        </w:rPr>
        <w:t> </w:t>
      </w:r>
      <w:r>
        <w:rPr>
          <w:rFonts w:ascii="Calibri"/>
          <w:sz w:val="20"/>
          <w:vertAlign w:val="baseline"/>
        </w:rPr>
        <w:t>The</w:t>
      </w:r>
      <w:r>
        <w:rPr>
          <w:rFonts w:ascii="Calibri"/>
          <w:spacing w:val="24"/>
          <w:sz w:val="20"/>
          <w:vertAlign w:val="baseline"/>
        </w:rPr>
        <w:t> </w:t>
      </w:r>
      <w:r>
        <w:rPr>
          <w:rFonts w:ascii="Calibri"/>
          <w:sz w:val="20"/>
          <w:vertAlign w:val="baseline"/>
        </w:rPr>
        <w:t>Strategic</w:t>
      </w:r>
      <w:r>
        <w:rPr>
          <w:rFonts w:ascii="Calibri"/>
          <w:spacing w:val="25"/>
          <w:sz w:val="20"/>
          <w:vertAlign w:val="baseline"/>
        </w:rPr>
        <w:t> </w:t>
      </w:r>
      <w:r>
        <w:rPr>
          <w:rFonts w:ascii="Calibri"/>
          <w:sz w:val="20"/>
          <w:vertAlign w:val="baseline"/>
        </w:rPr>
        <w:t>Framework (London, DTI, 1999) at para 5.1.17.</w:t>
      </w:r>
    </w:p>
    <w:p>
      <w:pPr>
        <w:spacing w:before="1"/>
        <w:ind w:left="308" w:right="0" w:firstLine="0"/>
        <w:jc w:val="left"/>
        <w:rPr>
          <w:rFonts w:ascii="Calibri"/>
          <w:sz w:val="20"/>
        </w:rPr>
      </w:pPr>
      <w:r>
        <w:rPr>
          <w:rFonts w:ascii="Calibri"/>
          <w:sz w:val="20"/>
          <w:vertAlign w:val="superscript"/>
        </w:rPr>
        <w:t>30</w:t>
      </w:r>
      <w:r>
        <w:rPr>
          <w:rFonts w:ascii="Calibri"/>
          <w:spacing w:val="-1"/>
          <w:sz w:val="20"/>
          <w:vertAlign w:val="baseline"/>
        </w:rPr>
        <w:t> </w:t>
      </w:r>
      <w:r>
        <w:rPr>
          <w:rFonts w:ascii="Calibri"/>
          <w:sz w:val="20"/>
          <w:vertAlign w:val="baseline"/>
        </w:rPr>
        <w:t>Refer</w:t>
      </w:r>
      <w:r>
        <w:rPr>
          <w:rFonts w:ascii="Calibri"/>
          <w:spacing w:val="-4"/>
          <w:sz w:val="20"/>
          <w:vertAlign w:val="baseline"/>
        </w:rPr>
        <w:t> </w:t>
      </w:r>
      <w:r>
        <w:rPr>
          <w:rFonts w:ascii="Calibri"/>
          <w:sz w:val="20"/>
          <w:vertAlign w:val="baseline"/>
        </w:rPr>
        <w:t>back</w:t>
      </w:r>
      <w:r>
        <w:rPr>
          <w:rFonts w:ascii="Calibri"/>
          <w:spacing w:val="-7"/>
          <w:sz w:val="20"/>
          <w:vertAlign w:val="baseline"/>
        </w:rPr>
        <w:t> </w:t>
      </w:r>
      <w:r>
        <w:rPr>
          <w:rFonts w:ascii="Calibri"/>
          <w:sz w:val="20"/>
          <w:vertAlign w:val="baseline"/>
        </w:rPr>
        <w:t>to</w:t>
      </w:r>
      <w:r>
        <w:rPr>
          <w:rFonts w:ascii="Calibri"/>
          <w:spacing w:val="-5"/>
          <w:sz w:val="20"/>
          <w:vertAlign w:val="baseline"/>
        </w:rPr>
        <w:t> </w:t>
      </w:r>
      <w:r>
        <w:rPr>
          <w:rFonts w:ascii="Calibri"/>
          <w:b/>
          <w:sz w:val="20"/>
          <w:vertAlign w:val="baseline"/>
        </w:rPr>
        <w:t>4.2.3</w:t>
      </w:r>
      <w:r>
        <w:rPr>
          <w:rFonts w:ascii="Calibri"/>
          <w:b/>
          <w:spacing w:val="-3"/>
          <w:sz w:val="20"/>
          <w:vertAlign w:val="baseline"/>
        </w:rPr>
        <w:t> </w:t>
      </w:r>
      <w:r>
        <w:rPr>
          <w:rFonts w:ascii="Calibri"/>
          <w:sz w:val="20"/>
          <w:vertAlign w:val="baseline"/>
        </w:rPr>
        <w:t>supra</w:t>
      </w:r>
      <w:r>
        <w:rPr>
          <w:rFonts w:ascii="Calibri"/>
          <w:spacing w:val="-6"/>
          <w:sz w:val="20"/>
          <w:vertAlign w:val="baseline"/>
        </w:rPr>
        <w:t> </w:t>
      </w:r>
      <w:r>
        <w:rPr>
          <w:rFonts w:ascii="Calibri"/>
          <w:sz w:val="20"/>
          <w:vertAlign w:val="baseline"/>
        </w:rPr>
        <w:t>for</w:t>
      </w:r>
      <w:r>
        <w:rPr>
          <w:rFonts w:ascii="Calibri"/>
          <w:spacing w:val="-10"/>
          <w:sz w:val="20"/>
          <w:vertAlign w:val="baseline"/>
        </w:rPr>
        <w:t> </w:t>
      </w:r>
      <w:r>
        <w:rPr>
          <w:rFonts w:ascii="Calibri"/>
          <w:sz w:val="20"/>
          <w:vertAlign w:val="baseline"/>
        </w:rPr>
        <w:t>more</w:t>
      </w:r>
      <w:r>
        <w:rPr>
          <w:rFonts w:ascii="Calibri"/>
          <w:spacing w:val="-1"/>
          <w:sz w:val="20"/>
          <w:vertAlign w:val="baseline"/>
        </w:rPr>
        <w:t> </w:t>
      </w:r>
      <w:r>
        <w:rPr>
          <w:rFonts w:ascii="Calibri"/>
          <w:sz w:val="20"/>
          <w:vertAlign w:val="baseline"/>
        </w:rPr>
        <w:t>discussions</w:t>
      </w:r>
      <w:r>
        <w:rPr>
          <w:rFonts w:ascii="Calibri"/>
          <w:spacing w:val="-3"/>
          <w:sz w:val="20"/>
          <w:vertAlign w:val="baseline"/>
        </w:rPr>
        <w:t> </w:t>
      </w:r>
      <w:r>
        <w:rPr>
          <w:rFonts w:ascii="Calibri"/>
          <w:sz w:val="20"/>
          <w:vertAlign w:val="baseline"/>
        </w:rPr>
        <w:t>on</w:t>
      </w:r>
      <w:r>
        <w:rPr>
          <w:rFonts w:ascii="Calibri"/>
          <w:spacing w:val="-7"/>
          <w:sz w:val="20"/>
          <w:vertAlign w:val="baseline"/>
        </w:rPr>
        <w:t> </w:t>
      </w:r>
      <w:r>
        <w:rPr>
          <w:rFonts w:ascii="Calibri"/>
          <w:spacing w:val="-4"/>
          <w:sz w:val="20"/>
          <w:vertAlign w:val="baseline"/>
        </w:rPr>
        <w:t>this.</w:t>
      </w:r>
    </w:p>
    <w:p>
      <w:pPr>
        <w:spacing w:before="1"/>
        <w:ind w:left="308" w:right="0" w:firstLine="0"/>
        <w:jc w:val="left"/>
        <w:rPr>
          <w:rFonts w:ascii="Calibri"/>
          <w:sz w:val="20"/>
        </w:rPr>
      </w:pPr>
      <w:r>
        <w:rPr>
          <w:rFonts w:ascii="Calibri"/>
          <w:sz w:val="20"/>
          <w:vertAlign w:val="superscript"/>
        </w:rPr>
        <w:t>31</w:t>
      </w:r>
      <w:r>
        <w:rPr>
          <w:rFonts w:ascii="Calibri"/>
          <w:spacing w:val="-1"/>
          <w:sz w:val="20"/>
          <w:vertAlign w:val="baseline"/>
        </w:rPr>
        <w:t> </w:t>
      </w:r>
      <w:r>
        <w:rPr>
          <w:rFonts w:ascii="Calibri"/>
          <w:sz w:val="20"/>
          <w:vertAlign w:val="baseline"/>
        </w:rPr>
        <w:t>Further</w:t>
      </w:r>
      <w:r>
        <w:rPr>
          <w:rFonts w:ascii="Calibri"/>
          <w:spacing w:val="-4"/>
          <w:sz w:val="20"/>
          <w:vertAlign w:val="baseline"/>
        </w:rPr>
        <w:t> </w:t>
      </w:r>
      <w:r>
        <w:rPr>
          <w:rFonts w:ascii="Calibri"/>
          <w:sz w:val="20"/>
          <w:vertAlign w:val="baseline"/>
        </w:rPr>
        <w:t>refer</w:t>
      </w:r>
      <w:r>
        <w:rPr>
          <w:rFonts w:ascii="Calibri"/>
          <w:spacing w:val="-5"/>
          <w:sz w:val="20"/>
          <w:vertAlign w:val="baseline"/>
        </w:rPr>
        <w:t> </w:t>
      </w:r>
      <w:r>
        <w:rPr>
          <w:rFonts w:ascii="Calibri"/>
          <w:sz w:val="20"/>
          <w:vertAlign w:val="baseline"/>
        </w:rPr>
        <w:t>to</w:t>
      </w:r>
      <w:r>
        <w:rPr>
          <w:rFonts w:ascii="Calibri"/>
          <w:spacing w:val="-6"/>
          <w:sz w:val="20"/>
          <w:vertAlign w:val="baseline"/>
        </w:rPr>
        <w:t> </w:t>
      </w:r>
      <w:r>
        <w:rPr>
          <w:rFonts w:ascii="Calibri"/>
          <w:b/>
          <w:sz w:val="20"/>
          <w:vertAlign w:val="baseline"/>
        </w:rPr>
        <w:t>4.2.3</w:t>
      </w:r>
      <w:r>
        <w:rPr>
          <w:rFonts w:ascii="Calibri"/>
          <w:b/>
          <w:spacing w:val="-3"/>
          <w:sz w:val="20"/>
          <w:vertAlign w:val="baseline"/>
        </w:rPr>
        <w:t> </w:t>
      </w:r>
      <w:r>
        <w:rPr>
          <w:rFonts w:ascii="Calibri"/>
          <w:spacing w:val="-2"/>
          <w:sz w:val="20"/>
          <w:vertAlign w:val="baseline"/>
        </w:rPr>
        <w:t>supra.</w:t>
      </w:r>
    </w:p>
    <w:p>
      <w:pPr>
        <w:spacing w:after="0"/>
        <w:jc w:val="left"/>
        <w:rPr>
          <w:rFonts w:ascii="Calibri"/>
          <w:sz w:val="20"/>
        </w:rPr>
        <w:sectPr>
          <w:pgSz w:w="11910" w:h="16840"/>
          <w:pgMar w:header="0" w:footer="1003" w:top="1280" w:bottom="1200" w:left="1680" w:right="1180"/>
        </w:sectPr>
      </w:pPr>
    </w:p>
    <w:p>
      <w:pPr>
        <w:pStyle w:val="BodyText"/>
        <w:spacing w:line="480" w:lineRule="auto" w:before="110"/>
        <w:ind w:right="233"/>
        <w:jc w:val="both"/>
      </w:pPr>
      <w:r>
        <w:rPr/>
        <w:t>businessmen how they should make business decisions.</w:t>
      </w:r>
      <w:r>
        <w:rPr>
          <w:vertAlign w:val="superscript"/>
        </w:rPr>
        <w:t>32</w:t>
      </w:r>
      <w:r>
        <w:rPr>
          <w:vertAlign w:val="baseline"/>
        </w:rPr>
        <w:t> Second, the factors and interests listed are varied and the government has clarified that none of the items is superior to the</w:t>
      </w:r>
      <w:r>
        <w:rPr>
          <w:spacing w:val="-1"/>
          <w:vertAlign w:val="baseline"/>
        </w:rPr>
        <w:t> </w:t>
      </w:r>
      <w:r>
        <w:rPr>
          <w:vertAlign w:val="baseline"/>
        </w:rPr>
        <w:t>others. Where</w:t>
      </w:r>
      <w:r>
        <w:rPr>
          <w:spacing w:val="-1"/>
          <w:vertAlign w:val="baseline"/>
        </w:rPr>
        <w:t> </w:t>
      </w:r>
      <w:r>
        <w:rPr>
          <w:vertAlign w:val="baseline"/>
        </w:rPr>
        <w:t>a</w:t>
      </w:r>
      <w:r>
        <w:rPr>
          <w:spacing w:val="-1"/>
          <w:vertAlign w:val="baseline"/>
        </w:rPr>
        <w:t> </w:t>
      </w:r>
      <w:r>
        <w:rPr>
          <w:vertAlign w:val="baseline"/>
        </w:rPr>
        <w:t>director is faced with</w:t>
      </w:r>
      <w:r>
        <w:rPr>
          <w:spacing w:val="-5"/>
          <w:vertAlign w:val="baseline"/>
        </w:rPr>
        <w:t> </w:t>
      </w:r>
      <w:r>
        <w:rPr>
          <w:vertAlign w:val="baseline"/>
        </w:rPr>
        <w:t>two or more</w:t>
      </w:r>
      <w:r>
        <w:rPr>
          <w:spacing w:val="-1"/>
          <w:vertAlign w:val="baseline"/>
        </w:rPr>
        <w:t> </w:t>
      </w:r>
      <w:r>
        <w:rPr>
          <w:vertAlign w:val="baseline"/>
        </w:rPr>
        <w:t>competing interests— as will more often be the case—how does he prioritize? Even stakeholder theorists</w:t>
      </w:r>
      <w:r>
        <w:rPr>
          <w:spacing w:val="40"/>
          <w:vertAlign w:val="baseline"/>
        </w:rPr>
        <w:t> </w:t>
      </w:r>
      <w:r>
        <w:rPr>
          <w:vertAlign w:val="baseline"/>
        </w:rPr>
        <w:t>admit the enormity of such decisions.</w:t>
      </w:r>
      <w:r>
        <w:rPr>
          <w:vertAlign w:val="superscript"/>
        </w:rPr>
        <w:t>33</w:t>
      </w:r>
    </w:p>
    <w:p>
      <w:pPr>
        <w:pStyle w:val="BodyText"/>
        <w:spacing w:line="480" w:lineRule="auto" w:before="1"/>
        <w:ind w:right="237" w:firstLine="720"/>
        <w:jc w:val="both"/>
      </w:pPr>
      <w:r>
        <w:rPr/>
        <w:t>Lastly and more importantly, how is the law to be enforced? In other words, since the government has clarified that ―have regard to‖ means simply to ―think about,‖</w:t>
      </w:r>
      <w:r>
        <w:rPr>
          <w:vertAlign w:val="superscript"/>
        </w:rPr>
        <w:t>34</w:t>
      </w:r>
      <w:r>
        <w:rPr>
          <w:vertAlign w:val="baseline"/>
        </w:rPr>
        <w:t> where a director takes a decision without actually ―thinking about‖ these factors, how can a breach of the duty be proved and who</w:t>
      </w:r>
      <w:r>
        <w:rPr>
          <w:spacing w:val="33"/>
          <w:vertAlign w:val="baseline"/>
        </w:rPr>
        <w:t> </w:t>
      </w:r>
      <w:r>
        <w:rPr>
          <w:vertAlign w:val="baseline"/>
        </w:rPr>
        <w:t>is to hold him responsible? The requirement for a business review does not adequately address this problem because, in the first place, not all companies are required to prepare one. Besides, it is meant to be part of the directors‘ report, the primary recipient of which is the ―the company‖ in a general meeting. Thus, the various stakeholders, whose interests are meant to be </w:t>
      </w:r>
      <w:r>
        <w:rPr>
          <w:i/>
          <w:vertAlign w:val="baseline"/>
        </w:rPr>
        <w:t>regarded</w:t>
      </w:r>
      <w:r>
        <w:rPr>
          <w:vertAlign w:val="baseline"/>
        </w:rPr>
        <w:t>, do not have access to that report as of right. It goes without saying</w:t>
      </w:r>
      <w:r>
        <w:rPr>
          <w:spacing w:val="-1"/>
          <w:vertAlign w:val="baseline"/>
        </w:rPr>
        <w:t> </w:t>
      </w:r>
      <w:r>
        <w:rPr>
          <w:vertAlign w:val="baseline"/>
        </w:rPr>
        <w:t>that,</w:t>
      </w:r>
      <w:r>
        <w:rPr>
          <w:spacing w:val="-4"/>
          <w:vertAlign w:val="baseline"/>
        </w:rPr>
        <w:t> </w:t>
      </w:r>
      <w:r>
        <w:rPr>
          <w:vertAlign w:val="baseline"/>
        </w:rPr>
        <w:t>unless</w:t>
      </w:r>
      <w:r>
        <w:rPr>
          <w:spacing w:val="-4"/>
          <w:vertAlign w:val="baseline"/>
        </w:rPr>
        <w:t> </w:t>
      </w:r>
      <w:r>
        <w:rPr>
          <w:vertAlign w:val="baseline"/>
        </w:rPr>
        <w:t>the</w:t>
      </w:r>
      <w:r>
        <w:rPr>
          <w:spacing w:val="-2"/>
          <w:vertAlign w:val="baseline"/>
        </w:rPr>
        <w:t> </w:t>
      </w:r>
      <w:r>
        <w:rPr>
          <w:vertAlign w:val="baseline"/>
        </w:rPr>
        <w:t>company</w:t>
      </w:r>
      <w:r>
        <w:rPr>
          <w:spacing w:val="-1"/>
          <w:vertAlign w:val="baseline"/>
        </w:rPr>
        <w:t> </w:t>
      </w:r>
      <w:r>
        <w:rPr>
          <w:vertAlign w:val="baseline"/>
        </w:rPr>
        <w:t>has incidentally</w:t>
      </w:r>
      <w:r>
        <w:rPr>
          <w:spacing w:val="-1"/>
          <w:vertAlign w:val="baseline"/>
        </w:rPr>
        <w:t> </w:t>
      </w:r>
      <w:r>
        <w:rPr>
          <w:vertAlign w:val="baseline"/>
        </w:rPr>
        <w:t>incurred</w:t>
      </w:r>
      <w:r>
        <w:rPr>
          <w:spacing w:val="-1"/>
          <w:vertAlign w:val="baseline"/>
        </w:rPr>
        <w:t> </w:t>
      </w:r>
      <w:r>
        <w:rPr>
          <w:vertAlign w:val="baseline"/>
        </w:rPr>
        <w:t>losses by</w:t>
      </w:r>
      <w:r>
        <w:rPr>
          <w:spacing w:val="-11"/>
          <w:vertAlign w:val="baseline"/>
        </w:rPr>
        <w:t> </w:t>
      </w:r>
      <w:r>
        <w:rPr>
          <w:vertAlign w:val="baseline"/>
        </w:rPr>
        <w:t>a</w:t>
      </w:r>
      <w:r>
        <w:rPr>
          <w:spacing w:val="-2"/>
          <w:vertAlign w:val="baseline"/>
        </w:rPr>
        <w:t> </w:t>
      </w:r>
      <w:r>
        <w:rPr>
          <w:vertAlign w:val="baseline"/>
        </w:rPr>
        <w:t>director‘s</w:t>
      </w:r>
      <w:r>
        <w:rPr>
          <w:spacing w:val="-4"/>
          <w:vertAlign w:val="baseline"/>
        </w:rPr>
        <w:t> </w:t>
      </w:r>
      <w:r>
        <w:rPr>
          <w:vertAlign w:val="baseline"/>
        </w:rPr>
        <w:t>decision,</w:t>
      </w:r>
    </w:p>
    <w:p>
      <w:pPr>
        <w:pStyle w:val="BodyText"/>
        <w:spacing w:line="480" w:lineRule="auto" w:before="2"/>
        <w:ind w:right="237"/>
        <w:jc w:val="both"/>
      </w:pPr>
      <w:r>
        <w:rPr/>
        <w:t>―it‖ will not indict him for breach of duty on behalf of, say, the environment or customers whose interests have been </w:t>
      </w:r>
      <w:r>
        <w:rPr>
          <w:i/>
        </w:rPr>
        <w:t>disregarded</w:t>
      </w:r>
      <w:r>
        <w:rPr/>
        <w:t>in arriving at a particular decision.</w:t>
      </w:r>
    </w:p>
    <w:p>
      <w:pPr>
        <w:pStyle w:val="BodyText"/>
        <w:spacing w:line="480" w:lineRule="auto"/>
        <w:ind w:right="241" w:firstLine="720"/>
        <w:jc w:val="both"/>
      </w:pPr>
      <w:r>
        <w:rPr/>
        <w:t>Few courts have so far had the chance to interpret s.172 in their deliberations. However,</w:t>
      </w:r>
      <w:r>
        <w:rPr>
          <w:spacing w:val="25"/>
        </w:rPr>
        <w:t> </w:t>
      </w:r>
      <w:r>
        <w:rPr/>
        <w:t>already,</w:t>
      </w:r>
      <w:r>
        <w:rPr>
          <w:spacing w:val="26"/>
        </w:rPr>
        <w:t> </w:t>
      </w:r>
      <w:r>
        <w:rPr/>
        <w:t>some</w:t>
      </w:r>
      <w:r>
        <w:rPr>
          <w:vertAlign w:val="superscript"/>
        </w:rPr>
        <w:t>35</w:t>
      </w:r>
      <w:r>
        <w:rPr>
          <w:spacing w:val="27"/>
          <w:vertAlign w:val="baseline"/>
        </w:rPr>
        <w:t> </w:t>
      </w:r>
      <w:r>
        <w:rPr>
          <w:vertAlign w:val="baseline"/>
        </w:rPr>
        <w:t>speculate</w:t>
      </w:r>
      <w:r>
        <w:rPr>
          <w:spacing w:val="23"/>
          <w:vertAlign w:val="baseline"/>
        </w:rPr>
        <w:t> </w:t>
      </w:r>
      <w:r>
        <w:rPr>
          <w:vertAlign w:val="baseline"/>
        </w:rPr>
        <w:t>that</w:t>
      </w:r>
      <w:r>
        <w:rPr>
          <w:spacing w:val="28"/>
          <w:vertAlign w:val="baseline"/>
        </w:rPr>
        <w:t> </w:t>
      </w:r>
      <w:r>
        <w:rPr>
          <w:vertAlign w:val="baseline"/>
        </w:rPr>
        <w:t>not</w:t>
      </w:r>
      <w:r>
        <w:rPr>
          <w:spacing w:val="29"/>
          <w:vertAlign w:val="baseline"/>
        </w:rPr>
        <w:t> </w:t>
      </w:r>
      <w:r>
        <w:rPr>
          <w:vertAlign w:val="baseline"/>
        </w:rPr>
        <w:t>much</w:t>
      </w:r>
      <w:r>
        <w:rPr>
          <w:spacing w:val="24"/>
          <w:vertAlign w:val="baseline"/>
        </w:rPr>
        <w:t> </w:t>
      </w:r>
      <w:r>
        <w:rPr>
          <w:vertAlign w:val="baseline"/>
        </w:rPr>
        <w:t>has</w:t>
      </w:r>
      <w:r>
        <w:rPr>
          <w:spacing w:val="26"/>
          <w:vertAlign w:val="baseline"/>
        </w:rPr>
        <w:t> </w:t>
      </w:r>
      <w:r>
        <w:rPr>
          <w:vertAlign w:val="baseline"/>
        </w:rPr>
        <w:t>been</w:t>
      </w:r>
      <w:r>
        <w:rPr>
          <w:spacing w:val="19"/>
          <w:vertAlign w:val="baseline"/>
        </w:rPr>
        <w:t> </w:t>
      </w:r>
      <w:r>
        <w:rPr>
          <w:vertAlign w:val="baseline"/>
        </w:rPr>
        <w:t>changed</w:t>
      </w:r>
      <w:r>
        <w:rPr>
          <w:spacing w:val="32"/>
          <w:vertAlign w:val="baseline"/>
        </w:rPr>
        <w:t> </w:t>
      </w:r>
      <w:r>
        <w:rPr>
          <w:vertAlign w:val="baseline"/>
        </w:rPr>
        <w:t>from</w:t>
      </w:r>
      <w:r>
        <w:rPr>
          <w:spacing w:val="16"/>
          <w:vertAlign w:val="baseline"/>
        </w:rPr>
        <w:t> </w:t>
      </w:r>
      <w:r>
        <w:rPr>
          <w:vertAlign w:val="baseline"/>
        </w:rPr>
        <w:t>the</w:t>
      </w:r>
      <w:r>
        <w:rPr>
          <w:spacing w:val="27"/>
          <w:vertAlign w:val="baseline"/>
        </w:rPr>
        <w:t> </w:t>
      </w:r>
      <w:r>
        <w:rPr>
          <w:spacing w:val="-2"/>
          <w:vertAlign w:val="baseline"/>
        </w:rPr>
        <w:t>closest</w:t>
      </w:r>
    </w:p>
    <w:p>
      <w:pPr>
        <w:pStyle w:val="BodyText"/>
        <w:spacing w:before="10"/>
        <w:ind w:left="0"/>
        <w:rPr>
          <w:sz w:val="17"/>
        </w:rPr>
      </w:pPr>
      <w:r>
        <w:rPr/>
        <mc:AlternateContent>
          <mc:Choice Requires="wps">
            <w:drawing>
              <wp:anchor distT="0" distB="0" distL="0" distR="0" allowOverlap="1" layoutInCell="1" locked="0" behindDoc="1" simplePos="0" relativeHeight="487716352">
                <wp:simplePos x="0" y="0"/>
                <wp:positionH relativeFrom="page">
                  <wp:posOffset>1262481</wp:posOffset>
                </wp:positionH>
                <wp:positionV relativeFrom="paragraph">
                  <wp:posOffset>145853</wp:posOffset>
                </wp:positionV>
                <wp:extent cx="1829435" cy="9525"/>
                <wp:effectExtent l="0" t="0" r="0" b="0"/>
                <wp:wrapTopAndBottom/>
                <wp:docPr id="278" name="Graphic 278"/>
                <wp:cNvGraphicFramePr>
                  <a:graphicFrameLocks/>
                </wp:cNvGraphicFramePr>
                <a:graphic>
                  <a:graphicData uri="http://schemas.microsoft.com/office/word/2010/wordprocessingShape">
                    <wps:wsp>
                      <wps:cNvPr id="278" name="Graphic 27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484561pt;width:144.050pt;height:.71997pt;mso-position-horizontal-relative:page;mso-position-vertical-relative:paragraph;z-index:-15600128;mso-wrap-distance-left:0;mso-wrap-distance-right:0" id="docshape233" filled="true" fillcolor="#000000" stroked="false">
                <v:fill type="solid"/>
                <w10:wrap type="topAndBottom"/>
              </v:rect>
            </w:pict>
          </mc:Fallback>
        </mc:AlternateContent>
      </w:r>
    </w:p>
    <w:p>
      <w:pPr>
        <w:spacing w:before="102"/>
        <w:ind w:left="308" w:right="0" w:firstLine="0"/>
        <w:jc w:val="left"/>
        <w:rPr>
          <w:rFonts w:ascii="Calibri" w:hAnsi="Calibri"/>
          <w:sz w:val="20"/>
        </w:rPr>
      </w:pPr>
      <w:r>
        <w:rPr>
          <w:rFonts w:ascii="Calibri" w:hAnsi="Calibri"/>
          <w:sz w:val="20"/>
          <w:vertAlign w:val="superscript"/>
        </w:rPr>
        <w:t>32</w:t>
      </w:r>
      <w:r>
        <w:rPr>
          <w:rFonts w:ascii="Calibri" w:hAnsi="Calibri"/>
          <w:sz w:val="20"/>
          <w:vertAlign w:val="baseline"/>
        </w:rPr>
        <w:t>Hollington</w:t>
      </w:r>
      <w:r>
        <w:rPr>
          <w:rFonts w:ascii="Calibri" w:hAnsi="Calibri"/>
          <w:spacing w:val="-3"/>
          <w:sz w:val="20"/>
          <w:vertAlign w:val="baseline"/>
        </w:rPr>
        <w:t> </w:t>
      </w:r>
      <w:r>
        <w:rPr>
          <w:rFonts w:ascii="Calibri" w:hAnsi="Calibri"/>
          <w:sz w:val="20"/>
          <w:vertAlign w:val="baseline"/>
        </w:rPr>
        <w:t>R.</w:t>
      </w:r>
      <w:r>
        <w:rPr>
          <w:rFonts w:ascii="Calibri" w:hAnsi="Calibri"/>
          <w:spacing w:val="-1"/>
          <w:sz w:val="20"/>
          <w:vertAlign w:val="baseline"/>
        </w:rPr>
        <w:t> </w:t>
      </w:r>
      <w:r>
        <w:rPr>
          <w:rFonts w:ascii="Calibri" w:hAnsi="Calibri"/>
          <w:sz w:val="20"/>
          <w:vertAlign w:val="baseline"/>
        </w:rPr>
        <w:t>(2008).</w:t>
      </w:r>
      <w:r>
        <w:rPr>
          <w:rFonts w:ascii="Calibri" w:hAnsi="Calibri"/>
          <w:i/>
          <w:sz w:val="20"/>
          <w:vertAlign w:val="baseline"/>
        </w:rPr>
        <w:t>Directors’</w:t>
      </w:r>
      <w:r>
        <w:rPr>
          <w:rFonts w:ascii="Calibri" w:hAnsi="Calibri"/>
          <w:i/>
          <w:spacing w:val="-1"/>
          <w:sz w:val="20"/>
          <w:vertAlign w:val="baseline"/>
        </w:rPr>
        <w:t> </w:t>
      </w:r>
      <w:r>
        <w:rPr>
          <w:rFonts w:ascii="Calibri" w:hAnsi="Calibri"/>
          <w:i/>
          <w:sz w:val="20"/>
          <w:vertAlign w:val="baseline"/>
        </w:rPr>
        <w:t>Duties</w:t>
      </w:r>
      <w:r>
        <w:rPr>
          <w:rFonts w:ascii="Calibri" w:hAnsi="Calibri"/>
          <w:i/>
          <w:spacing w:val="-6"/>
          <w:sz w:val="20"/>
          <w:vertAlign w:val="baseline"/>
        </w:rPr>
        <w:t> </w:t>
      </w:r>
      <w:r>
        <w:rPr>
          <w:rFonts w:ascii="Calibri" w:hAnsi="Calibri"/>
          <w:i/>
          <w:sz w:val="20"/>
          <w:vertAlign w:val="baseline"/>
        </w:rPr>
        <w:t>under</w:t>
      </w:r>
      <w:r>
        <w:rPr>
          <w:rFonts w:ascii="Calibri" w:hAnsi="Calibri"/>
          <w:i/>
          <w:spacing w:val="-1"/>
          <w:sz w:val="20"/>
          <w:vertAlign w:val="baseline"/>
        </w:rPr>
        <w:t> </w:t>
      </w:r>
      <w:r>
        <w:rPr>
          <w:rFonts w:ascii="Calibri" w:hAnsi="Calibri"/>
          <w:i/>
          <w:sz w:val="20"/>
          <w:vertAlign w:val="baseline"/>
        </w:rPr>
        <w:t>the Companies</w:t>
      </w:r>
      <w:r>
        <w:rPr>
          <w:rFonts w:ascii="Calibri" w:hAnsi="Calibri"/>
          <w:i/>
          <w:spacing w:val="-6"/>
          <w:sz w:val="20"/>
          <w:vertAlign w:val="baseline"/>
        </w:rPr>
        <w:t> </w:t>
      </w:r>
      <w:r>
        <w:rPr>
          <w:rFonts w:ascii="Calibri" w:hAnsi="Calibri"/>
          <w:i/>
          <w:sz w:val="20"/>
          <w:vertAlign w:val="baseline"/>
        </w:rPr>
        <w:t>Act 2006: Have the Lunatics</w:t>
      </w:r>
      <w:r>
        <w:rPr>
          <w:rFonts w:ascii="Calibri" w:hAnsi="Calibri"/>
          <w:i/>
          <w:spacing w:val="-1"/>
          <w:sz w:val="20"/>
          <w:vertAlign w:val="baseline"/>
        </w:rPr>
        <w:t> </w:t>
      </w:r>
      <w:r>
        <w:rPr>
          <w:rFonts w:ascii="Calibri" w:hAnsi="Calibri"/>
          <w:i/>
          <w:sz w:val="20"/>
          <w:vertAlign w:val="baseline"/>
        </w:rPr>
        <w:t>Taken Over</w:t>
      </w:r>
      <w:r>
        <w:rPr>
          <w:rFonts w:ascii="Calibri" w:hAnsi="Calibri"/>
          <w:i/>
          <w:spacing w:val="-1"/>
          <w:sz w:val="20"/>
          <w:vertAlign w:val="baseline"/>
        </w:rPr>
        <w:t> </w:t>
      </w:r>
      <w:r>
        <w:rPr>
          <w:rFonts w:ascii="Calibri" w:hAnsi="Calibri"/>
          <w:i/>
          <w:sz w:val="20"/>
          <w:vertAlign w:val="baseline"/>
        </w:rPr>
        <w:t>the Asylum?</w:t>
      </w:r>
      <w:r>
        <w:rPr>
          <w:rFonts w:ascii="Calibri" w:hAnsi="Calibri"/>
          <w:i/>
          <w:spacing w:val="-4"/>
          <w:sz w:val="20"/>
          <w:vertAlign w:val="baseline"/>
        </w:rPr>
        <w:t> </w:t>
      </w:r>
      <w:r>
        <w:rPr>
          <w:rFonts w:ascii="Calibri" w:hAnsi="Calibri"/>
          <w:sz w:val="20"/>
          <w:vertAlign w:val="baseline"/>
        </w:rPr>
        <w:t>A</w:t>
      </w:r>
      <w:r>
        <w:rPr>
          <w:rFonts w:ascii="Calibri" w:hAnsi="Calibri"/>
          <w:spacing w:val="-3"/>
          <w:sz w:val="20"/>
          <w:vertAlign w:val="baseline"/>
        </w:rPr>
        <w:t> </w:t>
      </w:r>
      <w:r>
        <w:rPr>
          <w:rFonts w:ascii="Calibri" w:hAnsi="Calibri"/>
          <w:sz w:val="20"/>
          <w:vertAlign w:val="baseline"/>
        </w:rPr>
        <w:t>lecture</w:t>
      </w:r>
      <w:r>
        <w:rPr>
          <w:rFonts w:ascii="Calibri" w:hAnsi="Calibri"/>
          <w:spacing w:val="-1"/>
          <w:sz w:val="20"/>
          <w:vertAlign w:val="baseline"/>
        </w:rPr>
        <w:t> </w:t>
      </w:r>
      <w:r>
        <w:rPr>
          <w:rFonts w:ascii="Calibri" w:hAnsi="Calibri"/>
          <w:sz w:val="20"/>
          <w:vertAlign w:val="baseline"/>
        </w:rPr>
        <w:t>delivered</w:t>
      </w:r>
      <w:r>
        <w:rPr>
          <w:rFonts w:ascii="Calibri" w:hAnsi="Calibri"/>
          <w:spacing w:val="-2"/>
          <w:sz w:val="20"/>
          <w:vertAlign w:val="baseline"/>
        </w:rPr>
        <w:t> </w:t>
      </w:r>
      <w:r>
        <w:rPr>
          <w:rFonts w:ascii="Calibri" w:hAnsi="Calibri"/>
          <w:sz w:val="20"/>
          <w:vertAlign w:val="baseline"/>
        </w:rPr>
        <w:t>at</w:t>
      </w:r>
      <w:r>
        <w:rPr>
          <w:rFonts w:ascii="Calibri" w:hAnsi="Calibri"/>
          <w:spacing w:val="-3"/>
          <w:sz w:val="20"/>
          <w:vertAlign w:val="baseline"/>
        </w:rPr>
        <w:t> </w:t>
      </w:r>
      <w:r>
        <w:rPr>
          <w:rFonts w:ascii="Calibri" w:hAnsi="Calibri"/>
          <w:sz w:val="20"/>
          <w:vertAlign w:val="baseline"/>
        </w:rPr>
        <w:t>Ian</w:t>
      </w:r>
      <w:r>
        <w:rPr>
          <w:rFonts w:ascii="Calibri" w:hAnsi="Calibri"/>
          <w:spacing w:val="-3"/>
          <w:sz w:val="20"/>
          <w:vertAlign w:val="baseline"/>
        </w:rPr>
        <w:t> </w:t>
      </w:r>
      <w:r>
        <w:rPr>
          <w:rFonts w:ascii="Calibri" w:hAnsi="Calibri"/>
          <w:sz w:val="20"/>
          <w:vertAlign w:val="baseline"/>
        </w:rPr>
        <w:t>Fairbairn</w:t>
      </w:r>
      <w:r>
        <w:rPr>
          <w:rFonts w:ascii="Calibri" w:hAnsi="Calibri"/>
          <w:spacing w:val="-2"/>
          <w:sz w:val="20"/>
          <w:vertAlign w:val="baseline"/>
        </w:rPr>
        <w:t> </w:t>
      </w:r>
      <w:r>
        <w:rPr>
          <w:rFonts w:ascii="Calibri" w:hAnsi="Calibri"/>
          <w:sz w:val="20"/>
          <w:vertAlign w:val="baseline"/>
        </w:rPr>
        <w:t>Lecture</w:t>
      </w:r>
      <w:r>
        <w:rPr>
          <w:rFonts w:ascii="Calibri" w:hAnsi="Calibri"/>
          <w:spacing w:val="-1"/>
          <w:sz w:val="20"/>
          <w:vertAlign w:val="baseline"/>
        </w:rPr>
        <w:t> </w:t>
      </w:r>
      <w:r>
        <w:rPr>
          <w:rFonts w:ascii="Calibri" w:hAnsi="Calibri"/>
          <w:sz w:val="20"/>
          <w:vertAlign w:val="baseline"/>
        </w:rPr>
        <w:t>Theatre,</w:t>
      </w:r>
      <w:r>
        <w:rPr>
          <w:rFonts w:ascii="Calibri" w:hAnsi="Calibri"/>
          <w:spacing w:val="-4"/>
          <w:sz w:val="20"/>
          <w:vertAlign w:val="baseline"/>
        </w:rPr>
        <w:t> </w:t>
      </w:r>
      <w:r>
        <w:rPr>
          <w:rFonts w:ascii="Calibri" w:hAnsi="Calibri"/>
          <w:sz w:val="20"/>
          <w:vertAlign w:val="baseline"/>
        </w:rPr>
        <w:t>University</w:t>
      </w:r>
      <w:r>
        <w:rPr>
          <w:rFonts w:ascii="Calibri" w:hAnsi="Calibri"/>
          <w:spacing w:val="-2"/>
          <w:sz w:val="20"/>
          <w:vertAlign w:val="baseline"/>
        </w:rPr>
        <w:t> </w:t>
      </w:r>
      <w:r>
        <w:rPr>
          <w:rFonts w:ascii="Calibri" w:hAnsi="Calibri"/>
          <w:sz w:val="20"/>
          <w:vertAlign w:val="baseline"/>
        </w:rPr>
        <w:t>of</w:t>
      </w:r>
      <w:r>
        <w:rPr>
          <w:rFonts w:ascii="Calibri" w:hAnsi="Calibri"/>
          <w:spacing w:val="-1"/>
          <w:sz w:val="20"/>
          <w:vertAlign w:val="baseline"/>
        </w:rPr>
        <w:t> </w:t>
      </w:r>
      <w:r>
        <w:rPr>
          <w:rFonts w:ascii="Calibri" w:hAnsi="Calibri"/>
          <w:sz w:val="20"/>
          <w:vertAlign w:val="baseline"/>
        </w:rPr>
        <w:t>Buckingham,</w:t>
      </w:r>
      <w:r>
        <w:rPr>
          <w:rFonts w:ascii="Calibri" w:hAnsi="Calibri"/>
          <w:spacing w:val="-4"/>
          <w:sz w:val="20"/>
          <w:vertAlign w:val="baseline"/>
        </w:rPr>
        <w:t> </w:t>
      </w:r>
      <w:r>
        <w:rPr>
          <w:rFonts w:ascii="Calibri" w:hAnsi="Calibri"/>
          <w:sz w:val="20"/>
          <w:vertAlign w:val="baseline"/>
        </w:rPr>
        <w:t>(April</w:t>
      </w:r>
      <w:r>
        <w:rPr>
          <w:rFonts w:ascii="Calibri" w:hAnsi="Calibri"/>
          <w:spacing w:val="-1"/>
          <w:sz w:val="20"/>
          <w:vertAlign w:val="baseline"/>
        </w:rPr>
        <w:t> </w:t>
      </w:r>
      <w:r>
        <w:rPr>
          <w:rFonts w:ascii="Calibri" w:hAnsi="Calibri"/>
          <w:sz w:val="20"/>
          <w:vertAlign w:val="baseline"/>
        </w:rPr>
        <w:t>22,</w:t>
      </w:r>
      <w:r>
        <w:rPr>
          <w:rFonts w:ascii="Calibri" w:hAnsi="Calibri"/>
          <w:spacing w:val="-3"/>
          <w:sz w:val="20"/>
          <w:vertAlign w:val="baseline"/>
        </w:rPr>
        <w:t> </w:t>
      </w:r>
      <w:r>
        <w:rPr>
          <w:rFonts w:ascii="Calibri" w:hAnsi="Calibri"/>
          <w:spacing w:val="-2"/>
          <w:sz w:val="20"/>
          <w:vertAlign w:val="baseline"/>
        </w:rPr>
        <w:t>2008),</w:t>
      </w:r>
    </w:p>
    <w:p>
      <w:pPr>
        <w:tabs>
          <w:tab w:pos="1244" w:val="left" w:leader="none"/>
          <w:tab w:pos="2017" w:val="left" w:leader="none"/>
          <w:tab w:pos="2992" w:val="left" w:leader="none"/>
          <w:tab w:pos="3813" w:val="left" w:leader="none"/>
          <w:tab w:pos="5267" w:val="left" w:leader="none"/>
          <w:tab w:pos="6467" w:val="left" w:leader="none"/>
          <w:tab w:pos="7341" w:val="left" w:leader="none"/>
          <w:tab w:pos="8417" w:val="left" w:leader="none"/>
        </w:tabs>
        <w:spacing w:before="2"/>
        <w:ind w:left="308" w:right="228" w:firstLine="0"/>
        <w:jc w:val="left"/>
        <w:rPr>
          <w:rFonts w:ascii="Calibri"/>
          <w:sz w:val="20"/>
        </w:rPr>
      </w:pPr>
      <w:r>
        <w:rPr>
          <w:rFonts w:ascii="Calibri"/>
          <w:spacing w:val="-4"/>
          <w:sz w:val="20"/>
        </w:rPr>
        <w:t>pp.</w:t>
      </w:r>
      <w:r>
        <w:rPr>
          <w:rFonts w:ascii="Calibri"/>
          <w:sz w:val="20"/>
        </w:rPr>
        <w:tab/>
      </w:r>
      <w:r>
        <w:rPr>
          <w:rFonts w:ascii="Calibri"/>
          <w:spacing w:val="-10"/>
          <w:sz w:val="20"/>
        </w:rPr>
        <w:t>4</w:t>
      </w:r>
      <w:r>
        <w:rPr>
          <w:rFonts w:ascii="Calibri"/>
          <w:sz w:val="20"/>
        </w:rPr>
        <w:tab/>
      </w:r>
      <w:r>
        <w:rPr>
          <w:rFonts w:ascii="Calibri"/>
          <w:spacing w:val="-4"/>
          <w:sz w:val="20"/>
        </w:rPr>
        <w:t>and</w:t>
      </w:r>
      <w:r>
        <w:rPr>
          <w:rFonts w:ascii="Calibri"/>
          <w:sz w:val="20"/>
        </w:rPr>
        <w:tab/>
      </w:r>
      <w:r>
        <w:rPr>
          <w:rFonts w:ascii="Calibri"/>
          <w:spacing w:val="-6"/>
          <w:sz w:val="20"/>
        </w:rPr>
        <w:t>7.</w:t>
      </w:r>
      <w:r>
        <w:rPr>
          <w:rFonts w:ascii="Calibri"/>
          <w:sz w:val="20"/>
        </w:rPr>
        <w:tab/>
      </w:r>
      <w:r>
        <w:rPr>
          <w:rFonts w:ascii="Calibri"/>
          <w:spacing w:val="-2"/>
          <w:sz w:val="20"/>
        </w:rPr>
        <w:t>Retrieved</w:t>
      </w:r>
      <w:r>
        <w:rPr>
          <w:rFonts w:ascii="Calibri"/>
          <w:sz w:val="20"/>
        </w:rPr>
        <w:tab/>
      </w:r>
      <w:r>
        <w:rPr>
          <w:rFonts w:ascii="Calibri"/>
          <w:spacing w:val="-2"/>
          <w:sz w:val="20"/>
        </w:rPr>
        <w:t>March</w:t>
      </w:r>
      <w:r>
        <w:rPr>
          <w:rFonts w:ascii="Calibri"/>
          <w:sz w:val="20"/>
        </w:rPr>
        <w:tab/>
      </w:r>
      <w:r>
        <w:rPr>
          <w:rFonts w:ascii="Calibri"/>
          <w:spacing w:val="-6"/>
          <w:sz w:val="20"/>
        </w:rPr>
        <w:t>23</w:t>
      </w:r>
      <w:r>
        <w:rPr>
          <w:rFonts w:ascii="Calibri"/>
          <w:sz w:val="20"/>
        </w:rPr>
        <w:tab/>
      </w:r>
      <w:r>
        <w:rPr>
          <w:rFonts w:ascii="Calibri"/>
          <w:spacing w:val="-4"/>
          <w:sz w:val="20"/>
        </w:rPr>
        <w:t>2013</w:t>
      </w:r>
      <w:r>
        <w:rPr>
          <w:rFonts w:ascii="Calibri"/>
          <w:sz w:val="20"/>
        </w:rPr>
        <w:tab/>
      </w:r>
      <w:r>
        <w:rPr>
          <w:rFonts w:ascii="Calibri"/>
          <w:spacing w:val="-4"/>
          <w:sz w:val="20"/>
        </w:rPr>
        <w:t>fro</w:t>
      </w:r>
      <w:r>
        <w:rPr>
          <w:rFonts w:ascii="Calibri"/>
          <w:spacing w:val="-4"/>
          <w:sz w:val="20"/>
        </w:rPr>
        <w:t>m</w:t>
      </w:r>
      <w:r>
        <w:rPr>
          <w:rFonts w:ascii="Calibri"/>
          <w:spacing w:val="-4"/>
          <w:sz w:val="20"/>
        </w:rPr>
        <w:t> </w:t>
      </w:r>
      <w:hyperlink r:id="rId17">
        <w:r>
          <w:rPr>
            <w:rFonts w:ascii="Calibri"/>
            <w:color w:val="0000FF"/>
            <w:spacing w:val="-2"/>
            <w:sz w:val="20"/>
            <w:u w:val="single" w:color="0000FF"/>
          </w:rPr>
          <w:t>http://www.newsquarechambers.co.uk/files/Publications/Directors%20duties%20under%20the%20Co</w:t>
        </w:r>
      </w:hyperlink>
      <w:r>
        <w:rPr>
          <w:rFonts w:ascii="Calibri"/>
          <w:color w:val="0000FF"/>
          <w:spacing w:val="-2"/>
          <w:sz w:val="20"/>
        </w:rPr>
        <w:t> </w:t>
      </w:r>
      <w:hyperlink r:id="rId17">
        <w:r>
          <w:rPr>
            <w:rFonts w:ascii="Calibri"/>
            <w:color w:val="0000FF"/>
            <w:spacing w:val="-2"/>
            <w:sz w:val="20"/>
            <w:u w:val="single" w:color="0000FF"/>
          </w:rPr>
          <w:t>mpanies%20Act%202006%20(Robin%20Hollington%20QC).pdf</w:t>
        </w:r>
      </w:hyperlink>
    </w:p>
    <w:p>
      <w:pPr>
        <w:spacing w:line="235" w:lineRule="auto" w:before="6"/>
        <w:ind w:left="308" w:right="0" w:firstLine="0"/>
        <w:jc w:val="left"/>
        <w:rPr>
          <w:rFonts w:ascii="Calibri"/>
          <w:sz w:val="20"/>
        </w:rPr>
      </w:pPr>
      <w:r>
        <w:rPr>
          <w:rFonts w:ascii="Calibri"/>
          <w:sz w:val="20"/>
          <w:vertAlign w:val="superscript"/>
        </w:rPr>
        <w:t>33</w:t>
      </w:r>
      <w:r>
        <w:rPr>
          <w:rFonts w:ascii="Calibri"/>
          <w:sz w:val="20"/>
          <w:vertAlign w:val="baseline"/>
        </w:rPr>
        <w:t>Freeman, R.E. </w:t>
      </w:r>
      <w:r>
        <w:rPr>
          <w:rFonts w:ascii="Calibri"/>
          <w:i/>
          <w:sz w:val="20"/>
          <w:vertAlign w:val="baseline"/>
        </w:rPr>
        <w:t>et al. </w:t>
      </w:r>
      <w:r>
        <w:rPr>
          <w:rFonts w:ascii="Calibri"/>
          <w:sz w:val="20"/>
          <w:vertAlign w:val="baseline"/>
        </w:rPr>
        <w:t>(2010). </w:t>
      </w:r>
      <w:r>
        <w:rPr>
          <w:rFonts w:ascii="Calibri"/>
          <w:i/>
          <w:sz w:val="20"/>
          <w:vertAlign w:val="baseline"/>
        </w:rPr>
        <w:t>Stakeholder Theory: The State of the Art</w:t>
      </w:r>
      <w:r>
        <w:rPr>
          <w:rFonts w:ascii="Calibri"/>
          <w:sz w:val="20"/>
          <w:vertAlign w:val="baseline"/>
        </w:rPr>
        <w:t>. New York.Cambridge University Press, p. 28.</w:t>
      </w:r>
    </w:p>
    <w:p>
      <w:pPr>
        <w:spacing w:before="2"/>
        <w:ind w:left="308" w:right="225" w:firstLine="0"/>
        <w:jc w:val="left"/>
        <w:rPr>
          <w:rFonts w:ascii="Calibri" w:hAnsi="Calibri"/>
          <w:sz w:val="20"/>
        </w:rPr>
      </w:pPr>
      <w:r>
        <w:rPr>
          <w:rFonts w:ascii="Calibri" w:hAnsi="Calibri"/>
          <w:sz w:val="20"/>
          <w:vertAlign w:val="superscript"/>
        </w:rPr>
        <w:t>34</w:t>
      </w:r>
      <w:r>
        <w:rPr>
          <w:rFonts w:ascii="Calibri" w:hAnsi="Calibri"/>
          <w:i/>
          <w:sz w:val="20"/>
          <w:vertAlign w:val="baseline"/>
        </w:rPr>
        <w:t>Companies</w:t>
      </w:r>
      <w:r>
        <w:rPr>
          <w:rFonts w:ascii="Calibri" w:hAnsi="Calibri"/>
          <w:i/>
          <w:spacing w:val="80"/>
          <w:sz w:val="20"/>
          <w:vertAlign w:val="baseline"/>
        </w:rPr>
        <w:t> </w:t>
      </w:r>
      <w:r>
        <w:rPr>
          <w:rFonts w:ascii="Calibri" w:hAnsi="Calibri"/>
          <w:i/>
          <w:sz w:val="20"/>
          <w:vertAlign w:val="baseline"/>
        </w:rPr>
        <w:t>Act</w:t>
      </w:r>
      <w:r>
        <w:rPr>
          <w:rFonts w:ascii="Calibri" w:hAnsi="Calibri"/>
          <w:i/>
          <w:spacing w:val="80"/>
          <w:sz w:val="20"/>
          <w:vertAlign w:val="baseline"/>
        </w:rPr>
        <w:t> </w:t>
      </w:r>
      <w:r>
        <w:rPr>
          <w:rFonts w:ascii="Calibri" w:hAnsi="Calibri"/>
          <w:i/>
          <w:sz w:val="20"/>
          <w:vertAlign w:val="baseline"/>
        </w:rPr>
        <w:t>2006:</w:t>
      </w:r>
      <w:r>
        <w:rPr>
          <w:rFonts w:ascii="Calibri" w:hAnsi="Calibri"/>
          <w:i/>
          <w:spacing w:val="80"/>
          <w:sz w:val="20"/>
          <w:vertAlign w:val="baseline"/>
        </w:rPr>
        <w:t> </w:t>
      </w:r>
      <w:r>
        <w:rPr>
          <w:rFonts w:ascii="Calibri" w:hAnsi="Calibri"/>
          <w:i/>
          <w:sz w:val="20"/>
          <w:vertAlign w:val="baseline"/>
        </w:rPr>
        <w:t>Duties</w:t>
      </w:r>
      <w:r>
        <w:rPr>
          <w:rFonts w:ascii="Calibri" w:hAnsi="Calibri"/>
          <w:i/>
          <w:spacing w:val="80"/>
          <w:sz w:val="20"/>
          <w:vertAlign w:val="baseline"/>
        </w:rPr>
        <w:t> </w:t>
      </w:r>
      <w:r>
        <w:rPr>
          <w:rFonts w:ascii="Calibri" w:hAnsi="Calibri"/>
          <w:i/>
          <w:sz w:val="20"/>
          <w:vertAlign w:val="baseline"/>
        </w:rPr>
        <w:t>of</w:t>
      </w:r>
      <w:r>
        <w:rPr>
          <w:rFonts w:ascii="Calibri" w:hAnsi="Calibri"/>
          <w:i/>
          <w:spacing w:val="80"/>
          <w:sz w:val="20"/>
          <w:vertAlign w:val="baseline"/>
        </w:rPr>
        <w:t> </w:t>
      </w:r>
      <w:r>
        <w:rPr>
          <w:rFonts w:ascii="Calibri" w:hAnsi="Calibri"/>
          <w:i/>
          <w:sz w:val="20"/>
          <w:vertAlign w:val="baseline"/>
        </w:rPr>
        <w:t>Company</w:t>
      </w:r>
      <w:r>
        <w:rPr>
          <w:rFonts w:ascii="Calibri" w:hAnsi="Calibri"/>
          <w:i/>
          <w:spacing w:val="80"/>
          <w:sz w:val="20"/>
          <w:vertAlign w:val="baseline"/>
        </w:rPr>
        <w:t> </w:t>
      </w:r>
      <w:r>
        <w:rPr>
          <w:rFonts w:ascii="Calibri" w:hAnsi="Calibri"/>
          <w:i/>
          <w:sz w:val="20"/>
          <w:vertAlign w:val="baseline"/>
        </w:rPr>
        <w:t>Directors</w:t>
      </w:r>
      <w:r>
        <w:rPr>
          <w:rFonts w:ascii="Calibri" w:hAnsi="Calibri"/>
          <w:sz w:val="20"/>
          <w:vertAlign w:val="baseline"/>
        </w:rPr>
        <w:t>,</w:t>
      </w:r>
      <w:r>
        <w:rPr>
          <w:rFonts w:ascii="Calibri" w:hAnsi="Calibri"/>
          <w:spacing w:val="80"/>
          <w:sz w:val="20"/>
          <w:vertAlign w:val="baseline"/>
        </w:rPr>
        <w:t> </w:t>
      </w:r>
      <w:r>
        <w:rPr>
          <w:rFonts w:ascii="Calibri" w:hAnsi="Calibri"/>
          <w:sz w:val="20"/>
          <w:vertAlign w:val="baseline"/>
        </w:rPr>
        <w:t>Ministerial</w:t>
      </w:r>
      <w:r>
        <w:rPr>
          <w:rFonts w:ascii="Calibri" w:hAnsi="Calibri"/>
          <w:spacing w:val="80"/>
          <w:sz w:val="20"/>
          <w:vertAlign w:val="baseline"/>
        </w:rPr>
        <w:t> </w:t>
      </w:r>
      <w:r>
        <w:rPr>
          <w:rFonts w:ascii="Calibri" w:hAnsi="Calibri"/>
          <w:sz w:val="20"/>
          <w:vertAlign w:val="baseline"/>
        </w:rPr>
        <w:t>Statements</w:t>
      </w:r>
      <w:r>
        <w:rPr>
          <w:rFonts w:ascii="Calibri" w:hAnsi="Calibri"/>
          <w:spacing w:val="80"/>
          <w:sz w:val="20"/>
          <w:vertAlign w:val="baseline"/>
        </w:rPr>
        <w:t> </w:t>
      </w:r>
      <w:r>
        <w:rPr>
          <w:rFonts w:ascii="Calibri" w:hAnsi="Calibri"/>
          <w:sz w:val="20"/>
          <w:vertAlign w:val="baseline"/>
        </w:rPr>
        <w:t>published</w:t>
      </w:r>
      <w:r>
        <w:rPr>
          <w:rFonts w:ascii="Calibri" w:hAnsi="Calibri"/>
          <w:spacing w:val="80"/>
          <w:sz w:val="20"/>
          <w:vertAlign w:val="baseline"/>
        </w:rPr>
        <w:t> </w:t>
      </w:r>
      <w:r>
        <w:rPr>
          <w:rFonts w:ascii="Calibri" w:hAnsi="Calibri"/>
          <w:sz w:val="20"/>
          <w:vertAlign w:val="baseline"/>
        </w:rPr>
        <w:t>by</w:t>
      </w:r>
      <w:r>
        <w:rPr>
          <w:rFonts w:ascii="Calibri" w:hAnsi="Calibri"/>
          <w:spacing w:val="80"/>
          <w:sz w:val="20"/>
          <w:vertAlign w:val="baseline"/>
        </w:rPr>
        <w:t> </w:t>
      </w:r>
      <w:r>
        <w:rPr>
          <w:rFonts w:ascii="Calibri" w:hAnsi="Calibri"/>
          <w:sz w:val="20"/>
          <w:vertAlign w:val="baseline"/>
        </w:rPr>
        <w:t>the Department</w:t>
      </w:r>
      <w:r>
        <w:rPr>
          <w:rFonts w:ascii="Calibri" w:hAnsi="Calibri"/>
          <w:spacing w:val="35"/>
          <w:sz w:val="20"/>
          <w:vertAlign w:val="baseline"/>
        </w:rPr>
        <w:t> </w:t>
      </w:r>
      <w:r>
        <w:rPr>
          <w:rFonts w:ascii="Calibri" w:hAnsi="Calibri"/>
          <w:sz w:val="20"/>
          <w:vertAlign w:val="baseline"/>
        </w:rPr>
        <w:t>of</w:t>
      </w:r>
      <w:r>
        <w:rPr>
          <w:rFonts w:ascii="Calibri" w:hAnsi="Calibri"/>
          <w:spacing w:val="40"/>
          <w:sz w:val="20"/>
          <w:vertAlign w:val="baseline"/>
        </w:rPr>
        <w:t> </w:t>
      </w:r>
      <w:r>
        <w:rPr>
          <w:rFonts w:ascii="Calibri" w:hAnsi="Calibri"/>
          <w:sz w:val="20"/>
          <w:vertAlign w:val="baseline"/>
        </w:rPr>
        <w:t>Trade</w:t>
      </w:r>
      <w:r>
        <w:rPr>
          <w:rFonts w:ascii="Calibri" w:hAnsi="Calibri"/>
          <w:spacing w:val="40"/>
          <w:sz w:val="20"/>
          <w:vertAlign w:val="baseline"/>
        </w:rPr>
        <w:t> </w:t>
      </w:r>
      <w:r>
        <w:rPr>
          <w:rFonts w:ascii="Calibri" w:hAnsi="Calibri"/>
          <w:sz w:val="20"/>
          <w:vertAlign w:val="baseline"/>
        </w:rPr>
        <w:t>and</w:t>
      </w:r>
      <w:r>
        <w:rPr>
          <w:rFonts w:ascii="Calibri" w:hAnsi="Calibri"/>
          <w:spacing w:val="40"/>
          <w:sz w:val="20"/>
          <w:vertAlign w:val="baseline"/>
        </w:rPr>
        <w:t> </w:t>
      </w:r>
      <w:r>
        <w:rPr>
          <w:rFonts w:ascii="Calibri" w:hAnsi="Calibri"/>
          <w:sz w:val="20"/>
          <w:vertAlign w:val="baseline"/>
        </w:rPr>
        <w:t>Industry</w:t>
      </w:r>
      <w:r>
        <w:rPr>
          <w:rFonts w:ascii="Calibri" w:hAnsi="Calibri"/>
          <w:spacing w:val="40"/>
          <w:sz w:val="20"/>
          <w:vertAlign w:val="baseline"/>
        </w:rPr>
        <w:t> </w:t>
      </w:r>
      <w:r>
        <w:rPr>
          <w:rFonts w:ascii="Calibri" w:hAnsi="Calibri"/>
          <w:sz w:val="20"/>
          <w:vertAlign w:val="baseline"/>
        </w:rPr>
        <w:t>(DTI),</w:t>
      </w:r>
      <w:r>
        <w:rPr>
          <w:rFonts w:ascii="Calibri" w:hAnsi="Calibri"/>
          <w:spacing w:val="38"/>
          <w:sz w:val="20"/>
          <w:vertAlign w:val="baseline"/>
        </w:rPr>
        <w:t> </w:t>
      </w:r>
      <w:r>
        <w:rPr>
          <w:rFonts w:ascii="Calibri" w:hAnsi="Calibri"/>
          <w:sz w:val="20"/>
          <w:vertAlign w:val="baseline"/>
        </w:rPr>
        <w:t>(June</w:t>
      </w:r>
      <w:r>
        <w:rPr>
          <w:rFonts w:ascii="Calibri" w:hAnsi="Calibri"/>
          <w:spacing w:val="40"/>
          <w:sz w:val="20"/>
          <w:vertAlign w:val="baseline"/>
        </w:rPr>
        <w:t> </w:t>
      </w:r>
      <w:r>
        <w:rPr>
          <w:rFonts w:ascii="Calibri" w:hAnsi="Calibri"/>
          <w:sz w:val="20"/>
          <w:vertAlign w:val="baseline"/>
        </w:rPr>
        <w:t>2007)</w:t>
      </w:r>
      <w:r>
        <w:rPr>
          <w:rFonts w:ascii="Calibri" w:hAnsi="Calibri"/>
          <w:spacing w:val="40"/>
          <w:sz w:val="20"/>
          <w:vertAlign w:val="baseline"/>
        </w:rPr>
        <w:t> </w:t>
      </w:r>
      <w:r>
        <w:rPr>
          <w:rFonts w:ascii="Calibri" w:hAnsi="Calibri"/>
          <w:sz w:val="20"/>
          <w:vertAlign w:val="baseline"/>
        </w:rPr>
        <w:t>p.</w:t>
      </w:r>
      <w:r>
        <w:rPr>
          <w:rFonts w:ascii="Calibri" w:hAnsi="Calibri"/>
          <w:spacing w:val="37"/>
          <w:sz w:val="20"/>
          <w:vertAlign w:val="baseline"/>
        </w:rPr>
        <w:t> </w:t>
      </w:r>
      <w:r>
        <w:rPr>
          <w:rFonts w:ascii="Calibri" w:hAnsi="Calibri"/>
          <w:sz w:val="20"/>
          <w:vertAlign w:val="baseline"/>
        </w:rPr>
        <w:t>11,</w:t>
      </w:r>
      <w:r>
        <w:rPr>
          <w:rFonts w:ascii="Calibri" w:hAnsi="Calibri"/>
          <w:spacing w:val="38"/>
          <w:sz w:val="20"/>
          <w:vertAlign w:val="baseline"/>
        </w:rPr>
        <w:t> </w:t>
      </w:r>
      <w:r>
        <w:rPr>
          <w:rFonts w:ascii="Calibri" w:hAnsi="Calibri"/>
          <w:sz w:val="20"/>
          <w:vertAlign w:val="baseline"/>
        </w:rPr>
        <w:t>Hodge</w:t>
      </w:r>
      <w:r>
        <w:rPr>
          <w:rFonts w:ascii="Calibri" w:hAnsi="Calibri"/>
          <w:spacing w:val="40"/>
          <w:sz w:val="20"/>
          <w:vertAlign w:val="baseline"/>
        </w:rPr>
        <w:t> </w:t>
      </w:r>
      <w:r>
        <w:rPr>
          <w:rFonts w:ascii="Calibri" w:hAnsi="Calibri"/>
          <w:sz w:val="20"/>
          <w:vertAlign w:val="baseline"/>
        </w:rPr>
        <w:t>MP</w:t>
      </w:r>
      <w:r>
        <w:rPr>
          <w:rFonts w:ascii="Calibri" w:hAnsi="Calibri"/>
          <w:spacing w:val="37"/>
          <w:sz w:val="20"/>
          <w:vertAlign w:val="baseline"/>
        </w:rPr>
        <w:t> </w:t>
      </w:r>
      <w:r>
        <w:rPr>
          <w:rFonts w:ascii="Calibri" w:hAnsi="Calibri"/>
          <w:sz w:val="20"/>
          <w:vertAlign w:val="baseline"/>
        </w:rPr>
        <w:t>in</w:t>
      </w:r>
      <w:r>
        <w:rPr>
          <w:rFonts w:ascii="Calibri" w:hAnsi="Calibri"/>
          <w:spacing w:val="40"/>
          <w:sz w:val="20"/>
          <w:vertAlign w:val="baseline"/>
        </w:rPr>
        <w:t> </w:t>
      </w:r>
      <w:r>
        <w:rPr>
          <w:rFonts w:ascii="Calibri" w:hAnsi="Calibri"/>
          <w:sz w:val="20"/>
          <w:vertAlign w:val="baseline"/>
        </w:rPr>
        <w:t>the</w:t>
      </w:r>
      <w:r>
        <w:rPr>
          <w:rFonts w:ascii="Calibri" w:hAnsi="Calibri"/>
          <w:spacing w:val="40"/>
          <w:sz w:val="20"/>
          <w:vertAlign w:val="baseline"/>
        </w:rPr>
        <w:t> </w:t>
      </w:r>
      <w:r>
        <w:rPr>
          <w:rFonts w:ascii="Calibri" w:hAnsi="Calibri"/>
          <w:sz w:val="20"/>
          <w:vertAlign w:val="baseline"/>
        </w:rPr>
        <w:t>Commons</w:t>
      </w:r>
      <w:r>
        <w:rPr>
          <w:rFonts w:ascii="Calibri" w:hAnsi="Calibri"/>
          <w:spacing w:val="38"/>
          <w:sz w:val="20"/>
          <w:vertAlign w:val="baseline"/>
        </w:rPr>
        <w:t> </w:t>
      </w:r>
      <w:r>
        <w:rPr>
          <w:rFonts w:ascii="Calibri" w:hAnsi="Calibri"/>
          <w:sz w:val="20"/>
          <w:vertAlign w:val="baseline"/>
        </w:rPr>
        <w:t>Report</w:t>
      </w:r>
      <w:r>
        <w:rPr>
          <w:rFonts w:ascii="Calibri" w:hAnsi="Calibri"/>
          <w:spacing w:val="40"/>
          <w:sz w:val="20"/>
          <w:vertAlign w:val="baseline"/>
        </w:rPr>
        <w:t> </w:t>
      </w:r>
      <w:r>
        <w:rPr>
          <w:rFonts w:ascii="Calibri" w:hAnsi="Calibri"/>
          <w:sz w:val="20"/>
          <w:vertAlign w:val="baseline"/>
        </w:rPr>
        <w:t>of October 17</w:t>
      </w:r>
      <w:r>
        <w:rPr>
          <w:rFonts w:ascii="Calibri" w:hAnsi="Calibri"/>
          <w:spacing w:val="-1"/>
          <w:sz w:val="20"/>
          <w:vertAlign w:val="baseline"/>
        </w:rPr>
        <w:t> </w:t>
      </w:r>
      <w:r>
        <w:rPr>
          <w:rFonts w:ascii="Calibri" w:hAnsi="Calibri"/>
          <w:sz w:val="20"/>
          <w:vertAlign w:val="baseline"/>
        </w:rPr>
        <w:t>2006, Column 789 of the Hansard, accessible at</w:t>
      </w:r>
      <w:r>
        <w:rPr>
          <w:rFonts w:ascii="Calibri" w:hAnsi="Calibri"/>
          <w:spacing w:val="-1"/>
          <w:sz w:val="20"/>
          <w:vertAlign w:val="baseline"/>
        </w:rPr>
        <w:t> </w:t>
      </w:r>
      <w:hyperlink r:id="rId12">
        <w:r>
          <w:rPr>
            <w:rFonts w:ascii="Calibri" w:hAnsi="Calibri"/>
            <w:color w:val="0000FF"/>
            <w:sz w:val="20"/>
            <w:u w:val="single" w:color="0000FF"/>
            <w:vertAlign w:val="baseline"/>
          </w:rPr>
          <w:t>http://www.berr.gov.uk/files/file40139.pdf</w:t>
        </w:r>
        <w:r>
          <w:rPr>
            <w:rFonts w:ascii="Calibri" w:hAnsi="Calibri"/>
            <w:sz w:val="20"/>
            <w:vertAlign w:val="baseline"/>
          </w:rPr>
          <w:t>.</w:t>
        </w:r>
      </w:hyperlink>
      <w:r>
        <w:rPr>
          <w:rFonts w:ascii="Calibri" w:hAnsi="Calibri"/>
          <w:sz w:val="20"/>
          <w:vertAlign w:val="baseline"/>
        </w:rPr>
        <w:t> </w:t>
      </w:r>
      <w:r>
        <w:rPr>
          <w:rFonts w:ascii="Calibri" w:hAnsi="Calibri"/>
          <w:sz w:val="20"/>
          <w:vertAlign w:val="superscript"/>
        </w:rPr>
        <w:t>35</w:t>
      </w:r>
      <w:r>
        <w:rPr>
          <w:rFonts w:ascii="Calibri" w:hAnsi="Calibri"/>
          <w:sz w:val="20"/>
          <w:vertAlign w:val="baseline"/>
        </w:rPr>
        <w:t> Including Lord</w:t>
      </w:r>
      <w:r>
        <w:rPr>
          <w:rFonts w:ascii="Calibri" w:hAnsi="Calibri"/>
          <w:spacing w:val="-4"/>
          <w:sz w:val="20"/>
          <w:vertAlign w:val="baseline"/>
        </w:rPr>
        <w:t> </w:t>
      </w:r>
      <w:r>
        <w:rPr>
          <w:rFonts w:ascii="Calibri" w:hAnsi="Calibri"/>
          <w:sz w:val="20"/>
          <w:vertAlign w:val="baseline"/>
        </w:rPr>
        <w:t>Glennie</w:t>
      </w:r>
      <w:r>
        <w:rPr>
          <w:rFonts w:ascii="Calibri" w:hAnsi="Calibri"/>
          <w:spacing w:val="-2"/>
          <w:sz w:val="20"/>
          <w:vertAlign w:val="baseline"/>
        </w:rPr>
        <w:t> </w:t>
      </w:r>
      <w:r>
        <w:rPr>
          <w:rFonts w:ascii="Calibri" w:hAnsi="Calibri"/>
          <w:sz w:val="20"/>
          <w:vertAlign w:val="baseline"/>
        </w:rPr>
        <w:t>in</w:t>
      </w:r>
      <w:r>
        <w:rPr>
          <w:rFonts w:ascii="Calibri" w:hAnsi="Calibri"/>
          <w:spacing w:val="-4"/>
          <w:sz w:val="20"/>
          <w:vertAlign w:val="baseline"/>
        </w:rPr>
        <w:t> </w:t>
      </w:r>
      <w:r>
        <w:rPr>
          <w:rFonts w:ascii="Calibri" w:hAnsi="Calibri"/>
          <w:i/>
          <w:sz w:val="20"/>
          <w:vertAlign w:val="baseline"/>
        </w:rPr>
        <w:t>Re West Coast Capital</w:t>
      </w:r>
      <w:r>
        <w:rPr>
          <w:rFonts w:ascii="Calibri" w:hAnsi="Calibri"/>
          <w:i/>
          <w:spacing w:val="-2"/>
          <w:sz w:val="20"/>
          <w:vertAlign w:val="baseline"/>
        </w:rPr>
        <w:t> </w:t>
      </w:r>
      <w:r>
        <w:rPr>
          <w:rFonts w:ascii="Calibri" w:hAnsi="Calibri"/>
          <w:i/>
          <w:sz w:val="20"/>
          <w:vertAlign w:val="baseline"/>
        </w:rPr>
        <w:t>(LIOS) Ltd</w:t>
      </w:r>
      <w:r>
        <w:rPr>
          <w:rFonts w:ascii="Calibri" w:hAnsi="Calibri"/>
          <w:sz w:val="20"/>
          <w:vertAlign w:val="baseline"/>
        </w:rPr>
        <w:t>. (2008) CSOH,</w:t>
      </w:r>
      <w:r>
        <w:rPr>
          <w:rFonts w:ascii="Calibri" w:hAnsi="Calibri"/>
          <w:spacing w:val="-1"/>
          <w:sz w:val="20"/>
          <w:vertAlign w:val="baseline"/>
        </w:rPr>
        <w:t> </w:t>
      </w:r>
      <w:r>
        <w:rPr>
          <w:rFonts w:ascii="Calibri" w:hAnsi="Calibri"/>
          <w:sz w:val="20"/>
          <w:vertAlign w:val="baseline"/>
        </w:rPr>
        <w:t>72; 2008 Scot (D) 16/5 (Outer House, Court of Sessions, Lord Glennie at 21; Warren J. in </w:t>
      </w:r>
      <w:r>
        <w:rPr>
          <w:rFonts w:ascii="Calibri" w:hAnsi="Calibri"/>
          <w:i/>
          <w:sz w:val="20"/>
          <w:vertAlign w:val="baseline"/>
        </w:rPr>
        <w:t>Cobden Investments Ltd. vs. RWM Rangport Ltd</w:t>
      </w:r>
      <w:r>
        <w:rPr>
          <w:rFonts w:ascii="Calibri" w:hAnsi="Calibri"/>
          <w:sz w:val="20"/>
          <w:vertAlign w:val="baseline"/>
        </w:rPr>
        <w:t>.</w:t>
      </w:r>
      <w:r>
        <w:rPr>
          <w:rFonts w:ascii="Calibri" w:hAnsi="Calibri"/>
          <w:spacing w:val="23"/>
          <w:sz w:val="20"/>
          <w:vertAlign w:val="baseline"/>
        </w:rPr>
        <w:t> </w:t>
      </w:r>
      <w:r>
        <w:rPr>
          <w:rFonts w:ascii="Calibri" w:hAnsi="Calibri"/>
          <w:sz w:val="20"/>
          <w:vertAlign w:val="baseline"/>
        </w:rPr>
        <w:t>(2008)</w:t>
      </w:r>
      <w:r>
        <w:rPr>
          <w:rFonts w:ascii="Calibri" w:hAnsi="Calibri"/>
          <w:spacing w:val="22"/>
          <w:sz w:val="20"/>
          <w:vertAlign w:val="baseline"/>
        </w:rPr>
        <w:t> </w:t>
      </w:r>
      <w:r>
        <w:rPr>
          <w:rFonts w:ascii="Calibri" w:hAnsi="Calibri"/>
          <w:sz w:val="20"/>
          <w:vertAlign w:val="baseline"/>
        </w:rPr>
        <w:t>EWHC</w:t>
      </w:r>
      <w:r>
        <w:rPr>
          <w:rFonts w:ascii="Calibri" w:hAnsi="Calibri"/>
          <w:spacing w:val="20"/>
          <w:sz w:val="20"/>
          <w:vertAlign w:val="baseline"/>
        </w:rPr>
        <w:t> </w:t>
      </w:r>
      <w:r>
        <w:rPr>
          <w:rFonts w:ascii="Calibri" w:hAnsi="Calibri"/>
          <w:sz w:val="20"/>
          <w:vertAlign w:val="baseline"/>
        </w:rPr>
        <w:t>2810,</w:t>
      </w:r>
      <w:r>
        <w:rPr>
          <w:rFonts w:ascii="Calibri" w:hAnsi="Calibri"/>
          <w:spacing w:val="20"/>
          <w:sz w:val="20"/>
          <w:vertAlign w:val="baseline"/>
        </w:rPr>
        <w:t> </w:t>
      </w:r>
      <w:r>
        <w:rPr>
          <w:rFonts w:ascii="Calibri" w:hAnsi="Calibri"/>
          <w:sz w:val="20"/>
          <w:vertAlign w:val="baseline"/>
        </w:rPr>
        <w:t>(Ch);</w:t>
      </w:r>
      <w:r>
        <w:rPr>
          <w:rFonts w:ascii="Calibri" w:hAnsi="Calibri"/>
          <w:spacing w:val="23"/>
          <w:sz w:val="20"/>
          <w:vertAlign w:val="baseline"/>
        </w:rPr>
        <w:t> </w:t>
      </w:r>
      <w:r>
        <w:rPr>
          <w:rFonts w:ascii="Calibri" w:hAnsi="Calibri"/>
          <w:sz w:val="20"/>
          <w:vertAlign w:val="baseline"/>
        </w:rPr>
        <w:t>Birds,</w:t>
      </w:r>
      <w:r>
        <w:rPr>
          <w:rFonts w:ascii="Calibri" w:hAnsi="Calibri"/>
          <w:spacing w:val="20"/>
          <w:sz w:val="20"/>
          <w:vertAlign w:val="baseline"/>
        </w:rPr>
        <w:t> </w:t>
      </w:r>
      <w:r>
        <w:rPr>
          <w:rFonts w:ascii="Calibri" w:hAnsi="Calibri"/>
          <w:sz w:val="20"/>
          <w:vertAlign w:val="baseline"/>
        </w:rPr>
        <w:t>J.</w:t>
      </w:r>
      <w:r>
        <w:rPr>
          <w:rFonts w:ascii="Calibri" w:hAnsi="Calibri"/>
          <w:spacing w:val="23"/>
          <w:sz w:val="20"/>
          <w:vertAlign w:val="baseline"/>
        </w:rPr>
        <w:t> </w:t>
      </w:r>
      <w:r>
        <w:rPr>
          <w:rFonts w:ascii="Calibri" w:hAnsi="Calibri"/>
          <w:sz w:val="20"/>
          <w:vertAlign w:val="baseline"/>
        </w:rPr>
        <w:t>et</w:t>
      </w:r>
      <w:r>
        <w:rPr>
          <w:rFonts w:ascii="Calibri" w:hAnsi="Calibri"/>
          <w:spacing w:val="22"/>
          <w:sz w:val="20"/>
          <w:vertAlign w:val="baseline"/>
        </w:rPr>
        <w:t> </w:t>
      </w:r>
      <w:r>
        <w:rPr>
          <w:rFonts w:ascii="Calibri" w:hAnsi="Calibri"/>
          <w:sz w:val="20"/>
          <w:vertAlign w:val="baseline"/>
        </w:rPr>
        <w:t>al.</w:t>
      </w:r>
      <w:r>
        <w:rPr>
          <w:rFonts w:ascii="Calibri" w:hAnsi="Calibri"/>
          <w:spacing w:val="25"/>
          <w:sz w:val="20"/>
          <w:vertAlign w:val="baseline"/>
        </w:rPr>
        <w:t> </w:t>
      </w:r>
      <w:r>
        <w:rPr>
          <w:rFonts w:ascii="Calibri" w:hAnsi="Calibri"/>
          <w:sz w:val="20"/>
          <w:vertAlign w:val="baseline"/>
        </w:rPr>
        <w:t>(2011).</w:t>
      </w:r>
      <w:r>
        <w:rPr>
          <w:rFonts w:ascii="Calibri" w:hAnsi="Calibri"/>
          <w:i/>
          <w:sz w:val="20"/>
          <w:vertAlign w:val="baseline"/>
        </w:rPr>
        <w:t>Boyle</w:t>
      </w:r>
      <w:r>
        <w:rPr>
          <w:rFonts w:ascii="Calibri" w:hAnsi="Calibri"/>
          <w:i/>
          <w:spacing w:val="17"/>
          <w:sz w:val="20"/>
          <w:vertAlign w:val="baseline"/>
        </w:rPr>
        <w:t> </w:t>
      </w:r>
      <w:r>
        <w:rPr>
          <w:rFonts w:ascii="Calibri" w:hAnsi="Calibri"/>
          <w:i/>
          <w:sz w:val="20"/>
          <w:vertAlign w:val="baseline"/>
        </w:rPr>
        <w:t>and</w:t>
      </w:r>
      <w:r>
        <w:rPr>
          <w:rFonts w:ascii="Calibri" w:hAnsi="Calibri"/>
          <w:i/>
          <w:spacing w:val="24"/>
          <w:sz w:val="20"/>
          <w:vertAlign w:val="baseline"/>
        </w:rPr>
        <w:t> </w:t>
      </w:r>
      <w:r>
        <w:rPr>
          <w:rFonts w:ascii="Calibri" w:hAnsi="Calibri"/>
          <w:i/>
          <w:sz w:val="20"/>
          <w:vertAlign w:val="baseline"/>
        </w:rPr>
        <w:t>Birds’</w:t>
      </w:r>
      <w:r>
        <w:rPr>
          <w:rFonts w:ascii="Calibri" w:hAnsi="Calibri"/>
          <w:i/>
          <w:spacing w:val="19"/>
          <w:sz w:val="20"/>
          <w:vertAlign w:val="baseline"/>
        </w:rPr>
        <w:t> </w:t>
      </w:r>
      <w:r>
        <w:rPr>
          <w:rFonts w:ascii="Calibri" w:hAnsi="Calibri"/>
          <w:i/>
          <w:sz w:val="20"/>
          <w:vertAlign w:val="baseline"/>
        </w:rPr>
        <w:t>Company</w:t>
      </w:r>
      <w:r>
        <w:rPr>
          <w:rFonts w:ascii="Calibri" w:hAnsi="Calibri"/>
          <w:i/>
          <w:spacing w:val="18"/>
          <w:sz w:val="20"/>
          <w:vertAlign w:val="baseline"/>
        </w:rPr>
        <w:t> </w:t>
      </w:r>
      <w:r>
        <w:rPr>
          <w:rFonts w:ascii="Calibri" w:hAnsi="Calibri"/>
          <w:i/>
          <w:sz w:val="20"/>
          <w:vertAlign w:val="baseline"/>
        </w:rPr>
        <w:t>Law.</w:t>
      </w:r>
      <w:r>
        <w:rPr>
          <w:rFonts w:ascii="Calibri" w:hAnsi="Calibri"/>
          <w:sz w:val="20"/>
          <w:vertAlign w:val="baseline"/>
        </w:rPr>
        <w:t>8</w:t>
      </w:r>
      <w:r>
        <w:rPr>
          <w:rFonts w:ascii="Calibri" w:hAnsi="Calibri"/>
          <w:sz w:val="20"/>
          <w:vertAlign w:val="superscript"/>
        </w:rPr>
        <w:t>th</w:t>
      </w:r>
      <w:r>
        <w:rPr>
          <w:rFonts w:ascii="Calibri" w:hAnsi="Calibri"/>
          <w:spacing w:val="21"/>
          <w:sz w:val="20"/>
          <w:vertAlign w:val="baseline"/>
        </w:rPr>
        <w:t> </w:t>
      </w:r>
      <w:r>
        <w:rPr>
          <w:rFonts w:ascii="Calibri" w:hAnsi="Calibri"/>
          <w:sz w:val="20"/>
          <w:vertAlign w:val="baseline"/>
        </w:rPr>
        <w:t>edition,</w:t>
      </w:r>
      <w:r>
        <w:rPr>
          <w:rFonts w:ascii="Calibri" w:hAnsi="Calibri"/>
          <w:spacing w:val="18"/>
          <w:sz w:val="20"/>
          <w:vertAlign w:val="baseline"/>
        </w:rPr>
        <w:t> </w:t>
      </w:r>
      <w:r>
        <w:rPr>
          <w:rFonts w:ascii="Calibri" w:hAnsi="Calibri"/>
          <w:spacing w:val="-2"/>
          <w:sz w:val="20"/>
          <w:vertAlign w:val="baseline"/>
        </w:rPr>
        <w:t>Jordan</w:t>
      </w:r>
    </w:p>
    <w:p>
      <w:pPr>
        <w:spacing w:after="0"/>
        <w:jc w:val="left"/>
        <w:rPr>
          <w:rFonts w:ascii="Calibri" w:hAnsi="Calibri"/>
          <w:sz w:val="20"/>
        </w:rPr>
        <w:sectPr>
          <w:pgSz w:w="11910" w:h="16840"/>
          <w:pgMar w:header="0" w:footer="1003" w:top="1280" w:bottom="1200" w:left="1680" w:right="1180"/>
        </w:sectPr>
      </w:pPr>
    </w:p>
    <w:p>
      <w:pPr>
        <w:pStyle w:val="BodyText"/>
        <w:spacing w:line="480" w:lineRule="auto" w:before="70"/>
        <w:ind w:right="229"/>
        <w:jc w:val="both"/>
      </w:pPr>
      <w:r>
        <w:rPr/>
        <w:t>common law antecedent of the duty and that whatever development made thereto is, at best, modest.</w:t>
      </w:r>
      <w:r>
        <w:rPr>
          <w:spacing w:val="-2"/>
        </w:rPr>
        <w:t> </w:t>
      </w:r>
      <w:r>
        <w:rPr/>
        <w:t>In</w:t>
      </w:r>
      <w:r>
        <w:rPr>
          <w:spacing w:val="-4"/>
        </w:rPr>
        <w:t> </w:t>
      </w:r>
      <w:r>
        <w:rPr/>
        <w:t>fact, nothing previously</w:t>
      </w:r>
      <w:r>
        <w:rPr>
          <w:spacing w:val="-8"/>
        </w:rPr>
        <w:t> </w:t>
      </w:r>
      <w:r>
        <w:rPr/>
        <w:t>prevented directors</w:t>
      </w:r>
      <w:r>
        <w:rPr>
          <w:spacing w:val="-1"/>
        </w:rPr>
        <w:t> </w:t>
      </w:r>
      <w:r>
        <w:rPr/>
        <w:t>from</w:t>
      </w:r>
      <w:r>
        <w:rPr>
          <w:spacing w:val="-8"/>
        </w:rPr>
        <w:t> </w:t>
      </w:r>
      <w:r>
        <w:rPr/>
        <w:t>considering any</w:t>
      </w:r>
      <w:r>
        <w:rPr>
          <w:spacing w:val="-9"/>
        </w:rPr>
        <w:t> </w:t>
      </w:r>
      <w:r>
        <w:rPr/>
        <w:t>of</w:t>
      </w:r>
      <w:r>
        <w:rPr>
          <w:spacing w:val="-7"/>
        </w:rPr>
        <w:t> </w:t>
      </w:r>
      <w:r>
        <w:rPr/>
        <w:t>the listed factors under the law.</w:t>
      </w:r>
      <w:r>
        <w:rPr>
          <w:vertAlign w:val="superscript"/>
        </w:rPr>
        <w:t>36</w:t>
      </w:r>
      <w:r>
        <w:rPr>
          <w:vertAlign w:val="baseline"/>
        </w:rPr>
        <w:t> Proponents of both stakeholder and shareholder primacy business theories have found fault with the provision.</w:t>
      </w:r>
      <w:r>
        <w:rPr>
          <w:vertAlign w:val="superscript"/>
        </w:rPr>
        <w:t>37</w:t>
      </w:r>
      <w:r>
        <w:rPr>
          <w:vertAlign w:val="baseline"/>
        </w:rPr>
        <w:t> The main point in these criticisms is that nothing is likely</w:t>
      </w:r>
      <w:r>
        <w:rPr>
          <w:spacing w:val="-1"/>
          <w:vertAlign w:val="baseline"/>
        </w:rPr>
        <w:t> </w:t>
      </w:r>
      <w:r>
        <w:rPr>
          <w:vertAlign w:val="baseline"/>
        </w:rPr>
        <w:t>to change in the attitude of</w:t>
      </w:r>
      <w:r>
        <w:rPr>
          <w:spacing w:val="-4"/>
          <w:vertAlign w:val="baseline"/>
        </w:rPr>
        <w:t> </w:t>
      </w:r>
      <w:r>
        <w:rPr>
          <w:vertAlign w:val="baseline"/>
        </w:rPr>
        <w:t>directors in</w:t>
      </w:r>
      <w:r>
        <w:rPr>
          <w:spacing w:val="-1"/>
          <w:vertAlign w:val="baseline"/>
        </w:rPr>
        <w:t> </w:t>
      </w:r>
      <w:r>
        <w:rPr>
          <w:vertAlign w:val="baseline"/>
        </w:rPr>
        <w:t>their decision- making. In fact, an</w:t>
      </w:r>
      <w:r>
        <w:rPr>
          <w:spacing w:val="-5"/>
          <w:vertAlign w:val="baseline"/>
        </w:rPr>
        <w:t> </w:t>
      </w:r>
      <w:r>
        <w:rPr>
          <w:vertAlign w:val="baseline"/>
        </w:rPr>
        <w:t>empirical</w:t>
      </w:r>
      <w:r>
        <w:rPr>
          <w:spacing w:val="-5"/>
          <w:vertAlign w:val="baseline"/>
        </w:rPr>
        <w:t> </w:t>
      </w:r>
      <w:r>
        <w:rPr>
          <w:vertAlign w:val="baseline"/>
        </w:rPr>
        <w:t>study</w:t>
      </w:r>
      <w:r>
        <w:rPr>
          <w:spacing w:val="-10"/>
          <w:vertAlign w:val="baseline"/>
        </w:rPr>
        <w:t> </w:t>
      </w:r>
      <w:r>
        <w:rPr>
          <w:vertAlign w:val="baseline"/>
        </w:rPr>
        <w:t>undertaken</w:t>
      </w:r>
      <w:r>
        <w:rPr>
          <w:spacing w:val="-5"/>
          <w:vertAlign w:val="baseline"/>
        </w:rPr>
        <w:t> </w:t>
      </w:r>
      <w:r>
        <w:rPr>
          <w:vertAlign w:val="baseline"/>
        </w:rPr>
        <w:t>by Taylor</w:t>
      </w:r>
      <w:r>
        <w:rPr>
          <w:vertAlign w:val="superscript"/>
        </w:rPr>
        <w:t>38</w:t>
      </w:r>
      <w:r>
        <w:rPr>
          <w:vertAlign w:val="baseline"/>
        </w:rPr>
        <w:t> indicates</w:t>
      </w:r>
      <w:r>
        <w:rPr>
          <w:spacing w:val="-2"/>
          <w:vertAlign w:val="baseline"/>
        </w:rPr>
        <w:t> </w:t>
      </w:r>
      <w:r>
        <w:rPr>
          <w:vertAlign w:val="baseline"/>
        </w:rPr>
        <w:t>that the</w:t>
      </w:r>
      <w:r>
        <w:rPr>
          <w:spacing w:val="-1"/>
          <w:vertAlign w:val="baseline"/>
        </w:rPr>
        <w:t> </w:t>
      </w:r>
      <w:r>
        <w:rPr>
          <w:vertAlign w:val="baseline"/>
        </w:rPr>
        <w:t>pressure</w:t>
      </w:r>
      <w:r>
        <w:rPr>
          <w:spacing w:val="-1"/>
          <w:vertAlign w:val="baseline"/>
        </w:rPr>
        <w:t> </w:t>
      </w:r>
      <w:r>
        <w:rPr>
          <w:vertAlign w:val="baseline"/>
        </w:rPr>
        <w:t>on short-termism in favour of more long-term thinking had not been reduced since the enactment of s.172.</w:t>
      </w:r>
    </w:p>
    <w:p>
      <w:pPr>
        <w:pStyle w:val="BodyText"/>
        <w:spacing w:line="480" w:lineRule="auto" w:before="2"/>
        <w:ind w:right="191" w:firstLine="720"/>
        <w:jc w:val="both"/>
      </w:pPr>
      <w:r>
        <w:rPr/>
        <w:t>In the case of the CAMA, the near-equivalent of the duty just discussed is captured under s.279(3) and (4), as discussed earlier.</w:t>
      </w:r>
      <w:r>
        <w:rPr>
          <w:vertAlign w:val="superscript"/>
        </w:rPr>
        <w:t>39</w:t>
      </w:r>
      <w:r>
        <w:rPr>
          <w:vertAlign w:val="baseline"/>
        </w:rPr>
        <w:t> The law therein provides that</w:t>
      </w:r>
    </w:p>
    <w:p>
      <w:pPr>
        <w:spacing w:line="240" w:lineRule="auto" w:before="0"/>
        <w:ind w:left="2295" w:right="1884" w:firstLine="0"/>
        <w:jc w:val="both"/>
        <w:rPr>
          <w:sz w:val="24"/>
        </w:rPr>
      </w:pPr>
      <w:r>
        <w:rPr>
          <w:i/>
          <w:sz w:val="24"/>
        </w:rPr>
        <w:t>A director shall act at all times in what he</w:t>
      </w:r>
      <w:r>
        <w:rPr>
          <w:i/>
          <w:spacing w:val="40"/>
          <w:sz w:val="24"/>
        </w:rPr>
        <w:t> </w:t>
      </w:r>
      <w:r>
        <w:rPr>
          <w:i/>
          <w:sz w:val="24"/>
        </w:rPr>
        <w:t>believes to be the best interests of the company as a whole so as to preserve its assets, further its business, and promote the purposes for which it was formed, and in such manner as a faithful, diligent, careful and ordinarily skilful director would act in the circumstances</w:t>
      </w:r>
      <w:r>
        <w:rPr>
          <w:sz w:val="24"/>
        </w:rPr>
        <w:t>.</w:t>
      </w:r>
    </w:p>
    <w:p>
      <w:pPr>
        <w:spacing w:line="240" w:lineRule="auto" w:before="3"/>
        <w:ind w:left="2295" w:right="1885" w:firstLine="0"/>
        <w:jc w:val="both"/>
        <w:rPr>
          <w:i/>
          <w:sz w:val="24"/>
        </w:rPr>
      </w:pPr>
      <w:r>
        <w:rPr>
          <w:i/>
          <w:sz w:val="24"/>
        </w:rPr>
        <w:t>The matters to which the director of a company is to</w:t>
      </w:r>
      <w:r>
        <w:rPr>
          <w:i/>
          <w:spacing w:val="-2"/>
          <w:sz w:val="24"/>
        </w:rPr>
        <w:t> </w:t>
      </w:r>
      <w:r>
        <w:rPr>
          <w:i/>
          <w:sz w:val="24"/>
        </w:rPr>
        <w:t>have regard in</w:t>
      </w:r>
      <w:r>
        <w:rPr>
          <w:i/>
          <w:spacing w:val="-2"/>
          <w:sz w:val="24"/>
        </w:rPr>
        <w:t> </w:t>
      </w:r>
      <w:r>
        <w:rPr>
          <w:i/>
          <w:sz w:val="24"/>
        </w:rPr>
        <w:t>the performance of his</w:t>
      </w:r>
      <w:r>
        <w:rPr>
          <w:i/>
          <w:spacing w:val="-4"/>
          <w:sz w:val="24"/>
        </w:rPr>
        <w:t> </w:t>
      </w:r>
      <w:r>
        <w:rPr>
          <w:i/>
          <w:sz w:val="24"/>
        </w:rPr>
        <w:t>functions include the interests of the company‘s employees in general as well as the interests of its members.</w:t>
      </w:r>
    </w:p>
    <w:p>
      <w:pPr>
        <w:pStyle w:val="BodyText"/>
        <w:spacing w:line="480" w:lineRule="auto" w:before="274"/>
        <w:ind w:right="189"/>
        <w:jc w:val="both"/>
      </w:pPr>
      <w:r>
        <w:rPr/>
        <w:t>Here, the corporate objectives of the powers wielded by the director under the CAMA, are stated. Like s.172 of the CA, in s.279(3) CAMA, the director‘s subjective judgment is</w:t>
      </w:r>
      <w:r>
        <w:rPr>
          <w:spacing w:val="-2"/>
        </w:rPr>
        <w:t> </w:t>
      </w:r>
      <w:r>
        <w:rPr/>
        <w:t>clearly</w:t>
      </w:r>
      <w:r>
        <w:rPr>
          <w:spacing w:val="-1"/>
        </w:rPr>
        <w:t> </w:t>
      </w:r>
      <w:r>
        <w:rPr/>
        <w:t>sanctioned:</w:t>
      </w:r>
      <w:r>
        <w:rPr>
          <w:spacing w:val="9"/>
        </w:rPr>
        <w:t> </w:t>
      </w:r>
      <w:r>
        <w:rPr/>
        <w:t>it</w:t>
      </w:r>
      <w:r>
        <w:rPr>
          <w:spacing w:val="12"/>
        </w:rPr>
        <w:t> </w:t>
      </w:r>
      <w:r>
        <w:rPr/>
        <w:t>is</w:t>
      </w:r>
      <w:r>
        <w:rPr>
          <w:spacing w:val="1"/>
        </w:rPr>
        <w:t> </w:t>
      </w:r>
      <w:r>
        <w:rPr/>
        <w:t>open</w:t>
      </w:r>
      <w:r>
        <w:rPr>
          <w:spacing w:val="-1"/>
        </w:rPr>
        <w:t> </w:t>
      </w:r>
      <w:r>
        <w:rPr/>
        <w:t>to</w:t>
      </w:r>
      <w:r>
        <w:rPr>
          <w:spacing w:val="9"/>
        </w:rPr>
        <w:t> </w:t>
      </w:r>
      <w:r>
        <w:rPr/>
        <w:t>scrutiny</w:t>
      </w:r>
      <w:r>
        <w:rPr>
          <w:spacing w:val="-1"/>
        </w:rPr>
        <w:t> </w:t>
      </w:r>
      <w:r>
        <w:rPr/>
        <w:t>only</w:t>
      </w:r>
      <w:r>
        <w:rPr>
          <w:spacing w:val="-1"/>
        </w:rPr>
        <w:t> </w:t>
      </w:r>
      <w:r>
        <w:rPr/>
        <w:t>by</w:t>
      </w:r>
      <w:r>
        <w:rPr>
          <w:spacing w:val="3"/>
        </w:rPr>
        <w:t> </w:t>
      </w:r>
      <w:r>
        <w:rPr/>
        <w:t>his</w:t>
      </w:r>
      <w:r>
        <w:rPr>
          <w:spacing w:val="1"/>
        </w:rPr>
        <w:t> </w:t>
      </w:r>
      <w:r>
        <w:rPr/>
        <w:t>standards</w:t>
      </w:r>
      <w:r>
        <w:rPr>
          <w:spacing w:val="1"/>
        </w:rPr>
        <w:t> </w:t>
      </w:r>
      <w:r>
        <w:rPr/>
        <w:t>and</w:t>
      </w:r>
      <w:r>
        <w:rPr>
          <w:spacing w:val="7"/>
        </w:rPr>
        <w:t> </w:t>
      </w:r>
      <w:r>
        <w:rPr/>
        <w:t>none</w:t>
      </w:r>
      <w:r>
        <w:rPr>
          <w:spacing w:val="3"/>
        </w:rPr>
        <w:t> </w:t>
      </w:r>
      <w:r>
        <w:rPr/>
        <w:t>other‘s,</w:t>
      </w:r>
      <w:r>
        <w:rPr>
          <w:spacing w:val="10"/>
        </w:rPr>
        <w:t> </w:t>
      </w:r>
      <w:r>
        <w:rPr/>
        <w:t>for</w:t>
      </w:r>
      <w:r>
        <w:rPr>
          <w:spacing w:val="5"/>
        </w:rPr>
        <w:t> </w:t>
      </w:r>
      <w:r>
        <w:rPr>
          <w:spacing w:val="-5"/>
        </w:rPr>
        <w:t>as</w:t>
      </w:r>
    </w:p>
    <w:p>
      <w:pPr>
        <w:pStyle w:val="BodyText"/>
        <w:spacing w:before="1"/>
        <w:jc w:val="both"/>
      </w:pPr>
      <w:r>
        <w:rPr/>
        <w:t>long</w:t>
      </w:r>
      <w:r>
        <w:rPr>
          <w:spacing w:val="13"/>
        </w:rPr>
        <w:t> </w:t>
      </w:r>
      <w:r>
        <w:rPr/>
        <w:t>as</w:t>
      </w:r>
      <w:r>
        <w:rPr>
          <w:spacing w:val="14"/>
        </w:rPr>
        <w:t> </w:t>
      </w:r>
      <w:r>
        <w:rPr/>
        <w:t>he</w:t>
      </w:r>
      <w:r>
        <w:rPr>
          <w:spacing w:val="10"/>
        </w:rPr>
        <w:t> </w:t>
      </w:r>
      <w:r>
        <w:rPr/>
        <w:t>acts</w:t>
      </w:r>
      <w:r>
        <w:rPr>
          <w:spacing w:val="14"/>
        </w:rPr>
        <w:t> </w:t>
      </w:r>
      <w:r>
        <w:rPr/>
        <w:t>for</w:t>
      </w:r>
      <w:r>
        <w:rPr>
          <w:spacing w:val="13"/>
        </w:rPr>
        <w:t> </w:t>
      </w:r>
      <w:r>
        <w:rPr/>
        <w:t>the</w:t>
      </w:r>
      <w:r>
        <w:rPr>
          <w:spacing w:val="10"/>
        </w:rPr>
        <w:t> </w:t>
      </w:r>
      <w:r>
        <w:rPr/>
        <w:t>proper</w:t>
      </w:r>
      <w:r>
        <w:rPr>
          <w:spacing w:val="13"/>
        </w:rPr>
        <w:t> </w:t>
      </w:r>
      <w:r>
        <w:rPr/>
        <w:t>purposes.</w:t>
      </w:r>
      <w:r>
        <w:rPr>
          <w:spacing w:val="12"/>
        </w:rPr>
        <w:t> </w:t>
      </w:r>
      <w:r>
        <w:rPr/>
        <w:t>Further,</w:t>
      </w:r>
      <w:r>
        <w:rPr>
          <w:spacing w:val="13"/>
        </w:rPr>
        <w:t> </w:t>
      </w:r>
      <w:r>
        <w:rPr/>
        <w:t>s.172</w:t>
      </w:r>
      <w:r>
        <w:rPr>
          <w:spacing w:val="11"/>
        </w:rPr>
        <w:t> </w:t>
      </w:r>
      <w:r>
        <w:rPr/>
        <w:t>CA</w:t>
      </w:r>
      <w:r>
        <w:rPr>
          <w:spacing w:val="11"/>
        </w:rPr>
        <w:t> </w:t>
      </w:r>
      <w:r>
        <w:rPr/>
        <w:t>requires</w:t>
      </w:r>
      <w:r>
        <w:rPr>
          <w:spacing w:val="9"/>
        </w:rPr>
        <w:t> </w:t>
      </w:r>
      <w:r>
        <w:rPr/>
        <w:t>the</w:t>
      </w:r>
      <w:r>
        <w:rPr>
          <w:spacing w:val="15"/>
        </w:rPr>
        <w:t> </w:t>
      </w:r>
      <w:r>
        <w:rPr/>
        <w:t>consideration</w:t>
      </w:r>
      <w:r>
        <w:rPr>
          <w:spacing w:val="11"/>
        </w:rPr>
        <w:t> </w:t>
      </w:r>
      <w:r>
        <w:rPr>
          <w:spacing w:val="-5"/>
        </w:rPr>
        <w:t>of</w:t>
      </w:r>
    </w:p>
    <w:p>
      <w:pPr>
        <w:pStyle w:val="BodyText"/>
        <w:spacing w:before="2"/>
        <w:ind w:left="0"/>
        <w:rPr>
          <w:sz w:val="14"/>
        </w:rPr>
      </w:pPr>
      <w:r>
        <w:rPr/>
        <mc:AlternateContent>
          <mc:Choice Requires="wps">
            <w:drawing>
              <wp:anchor distT="0" distB="0" distL="0" distR="0" allowOverlap="1" layoutInCell="1" locked="0" behindDoc="1" simplePos="0" relativeHeight="487716864">
                <wp:simplePos x="0" y="0"/>
                <wp:positionH relativeFrom="page">
                  <wp:posOffset>1262481</wp:posOffset>
                </wp:positionH>
                <wp:positionV relativeFrom="paragraph">
                  <wp:posOffset>119310</wp:posOffset>
                </wp:positionV>
                <wp:extent cx="5400040" cy="9525"/>
                <wp:effectExtent l="0" t="0" r="0" b="0"/>
                <wp:wrapTopAndBottom/>
                <wp:docPr id="279" name="Graphic 279"/>
                <wp:cNvGraphicFramePr>
                  <a:graphicFrameLocks/>
                </wp:cNvGraphicFramePr>
                <a:graphic>
                  <a:graphicData uri="http://schemas.microsoft.com/office/word/2010/wordprocessingShape">
                    <wps:wsp>
                      <wps:cNvPr id="279" name="Graphic 279"/>
                      <wps:cNvSpPr/>
                      <wps:spPr>
                        <a:xfrm>
                          <a:off x="0" y="0"/>
                          <a:ext cx="5400040" cy="9525"/>
                        </a:xfrm>
                        <a:custGeom>
                          <a:avLst/>
                          <a:gdLst/>
                          <a:ahLst/>
                          <a:cxnLst/>
                          <a:rect l="l" t="t" r="r" b="b"/>
                          <a:pathLst>
                            <a:path w="5400040" h="9525">
                              <a:moveTo>
                                <a:pt x="5399785" y="0"/>
                              </a:moveTo>
                              <a:lnTo>
                                <a:pt x="0" y="0"/>
                              </a:lnTo>
                              <a:lnTo>
                                <a:pt x="0" y="9143"/>
                              </a:lnTo>
                              <a:lnTo>
                                <a:pt x="5399785" y="9143"/>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394561pt;width:425.18pt;height:.71997pt;mso-position-horizontal-relative:page;mso-position-vertical-relative:paragraph;z-index:-15599616;mso-wrap-distance-left:0;mso-wrap-distance-right:0" id="docshape234"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rPr>
        <w:t>Publishing</w:t>
      </w:r>
      <w:r>
        <w:rPr>
          <w:rFonts w:ascii="Calibri"/>
          <w:spacing w:val="4"/>
          <w:sz w:val="20"/>
        </w:rPr>
        <w:t> </w:t>
      </w:r>
      <w:r>
        <w:rPr>
          <w:rFonts w:ascii="Calibri"/>
          <w:sz w:val="20"/>
        </w:rPr>
        <w:t>Limited,</w:t>
      </w:r>
      <w:r>
        <w:rPr>
          <w:rFonts w:ascii="Calibri"/>
          <w:spacing w:val="4"/>
          <w:sz w:val="20"/>
        </w:rPr>
        <w:t> </w:t>
      </w:r>
      <w:r>
        <w:rPr>
          <w:rFonts w:ascii="Calibri"/>
          <w:sz w:val="20"/>
        </w:rPr>
        <w:t>Bristol,</w:t>
      </w:r>
      <w:r>
        <w:rPr>
          <w:rFonts w:ascii="Calibri"/>
          <w:spacing w:val="8"/>
          <w:sz w:val="20"/>
        </w:rPr>
        <w:t> </w:t>
      </w:r>
      <w:r>
        <w:rPr>
          <w:rFonts w:ascii="Calibri"/>
          <w:sz w:val="20"/>
        </w:rPr>
        <w:t>pp.</w:t>
      </w:r>
      <w:r>
        <w:rPr>
          <w:rFonts w:ascii="Calibri"/>
          <w:spacing w:val="11"/>
          <w:sz w:val="20"/>
        </w:rPr>
        <w:t> </w:t>
      </w:r>
      <w:r>
        <w:rPr>
          <w:rFonts w:ascii="Calibri"/>
          <w:sz w:val="20"/>
        </w:rPr>
        <w:t>637-638;</w:t>
      </w:r>
      <w:r>
        <w:rPr>
          <w:rFonts w:ascii="Calibri"/>
          <w:spacing w:val="9"/>
          <w:sz w:val="20"/>
        </w:rPr>
        <w:t> </w:t>
      </w:r>
      <w:r>
        <w:rPr>
          <w:rFonts w:ascii="Calibri"/>
          <w:sz w:val="20"/>
        </w:rPr>
        <w:t>Davies,</w:t>
      </w:r>
      <w:r>
        <w:rPr>
          <w:rFonts w:ascii="Calibri"/>
          <w:spacing w:val="3"/>
          <w:sz w:val="20"/>
        </w:rPr>
        <w:t> </w:t>
      </w:r>
      <w:r>
        <w:rPr>
          <w:rFonts w:ascii="Calibri"/>
          <w:sz w:val="20"/>
        </w:rPr>
        <w:t>L.P.</w:t>
      </w:r>
      <w:r>
        <w:rPr>
          <w:rFonts w:ascii="Calibri"/>
          <w:spacing w:val="8"/>
          <w:sz w:val="20"/>
        </w:rPr>
        <w:t> </w:t>
      </w:r>
      <w:r>
        <w:rPr>
          <w:rFonts w:ascii="Calibri"/>
          <w:sz w:val="20"/>
        </w:rPr>
        <w:t>and</w:t>
      </w:r>
      <w:r>
        <w:rPr>
          <w:rFonts w:ascii="Calibri"/>
          <w:spacing w:val="9"/>
          <w:sz w:val="20"/>
        </w:rPr>
        <w:t> </w:t>
      </w:r>
      <w:r>
        <w:rPr>
          <w:rFonts w:ascii="Calibri"/>
          <w:sz w:val="20"/>
        </w:rPr>
        <w:t>Worthington,</w:t>
      </w:r>
      <w:r>
        <w:rPr>
          <w:rFonts w:ascii="Calibri"/>
          <w:spacing w:val="8"/>
          <w:sz w:val="20"/>
        </w:rPr>
        <w:t> </w:t>
      </w:r>
      <w:r>
        <w:rPr>
          <w:rFonts w:ascii="Calibri"/>
          <w:sz w:val="20"/>
        </w:rPr>
        <w:t>S.</w:t>
      </w:r>
      <w:r>
        <w:rPr>
          <w:rFonts w:ascii="Calibri"/>
          <w:spacing w:val="11"/>
          <w:sz w:val="20"/>
        </w:rPr>
        <w:t> </w:t>
      </w:r>
      <w:r>
        <w:rPr>
          <w:rFonts w:ascii="Calibri"/>
          <w:sz w:val="20"/>
        </w:rPr>
        <w:t>(2012).Op.cit.</w:t>
      </w:r>
      <w:r>
        <w:rPr>
          <w:rFonts w:ascii="Calibri"/>
          <w:spacing w:val="11"/>
          <w:sz w:val="20"/>
        </w:rPr>
        <w:t> </w:t>
      </w:r>
      <w:r>
        <w:rPr>
          <w:rFonts w:ascii="Calibri"/>
          <w:sz w:val="20"/>
        </w:rPr>
        <w:t>at</w:t>
      </w:r>
      <w:r>
        <w:rPr>
          <w:rFonts w:ascii="Calibri"/>
          <w:spacing w:val="7"/>
          <w:sz w:val="20"/>
        </w:rPr>
        <w:t> </w:t>
      </w:r>
      <w:r>
        <w:rPr>
          <w:rFonts w:ascii="Calibri"/>
          <w:sz w:val="20"/>
        </w:rPr>
        <w:t>p.</w:t>
      </w:r>
      <w:r>
        <w:rPr>
          <w:rFonts w:ascii="Calibri"/>
          <w:spacing w:val="7"/>
          <w:sz w:val="20"/>
        </w:rPr>
        <w:t> </w:t>
      </w:r>
      <w:r>
        <w:rPr>
          <w:rFonts w:ascii="Calibri"/>
          <w:sz w:val="20"/>
        </w:rPr>
        <w:t>543;</w:t>
      </w:r>
      <w:r>
        <w:rPr>
          <w:rFonts w:ascii="Calibri"/>
          <w:spacing w:val="9"/>
          <w:sz w:val="20"/>
        </w:rPr>
        <w:t> </w:t>
      </w:r>
      <w:r>
        <w:rPr>
          <w:rFonts w:ascii="Calibri"/>
          <w:spacing w:val="-2"/>
          <w:sz w:val="20"/>
        </w:rPr>
        <w:t>Tate,</w:t>
      </w:r>
    </w:p>
    <w:p>
      <w:pPr>
        <w:spacing w:before="1"/>
        <w:ind w:left="308" w:right="226" w:firstLine="0"/>
        <w:jc w:val="both"/>
        <w:rPr>
          <w:rFonts w:ascii="Calibri" w:hAnsi="Calibri"/>
          <w:sz w:val="20"/>
        </w:rPr>
      </w:pPr>
      <w:r>
        <w:rPr>
          <w:rFonts w:ascii="Calibri" w:hAnsi="Calibri"/>
          <w:sz w:val="20"/>
        </w:rPr>
        <w:t>C.R. (2011).</w:t>
      </w:r>
      <w:r>
        <w:rPr>
          <w:rFonts w:ascii="Calibri" w:hAnsi="Calibri"/>
          <w:i/>
          <w:sz w:val="20"/>
        </w:rPr>
        <w:t>S. 172 CA 2006: The Ticket to Stakeholder Value or Simply Tokenism?</w:t>
      </w:r>
      <w:r>
        <w:rPr>
          <w:rFonts w:ascii="Calibri" w:hAnsi="Calibri"/>
          <w:i/>
          <w:spacing w:val="40"/>
          <w:sz w:val="20"/>
        </w:rPr>
        <w:t> </w:t>
      </w:r>
      <w:r>
        <w:rPr>
          <w:rFonts w:ascii="Calibri" w:hAnsi="Calibri"/>
          <w:sz w:val="20"/>
        </w:rPr>
        <w:t>Being term paper submitted to the Graduate School of Law, University of Aberdeen, pp. 2, 3 and 8; Keay, A. (2007). Tackling the Issue of the Corporate Objective: An Analysis of the United Kingdom’s Enlightened Shareholder Value Approach.</w:t>
      </w:r>
      <w:r>
        <w:rPr>
          <w:rFonts w:ascii="Calibri" w:hAnsi="Calibri"/>
          <w:i/>
          <w:sz w:val="20"/>
        </w:rPr>
        <w:t>Sydney Law Review. </w:t>
      </w:r>
      <w:r>
        <w:rPr>
          <w:rFonts w:ascii="Calibri" w:hAnsi="Calibri"/>
          <w:sz w:val="20"/>
        </w:rPr>
        <w:t>29: 577-612, at 604, 610 and 611.</w:t>
      </w:r>
    </w:p>
    <w:p>
      <w:pPr>
        <w:spacing w:line="240" w:lineRule="auto" w:before="0"/>
        <w:ind w:left="308" w:right="230" w:firstLine="0"/>
        <w:jc w:val="both"/>
        <w:rPr>
          <w:rFonts w:ascii="Calibri"/>
          <w:sz w:val="20"/>
        </w:rPr>
      </w:pPr>
      <w:r>
        <w:rPr>
          <w:rFonts w:ascii="Calibri"/>
          <w:sz w:val="20"/>
          <w:vertAlign w:val="superscript"/>
        </w:rPr>
        <w:t>36</w:t>
      </w:r>
      <w:r>
        <w:rPr>
          <w:rFonts w:ascii="Calibri"/>
          <w:sz w:val="20"/>
          <w:vertAlign w:val="baseline"/>
        </w:rPr>
        <w:t> Though s.309 of the Companies Act of 1985 only mentioned the interests of employees and members in general, the section could be interpreted to accommodate other corporate stakeholders.</w:t>
      </w:r>
    </w:p>
    <w:p>
      <w:pPr>
        <w:spacing w:before="0"/>
        <w:ind w:left="308" w:right="0" w:firstLine="0"/>
        <w:jc w:val="both"/>
        <w:rPr>
          <w:rFonts w:ascii="Calibri"/>
          <w:sz w:val="20"/>
        </w:rPr>
      </w:pPr>
      <w:r>
        <w:rPr>
          <w:rFonts w:ascii="Calibri"/>
          <w:sz w:val="20"/>
          <w:vertAlign w:val="superscript"/>
        </w:rPr>
        <w:t>37</w:t>
      </w:r>
      <w:r>
        <w:rPr>
          <w:rFonts w:ascii="Calibri"/>
          <w:spacing w:val="-2"/>
          <w:sz w:val="20"/>
          <w:vertAlign w:val="baseline"/>
        </w:rPr>
        <w:t> </w:t>
      </w:r>
      <w:r>
        <w:rPr>
          <w:rFonts w:ascii="Calibri"/>
          <w:sz w:val="20"/>
          <w:vertAlign w:val="baseline"/>
        </w:rPr>
        <w:t>Refer</w:t>
      </w:r>
      <w:r>
        <w:rPr>
          <w:rFonts w:ascii="Calibri"/>
          <w:spacing w:val="-7"/>
          <w:sz w:val="20"/>
          <w:vertAlign w:val="baseline"/>
        </w:rPr>
        <w:t> </w:t>
      </w:r>
      <w:r>
        <w:rPr>
          <w:rFonts w:ascii="Calibri"/>
          <w:sz w:val="20"/>
          <w:vertAlign w:val="baseline"/>
        </w:rPr>
        <w:t>extensively</w:t>
      </w:r>
      <w:r>
        <w:rPr>
          <w:rFonts w:ascii="Calibri"/>
          <w:spacing w:val="-3"/>
          <w:sz w:val="20"/>
          <w:vertAlign w:val="baseline"/>
        </w:rPr>
        <w:t> </w:t>
      </w:r>
      <w:r>
        <w:rPr>
          <w:rFonts w:ascii="Calibri"/>
          <w:sz w:val="20"/>
          <w:vertAlign w:val="baseline"/>
        </w:rPr>
        <w:t>to</w:t>
      </w:r>
      <w:r>
        <w:rPr>
          <w:rFonts w:ascii="Calibri"/>
          <w:spacing w:val="-7"/>
          <w:sz w:val="20"/>
          <w:vertAlign w:val="baseline"/>
        </w:rPr>
        <w:t> </w:t>
      </w:r>
      <w:r>
        <w:rPr>
          <w:rFonts w:ascii="Calibri"/>
          <w:b/>
          <w:sz w:val="20"/>
          <w:vertAlign w:val="baseline"/>
        </w:rPr>
        <w:t>4.2.3</w:t>
      </w:r>
      <w:r>
        <w:rPr>
          <w:rFonts w:ascii="Calibri"/>
          <w:b/>
          <w:spacing w:val="-5"/>
          <w:sz w:val="20"/>
          <w:vertAlign w:val="baseline"/>
        </w:rPr>
        <w:t> </w:t>
      </w:r>
      <w:r>
        <w:rPr>
          <w:rFonts w:ascii="Calibri"/>
          <w:spacing w:val="-2"/>
          <w:sz w:val="20"/>
          <w:vertAlign w:val="baseline"/>
        </w:rPr>
        <w:t>supra.</w:t>
      </w:r>
    </w:p>
    <w:p>
      <w:pPr>
        <w:spacing w:before="1"/>
        <w:ind w:left="308" w:right="228" w:firstLine="0"/>
        <w:jc w:val="both"/>
        <w:rPr>
          <w:rFonts w:ascii="Tahoma"/>
          <w:sz w:val="20"/>
        </w:rPr>
      </w:pPr>
      <w:r>
        <w:rPr>
          <w:rFonts w:ascii="Calibri"/>
          <w:sz w:val="20"/>
          <w:vertAlign w:val="superscript"/>
        </w:rPr>
        <w:t>38</w:t>
      </w:r>
      <w:r>
        <w:rPr>
          <w:rFonts w:ascii="Calibri"/>
          <w:sz w:val="20"/>
          <w:vertAlign w:val="baseline"/>
        </w:rPr>
        <w:t> Taylor, P. (2010). </w:t>
      </w:r>
      <w:r>
        <w:rPr>
          <w:rFonts w:ascii="Calibri"/>
          <w:i/>
          <w:sz w:val="20"/>
          <w:vertAlign w:val="baseline"/>
        </w:rPr>
        <w:t>Enlightened Shareholder Value and the Companies Act 2006.</w:t>
      </w:r>
      <w:r>
        <w:rPr>
          <w:rFonts w:ascii="Calibri"/>
          <w:sz w:val="20"/>
          <w:vertAlign w:val="baseline"/>
        </w:rPr>
        <w:t>(Unpublished doctoral dissertation).Birbeck College, University of London, England, p. 162. Retrieved May 24, 2014, from </w:t>
      </w:r>
      <w:hyperlink r:id="rId18">
        <w:r>
          <w:rPr>
            <w:rFonts w:ascii="Calibri"/>
            <w:color w:val="0000FF"/>
            <w:spacing w:val="-2"/>
            <w:sz w:val="20"/>
            <w:u w:val="single" w:color="0000FF"/>
            <w:vertAlign w:val="baseline"/>
          </w:rPr>
          <w:t>http://www.lccge.bbk.ac.uk/publications-and-resources/docs/PhDThesisPNTaylorJune2010.pdf</w:t>
        </w:r>
      </w:hyperlink>
      <w:r>
        <w:rPr>
          <w:rFonts w:ascii="Tahoma"/>
          <w:spacing w:val="-2"/>
          <w:sz w:val="20"/>
          <w:vertAlign w:val="baseline"/>
        </w:rPr>
        <w:t>.</w:t>
      </w:r>
    </w:p>
    <w:p>
      <w:pPr>
        <w:spacing w:before="1"/>
        <w:ind w:left="308" w:right="0" w:firstLine="0"/>
        <w:jc w:val="both"/>
        <w:rPr>
          <w:rFonts w:ascii="Calibri"/>
          <w:sz w:val="20"/>
        </w:rPr>
      </w:pPr>
      <w:r>
        <w:rPr>
          <w:rFonts w:ascii="Calibri"/>
          <w:sz w:val="20"/>
          <w:vertAlign w:val="superscript"/>
        </w:rPr>
        <w:t>39</w:t>
      </w:r>
      <w:r>
        <w:rPr>
          <w:rFonts w:ascii="Calibri"/>
          <w:spacing w:val="-1"/>
          <w:sz w:val="20"/>
          <w:vertAlign w:val="baseline"/>
        </w:rPr>
        <w:t> </w:t>
      </w:r>
      <w:r>
        <w:rPr>
          <w:rFonts w:ascii="Calibri"/>
          <w:sz w:val="20"/>
          <w:vertAlign w:val="baseline"/>
        </w:rPr>
        <w:t>Refer</w:t>
      </w:r>
      <w:r>
        <w:rPr>
          <w:rFonts w:ascii="Calibri"/>
          <w:spacing w:val="-6"/>
          <w:sz w:val="20"/>
          <w:vertAlign w:val="baseline"/>
        </w:rPr>
        <w:t> </w:t>
      </w:r>
      <w:r>
        <w:rPr>
          <w:rFonts w:ascii="Calibri"/>
          <w:sz w:val="20"/>
          <w:vertAlign w:val="baseline"/>
        </w:rPr>
        <w:t>extensively</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b/>
          <w:sz w:val="20"/>
          <w:vertAlign w:val="baseline"/>
        </w:rPr>
        <w:t>3.4</w:t>
      </w:r>
      <w:r>
        <w:rPr>
          <w:rFonts w:ascii="Calibri"/>
          <w:b/>
          <w:spacing w:val="-4"/>
          <w:sz w:val="20"/>
          <w:vertAlign w:val="baseline"/>
        </w:rPr>
        <w:t> </w:t>
      </w:r>
      <w:r>
        <w:rPr>
          <w:rFonts w:ascii="Calibri"/>
          <w:spacing w:val="-2"/>
          <w:sz w:val="20"/>
          <w:vertAlign w:val="baseline"/>
        </w:rPr>
        <w:t>supra.</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4"/>
        <w:jc w:val="both"/>
      </w:pPr>
      <w:r>
        <w:rPr/>
        <w:t>the matters mentioned and admits those not necessarily mentioned in the list of factors provided, just as s.279(4) CAMA also does the same. But the similarities end here. The differences</w:t>
      </w:r>
      <w:r>
        <w:rPr>
          <w:spacing w:val="-7"/>
        </w:rPr>
        <w:t> </w:t>
      </w:r>
      <w:r>
        <w:rPr/>
        <w:t>are</w:t>
      </w:r>
      <w:r>
        <w:rPr>
          <w:spacing w:val="-5"/>
        </w:rPr>
        <w:t> </w:t>
      </w:r>
      <w:r>
        <w:rPr/>
        <w:t>more</w:t>
      </w:r>
      <w:r>
        <w:rPr>
          <w:spacing w:val="-5"/>
        </w:rPr>
        <w:t> </w:t>
      </w:r>
      <w:r>
        <w:rPr/>
        <w:t>significant.</w:t>
      </w:r>
      <w:r>
        <w:rPr>
          <w:spacing w:val="-7"/>
        </w:rPr>
        <w:t> </w:t>
      </w:r>
      <w:r>
        <w:rPr/>
        <w:t>First,</w:t>
      </w:r>
      <w:r>
        <w:rPr>
          <w:spacing w:val="-7"/>
        </w:rPr>
        <w:t> </w:t>
      </w:r>
      <w:r>
        <w:rPr/>
        <w:t>where</w:t>
      </w:r>
      <w:r>
        <w:rPr>
          <w:spacing w:val="-6"/>
        </w:rPr>
        <w:t> </w:t>
      </w:r>
      <w:r>
        <w:rPr/>
        <w:t>s.172</w:t>
      </w:r>
      <w:r>
        <w:rPr>
          <w:spacing w:val="-8"/>
        </w:rPr>
        <w:t> </w:t>
      </w:r>
      <w:r>
        <w:rPr/>
        <w:t>of</w:t>
      </w:r>
      <w:r>
        <w:rPr>
          <w:spacing w:val="-11"/>
        </w:rPr>
        <w:t> </w:t>
      </w:r>
      <w:r>
        <w:rPr/>
        <w:t>the</w:t>
      </w:r>
      <w:r>
        <w:rPr>
          <w:spacing w:val="-5"/>
        </w:rPr>
        <w:t> </w:t>
      </w:r>
      <w:r>
        <w:rPr/>
        <w:t>CA</w:t>
      </w:r>
      <w:r>
        <w:rPr>
          <w:spacing w:val="-14"/>
        </w:rPr>
        <w:t> </w:t>
      </w:r>
      <w:r>
        <w:rPr/>
        <w:t>refers</w:t>
      </w:r>
      <w:r>
        <w:rPr>
          <w:spacing w:val="-11"/>
        </w:rPr>
        <w:t> </w:t>
      </w:r>
      <w:r>
        <w:rPr/>
        <w:t>to</w:t>
      </w:r>
      <w:r>
        <w:rPr>
          <w:spacing w:val="-5"/>
        </w:rPr>
        <w:t> </w:t>
      </w:r>
      <w:r>
        <w:rPr/>
        <w:t>―the</w:t>
      </w:r>
      <w:r>
        <w:rPr>
          <w:spacing w:val="-2"/>
        </w:rPr>
        <w:t> </w:t>
      </w:r>
      <w:r>
        <w:rPr/>
        <w:t>benefit of</w:t>
      </w:r>
      <w:r>
        <w:rPr>
          <w:spacing w:val="-8"/>
        </w:rPr>
        <w:t> </w:t>
      </w:r>
      <w:r>
        <w:rPr/>
        <w:t>its members as a whole,‖ s.279(3) of CAMA</w:t>
      </w:r>
      <w:r>
        <w:rPr>
          <w:spacing w:val="-1"/>
        </w:rPr>
        <w:t> </w:t>
      </w:r>
      <w:r>
        <w:rPr/>
        <w:t>on</w:t>
      </w:r>
      <w:r>
        <w:rPr>
          <w:spacing w:val="-1"/>
        </w:rPr>
        <w:t> </w:t>
      </w:r>
      <w:r>
        <w:rPr/>
        <w:t>the other hand refers to ―the best interests of the company as a whole.‖ Second, where s.172 CA refers to the ―success of the company,‖ s.279(3) CAMA mentions the best interests of the company…so as to preserve its assets, further its business, and promote the purposes for which it was formed.‖ Third, where s.172(1) lists six matters to which a director must have regard among others and report this per s.417 CA, s.279(4) CAMA simply mentions the employees in general and members. This is in addition to the fact that s.172(3) CA admits the modification of the main duty under s.172(1) CA under circumstances in which</w:t>
      </w:r>
      <w:r>
        <w:rPr>
          <w:spacing w:val="-2"/>
        </w:rPr>
        <w:t> </w:t>
      </w:r>
      <w:r>
        <w:rPr/>
        <w:t>the</w:t>
      </w:r>
      <w:r>
        <w:rPr>
          <w:spacing w:val="9"/>
        </w:rPr>
        <w:t> </w:t>
      </w:r>
      <w:r>
        <w:rPr/>
        <w:t>interests</w:t>
      </w:r>
      <w:r>
        <w:rPr>
          <w:spacing w:val="3"/>
        </w:rPr>
        <w:t> </w:t>
      </w:r>
      <w:r>
        <w:rPr/>
        <w:t>of</w:t>
      </w:r>
      <w:r>
        <w:rPr>
          <w:spacing w:val="-2"/>
        </w:rPr>
        <w:t> </w:t>
      </w:r>
      <w:r>
        <w:rPr/>
        <w:t>creditors</w:t>
      </w:r>
      <w:r>
        <w:rPr>
          <w:spacing w:val="-1"/>
        </w:rPr>
        <w:t> </w:t>
      </w:r>
      <w:r>
        <w:rPr/>
        <w:t>of</w:t>
      </w:r>
      <w:r>
        <w:rPr>
          <w:spacing w:val="-2"/>
        </w:rPr>
        <w:t> </w:t>
      </w:r>
      <w:r>
        <w:rPr/>
        <w:t>the</w:t>
      </w:r>
      <w:r>
        <w:rPr>
          <w:spacing w:val="5"/>
        </w:rPr>
        <w:t> </w:t>
      </w:r>
      <w:r>
        <w:rPr/>
        <w:t>company</w:t>
      </w:r>
      <w:r>
        <w:rPr>
          <w:spacing w:val="1"/>
        </w:rPr>
        <w:t> </w:t>
      </w:r>
      <w:r>
        <w:rPr/>
        <w:t>would</w:t>
      </w:r>
      <w:r>
        <w:rPr>
          <w:spacing w:val="10"/>
        </w:rPr>
        <w:t> </w:t>
      </w:r>
      <w:r>
        <w:rPr/>
        <w:t>have</w:t>
      </w:r>
      <w:r>
        <w:rPr>
          <w:spacing w:val="5"/>
        </w:rPr>
        <w:t> </w:t>
      </w:r>
      <w:r>
        <w:rPr/>
        <w:t>to</w:t>
      </w:r>
      <w:r>
        <w:rPr>
          <w:spacing w:val="5"/>
        </w:rPr>
        <w:t> </w:t>
      </w:r>
      <w:r>
        <w:rPr/>
        <w:t>come</w:t>
      </w:r>
      <w:r>
        <w:rPr>
          <w:spacing w:val="9"/>
        </w:rPr>
        <w:t> </w:t>
      </w:r>
      <w:r>
        <w:rPr/>
        <w:t>first.</w:t>
      </w:r>
      <w:r>
        <w:rPr>
          <w:spacing w:val="8"/>
        </w:rPr>
        <w:t> </w:t>
      </w:r>
      <w:r>
        <w:rPr/>
        <w:t>Finally,</w:t>
      </w:r>
      <w:r>
        <w:rPr>
          <w:spacing w:val="8"/>
        </w:rPr>
        <w:t> </w:t>
      </w:r>
      <w:r>
        <w:rPr>
          <w:spacing w:val="-2"/>
        </w:rPr>
        <w:t>where</w:t>
      </w:r>
    </w:p>
    <w:p>
      <w:pPr>
        <w:pStyle w:val="BodyText"/>
        <w:spacing w:line="480" w:lineRule="auto" w:before="2"/>
        <w:ind w:right="194"/>
        <w:jc w:val="both"/>
      </w:pPr>
      <w:r>
        <w:rPr/>
        <w:t>s.172</w:t>
      </w:r>
      <w:r>
        <w:rPr>
          <w:spacing w:val="-3"/>
        </w:rPr>
        <w:t> </w:t>
      </w:r>
      <w:r>
        <w:rPr/>
        <w:t>CA</w:t>
      </w:r>
      <w:r>
        <w:rPr>
          <w:spacing w:val="-7"/>
        </w:rPr>
        <w:t> </w:t>
      </w:r>
      <w:r>
        <w:rPr/>
        <w:t>requires</w:t>
      </w:r>
      <w:r>
        <w:rPr>
          <w:spacing w:val="-4"/>
        </w:rPr>
        <w:t> </w:t>
      </w:r>
      <w:r>
        <w:rPr/>
        <w:t>the</w:t>
      </w:r>
      <w:r>
        <w:rPr>
          <w:spacing w:val="-3"/>
        </w:rPr>
        <w:t> </w:t>
      </w:r>
      <w:r>
        <w:rPr/>
        <w:t>director</w:t>
      </w:r>
      <w:r>
        <w:rPr>
          <w:spacing w:val="-5"/>
        </w:rPr>
        <w:t> </w:t>
      </w:r>
      <w:r>
        <w:rPr/>
        <w:t>to</w:t>
      </w:r>
      <w:r>
        <w:rPr>
          <w:spacing w:val="-2"/>
        </w:rPr>
        <w:t> </w:t>
      </w:r>
      <w:r>
        <w:rPr/>
        <w:t>act</w:t>
      </w:r>
      <w:r>
        <w:rPr>
          <w:spacing w:val="-2"/>
        </w:rPr>
        <w:t> </w:t>
      </w:r>
      <w:r>
        <w:rPr/>
        <w:t>―in</w:t>
      </w:r>
      <w:r>
        <w:rPr>
          <w:spacing w:val="-6"/>
        </w:rPr>
        <w:t> </w:t>
      </w:r>
      <w:r>
        <w:rPr/>
        <w:t>good</w:t>
      </w:r>
      <w:r>
        <w:rPr>
          <w:spacing w:val="-6"/>
        </w:rPr>
        <w:t> </w:t>
      </w:r>
      <w:r>
        <w:rPr/>
        <w:t>faith‖</w:t>
      </w:r>
      <w:r>
        <w:rPr>
          <w:spacing w:val="-3"/>
        </w:rPr>
        <w:t> </w:t>
      </w:r>
      <w:r>
        <w:rPr/>
        <w:t>s.279(3)</w:t>
      </w:r>
      <w:r>
        <w:rPr>
          <w:spacing w:val="-1"/>
        </w:rPr>
        <w:t> </w:t>
      </w:r>
      <w:r>
        <w:rPr/>
        <w:t>CAMA</w:t>
      </w:r>
      <w:r>
        <w:rPr>
          <w:spacing w:val="-7"/>
        </w:rPr>
        <w:t> </w:t>
      </w:r>
      <w:r>
        <w:rPr/>
        <w:t>demands</w:t>
      </w:r>
      <w:r>
        <w:rPr>
          <w:spacing w:val="-4"/>
        </w:rPr>
        <w:t> </w:t>
      </w:r>
      <w:r>
        <w:rPr/>
        <w:t>of</w:t>
      </w:r>
      <w:r>
        <w:rPr>
          <w:spacing w:val="-5"/>
        </w:rPr>
        <w:t> </w:t>
      </w:r>
      <w:r>
        <w:rPr/>
        <w:t>him</w:t>
      </w:r>
      <w:r>
        <w:rPr>
          <w:spacing w:val="-6"/>
        </w:rPr>
        <w:t> </w:t>
      </w:r>
      <w:r>
        <w:rPr/>
        <w:t>to act in the manner of a faithful, diligent, careful and ordinarily skilful director.‖</w:t>
      </w:r>
    </w:p>
    <w:p>
      <w:pPr>
        <w:pStyle w:val="BodyText"/>
        <w:spacing w:line="480" w:lineRule="auto" w:before="1"/>
        <w:ind w:right="180" w:firstLine="720"/>
        <w:jc w:val="both"/>
      </w:pPr>
      <w:r>
        <w:rPr/>
        <w:t>There is need to consider these differences in more detail. Earlier in this work,</w:t>
      </w:r>
      <w:r>
        <w:rPr>
          <w:spacing w:val="40"/>
        </w:rPr>
        <w:t> </w:t>
      </w:r>
      <w:r>
        <w:rPr/>
        <w:t>the issue of the separate identity of the company was mentioned.</w:t>
      </w:r>
      <w:r>
        <w:rPr>
          <w:vertAlign w:val="superscript"/>
        </w:rPr>
        <w:t>40</w:t>
      </w:r>
      <w:r>
        <w:rPr>
          <w:vertAlign w:val="baseline"/>
        </w:rPr>
        <w:t> Both laws are clear that the duties of</w:t>
      </w:r>
      <w:r>
        <w:rPr>
          <w:spacing w:val="-6"/>
          <w:vertAlign w:val="baseline"/>
        </w:rPr>
        <w:t> </w:t>
      </w:r>
      <w:r>
        <w:rPr>
          <w:vertAlign w:val="baseline"/>
        </w:rPr>
        <w:t>directors are</w:t>
      </w:r>
      <w:r>
        <w:rPr>
          <w:spacing w:val="-4"/>
          <w:vertAlign w:val="baseline"/>
        </w:rPr>
        <w:t> </w:t>
      </w:r>
      <w:r>
        <w:rPr>
          <w:vertAlign w:val="baseline"/>
        </w:rPr>
        <w:t>only</w:t>
      </w:r>
      <w:r>
        <w:rPr>
          <w:spacing w:val="-8"/>
          <w:vertAlign w:val="baseline"/>
        </w:rPr>
        <w:t> </w:t>
      </w:r>
      <w:r>
        <w:rPr>
          <w:vertAlign w:val="baseline"/>
        </w:rPr>
        <w:t>owed the company.</w:t>
      </w:r>
      <w:r>
        <w:rPr>
          <w:vertAlign w:val="superscript"/>
        </w:rPr>
        <w:t>41</w:t>
      </w:r>
      <w:r>
        <w:rPr>
          <w:vertAlign w:val="baseline"/>
        </w:rPr>
        <w:t> And the question</w:t>
      </w:r>
      <w:r>
        <w:rPr>
          <w:spacing w:val="-3"/>
          <w:vertAlign w:val="baseline"/>
        </w:rPr>
        <w:t> </w:t>
      </w:r>
      <w:r>
        <w:rPr>
          <w:vertAlign w:val="baseline"/>
        </w:rPr>
        <w:t>of</w:t>
      </w:r>
      <w:r>
        <w:rPr>
          <w:spacing w:val="-6"/>
          <w:vertAlign w:val="baseline"/>
        </w:rPr>
        <w:t> </w:t>
      </w:r>
      <w:r>
        <w:rPr>
          <w:vertAlign w:val="baseline"/>
        </w:rPr>
        <w:t>any</w:t>
      </w:r>
      <w:r>
        <w:rPr>
          <w:spacing w:val="-3"/>
          <w:vertAlign w:val="baseline"/>
        </w:rPr>
        <w:t> </w:t>
      </w:r>
      <w:r>
        <w:rPr>
          <w:vertAlign w:val="baseline"/>
        </w:rPr>
        <w:t>duty</w:t>
      </w:r>
      <w:r>
        <w:rPr>
          <w:spacing w:val="-8"/>
          <w:vertAlign w:val="baseline"/>
        </w:rPr>
        <w:t> </w:t>
      </w:r>
      <w:r>
        <w:rPr>
          <w:vertAlign w:val="baseline"/>
        </w:rPr>
        <w:t>to individual</w:t>
      </w:r>
      <w:r>
        <w:rPr>
          <w:spacing w:val="-1"/>
          <w:vertAlign w:val="baseline"/>
        </w:rPr>
        <w:t> </w:t>
      </w:r>
      <w:r>
        <w:rPr>
          <w:vertAlign w:val="baseline"/>
        </w:rPr>
        <w:t>shareholders does not arise under statutory</w:t>
      </w:r>
      <w:r>
        <w:rPr>
          <w:spacing w:val="-1"/>
          <w:vertAlign w:val="baseline"/>
        </w:rPr>
        <w:t> </w:t>
      </w:r>
      <w:r>
        <w:rPr>
          <w:vertAlign w:val="baseline"/>
        </w:rPr>
        <w:t>law.This follows from</w:t>
      </w:r>
      <w:r>
        <w:rPr>
          <w:spacing w:val="-5"/>
          <w:vertAlign w:val="baseline"/>
        </w:rPr>
        <w:t> </w:t>
      </w:r>
      <w:r>
        <w:rPr>
          <w:vertAlign w:val="baseline"/>
        </w:rPr>
        <w:t>the issue of enforceability: only the company can enforce the duties its directors</w:t>
      </w:r>
      <w:r>
        <w:rPr>
          <w:spacing w:val="-2"/>
          <w:vertAlign w:val="baseline"/>
        </w:rPr>
        <w:t> </w:t>
      </w:r>
      <w:r>
        <w:rPr>
          <w:vertAlign w:val="baseline"/>
        </w:rPr>
        <w:t>owe it.</w:t>
      </w:r>
      <w:r>
        <w:rPr>
          <w:vertAlign w:val="superscript"/>
        </w:rPr>
        <w:t>42</w:t>
      </w:r>
      <w:r>
        <w:rPr>
          <w:vertAlign w:val="baseline"/>
        </w:rPr>
        <w:t>The fact is, no one owns the company: at best, a shareholder only has a transferable interest. However,</w:t>
      </w:r>
      <w:r>
        <w:rPr>
          <w:spacing w:val="14"/>
          <w:vertAlign w:val="baseline"/>
        </w:rPr>
        <w:t> </w:t>
      </w:r>
      <w:r>
        <w:rPr>
          <w:vertAlign w:val="baseline"/>
        </w:rPr>
        <w:t>the</w:t>
      </w:r>
      <w:r>
        <w:rPr>
          <w:spacing w:val="17"/>
          <w:vertAlign w:val="baseline"/>
        </w:rPr>
        <w:t> </w:t>
      </w:r>
      <w:r>
        <w:rPr>
          <w:vertAlign w:val="baseline"/>
        </w:rPr>
        <w:t>courts</w:t>
      </w:r>
      <w:r>
        <w:rPr>
          <w:spacing w:val="15"/>
          <w:vertAlign w:val="baseline"/>
        </w:rPr>
        <w:t> </w:t>
      </w:r>
      <w:r>
        <w:rPr>
          <w:vertAlign w:val="baseline"/>
        </w:rPr>
        <w:t>have</w:t>
      </w:r>
      <w:r>
        <w:rPr>
          <w:spacing w:val="17"/>
          <w:vertAlign w:val="baseline"/>
        </w:rPr>
        <w:t> </w:t>
      </w:r>
      <w:r>
        <w:rPr>
          <w:vertAlign w:val="baseline"/>
        </w:rPr>
        <w:t>consistently</w:t>
      </w:r>
      <w:r>
        <w:rPr>
          <w:spacing w:val="13"/>
          <w:vertAlign w:val="baseline"/>
        </w:rPr>
        <w:t> </w:t>
      </w:r>
      <w:r>
        <w:rPr>
          <w:vertAlign w:val="baseline"/>
        </w:rPr>
        <w:t>aligned</w:t>
      </w:r>
      <w:r>
        <w:rPr>
          <w:spacing w:val="18"/>
          <w:vertAlign w:val="baseline"/>
        </w:rPr>
        <w:t> </w:t>
      </w:r>
      <w:r>
        <w:rPr>
          <w:vertAlign w:val="baseline"/>
        </w:rPr>
        <w:t>the</w:t>
      </w:r>
      <w:r>
        <w:rPr>
          <w:spacing w:val="16"/>
          <w:vertAlign w:val="baseline"/>
        </w:rPr>
        <w:t> </w:t>
      </w:r>
      <w:r>
        <w:rPr>
          <w:vertAlign w:val="baseline"/>
        </w:rPr>
        <w:t>―interests</w:t>
      </w:r>
      <w:r>
        <w:rPr>
          <w:spacing w:val="15"/>
          <w:vertAlign w:val="baseline"/>
        </w:rPr>
        <w:t> </w:t>
      </w:r>
      <w:r>
        <w:rPr>
          <w:vertAlign w:val="baseline"/>
        </w:rPr>
        <w:t>of</w:t>
      </w:r>
      <w:r>
        <w:rPr>
          <w:spacing w:val="11"/>
          <w:vertAlign w:val="baseline"/>
        </w:rPr>
        <w:t> </w:t>
      </w:r>
      <w:r>
        <w:rPr>
          <w:vertAlign w:val="baseline"/>
        </w:rPr>
        <w:t>the</w:t>
      </w:r>
      <w:r>
        <w:rPr>
          <w:spacing w:val="16"/>
          <w:vertAlign w:val="baseline"/>
        </w:rPr>
        <w:t> </w:t>
      </w:r>
      <w:r>
        <w:rPr>
          <w:vertAlign w:val="baseline"/>
        </w:rPr>
        <w:t>company‖</w:t>
      </w:r>
      <w:r>
        <w:rPr>
          <w:spacing w:val="17"/>
          <w:vertAlign w:val="baseline"/>
        </w:rPr>
        <w:t> </w:t>
      </w:r>
      <w:r>
        <w:rPr>
          <w:vertAlign w:val="baseline"/>
        </w:rPr>
        <w:t>with</w:t>
      </w:r>
      <w:r>
        <w:rPr>
          <w:spacing w:val="13"/>
          <w:vertAlign w:val="baseline"/>
        </w:rPr>
        <w:t> </w:t>
      </w:r>
      <w:r>
        <w:rPr>
          <w:spacing w:val="-5"/>
          <w:vertAlign w:val="baseline"/>
        </w:rPr>
        <w:t>the</w:t>
      </w:r>
    </w:p>
    <w:p>
      <w:pPr>
        <w:pStyle w:val="BodyText"/>
        <w:spacing w:before="1"/>
        <w:jc w:val="both"/>
      </w:pPr>
      <w:r>
        <w:rPr/>
        <w:t>―interests of members,‖</w:t>
      </w:r>
      <w:r>
        <w:rPr>
          <w:spacing w:val="2"/>
        </w:rPr>
        <w:t> </w:t>
      </w:r>
      <w:r>
        <w:rPr/>
        <w:t>since</w:t>
      </w:r>
      <w:r>
        <w:rPr>
          <w:spacing w:val="1"/>
        </w:rPr>
        <w:t> </w:t>
      </w:r>
      <w:r>
        <w:rPr/>
        <w:t>the</w:t>
      </w:r>
      <w:r>
        <w:rPr>
          <w:spacing w:val="2"/>
        </w:rPr>
        <w:t> </w:t>
      </w:r>
      <w:r>
        <w:rPr/>
        <w:t>company</w:t>
      </w:r>
      <w:r>
        <w:rPr>
          <w:spacing w:val="2"/>
        </w:rPr>
        <w:t> </w:t>
      </w:r>
      <w:r>
        <w:rPr/>
        <w:t>is</w:t>
      </w:r>
      <w:r>
        <w:rPr>
          <w:spacing w:val="5"/>
        </w:rPr>
        <w:t> </w:t>
      </w:r>
      <w:r>
        <w:rPr/>
        <w:t>a</w:t>
      </w:r>
      <w:r>
        <w:rPr>
          <w:spacing w:val="6"/>
        </w:rPr>
        <w:t> </w:t>
      </w:r>
      <w:r>
        <w:rPr/>
        <w:t>mere</w:t>
      </w:r>
      <w:r>
        <w:rPr>
          <w:spacing w:val="6"/>
        </w:rPr>
        <w:t> </w:t>
      </w:r>
      <w:r>
        <w:rPr/>
        <w:t>legal</w:t>
      </w:r>
      <w:r>
        <w:rPr>
          <w:spacing w:val="4"/>
        </w:rPr>
        <w:t> </w:t>
      </w:r>
      <w:r>
        <w:rPr/>
        <w:t>fiction</w:t>
      </w:r>
      <w:r>
        <w:rPr>
          <w:spacing w:val="-2"/>
        </w:rPr>
        <w:t> </w:t>
      </w:r>
      <w:r>
        <w:rPr/>
        <w:t>that</w:t>
      </w:r>
      <w:r>
        <w:rPr>
          <w:spacing w:val="7"/>
        </w:rPr>
        <w:t> </w:t>
      </w:r>
      <w:r>
        <w:rPr/>
        <w:t>exists only</w:t>
      </w:r>
      <w:r>
        <w:rPr>
          <w:spacing w:val="3"/>
        </w:rPr>
        <w:t> </w:t>
      </w:r>
      <w:r>
        <w:rPr/>
        <w:t>in</w:t>
      </w:r>
      <w:r>
        <w:rPr>
          <w:spacing w:val="2"/>
        </w:rPr>
        <w:t> </w:t>
      </w:r>
      <w:r>
        <w:rPr>
          <w:spacing w:val="-5"/>
        </w:rPr>
        <w:t>the</w:t>
      </w:r>
    </w:p>
    <w:p>
      <w:pPr>
        <w:pStyle w:val="BodyText"/>
        <w:ind w:left="0"/>
        <w:rPr>
          <w:sz w:val="20"/>
        </w:rPr>
      </w:pPr>
    </w:p>
    <w:p>
      <w:pPr>
        <w:pStyle w:val="BodyText"/>
        <w:ind w:left="0"/>
        <w:rPr>
          <w:sz w:val="20"/>
        </w:rPr>
      </w:pPr>
    </w:p>
    <w:p>
      <w:pPr>
        <w:pStyle w:val="BodyText"/>
        <w:ind w:left="0"/>
        <w:rPr>
          <w:sz w:val="20"/>
        </w:rPr>
      </w:pPr>
    </w:p>
    <w:p>
      <w:pPr>
        <w:pStyle w:val="BodyText"/>
        <w:spacing w:before="104"/>
        <w:ind w:left="0"/>
        <w:rPr>
          <w:sz w:val="20"/>
        </w:rPr>
      </w:pPr>
      <w:r>
        <w:rPr/>
        <mc:AlternateContent>
          <mc:Choice Requires="wps">
            <w:drawing>
              <wp:anchor distT="0" distB="0" distL="0" distR="0" allowOverlap="1" layoutInCell="1" locked="0" behindDoc="1" simplePos="0" relativeHeight="487717376">
                <wp:simplePos x="0" y="0"/>
                <wp:positionH relativeFrom="page">
                  <wp:posOffset>1262481</wp:posOffset>
                </wp:positionH>
                <wp:positionV relativeFrom="paragraph">
                  <wp:posOffset>227498</wp:posOffset>
                </wp:positionV>
                <wp:extent cx="1829435" cy="9525"/>
                <wp:effectExtent l="0" t="0" r="0" b="0"/>
                <wp:wrapTopAndBottom/>
                <wp:docPr id="280" name="Graphic 280"/>
                <wp:cNvGraphicFramePr>
                  <a:graphicFrameLocks/>
                </wp:cNvGraphicFramePr>
                <a:graphic>
                  <a:graphicData uri="http://schemas.microsoft.com/office/word/2010/wordprocessingShape">
                    <wps:wsp>
                      <wps:cNvPr id="280" name="Graphic 28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91329pt;width:144.050pt;height:.72003pt;mso-position-horizontal-relative:page;mso-position-vertical-relative:paragraph;z-index:-15599104;mso-wrap-distance-left:0;mso-wrap-distance-right:0" id="docshape235" filled="true" fillcolor="#000000" stroked="false">
                <v:fill type="solid"/>
                <w10:wrap type="topAndBottom"/>
              </v:rect>
            </w:pict>
          </mc:Fallback>
        </mc:AlternateContent>
      </w:r>
    </w:p>
    <w:p>
      <w:pPr>
        <w:spacing w:before="102"/>
        <w:ind w:left="308" w:right="255" w:firstLine="0"/>
        <w:jc w:val="left"/>
        <w:rPr>
          <w:rFonts w:ascii="Calibri"/>
          <w:sz w:val="20"/>
        </w:rPr>
      </w:pPr>
      <w:r>
        <w:rPr>
          <w:rFonts w:ascii="Calibri"/>
          <w:sz w:val="20"/>
          <w:vertAlign w:val="superscript"/>
        </w:rPr>
        <w:t>40</w:t>
      </w:r>
      <w:r>
        <w:rPr>
          <w:rFonts w:ascii="Calibri"/>
          <w:sz w:val="20"/>
          <w:vertAlign w:val="baseline"/>
        </w:rPr>
        <w:t> Refer</w:t>
      </w:r>
      <w:r>
        <w:rPr>
          <w:rFonts w:ascii="Calibri"/>
          <w:spacing w:val="-2"/>
          <w:sz w:val="20"/>
          <w:vertAlign w:val="baseline"/>
        </w:rPr>
        <w:t> </w:t>
      </w:r>
      <w:r>
        <w:rPr>
          <w:rFonts w:ascii="Calibri"/>
          <w:sz w:val="20"/>
          <w:vertAlign w:val="baseline"/>
        </w:rPr>
        <w:t>to</w:t>
      </w:r>
      <w:r>
        <w:rPr>
          <w:rFonts w:ascii="Calibri"/>
          <w:spacing w:val="-4"/>
          <w:sz w:val="20"/>
          <w:vertAlign w:val="baseline"/>
        </w:rPr>
        <w:t> </w:t>
      </w:r>
      <w:r>
        <w:rPr>
          <w:rFonts w:ascii="Calibri"/>
          <w:b/>
          <w:sz w:val="20"/>
          <w:vertAlign w:val="baseline"/>
        </w:rPr>
        <w:t>3.4.2 </w:t>
      </w:r>
      <w:r>
        <w:rPr>
          <w:rFonts w:ascii="Calibri"/>
          <w:sz w:val="20"/>
          <w:vertAlign w:val="baseline"/>
        </w:rPr>
        <w:t>supra</w:t>
      </w:r>
      <w:r>
        <w:rPr>
          <w:rFonts w:ascii="Calibri"/>
          <w:spacing w:val="-4"/>
          <w:sz w:val="20"/>
          <w:vertAlign w:val="baseline"/>
        </w:rPr>
        <w:t> </w:t>
      </w:r>
      <w:r>
        <w:rPr>
          <w:rFonts w:ascii="Calibri"/>
          <w:sz w:val="20"/>
          <w:vertAlign w:val="baseline"/>
        </w:rPr>
        <w:t>on</w:t>
      </w:r>
      <w:r>
        <w:rPr>
          <w:rFonts w:ascii="Calibri"/>
          <w:spacing w:val="-4"/>
          <w:sz w:val="20"/>
          <w:vertAlign w:val="baseline"/>
        </w:rPr>
        <w:t> </w:t>
      </w:r>
      <w:r>
        <w:rPr>
          <w:rFonts w:ascii="Calibri"/>
          <w:sz w:val="20"/>
          <w:vertAlign w:val="baseline"/>
        </w:rPr>
        <w:t>In</w:t>
      </w:r>
      <w:r>
        <w:rPr>
          <w:rFonts w:ascii="Calibri"/>
          <w:spacing w:val="-4"/>
          <w:sz w:val="20"/>
          <w:vertAlign w:val="baseline"/>
        </w:rPr>
        <w:t> </w:t>
      </w:r>
      <w:r>
        <w:rPr>
          <w:rFonts w:ascii="Calibri"/>
          <w:sz w:val="20"/>
          <w:vertAlign w:val="baseline"/>
        </w:rPr>
        <w:t>whose</w:t>
      </w:r>
      <w:r>
        <w:rPr>
          <w:rFonts w:ascii="Calibri"/>
          <w:spacing w:val="-3"/>
          <w:sz w:val="20"/>
          <w:vertAlign w:val="baseline"/>
        </w:rPr>
        <w:t> </w:t>
      </w:r>
      <w:r>
        <w:rPr>
          <w:rFonts w:ascii="Calibri"/>
          <w:sz w:val="20"/>
          <w:vertAlign w:val="baseline"/>
        </w:rPr>
        <w:t>Interests</w:t>
      </w:r>
      <w:r>
        <w:rPr>
          <w:rFonts w:ascii="Calibri"/>
          <w:spacing w:val="-1"/>
          <w:sz w:val="20"/>
          <w:vertAlign w:val="baseline"/>
        </w:rPr>
        <w:t> </w:t>
      </w:r>
      <w:r>
        <w:rPr>
          <w:rFonts w:ascii="Calibri"/>
          <w:sz w:val="20"/>
          <w:vertAlign w:val="baseline"/>
        </w:rPr>
        <w:t>and</w:t>
      </w:r>
      <w:r>
        <w:rPr>
          <w:rFonts w:ascii="Calibri"/>
          <w:spacing w:val="-4"/>
          <w:sz w:val="20"/>
          <w:vertAlign w:val="baseline"/>
        </w:rPr>
        <w:t> </w:t>
      </w:r>
      <w:r>
        <w:rPr>
          <w:rFonts w:ascii="Calibri"/>
          <w:sz w:val="20"/>
          <w:vertAlign w:val="baseline"/>
        </w:rPr>
        <w:t>for</w:t>
      </w:r>
      <w:r>
        <w:rPr>
          <w:rFonts w:ascii="Calibri"/>
          <w:spacing w:val="-2"/>
          <w:sz w:val="20"/>
          <w:vertAlign w:val="baseline"/>
        </w:rPr>
        <w:t> </w:t>
      </w:r>
      <w:r>
        <w:rPr>
          <w:rFonts w:ascii="Calibri"/>
          <w:sz w:val="20"/>
          <w:vertAlign w:val="baseline"/>
        </w:rPr>
        <w:t>whose</w:t>
      </w:r>
      <w:r>
        <w:rPr>
          <w:rFonts w:ascii="Calibri"/>
          <w:spacing w:val="-3"/>
          <w:sz w:val="20"/>
          <w:vertAlign w:val="baseline"/>
        </w:rPr>
        <w:t> </w:t>
      </w:r>
      <w:r>
        <w:rPr>
          <w:rFonts w:ascii="Calibri"/>
          <w:sz w:val="20"/>
          <w:vertAlign w:val="baseline"/>
        </w:rPr>
        <w:t>Benefit</w:t>
      </w:r>
      <w:r>
        <w:rPr>
          <w:rFonts w:ascii="Calibri"/>
          <w:spacing w:val="-4"/>
          <w:sz w:val="20"/>
          <w:vertAlign w:val="baseline"/>
        </w:rPr>
        <w:t> </w:t>
      </w:r>
      <w:r>
        <w:rPr>
          <w:rFonts w:ascii="Calibri"/>
          <w:sz w:val="20"/>
          <w:vertAlign w:val="baseline"/>
        </w:rPr>
        <w:t>should</w:t>
      </w:r>
      <w:r>
        <w:rPr>
          <w:rFonts w:ascii="Calibri"/>
          <w:spacing w:val="-4"/>
          <w:sz w:val="20"/>
          <w:vertAlign w:val="baseline"/>
        </w:rPr>
        <w:t> </w:t>
      </w:r>
      <w:r>
        <w:rPr>
          <w:rFonts w:ascii="Calibri"/>
          <w:sz w:val="20"/>
          <w:vertAlign w:val="baseline"/>
        </w:rPr>
        <w:t>Directors</w:t>
      </w:r>
      <w:r>
        <w:rPr>
          <w:rFonts w:ascii="Calibri"/>
          <w:spacing w:val="-6"/>
          <w:sz w:val="20"/>
          <w:vertAlign w:val="baseline"/>
        </w:rPr>
        <w:t> </w:t>
      </w:r>
      <w:r>
        <w:rPr>
          <w:rFonts w:ascii="Calibri"/>
          <w:sz w:val="20"/>
          <w:vertAlign w:val="baseline"/>
        </w:rPr>
        <w:t>Manage the </w:t>
      </w:r>
      <w:r>
        <w:rPr>
          <w:rFonts w:ascii="Calibri"/>
          <w:spacing w:val="-2"/>
          <w:sz w:val="20"/>
          <w:vertAlign w:val="baseline"/>
        </w:rPr>
        <w:t>Company?</w:t>
      </w:r>
    </w:p>
    <w:p>
      <w:pPr>
        <w:spacing w:before="1"/>
        <w:ind w:left="308" w:right="0" w:firstLine="0"/>
        <w:jc w:val="left"/>
        <w:rPr>
          <w:rFonts w:ascii="Calibri"/>
          <w:sz w:val="20"/>
        </w:rPr>
      </w:pPr>
      <w:r>
        <w:rPr>
          <w:rFonts w:ascii="Calibri"/>
          <w:sz w:val="20"/>
          <w:vertAlign w:val="superscript"/>
        </w:rPr>
        <w:t>41</w:t>
      </w:r>
      <w:r>
        <w:rPr>
          <w:rFonts w:ascii="Calibri"/>
          <w:spacing w:val="-3"/>
          <w:sz w:val="20"/>
          <w:vertAlign w:val="baseline"/>
        </w:rPr>
        <w:t> </w:t>
      </w:r>
      <w:r>
        <w:rPr>
          <w:rFonts w:ascii="Calibri"/>
          <w:sz w:val="20"/>
          <w:vertAlign w:val="baseline"/>
        </w:rPr>
        <w:t>See</w:t>
      </w:r>
      <w:r>
        <w:rPr>
          <w:rFonts w:ascii="Calibri"/>
          <w:spacing w:val="-8"/>
          <w:sz w:val="20"/>
          <w:vertAlign w:val="baseline"/>
        </w:rPr>
        <w:t> </w:t>
      </w:r>
      <w:r>
        <w:rPr>
          <w:rFonts w:ascii="Calibri"/>
          <w:sz w:val="20"/>
          <w:vertAlign w:val="baseline"/>
        </w:rPr>
        <w:t>s.279(9)</w:t>
      </w:r>
      <w:r>
        <w:rPr>
          <w:rFonts w:ascii="Calibri"/>
          <w:spacing w:val="-8"/>
          <w:sz w:val="20"/>
          <w:vertAlign w:val="baseline"/>
        </w:rPr>
        <w:t> </w:t>
      </w:r>
      <w:r>
        <w:rPr>
          <w:rFonts w:ascii="Calibri"/>
          <w:sz w:val="20"/>
          <w:vertAlign w:val="baseline"/>
        </w:rPr>
        <w:t>CAMA</w:t>
      </w:r>
      <w:r>
        <w:rPr>
          <w:rFonts w:ascii="Calibri"/>
          <w:spacing w:val="-5"/>
          <w:sz w:val="20"/>
          <w:vertAlign w:val="baseline"/>
        </w:rPr>
        <w:t> </w:t>
      </w:r>
      <w:r>
        <w:rPr>
          <w:rFonts w:ascii="Calibri"/>
          <w:sz w:val="20"/>
          <w:vertAlign w:val="baseline"/>
        </w:rPr>
        <w:t>and</w:t>
      </w:r>
      <w:r>
        <w:rPr>
          <w:rFonts w:ascii="Calibri"/>
          <w:spacing w:val="-9"/>
          <w:sz w:val="20"/>
          <w:vertAlign w:val="baseline"/>
        </w:rPr>
        <w:t> </w:t>
      </w:r>
      <w:r>
        <w:rPr>
          <w:rFonts w:ascii="Calibri"/>
          <w:sz w:val="20"/>
          <w:vertAlign w:val="baseline"/>
        </w:rPr>
        <w:t>s.170(1)</w:t>
      </w:r>
      <w:r>
        <w:rPr>
          <w:rFonts w:ascii="Calibri"/>
          <w:spacing w:val="-7"/>
          <w:sz w:val="20"/>
          <w:vertAlign w:val="baseline"/>
        </w:rPr>
        <w:t> </w:t>
      </w:r>
      <w:r>
        <w:rPr>
          <w:rFonts w:ascii="Calibri"/>
          <w:sz w:val="20"/>
          <w:vertAlign w:val="baseline"/>
        </w:rPr>
        <w:t>CA,</w:t>
      </w:r>
      <w:r>
        <w:rPr>
          <w:rFonts w:ascii="Calibri"/>
          <w:spacing w:val="-6"/>
          <w:sz w:val="20"/>
          <w:vertAlign w:val="baseline"/>
        </w:rPr>
        <w:t> </w:t>
      </w:r>
      <w:r>
        <w:rPr>
          <w:rFonts w:ascii="Calibri"/>
          <w:sz w:val="20"/>
          <w:vertAlign w:val="baseline"/>
        </w:rPr>
        <w:t>discussed</w:t>
      </w:r>
      <w:r>
        <w:rPr>
          <w:rFonts w:ascii="Calibri"/>
          <w:spacing w:val="-5"/>
          <w:sz w:val="20"/>
          <w:vertAlign w:val="baseline"/>
        </w:rPr>
        <w:t> </w:t>
      </w:r>
      <w:r>
        <w:rPr>
          <w:rFonts w:ascii="Calibri"/>
          <w:sz w:val="20"/>
          <w:vertAlign w:val="baseline"/>
        </w:rPr>
        <w:t>under</w:t>
      </w:r>
      <w:r>
        <w:rPr>
          <w:rFonts w:ascii="Calibri"/>
          <w:spacing w:val="-4"/>
          <w:sz w:val="20"/>
          <w:vertAlign w:val="baseline"/>
        </w:rPr>
        <w:t> </w:t>
      </w:r>
      <w:r>
        <w:rPr>
          <w:rFonts w:ascii="Calibri"/>
          <w:b/>
          <w:sz w:val="20"/>
          <w:vertAlign w:val="baseline"/>
        </w:rPr>
        <w:t>3.4.2</w:t>
      </w:r>
      <w:r>
        <w:rPr>
          <w:rFonts w:ascii="Calibri"/>
          <w:sz w:val="20"/>
          <w:vertAlign w:val="baseline"/>
        </w:rPr>
        <w:t>and</w:t>
      </w:r>
      <w:r>
        <w:rPr>
          <w:rFonts w:ascii="Calibri"/>
          <w:spacing w:val="-4"/>
          <w:sz w:val="20"/>
          <w:vertAlign w:val="baseline"/>
        </w:rPr>
        <w:t> </w:t>
      </w:r>
      <w:r>
        <w:rPr>
          <w:rFonts w:ascii="Calibri"/>
          <w:b/>
          <w:sz w:val="20"/>
          <w:vertAlign w:val="baseline"/>
        </w:rPr>
        <w:t>4.2.1</w:t>
      </w:r>
      <w:r>
        <w:rPr>
          <w:rFonts w:ascii="Calibri"/>
          <w:b/>
          <w:spacing w:val="-6"/>
          <w:sz w:val="20"/>
          <w:vertAlign w:val="baseline"/>
        </w:rPr>
        <w:t> </w:t>
      </w:r>
      <w:r>
        <w:rPr>
          <w:rFonts w:ascii="Calibri"/>
          <w:spacing w:val="-2"/>
          <w:sz w:val="20"/>
          <w:vertAlign w:val="baseline"/>
        </w:rPr>
        <w:t>supra.</w:t>
      </w:r>
    </w:p>
    <w:p>
      <w:pPr>
        <w:spacing w:before="1"/>
        <w:ind w:left="308" w:right="0" w:firstLine="0"/>
        <w:jc w:val="left"/>
        <w:rPr>
          <w:rFonts w:ascii="Calibri"/>
          <w:sz w:val="20"/>
        </w:rPr>
      </w:pPr>
      <w:r>
        <w:rPr>
          <w:rFonts w:ascii="Calibri"/>
          <w:sz w:val="20"/>
          <w:vertAlign w:val="superscript"/>
        </w:rPr>
        <w:t>42</w:t>
      </w:r>
      <w:r>
        <w:rPr>
          <w:rFonts w:ascii="Calibri"/>
          <w:spacing w:val="-1"/>
          <w:sz w:val="20"/>
          <w:vertAlign w:val="baseline"/>
        </w:rPr>
        <w:t> </w:t>
      </w:r>
      <w:r>
        <w:rPr>
          <w:rFonts w:ascii="Calibri"/>
          <w:sz w:val="20"/>
          <w:vertAlign w:val="baseline"/>
        </w:rPr>
        <w:t>Refer</w:t>
      </w:r>
      <w:r>
        <w:rPr>
          <w:rFonts w:ascii="Calibri"/>
          <w:spacing w:val="-5"/>
          <w:sz w:val="20"/>
          <w:vertAlign w:val="baseline"/>
        </w:rPr>
        <w:t> </w:t>
      </w:r>
      <w:r>
        <w:rPr>
          <w:rFonts w:ascii="Calibri"/>
          <w:sz w:val="20"/>
          <w:vertAlign w:val="baseline"/>
        </w:rPr>
        <w:t>to</w:t>
      </w:r>
      <w:r>
        <w:rPr>
          <w:rFonts w:ascii="Calibri"/>
          <w:spacing w:val="-7"/>
          <w:sz w:val="20"/>
          <w:vertAlign w:val="baseline"/>
        </w:rPr>
        <w:t> </w:t>
      </w:r>
      <w:r>
        <w:rPr>
          <w:rFonts w:ascii="Calibri"/>
          <w:sz w:val="20"/>
          <w:vertAlign w:val="baseline"/>
        </w:rPr>
        <w:t>s. 279(9)</w:t>
      </w:r>
      <w:r>
        <w:rPr>
          <w:rFonts w:ascii="Calibri"/>
          <w:spacing w:val="-1"/>
          <w:sz w:val="20"/>
          <w:vertAlign w:val="baseline"/>
        </w:rPr>
        <w:t> </w:t>
      </w:r>
      <w:r>
        <w:rPr>
          <w:rFonts w:ascii="Calibri"/>
          <w:sz w:val="20"/>
          <w:vertAlign w:val="baseline"/>
        </w:rPr>
        <w:t>CAMA</w:t>
      </w:r>
      <w:r>
        <w:rPr>
          <w:rFonts w:ascii="Calibri"/>
          <w:spacing w:val="-8"/>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s.178</w:t>
      </w:r>
      <w:r>
        <w:rPr>
          <w:rFonts w:ascii="Calibri"/>
          <w:spacing w:val="-3"/>
          <w:sz w:val="20"/>
          <w:vertAlign w:val="baseline"/>
        </w:rPr>
        <w:t> </w:t>
      </w:r>
      <w:r>
        <w:rPr>
          <w:rFonts w:ascii="Calibri"/>
          <w:spacing w:val="-5"/>
          <w:sz w:val="20"/>
          <w:vertAlign w:val="baseline"/>
        </w:rPr>
        <w:t>CA.</w:t>
      </w:r>
    </w:p>
    <w:p>
      <w:pPr>
        <w:spacing w:after="0"/>
        <w:jc w:val="left"/>
        <w:rPr>
          <w:rFonts w:ascii="Calibri"/>
          <w:sz w:val="20"/>
        </w:rPr>
        <w:sectPr>
          <w:pgSz w:w="11910" w:h="16840"/>
          <w:pgMar w:header="0" w:footer="1003" w:top="1320" w:bottom="1200" w:left="1680" w:right="1180"/>
        </w:sectPr>
      </w:pPr>
    </w:p>
    <w:p>
      <w:pPr>
        <w:pStyle w:val="BodyText"/>
        <w:spacing w:line="480" w:lineRule="auto" w:before="110"/>
        <w:ind w:right="184"/>
        <w:jc w:val="both"/>
      </w:pPr>
      <w:r>
        <w:rPr/>
        <w:t>eyes of</w:t>
      </w:r>
      <w:r>
        <w:rPr>
          <w:spacing w:val="-5"/>
        </w:rPr>
        <w:t> </w:t>
      </w:r>
      <w:r>
        <w:rPr/>
        <w:t>the law, having no eyes or brains of</w:t>
      </w:r>
      <w:r>
        <w:rPr>
          <w:spacing w:val="-1"/>
        </w:rPr>
        <w:t> </w:t>
      </w:r>
      <w:r>
        <w:rPr/>
        <w:t>its own.</w:t>
      </w:r>
      <w:r>
        <w:rPr>
          <w:vertAlign w:val="superscript"/>
        </w:rPr>
        <w:t>43</w:t>
      </w:r>
      <w:r>
        <w:rPr>
          <w:vertAlign w:val="baseline"/>
        </w:rPr>
        <w:t>Thus, ―interests of</w:t>
      </w:r>
      <w:r>
        <w:rPr>
          <w:spacing w:val="-1"/>
          <w:vertAlign w:val="baseline"/>
        </w:rPr>
        <w:t> </w:t>
      </w:r>
      <w:r>
        <w:rPr>
          <w:vertAlign w:val="baseline"/>
        </w:rPr>
        <w:t>members‖ was believed to be akin to the interests of both present and future members,</w:t>
      </w:r>
      <w:r>
        <w:rPr>
          <w:vertAlign w:val="superscript"/>
        </w:rPr>
        <w:t>44</w:t>
      </w:r>
      <w:r>
        <w:rPr>
          <w:vertAlign w:val="baseline"/>
        </w:rPr>
        <w:t> since it was understood as technically impossible to assign any interests to the artificial entity called</w:t>
      </w:r>
    </w:p>
    <w:p>
      <w:pPr>
        <w:pStyle w:val="BodyText"/>
        <w:spacing w:line="480" w:lineRule="auto"/>
        <w:ind w:right="177"/>
        <w:jc w:val="both"/>
      </w:pPr>
      <w:r>
        <w:rPr/>
        <w:t>―the company‖ by itself, without relating it to the interests of human persons.</w:t>
      </w:r>
      <w:r>
        <w:rPr>
          <w:vertAlign w:val="superscript"/>
        </w:rPr>
        <w:t>45</w:t>
      </w:r>
      <w:r>
        <w:rPr>
          <w:vertAlign w:val="baseline"/>
        </w:rPr>
        <w:t> Yet,by mentioning ―interests of the company‖ and ―interests of the members‖ in different subsections, the CAMA implies that these are not in the same category.</w:t>
      </w:r>
    </w:p>
    <w:p>
      <w:pPr>
        <w:pStyle w:val="BodyText"/>
        <w:spacing w:line="480" w:lineRule="auto" w:before="1"/>
        <w:ind w:right="181" w:firstLine="720"/>
        <w:jc w:val="both"/>
      </w:pPr>
      <w:r>
        <w:rPr/>
        <w:t>Besides, who</w:t>
      </w:r>
      <w:r>
        <w:rPr>
          <w:spacing w:val="32"/>
        </w:rPr>
        <w:t> </w:t>
      </w:r>
      <w:r>
        <w:rPr/>
        <w:t>is </w:t>
      </w:r>
      <w:r>
        <w:rPr>
          <w:i/>
        </w:rPr>
        <w:t>the company? </w:t>
      </w:r>
      <w:r>
        <w:rPr/>
        <w:t>If the directors were to abandon the interests of</w:t>
      </w:r>
      <w:r>
        <w:rPr>
          <w:spacing w:val="40"/>
        </w:rPr>
        <w:t> </w:t>
      </w:r>
      <w:r>
        <w:rPr/>
        <w:t>the company in favour of</w:t>
      </w:r>
      <w:r>
        <w:rPr>
          <w:spacing w:val="-2"/>
        </w:rPr>
        <w:t> </w:t>
      </w:r>
      <w:r>
        <w:rPr/>
        <w:t>the interests of</w:t>
      </w:r>
      <w:r>
        <w:rPr>
          <w:spacing w:val="-2"/>
        </w:rPr>
        <w:t> </w:t>
      </w:r>
      <w:r>
        <w:rPr/>
        <w:t>the shareholders—say, by declaring a dividend instead of recapitalizing to expand operations or employing better skilled labour—who would bring the directors</w:t>
      </w:r>
      <w:r>
        <w:rPr>
          <w:spacing w:val="-2"/>
        </w:rPr>
        <w:t> </w:t>
      </w:r>
      <w:r>
        <w:rPr/>
        <w:t>to book</w:t>
      </w:r>
      <w:r>
        <w:rPr>
          <w:spacing w:val="-1"/>
        </w:rPr>
        <w:t> </w:t>
      </w:r>
      <w:r>
        <w:rPr/>
        <w:t>in</w:t>
      </w:r>
      <w:r>
        <w:rPr>
          <w:spacing w:val="-1"/>
        </w:rPr>
        <w:t> </w:t>
      </w:r>
      <w:r>
        <w:rPr/>
        <w:t>such</w:t>
      </w:r>
      <w:r>
        <w:rPr>
          <w:spacing w:val="-1"/>
        </w:rPr>
        <w:t> </w:t>
      </w:r>
      <w:r>
        <w:rPr/>
        <w:t>a situation?</w:t>
      </w:r>
      <w:r>
        <w:rPr>
          <w:spacing w:val="-1"/>
        </w:rPr>
        <w:t> </w:t>
      </w:r>
      <w:r>
        <w:rPr/>
        <w:t>Obviously, not the shareholders in whose ultimate favour the directors might have acted, and surely not the directors themselves. Unfortunately, these are the only ―organs‖ through which the company might have acted in</w:t>
      </w:r>
      <w:r>
        <w:rPr>
          <w:spacing w:val="-4"/>
        </w:rPr>
        <w:t> </w:t>
      </w:r>
      <w:r>
        <w:rPr/>
        <w:t>order</w:t>
      </w:r>
      <w:r>
        <w:rPr>
          <w:spacing w:val="-6"/>
        </w:rPr>
        <w:t> </w:t>
      </w:r>
      <w:r>
        <w:rPr/>
        <w:t>to redress</w:t>
      </w:r>
      <w:r>
        <w:rPr>
          <w:spacing w:val="-6"/>
        </w:rPr>
        <w:t> </w:t>
      </w:r>
      <w:r>
        <w:rPr/>
        <w:t>the ―wrong‖. Under the circumstances, therefore, it is hardly surprising that to date, there has been no report of an action to enforce the employees‘ aspect of s. 279(4) CAMA. The same is true of s.172 CA.</w:t>
      </w:r>
    </w:p>
    <w:p>
      <w:pPr>
        <w:pStyle w:val="BodyText"/>
        <w:spacing w:line="480" w:lineRule="auto" w:before="2"/>
        <w:ind w:right="181" w:firstLine="720"/>
        <w:jc w:val="both"/>
      </w:pPr>
      <w:r>
        <w:rPr/>
        <w:t>Thus, it was argued earlier in this work,</w:t>
      </w:r>
      <w:r>
        <w:rPr>
          <w:vertAlign w:val="superscript"/>
        </w:rPr>
        <w:t>46</w:t>
      </w:r>
      <w:r>
        <w:rPr>
          <w:vertAlign w:val="baseline"/>
        </w:rPr>
        <w:t>that owing a duty to the company is </w:t>
      </w:r>
      <w:r>
        <w:rPr>
          <w:i/>
          <w:vertAlign w:val="baseline"/>
        </w:rPr>
        <w:t>in fact</w:t>
      </w:r>
      <w:r>
        <w:rPr>
          <w:i/>
          <w:spacing w:val="-14"/>
          <w:vertAlign w:val="baseline"/>
        </w:rPr>
        <w:t> </w:t>
      </w:r>
      <w:r>
        <w:rPr>
          <w:vertAlign w:val="baseline"/>
        </w:rPr>
        <w:t>owing</w:t>
      </w:r>
      <w:r>
        <w:rPr>
          <w:spacing w:val="-9"/>
          <w:vertAlign w:val="baseline"/>
        </w:rPr>
        <w:t> </w:t>
      </w:r>
      <w:r>
        <w:rPr>
          <w:vertAlign w:val="baseline"/>
        </w:rPr>
        <w:t>a</w:t>
      </w:r>
      <w:r>
        <w:rPr>
          <w:spacing w:val="-10"/>
          <w:vertAlign w:val="baseline"/>
        </w:rPr>
        <w:t> </w:t>
      </w:r>
      <w:r>
        <w:rPr>
          <w:vertAlign w:val="baseline"/>
        </w:rPr>
        <w:t>duty</w:t>
      </w:r>
      <w:r>
        <w:rPr>
          <w:spacing w:val="-15"/>
          <w:vertAlign w:val="baseline"/>
        </w:rPr>
        <w:t> </w:t>
      </w:r>
      <w:r>
        <w:rPr>
          <w:vertAlign w:val="baseline"/>
        </w:rPr>
        <w:t>to</w:t>
      </w:r>
      <w:r>
        <w:rPr>
          <w:spacing w:val="-9"/>
          <w:vertAlign w:val="baseline"/>
        </w:rPr>
        <w:t> </w:t>
      </w:r>
      <w:r>
        <w:rPr>
          <w:vertAlign w:val="baseline"/>
        </w:rPr>
        <w:t>―its</w:t>
      </w:r>
      <w:r>
        <w:rPr>
          <w:spacing w:val="-7"/>
          <w:vertAlign w:val="baseline"/>
        </w:rPr>
        <w:t> </w:t>
      </w:r>
      <w:r>
        <w:rPr>
          <w:vertAlign w:val="baseline"/>
        </w:rPr>
        <w:t>members‖</w:t>
      </w:r>
      <w:r>
        <w:rPr>
          <w:spacing w:val="-10"/>
          <w:vertAlign w:val="baseline"/>
        </w:rPr>
        <w:t> </w:t>
      </w:r>
      <w:r>
        <w:rPr>
          <w:vertAlign w:val="baseline"/>
        </w:rPr>
        <w:t>collectively,</w:t>
      </w:r>
      <w:r>
        <w:rPr>
          <w:spacing w:val="-3"/>
          <w:vertAlign w:val="baseline"/>
        </w:rPr>
        <w:t> </w:t>
      </w:r>
      <w:r>
        <w:rPr>
          <w:vertAlign w:val="baseline"/>
        </w:rPr>
        <w:t>for,</w:t>
      </w:r>
      <w:r>
        <w:rPr>
          <w:spacing w:val="-7"/>
          <w:vertAlign w:val="baseline"/>
        </w:rPr>
        <w:t> </w:t>
      </w:r>
      <w:r>
        <w:rPr>
          <w:vertAlign w:val="baseline"/>
        </w:rPr>
        <w:t>although</w:t>
      </w:r>
      <w:r>
        <w:rPr>
          <w:spacing w:val="-13"/>
          <w:vertAlign w:val="baseline"/>
        </w:rPr>
        <w:t> </w:t>
      </w:r>
      <w:r>
        <w:rPr>
          <w:vertAlign w:val="baseline"/>
        </w:rPr>
        <w:t>the</w:t>
      </w:r>
      <w:r>
        <w:rPr>
          <w:spacing w:val="-10"/>
          <w:vertAlign w:val="baseline"/>
        </w:rPr>
        <w:t> </w:t>
      </w:r>
      <w:r>
        <w:rPr>
          <w:vertAlign w:val="baseline"/>
        </w:rPr>
        <w:t>company</w:t>
      </w:r>
      <w:r>
        <w:rPr>
          <w:spacing w:val="-9"/>
          <w:vertAlign w:val="baseline"/>
        </w:rPr>
        <w:t> </w:t>
      </w:r>
      <w:r>
        <w:rPr>
          <w:vertAlign w:val="baseline"/>
        </w:rPr>
        <w:t>is</w:t>
      </w:r>
      <w:r>
        <w:rPr>
          <w:spacing w:val="-3"/>
          <w:vertAlign w:val="baseline"/>
        </w:rPr>
        <w:t> </w:t>
      </w:r>
      <w:r>
        <w:rPr>
          <w:vertAlign w:val="baseline"/>
        </w:rPr>
        <w:t>established as having a separate and distinct personality from</w:t>
      </w:r>
      <w:r>
        <w:rPr>
          <w:spacing w:val="-1"/>
          <w:vertAlign w:val="baseline"/>
        </w:rPr>
        <w:t> </w:t>
      </w:r>
      <w:r>
        <w:rPr>
          <w:vertAlign w:val="baseline"/>
        </w:rPr>
        <w:t>those</w:t>
      </w:r>
      <w:r>
        <w:rPr>
          <w:spacing w:val="-2"/>
          <w:vertAlign w:val="baseline"/>
        </w:rPr>
        <w:t> </w:t>
      </w:r>
      <w:r>
        <w:rPr>
          <w:vertAlign w:val="baseline"/>
        </w:rPr>
        <w:t>of its members,</w:t>
      </w:r>
      <w:r>
        <w:rPr>
          <w:vertAlign w:val="superscript"/>
        </w:rPr>
        <w:t>47</w:t>
      </w:r>
      <w:r>
        <w:rPr>
          <w:vertAlign w:val="baseline"/>
        </w:rPr>
        <w:t> it is in fact for the ultimate benefit of the members collectively, whose ―association‖ initially formed the company,</w:t>
      </w:r>
      <w:r>
        <w:rPr>
          <w:vertAlign w:val="superscript"/>
        </w:rPr>
        <w:t>48</w:t>
      </w:r>
      <w:r>
        <w:rPr>
          <w:vertAlign w:val="baseline"/>
        </w:rPr>
        <w:t> that the company exists. At least, this is true of the more prevalent limited</w:t>
      </w:r>
      <w:r>
        <w:rPr>
          <w:spacing w:val="40"/>
          <w:vertAlign w:val="baseline"/>
        </w:rPr>
        <w:t> </w:t>
      </w:r>
      <w:r>
        <w:rPr>
          <w:vertAlign w:val="baseline"/>
        </w:rPr>
        <w:t>liability</w:t>
      </w:r>
      <w:r>
        <w:rPr>
          <w:spacing w:val="36"/>
          <w:vertAlign w:val="baseline"/>
        </w:rPr>
        <w:t> </w:t>
      </w:r>
      <w:r>
        <w:rPr>
          <w:vertAlign w:val="baseline"/>
        </w:rPr>
        <w:t>company.</w:t>
      </w:r>
      <w:r>
        <w:rPr>
          <w:spacing w:val="40"/>
          <w:vertAlign w:val="baseline"/>
        </w:rPr>
        <w:t> </w:t>
      </w:r>
      <w:r>
        <w:rPr>
          <w:vertAlign w:val="baseline"/>
        </w:rPr>
        <w:t>More</w:t>
      </w:r>
      <w:r>
        <w:rPr>
          <w:spacing w:val="40"/>
          <w:vertAlign w:val="baseline"/>
        </w:rPr>
        <w:t> </w:t>
      </w:r>
      <w:r>
        <w:rPr>
          <w:vertAlign w:val="baseline"/>
        </w:rPr>
        <w:t>importantly,</w:t>
      </w:r>
      <w:r>
        <w:rPr>
          <w:spacing w:val="40"/>
          <w:vertAlign w:val="baseline"/>
        </w:rPr>
        <w:t> </w:t>
      </w:r>
      <w:r>
        <w:rPr>
          <w:vertAlign w:val="baseline"/>
        </w:rPr>
        <w:t>the</w:t>
      </w:r>
      <w:r>
        <w:rPr>
          <w:spacing w:val="40"/>
          <w:vertAlign w:val="baseline"/>
        </w:rPr>
        <w:t> </w:t>
      </w:r>
      <w:r>
        <w:rPr>
          <w:vertAlign w:val="baseline"/>
        </w:rPr>
        <w:t>members</w:t>
      </w:r>
      <w:r>
        <w:rPr>
          <w:spacing w:val="39"/>
          <w:vertAlign w:val="baseline"/>
        </w:rPr>
        <w:t> </w:t>
      </w:r>
      <w:r>
        <w:rPr>
          <w:vertAlign w:val="baseline"/>
        </w:rPr>
        <w:t>can</w:t>
      </w:r>
      <w:r>
        <w:rPr>
          <w:spacing w:val="36"/>
          <w:vertAlign w:val="baseline"/>
        </w:rPr>
        <w:t> </w:t>
      </w:r>
      <w:r>
        <w:rPr>
          <w:vertAlign w:val="baseline"/>
        </w:rPr>
        <w:t>enforce</w:t>
      </w:r>
      <w:r>
        <w:rPr>
          <w:spacing w:val="40"/>
          <w:vertAlign w:val="baseline"/>
        </w:rPr>
        <w:t> </w:t>
      </w:r>
      <w:r>
        <w:rPr>
          <w:vertAlign w:val="baseline"/>
        </w:rPr>
        <w:t>the</w:t>
      </w:r>
      <w:r>
        <w:rPr>
          <w:spacing w:val="40"/>
          <w:vertAlign w:val="baseline"/>
        </w:rPr>
        <w:t> </w:t>
      </w:r>
      <w:r>
        <w:rPr>
          <w:vertAlign w:val="baseline"/>
        </w:rPr>
        <w:t>directors‘</w:t>
      </w:r>
    </w:p>
    <w:p>
      <w:pPr>
        <w:pStyle w:val="BodyText"/>
        <w:spacing w:before="96"/>
        <w:ind w:left="0"/>
        <w:rPr>
          <w:sz w:val="20"/>
        </w:rPr>
      </w:pPr>
      <w:r>
        <w:rPr/>
        <mc:AlternateContent>
          <mc:Choice Requires="wps">
            <w:drawing>
              <wp:anchor distT="0" distB="0" distL="0" distR="0" allowOverlap="1" layoutInCell="1" locked="0" behindDoc="1" simplePos="0" relativeHeight="487717888">
                <wp:simplePos x="0" y="0"/>
                <wp:positionH relativeFrom="page">
                  <wp:posOffset>1262481</wp:posOffset>
                </wp:positionH>
                <wp:positionV relativeFrom="paragraph">
                  <wp:posOffset>222367</wp:posOffset>
                </wp:positionV>
                <wp:extent cx="1829435" cy="9525"/>
                <wp:effectExtent l="0" t="0" r="0" b="0"/>
                <wp:wrapTopAndBottom/>
                <wp:docPr id="281" name="Graphic 281"/>
                <wp:cNvGraphicFramePr>
                  <a:graphicFrameLocks/>
                </wp:cNvGraphicFramePr>
                <a:graphic>
                  <a:graphicData uri="http://schemas.microsoft.com/office/word/2010/wordprocessingShape">
                    <wps:wsp>
                      <wps:cNvPr id="281" name="Graphic 28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509249pt;width:144.050pt;height:.71997pt;mso-position-horizontal-relative:page;mso-position-vertical-relative:paragraph;z-index:-15598592;mso-wrap-distance-left:0;mso-wrap-distance-right:0" id="docshape236" filled="true" fillcolor="#000000" stroked="false">
                <v:fill type="solid"/>
                <w10:wrap type="topAndBottom"/>
              </v:rect>
            </w:pict>
          </mc:Fallback>
        </mc:AlternateContent>
      </w:r>
    </w:p>
    <w:p>
      <w:pPr>
        <w:spacing w:line="242" w:lineRule="exact" w:before="102"/>
        <w:ind w:left="308" w:right="0" w:firstLine="0"/>
        <w:jc w:val="left"/>
        <w:rPr>
          <w:rFonts w:ascii="Calibri"/>
          <w:sz w:val="20"/>
        </w:rPr>
      </w:pPr>
      <w:r>
        <w:rPr>
          <w:rFonts w:ascii="Calibri"/>
          <w:sz w:val="20"/>
          <w:vertAlign w:val="superscript"/>
        </w:rPr>
        <w:t>43</w:t>
      </w:r>
      <w:r>
        <w:rPr>
          <w:rFonts w:ascii="Calibri"/>
          <w:i/>
          <w:sz w:val="20"/>
          <w:vertAlign w:val="baseline"/>
        </w:rPr>
        <w:t>Ladejobi</w:t>
      </w:r>
      <w:r>
        <w:rPr>
          <w:rFonts w:ascii="Calibri"/>
          <w:i/>
          <w:spacing w:val="-9"/>
          <w:sz w:val="20"/>
          <w:vertAlign w:val="baseline"/>
        </w:rPr>
        <w:t> </w:t>
      </w:r>
      <w:r>
        <w:rPr>
          <w:rFonts w:ascii="Calibri"/>
          <w:i/>
          <w:sz w:val="20"/>
          <w:vertAlign w:val="baseline"/>
        </w:rPr>
        <w:t>vs.</w:t>
      </w:r>
      <w:r>
        <w:rPr>
          <w:rFonts w:ascii="Calibri"/>
          <w:i/>
          <w:spacing w:val="-3"/>
          <w:sz w:val="20"/>
          <w:vertAlign w:val="baseline"/>
        </w:rPr>
        <w:t> </w:t>
      </w:r>
      <w:r>
        <w:rPr>
          <w:rFonts w:ascii="Calibri"/>
          <w:i/>
          <w:sz w:val="20"/>
          <w:vertAlign w:val="baseline"/>
        </w:rPr>
        <w:t>Odutola</w:t>
      </w:r>
      <w:r>
        <w:rPr>
          <w:rFonts w:ascii="Calibri"/>
          <w:i/>
          <w:spacing w:val="-4"/>
          <w:sz w:val="20"/>
          <w:vertAlign w:val="baseline"/>
        </w:rPr>
        <w:t> </w:t>
      </w:r>
      <w:r>
        <w:rPr>
          <w:rFonts w:ascii="Calibri"/>
          <w:i/>
          <w:sz w:val="20"/>
          <w:vertAlign w:val="baseline"/>
        </w:rPr>
        <w:t>Holdings</w:t>
      </w:r>
      <w:r>
        <w:rPr>
          <w:rFonts w:ascii="Calibri"/>
          <w:i/>
          <w:spacing w:val="-11"/>
          <w:sz w:val="20"/>
          <w:vertAlign w:val="baseline"/>
        </w:rPr>
        <w:t> </w:t>
      </w:r>
      <w:r>
        <w:rPr>
          <w:rFonts w:ascii="Calibri"/>
          <w:i/>
          <w:sz w:val="20"/>
          <w:vertAlign w:val="baseline"/>
        </w:rPr>
        <w:t>Ltd.</w:t>
      </w:r>
      <w:r>
        <w:rPr>
          <w:rFonts w:ascii="Calibri"/>
          <w:i/>
          <w:spacing w:val="-4"/>
          <w:sz w:val="20"/>
          <w:vertAlign w:val="baseline"/>
        </w:rPr>
        <w:t> </w:t>
      </w:r>
      <w:r>
        <w:rPr>
          <w:rFonts w:ascii="Calibri"/>
          <w:sz w:val="20"/>
          <w:vertAlign w:val="baseline"/>
        </w:rPr>
        <w:t>(2002)</w:t>
      </w:r>
      <w:r>
        <w:rPr>
          <w:rFonts w:ascii="Calibri"/>
          <w:spacing w:val="-5"/>
          <w:sz w:val="20"/>
          <w:vertAlign w:val="baseline"/>
        </w:rPr>
        <w:t> </w:t>
      </w:r>
      <w:r>
        <w:rPr>
          <w:rFonts w:ascii="Calibri"/>
          <w:sz w:val="20"/>
          <w:vertAlign w:val="baseline"/>
        </w:rPr>
        <w:t>3</w:t>
      </w:r>
      <w:r>
        <w:rPr>
          <w:rFonts w:ascii="Calibri"/>
          <w:spacing w:val="-11"/>
          <w:sz w:val="20"/>
          <w:vertAlign w:val="baseline"/>
        </w:rPr>
        <w:t> </w:t>
      </w:r>
      <w:r>
        <w:rPr>
          <w:rFonts w:ascii="Calibri"/>
          <w:sz w:val="20"/>
          <w:vertAlign w:val="baseline"/>
        </w:rPr>
        <w:t>NWLR</w:t>
      </w:r>
      <w:r>
        <w:rPr>
          <w:rFonts w:ascii="Calibri"/>
          <w:spacing w:val="-4"/>
          <w:sz w:val="20"/>
          <w:vertAlign w:val="baseline"/>
        </w:rPr>
        <w:t> </w:t>
      </w:r>
      <w:r>
        <w:rPr>
          <w:rFonts w:ascii="Calibri"/>
          <w:sz w:val="20"/>
          <w:vertAlign w:val="baseline"/>
        </w:rPr>
        <w:t>(Pt.753)</w:t>
      </w:r>
      <w:r>
        <w:rPr>
          <w:rFonts w:ascii="Calibri"/>
          <w:spacing w:val="-8"/>
          <w:sz w:val="20"/>
          <w:vertAlign w:val="baseline"/>
        </w:rPr>
        <w:t> </w:t>
      </w:r>
      <w:r>
        <w:rPr>
          <w:rFonts w:ascii="Calibri"/>
          <w:sz w:val="20"/>
          <w:vertAlign w:val="baseline"/>
        </w:rPr>
        <w:t>121</w:t>
      </w:r>
      <w:r>
        <w:rPr>
          <w:rFonts w:ascii="Calibri"/>
          <w:spacing w:val="-7"/>
          <w:sz w:val="20"/>
          <w:vertAlign w:val="baseline"/>
        </w:rPr>
        <w:t> </w:t>
      </w:r>
      <w:r>
        <w:rPr>
          <w:rFonts w:ascii="Calibri"/>
          <w:spacing w:val="-4"/>
          <w:sz w:val="20"/>
          <w:vertAlign w:val="baseline"/>
        </w:rPr>
        <w:t>C.A.</w:t>
      </w:r>
    </w:p>
    <w:p>
      <w:pPr>
        <w:spacing w:line="242" w:lineRule="exact" w:before="0"/>
        <w:ind w:left="308" w:right="0" w:firstLine="0"/>
        <w:jc w:val="left"/>
        <w:rPr>
          <w:rFonts w:ascii="Calibri"/>
          <w:i/>
          <w:sz w:val="20"/>
        </w:rPr>
      </w:pPr>
      <w:r>
        <w:rPr>
          <w:rFonts w:ascii="Calibri"/>
          <w:sz w:val="20"/>
          <w:vertAlign w:val="superscript"/>
        </w:rPr>
        <w:t>44</w:t>
      </w:r>
      <w:r>
        <w:rPr>
          <w:rFonts w:ascii="Calibri"/>
          <w:i/>
          <w:sz w:val="20"/>
          <w:vertAlign w:val="baseline"/>
        </w:rPr>
        <w:t>Brady</w:t>
      </w:r>
      <w:r>
        <w:rPr>
          <w:rFonts w:ascii="Calibri"/>
          <w:i/>
          <w:spacing w:val="25"/>
          <w:sz w:val="20"/>
          <w:vertAlign w:val="baseline"/>
        </w:rPr>
        <w:t> </w:t>
      </w:r>
      <w:r>
        <w:rPr>
          <w:rFonts w:ascii="Calibri"/>
          <w:i/>
          <w:sz w:val="20"/>
          <w:vertAlign w:val="baseline"/>
        </w:rPr>
        <w:t>vs.</w:t>
      </w:r>
      <w:r>
        <w:rPr>
          <w:rFonts w:ascii="Calibri"/>
          <w:i/>
          <w:spacing w:val="26"/>
          <w:sz w:val="20"/>
          <w:vertAlign w:val="baseline"/>
        </w:rPr>
        <w:t> </w:t>
      </w:r>
      <w:r>
        <w:rPr>
          <w:rFonts w:ascii="Calibri"/>
          <w:i/>
          <w:sz w:val="20"/>
          <w:vertAlign w:val="baseline"/>
        </w:rPr>
        <w:t>Brady</w:t>
      </w:r>
      <w:r>
        <w:rPr>
          <w:rFonts w:ascii="Calibri"/>
          <w:i/>
          <w:spacing w:val="23"/>
          <w:sz w:val="20"/>
          <w:vertAlign w:val="baseline"/>
        </w:rPr>
        <w:t> </w:t>
      </w:r>
      <w:r>
        <w:rPr>
          <w:rFonts w:ascii="Calibri"/>
          <w:sz w:val="20"/>
          <w:vertAlign w:val="baseline"/>
        </w:rPr>
        <w:t>(1987)</w:t>
      </w:r>
      <w:r>
        <w:rPr>
          <w:rFonts w:ascii="Calibri"/>
          <w:spacing w:val="26"/>
          <w:sz w:val="20"/>
          <w:vertAlign w:val="baseline"/>
        </w:rPr>
        <w:t> </w:t>
      </w:r>
      <w:r>
        <w:rPr>
          <w:rFonts w:ascii="Calibri"/>
          <w:sz w:val="20"/>
          <w:vertAlign w:val="baseline"/>
        </w:rPr>
        <w:t>3</w:t>
      </w:r>
      <w:r>
        <w:rPr>
          <w:rFonts w:ascii="Calibri"/>
          <w:spacing w:val="19"/>
          <w:sz w:val="20"/>
          <w:vertAlign w:val="baseline"/>
        </w:rPr>
        <w:t> </w:t>
      </w:r>
      <w:r>
        <w:rPr>
          <w:rFonts w:ascii="Calibri"/>
          <w:sz w:val="20"/>
          <w:vertAlign w:val="baseline"/>
        </w:rPr>
        <w:t>BCC,</w:t>
      </w:r>
      <w:r>
        <w:rPr>
          <w:rFonts w:ascii="Calibri"/>
          <w:spacing w:val="23"/>
          <w:sz w:val="20"/>
          <w:vertAlign w:val="baseline"/>
        </w:rPr>
        <w:t> </w:t>
      </w:r>
      <w:r>
        <w:rPr>
          <w:rFonts w:ascii="Calibri"/>
          <w:sz w:val="20"/>
          <w:vertAlign w:val="baseline"/>
        </w:rPr>
        <w:t>535</w:t>
      </w:r>
      <w:r>
        <w:rPr>
          <w:rFonts w:ascii="Calibri"/>
          <w:spacing w:val="23"/>
          <w:sz w:val="20"/>
          <w:vertAlign w:val="baseline"/>
        </w:rPr>
        <w:t> </w:t>
      </w:r>
      <w:r>
        <w:rPr>
          <w:rFonts w:ascii="Calibri"/>
          <w:sz w:val="20"/>
          <w:vertAlign w:val="baseline"/>
        </w:rPr>
        <w:t>at</w:t>
      </w:r>
      <w:r>
        <w:rPr>
          <w:rFonts w:ascii="Calibri"/>
          <w:spacing w:val="25"/>
          <w:sz w:val="20"/>
          <w:vertAlign w:val="baseline"/>
        </w:rPr>
        <w:t> </w:t>
      </w:r>
      <w:r>
        <w:rPr>
          <w:rFonts w:ascii="Calibri"/>
          <w:sz w:val="20"/>
          <w:vertAlign w:val="baseline"/>
        </w:rPr>
        <w:t>552</w:t>
      </w:r>
      <w:r>
        <w:rPr>
          <w:rFonts w:ascii="Calibri"/>
          <w:spacing w:val="24"/>
          <w:sz w:val="20"/>
          <w:vertAlign w:val="baseline"/>
        </w:rPr>
        <w:t> </w:t>
      </w:r>
      <w:r>
        <w:rPr>
          <w:rFonts w:ascii="Calibri"/>
          <w:sz w:val="20"/>
          <w:vertAlign w:val="baseline"/>
        </w:rPr>
        <w:t>(CA);</w:t>
      </w:r>
      <w:r>
        <w:rPr>
          <w:rFonts w:ascii="Calibri"/>
          <w:spacing w:val="22"/>
          <w:sz w:val="20"/>
          <w:vertAlign w:val="baseline"/>
        </w:rPr>
        <w:t> </w:t>
      </w:r>
      <w:r>
        <w:rPr>
          <w:rFonts w:ascii="Calibri"/>
          <w:i/>
          <w:sz w:val="20"/>
          <w:vertAlign w:val="baseline"/>
        </w:rPr>
        <w:t>Gaiman</w:t>
      </w:r>
      <w:r>
        <w:rPr>
          <w:rFonts w:ascii="Calibri"/>
          <w:i/>
          <w:spacing w:val="23"/>
          <w:sz w:val="20"/>
          <w:vertAlign w:val="baseline"/>
        </w:rPr>
        <w:t> </w:t>
      </w:r>
      <w:r>
        <w:rPr>
          <w:rFonts w:ascii="Calibri"/>
          <w:i/>
          <w:sz w:val="20"/>
          <w:vertAlign w:val="baseline"/>
        </w:rPr>
        <w:t>vs.</w:t>
      </w:r>
      <w:r>
        <w:rPr>
          <w:rFonts w:ascii="Calibri"/>
          <w:i/>
          <w:spacing w:val="26"/>
          <w:sz w:val="20"/>
          <w:vertAlign w:val="baseline"/>
        </w:rPr>
        <w:t> </w:t>
      </w:r>
      <w:r>
        <w:rPr>
          <w:rFonts w:ascii="Calibri"/>
          <w:i/>
          <w:sz w:val="20"/>
          <w:vertAlign w:val="baseline"/>
        </w:rPr>
        <w:t>National</w:t>
      </w:r>
      <w:r>
        <w:rPr>
          <w:rFonts w:ascii="Calibri"/>
          <w:i/>
          <w:spacing w:val="27"/>
          <w:sz w:val="20"/>
          <w:vertAlign w:val="baseline"/>
        </w:rPr>
        <w:t> </w:t>
      </w:r>
      <w:r>
        <w:rPr>
          <w:rFonts w:ascii="Calibri"/>
          <w:i/>
          <w:sz w:val="20"/>
          <w:vertAlign w:val="baseline"/>
        </w:rPr>
        <w:t>Association</w:t>
      </w:r>
      <w:r>
        <w:rPr>
          <w:rFonts w:ascii="Calibri"/>
          <w:i/>
          <w:spacing w:val="26"/>
          <w:sz w:val="20"/>
          <w:vertAlign w:val="baseline"/>
        </w:rPr>
        <w:t> </w:t>
      </w:r>
      <w:r>
        <w:rPr>
          <w:rFonts w:ascii="Calibri"/>
          <w:i/>
          <w:sz w:val="20"/>
          <w:vertAlign w:val="baseline"/>
        </w:rPr>
        <w:t>for</w:t>
      </w:r>
      <w:r>
        <w:rPr>
          <w:rFonts w:ascii="Calibri"/>
          <w:i/>
          <w:spacing w:val="23"/>
          <w:sz w:val="20"/>
          <w:vertAlign w:val="baseline"/>
        </w:rPr>
        <w:t> </w:t>
      </w:r>
      <w:r>
        <w:rPr>
          <w:rFonts w:ascii="Calibri"/>
          <w:i/>
          <w:sz w:val="20"/>
          <w:vertAlign w:val="baseline"/>
        </w:rPr>
        <w:t>Mental</w:t>
      </w:r>
      <w:r>
        <w:rPr>
          <w:rFonts w:ascii="Calibri"/>
          <w:i/>
          <w:spacing w:val="22"/>
          <w:sz w:val="20"/>
          <w:vertAlign w:val="baseline"/>
        </w:rPr>
        <w:t> </w:t>
      </w:r>
      <w:r>
        <w:rPr>
          <w:rFonts w:ascii="Calibri"/>
          <w:i/>
          <w:spacing w:val="-2"/>
          <w:sz w:val="20"/>
          <w:vertAlign w:val="baseline"/>
        </w:rPr>
        <w:t>Health</w:t>
      </w:r>
    </w:p>
    <w:p>
      <w:pPr>
        <w:spacing w:before="1"/>
        <w:ind w:left="308" w:right="0" w:firstLine="0"/>
        <w:jc w:val="left"/>
        <w:rPr>
          <w:rFonts w:ascii="Calibri"/>
          <w:sz w:val="20"/>
        </w:rPr>
      </w:pPr>
      <w:r>
        <w:rPr>
          <w:rFonts w:ascii="Calibri"/>
          <w:sz w:val="20"/>
        </w:rPr>
        <w:t>(1971)</w:t>
      </w:r>
      <w:r>
        <w:rPr>
          <w:rFonts w:ascii="Calibri"/>
          <w:spacing w:val="-1"/>
          <w:sz w:val="20"/>
        </w:rPr>
        <w:t> </w:t>
      </w:r>
      <w:r>
        <w:rPr>
          <w:rFonts w:ascii="Calibri"/>
          <w:sz w:val="20"/>
        </w:rPr>
        <w:t>Ch.</w:t>
      </w:r>
      <w:r>
        <w:rPr>
          <w:rFonts w:ascii="Calibri"/>
          <w:spacing w:val="-4"/>
          <w:sz w:val="20"/>
        </w:rPr>
        <w:t> </w:t>
      </w:r>
      <w:r>
        <w:rPr>
          <w:rFonts w:ascii="Calibri"/>
          <w:sz w:val="20"/>
        </w:rPr>
        <w:t>at</w:t>
      </w:r>
      <w:r>
        <w:rPr>
          <w:rFonts w:ascii="Calibri"/>
          <w:spacing w:val="-2"/>
          <w:sz w:val="20"/>
        </w:rPr>
        <w:t> </w:t>
      </w:r>
      <w:r>
        <w:rPr>
          <w:rFonts w:ascii="Calibri"/>
          <w:spacing w:val="-4"/>
          <w:sz w:val="20"/>
        </w:rPr>
        <w:t>330.</w:t>
      </w:r>
    </w:p>
    <w:p>
      <w:pPr>
        <w:spacing w:before="1"/>
        <w:ind w:left="308" w:right="233" w:firstLine="0"/>
        <w:jc w:val="left"/>
        <w:rPr>
          <w:rFonts w:ascii="Calibri"/>
          <w:sz w:val="20"/>
        </w:rPr>
      </w:pPr>
      <w:r>
        <w:rPr>
          <w:rFonts w:ascii="Calibri"/>
          <w:sz w:val="20"/>
          <w:vertAlign w:val="superscript"/>
        </w:rPr>
        <w:t>45</w:t>
      </w:r>
      <w:r>
        <w:rPr>
          <w:rFonts w:ascii="Calibri"/>
          <w:spacing w:val="31"/>
          <w:sz w:val="20"/>
          <w:vertAlign w:val="baseline"/>
        </w:rPr>
        <w:t> </w:t>
      </w:r>
      <w:r>
        <w:rPr>
          <w:rFonts w:ascii="Calibri"/>
          <w:sz w:val="20"/>
          <w:vertAlign w:val="baseline"/>
        </w:rPr>
        <w:t>Even</w:t>
      </w:r>
      <w:r>
        <w:rPr>
          <w:rFonts w:ascii="Calibri"/>
          <w:spacing w:val="25"/>
          <w:sz w:val="20"/>
          <w:vertAlign w:val="baseline"/>
        </w:rPr>
        <w:t> </w:t>
      </w:r>
      <w:r>
        <w:rPr>
          <w:rFonts w:ascii="Calibri"/>
          <w:sz w:val="20"/>
          <w:vertAlign w:val="baseline"/>
        </w:rPr>
        <w:t>where</w:t>
      </w:r>
      <w:r>
        <w:rPr>
          <w:rFonts w:ascii="Calibri"/>
          <w:spacing w:val="30"/>
          <w:sz w:val="20"/>
          <w:vertAlign w:val="baseline"/>
        </w:rPr>
        <w:t> </w:t>
      </w:r>
      <w:r>
        <w:rPr>
          <w:rFonts w:ascii="Calibri"/>
          <w:sz w:val="20"/>
          <w:vertAlign w:val="baseline"/>
        </w:rPr>
        <w:t>a</w:t>
      </w:r>
      <w:r>
        <w:rPr>
          <w:rFonts w:ascii="Calibri"/>
          <w:spacing w:val="29"/>
          <w:sz w:val="20"/>
          <w:vertAlign w:val="baseline"/>
        </w:rPr>
        <w:t> </w:t>
      </w:r>
      <w:r>
        <w:rPr>
          <w:rFonts w:ascii="Calibri"/>
          <w:sz w:val="20"/>
          <w:vertAlign w:val="baseline"/>
        </w:rPr>
        <w:t>company</w:t>
      </w:r>
      <w:r>
        <w:rPr>
          <w:rFonts w:ascii="Calibri"/>
          <w:spacing w:val="30"/>
          <w:sz w:val="20"/>
          <w:vertAlign w:val="baseline"/>
        </w:rPr>
        <w:t> </w:t>
      </w:r>
      <w:r>
        <w:rPr>
          <w:rFonts w:ascii="Calibri"/>
          <w:sz w:val="20"/>
          <w:vertAlign w:val="baseline"/>
        </w:rPr>
        <w:t>is</w:t>
      </w:r>
      <w:r>
        <w:rPr>
          <w:rFonts w:ascii="Calibri"/>
          <w:spacing w:val="28"/>
          <w:sz w:val="20"/>
          <w:vertAlign w:val="baseline"/>
        </w:rPr>
        <w:t> </w:t>
      </w:r>
      <w:r>
        <w:rPr>
          <w:rFonts w:ascii="Calibri"/>
          <w:sz w:val="20"/>
          <w:vertAlign w:val="baseline"/>
        </w:rPr>
        <w:t>wholly</w:t>
      </w:r>
      <w:r>
        <w:rPr>
          <w:rFonts w:ascii="Calibri"/>
          <w:spacing w:val="25"/>
          <w:sz w:val="20"/>
          <w:vertAlign w:val="baseline"/>
        </w:rPr>
        <w:t> </w:t>
      </w:r>
      <w:r>
        <w:rPr>
          <w:rFonts w:ascii="Calibri"/>
          <w:sz w:val="20"/>
          <w:vertAlign w:val="baseline"/>
        </w:rPr>
        <w:t>made</w:t>
      </w:r>
      <w:r>
        <w:rPr>
          <w:rFonts w:ascii="Calibri"/>
          <w:spacing w:val="25"/>
          <w:sz w:val="20"/>
          <w:vertAlign w:val="baseline"/>
        </w:rPr>
        <w:t> </w:t>
      </w:r>
      <w:r>
        <w:rPr>
          <w:rFonts w:ascii="Calibri"/>
          <w:sz w:val="20"/>
          <w:vertAlign w:val="baseline"/>
        </w:rPr>
        <w:t>up</w:t>
      </w:r>
      <w:r>
        <w:rPr>
          <w:rFonts w:ascii="Calibri"/>
          <w:spacing w:val="29"/>
          <w:sz w:val="20"/>
          <w:vertAlign w:val="baseline"/>
        </w:rPr>
        <w:t> </w:t>
      </w:r>
      <w:r>
        <w:rPr>
          <w:rFonts w:ascii="Calibri"/>
          <w:sz w:val="20"/>
          <w:vertAlign w:val="baseline"/>
        </w:rPr>
        <w:t>of</w:t>
      </w:r>
      <w:r>
        <w:rPr>
          <w:rFonts w:ascii="Calibri"/>
          <w:spacing w:val="30"/>
          <w:sz w:val="20"/>
          <w:vertAlign w:val="baseline"/>
        </w:rPr>
        <w:t> </w:t>
      </w:r>
      <w:r>
        <w:rPr>
          <w:rFonts w:ascii="Calibri"/>
          <w:sz w:val="20"/>
          <w:vertAlign w:val="baseline"/>
        </w:rPr>
        <w:t>artificial</w:t>
      </w:r>
      <w:r>
        <w:rPr>
          <w:rFonts w:ascii="Calibri"/>
          <w:spacing w:val="26"/>
          <w:sz w:val="20"/>
          <w:vertAlign w:val="baseline"/>
        </w:rPr>
        <w:t> </w:t>
      </w:r>
      <w:r>
        <w:rPr>
          <w:rFonts w:ascii="Calibri"/>
          <w:sz w:val="20"/>
          <w:vertAlign w:val="baseline"/>
        </w:rPr>
        <w:t>persons,</w:t>
      </w:r>
      <w:r>
        <w:rPr>
          <w:rFonts w:ascii="Calibri"/>
          <w:spacing w:val="27"/>
          <w:sz w:val="20"/>
          <w:vertAlign w:val="baseline"/>
        </w:rPr>
        <w:t> </w:t>
      </w:r>
      <w:r>
        <w:rPr>
          <w:rFonts w:ascii="Calibri"/>
          <w:sz w:val="20"/>
          <w:vertAlign w:val="baseline"/>
        </w:rPr>
        <w:t>some</w:t>
      </w:r>
      <w:r>
        <w:rPr>
          <w:rFonts w:ascii="Calibri"/>
          <w:spacing w:val="30"/>
          <w:sz w:val="20"/>
          <w:vertAlign w:val="baseline"/>
        </w:rPr>
        <w:t> </w:t>
      </w:r>
      <w:r>
        <w:rPr>
          <w:rFonts w:ascii="Calibri"/>
          <w:sz w:val="20"/>
          <w:vertAlign w:val="baseline"/>
        </w:rPr>
        <w:t>natural</w:t>
      </w:r>
      <w:r>
        <w:rPr>
          <w:rFonts w:ascii="Calibri"/>
          <w:spacing w:val="31"/>
          <w:sz w:val="20"/>
          <w:vertAlign w:val="baseline"/>
        </w:rPr>
        <w:t> </w:t>
      </w:r>
      <w:r>
        <w:rPr>
          <w:rFonts w:ascii="Calibri"/>
          <w:sz w:val="20"/>
          <w:vertAlign w:val="baseline"/>
        </w:rPr>
        <w:t>persons</w:t>
      </w:r>
      <w:r>
        <w:rPr>
          <w:rFonts w:ascii="Calibri"/>
          <w:spacing w:val="27"/>
          <w:sz w:val="20"/>
          <w:vertAlign w:val="baseline"/>
        </w:rPr>
        <w:t> </w:t>
      </w:r>
      <w:r>
        <w:rPr>
          <w:rFonts w:ascii="Calibri"/>
          <w:sz w:val="20"/>
          <w:vertAlign w:val="baseline"/>
        </w:rPr>
        <w:t>somewhere down the line will be receiving the profits.</w:t>
      </w:r>
    </w:p>
    <w:p>
      <w:pPr>
        <w:spacing w:before="1"/>
        <w:ind w:left="308" w:right="4735" w:firstLine="0"/>
        <w:jc w:val="left"/>
        <w:rPr>
          <w:rFonts w:ascii="Calibri"/>
          <w:sz w:val="20"/>
        </w:rPr>
      </w:pPr>
      <w:r>
        <w:rPr>
          <w:rFonts w:ascii="Calibri"/>
          <w:sz w:val="20"/>
          <w:vertAlign w:val="superscript"/>
        </w:rPr>
        <w:t>46</w:t>
      </w:r>
      <w:r>
        <w:rPr>
          <w:rFonts w:ascii="Calibri"/>
          <w:sz w:val="20"/>
          <w:vertAlign w:val="baseline"/>
        </w:rPr>
        <w:t> Refer to </w:t>
      </w:r>
      <w:r>
        <w:rPr>
          <w:rFonts w:ascii="Calibri"/>
          <w:b/>
          <w:sz w:val="20"/>
          <w:vertAlign w:val="baseline"/>
        </w:rPr>
        <w:t>3.4.1 </w:t>
      </w:r>
      <w:r>
        <w:rPr>
          <w:rFonts w:ascii="Calibri"/>
          <w:sz w:val="20"/>
          <w:vertAlign w:val="baseline"/>
        </w:rPr>
        <w:t>supra on Owed to Whom? </w:t>
      </w:r>
      <w:r>
        <w:rPr>
          <w:rFonts w:ascii="Calibri"/>
          <w:sz w:val="20"/>
          <w:vertAlign w:val="superscript"/>
        </w:rPr>
        <w:t>47</w:t>
      </w:r>
      <w:r>
        <w:rPr>
          <w:rFonts w:ascii="Calibri"/>
          <w:i/>
          <w:sz w:val="20"/>
          <w:vertAlign w:val="baseline"/>
        </w:rPr>
        <w:t>Salomon</w:t>
      </w:r>
      <w:r>
        <w:rPr>
          <w:rFonts w:ascii="Calibri"/>
          <w:i/>
          <w:spacing w:val="-4"/>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Salomon</w:t>
      </w:r>
      <w:r>
        <w:rPr>
          <w:rFonts w:ascii="Calibri"/>
          <w:i/>
          <w:spacing w:val="-4"/>
          <w:sz w:val="20"/>
          <w:vertAlign w:val="baseline"/>
        </w:rPr>
        <w:t> </w:t>
      </w:r>
      <w:r>
        <w:rPr>
          <w:rFonts w:ascii="Calibri"/>
          <w:i/>
          <w:sz w:val="20"/>
          <w:vertAlign w:val="baseline"/>
        </w:rPr>
        <w:t>&amp;</w:t>
      </w:r>
      <w:r>
        <w:rPr>
          <w:rFonts w:ascii="Calibri"/>
          <w:i/>
          <w:spacing w:val="-4"/>
          <w:sz w:val="20"/>
          <w:vertAlign w:val="baseline"/>
        </w:rPr>
        <w:t> </w:t>
      </w:r>
      <w:r>
        <w:rPr>
          <w:rFonts w:ascii="Calibri"/>
          <w:i/>
          <w:sz w:val="20"/>
          <w:vertAlign w:val="baseline"/>
        </w:rPr>
        <w:t>Co.</w:t>
      </w:r>
      <w:r>
        <w:rPr>
          <w:rFonts w:ascii="Calibri"/>
          <w:i/>
          <w:spacing w:val="-4"/>
          <w:sz w:val="20"/>
          <w:vertAlign w:val="baseline"/>
        </w:rPr>
        <w:t> </w:t>
      </w:r>
      <w:r>
        <w:rPr>
          <w:rFonts w:ascii="Calibri"/>
          <w:i/>
          <w:sz w:val="20"/>
          <w:vertAlign w:val="baseline"/>
        </w:rPr>
        <w:t>Ltd.</w:t>
      </w:r>
      <w:r>
        <w:rPr>
          <w:rFonts w:ascii="Calibri"/>
          <w:i/>
          <w:spacing w:val="-1"/>
          <w:sz w:val="20"/>
          <w:vertAlign w:val="baseline"/>
        </w:rPr>
        <w:t> </w:t>
      </w:r>
      <w:r>
        <w:rPr>
          <w:rFonts w:ascii="Calibri"/>
          <w:sz w:val="20"/>
          <w:vertAlign w:val="baseline"/>
        </w:rPr>
        <w:t>(1897)</w:t>
      </w:r>
      <w:r>
        <w:rPr>
          <w:rFonts w:ascii="Calibri"/>
          <w:spacing w:val="-4"/>
          <w:sz w:val="20"/>
          <w:vertAlign w:val="baseline"/>
        </w:rPr>
        <w:t> </w:t>
      </w:r>
      <w:r>
        <w:rPr>
          <w:rFonts w:ascii="Calibri"/>
          <w:sz w:val="20"/>
          <w:vertAlign w:val="baseline"/>
        </w:rPr>
        <w:t>A.C.</w:t>
      </w:r>
      <w:r>
        <w:rPr>
          <w:rFonts w:ascii="Calibri"/>
          <w:spacing w:val="-4"/>
          <w:sz w:val="20"/>
          <w:vertAlign w:val="baseline"/>
        </w:rPr>
        <w:t> </w:t>
      </w:r>
      <w:r>
        <w:rPr>
          <w:rFonts w:ascii="Calibri"/>
          <w:sz w:val="20"/>
          <w:vertAlign w:val="baseline"/>
        </w:rPr>
        <w:t>22. </w:t>
      </w:r>
      <w:r>
        <w:rPr>
          <w:rFonts w:ascii="Calibri"/>
          <w:sz w:val="20"/>
          <w:vertAlign w:val="superscript"/>
        </w:rPr>
        <w:t>48</w:t>
      </w:r>
      <w:r>
        <w:rPr>
          <w:rFonts w:ascii="Calibri"/>
          <w:sz w:val="20"/>
          <w:vertAlign w:val="baseline"/>
        </w:rPr>
        <w:t> Refer to s.37 CAMA and s.7(1) CA.</w:t>
      </w:r>
    </w:p>
    <w:p>
      <w:pPr>
        <w:spacing w:after="0"/>
        <w:jc w:val="left"/>
        <w:rPr>
          <w:rFonts w:ascii="Calibri"/>
          <w:sz w:val="20"/>
        </w:rPr>
        <w:sectPr>
          <w:pgSz w:w="11910" w:h="16840"/>
          <w:pgMar w:header="0" w:footer="1003" w:top="1280" w:bottom="1200" w:left="1680" w:right="1180"/>
        </w:sectPr>
      </w:pPr>
    </w:p>
    <w:p>
      <w:pPr>
        <w:pStyle w:val="BodyText"/>
        <w:spacing w:line="480" w:lineRule="auto" w:before="110"/>
        <w:ind w:right="185"/>
        <w:jc w:val="both"/>
      </w:pPr>
      <w:r>
        <w:rPr/>
        <w:t>duties through their powers in the general meeting,</w:t>
      </w:r>
      <w:r>
        <w:rPr>
          <w:vertAlign w:val="superscript"/>
        </w:rPr>
        <w:t>49</w:t>
      </w:r>
      <w:r>
        <w:rPr>
          <w:vertAlign w:val="baseline"/>
        </w:rPr>
        <w:t> or derivative actions. For these reasons, law more appropriately reflects fact when it requires the director to act for the benefit of members as a whole, than when it requires that he act in the best interests of the company as a whole. A fortiori, directors may owe their duties to the company in </w:t>
      </w:r>
      <w:r>
        <w:rPr>
          <w:i/>
          <w:vertAlign w:val="baseline"/>
        </w:rPr>
        <w:t>law</w:t>
      </w:r>
      <w:r>
        <w:rPr>
          <w:vertAlign w:val="baseline"/>
        </w:rPr>
        <w:t>, but they</w:t>
      </w:r>
      <w:r>
        <w:rPr>
          <w:spacing w:val="-4"/>
          <w:vertAlign w:val="baseline"/>
        </w:rPr>
        <w:t> </w:t>
      </w:r>
      <w:r>
        <w:rPr>
          <w:vertAlign w:val="baseline"/>
        </w:rPr>
        <w:t>owe them to the collectivity of</w:t>
      </w:r>
      <w:r>
        <w:rPr>
          <w:spacing w:val="-2"/>
          <w:vertAlign w:val="baseline"/>
        </w:rPr>
        <w:t> </w:t>
      </w:r>
      <w:r>
        <w:rPr>
          <w:vertAlign w:val="baseline"/>
        </w:rPr>
        <w:t>the members of</w:t>
      </w:r>
      <w:r>
        <w:rPr>
          <w:spacing w:val="-2"/>
          <w:vertAlign w:val="baseline"/>
        </w:rPr>
        <w:t> </w:t>
      </w:r>
      <w:r>
        <w:rPr>
          <w:vertAlign w:val="baseline"/>
        </w:rPr>
        <w:t>the company in </w:t>
      </w:r>
      <w:r>
        <w:rPr>
          <w:i/>
          <w:vertAlign w:val="baseline"/>
        </w:rPr>
        <w:t>fact</w:t>
      </w:r>
      <w:r>
        <w:rPr>
          <w:vertAlign w:val="baseline"/>
        </w:rPr>
        <w:t>. Thus, one commendable aspect of s.172 is in its recognizing this fact. Clearly, s.279 of the CAMA</w:t>
      </w:r>
      <w:r>
        <w:rPr>
          <w:spacing w:val="-6"/>
          <w:vertAlign w:val="baseline"/>
        </w:rPr>
        <w:t> </w:t>
      </w:r>
      <w:r>
        <w:rPr>
          <w:vertAlign w:val="baseline"/>
        </w:rPr>
        <w:t>does</w:t>
      </w:r>
      <w:r>
        <w:rPr>
          <w:spacing w:val="-2"/>
          <w:vertAlign w:val="baseline"/>
        </w:rPr>
        <w:t> </w:t>
      </w:r>
      <w:r>
        <w:rPr>
          <w:vertAlign w:val="baseline"/>
        </w:rPr>
        <w:t>not</w:t>
      </w:r>
      <w:r>
        <w:rPr>
          <w:spacing w:val="-1"/>
          <w:vertAlign w:val="baseline"/>
        </w:rPr>
        <w:t> </w:t>
      </w:r>
      <w:r>
        <w:rPr>
          <w:vertAlign w:val="baseline"/>
        </w:rPr>
        <w:t>reflect</w:t>
      </w:r>
      <w:r>
        <w:rPr>
          <w:spacing w:val="-1"/>
          <w:vertAlign w:val="baseline"/>
        </w:rPr>
        <w:t> </w:t>
      </w:r>
      <w:r>
        <w:rPr>
          <w:vertAlign w:val="baseline"/>
        </w:rPr>
        <w:t>this</w:t>
      </w:r>
      <w:r>
        <w:rPr>
          <w:spacing w:val="-2"/>
          <w:vertAlign w:val="baseline"/>
        </w:rPr>
        <w:t> </w:t>
      </w:r>
      <w:r>
        <w:rPr>
          <w:vertAlign w:val="baseline"/>
        </w:rPr>
        <w:t>reality. Even</w:t>
      </w:r>
      <w:r>
        <w:rPr>
          <w:spacing w:val="-5"/>
          <w:vertAlign w:val="baseline"/>
        </w:rPr>
        <w:t> </w:t>
      </w:r>
      <w:r>
        <w:rPr>
          <w:vertAlign w:val="baseline"/>
        </w:rPr>
        <w:t>though</w:t>
      </w:r>
      <w:r>
        <w:rPr>
          <w:spacing w:val="-5"/>
          <w:vertAlign w:val="baseline"/>
        </w:rPr>
        <w:t> </w:t>
      </w:r>
      <w:r>
        <w:rPr>
          <w:vertAlign w:val="baseline"/>
        </w:rPr>
        <w:t>s.283</w:t>
      </w:r>
      <w:r>
        <w:rPr>
          <w:spacing w:val="-1"/>
          <w:vertAlign w:val="baseline"/>
        </w:rPr>
        <w:t> </w:t>
      </w:r>
      <w:r>
        <w:rPr>
          <w:vertAlign w:val="baseline"/>
        </w:rPr>
        <w:t>of</w:t>
      </w:r>
      <w:r>
        <w:rPr>
          <w:spacing w:val="-8"/>
          <w:vertAlign w:val="baseline"/>
        </w:rPr>
        <w:t> </w:t>
      </w:r>
      <w:r>
        <w:rPr>
          <w:vertAlign w:val="baseline"/>
        </w:rPr>
        <w:t>the law mentions</w:t>
      </w:r>
      <w:r>
        <w:rPr>
          <w:spacing w:val="-2"/>
          <w:vertAlign w:val="baseline"/>
        </w:rPr>
        <w:t> </w:t>
      </w:r>
      <w:r>
        <w:rPr>
          <w:vertAlign w:val="baseline"/>
        </w:rPr>
        <w:t>that directors shall</w:t>
      </w:r>
      <w:r>
        <w:rPr>
          <w:spacing w:val="-1"/>
          <w:vertAlign w:val="baseline"/>
        </w:rPr>
        <w:t> </w:t>
      </w:r>
      <w:r>
        <w:rPr>
          <w:vertAlign w:val="baseline"/>
        </w:rPr>
        <w:t>exercise their power ―in the interest of</w:t>
      </w:r>
      <w:r>
        <w:rPr>
          <w:spacing w:val="-5"/>
          <w:vertAlign w:val="baseline"/>
        </w:rPr>
        <w:t> </w:t>
      </w:r>
      <w:r>
        <w:rPr>
          <w:vertAlign w:val="baseline"/>
        </w:rPr>
        <w:t>the company</w:t>
      </w:r>
      <w:r>
        <w:rPr>
          <w:spacing w:val="-2"/>
          <w:vertAlign w:val="baseline"/>
        </w:rPr>
        <w:t> </w:t>
      </w:r>
      <w:r>
        <w:rPr>
          <w:vertAlign w:val="baseline"/>
        </w:rPr>
        <w:t>and all</w:t>
      </w:r>
      <w:r>
        <w:rPr>
          <w:spacing w:val="-1"/>
          <w:vertAlign w:val="baseline"/>
        </w:rPr>
        <w:t> </w:t>
      </w:r>
      <w:r>
        <w:rPr>
          <w:vertAlign w:val="baseline"/>
        </w:rPr>
        <w:t>the shareholders,‖ this statement is far removed from the statement of the fiduciary duties four sections away, and appears to be directed at cautioning directors against furthering their self-interests.</w:t>
      </w:r>
    </w:p>
    <w:p>
      <w:pPr>
        <w:pStyle w:val="BodyText"/>
        <w:spacing w:line="480" w:lineRule="auto" w:before="2"/>
        <w:ind w:right="181" w:firstLine="720"/>
        <w:jc w:val="both"/>
      </w:pPr>
      <w:r>
        <w:rPr/>
        <w:t>But, whatdoes</w:t>
      </w:r>
      <w:r>
        <w:rPr>
          <w:spacing w:val="-2"/>
        </w:rPr>
        <w:t> </w:t>
      </w:r>
      <w:r>
        <w:rPr/>
        <w:t>s.172 mean by success in relation</w:t>
      </w:r>
      <w:r>
        <w:rPr>
          <w:spacing w:val="-5"/>
        </w:rPr>
        <w:t> </w:t>
      </w:r>
      <w:r>
        <w:rPr/>
        <w:t>to the</w:t>
      </w:r>
      <w:r>
        <w:rPr>
          <w:spacing w:val="-1"/>
        </w:rPr>
        <w:t> </w:t>
      </w:r>
      <w:r>
        <w:rPr/>
        <w:t>company? Parliament has indicated</w:t>
      </w:r>
      <w:r>
        <w:rPr>
          <w:spacing w:val="-1"/>
        </w:rPr>
        <w:t> </w:t>
      </w:r>
      <w:r>
        <w:rPr/>
        <w:t>that it has deliberately left this</w:t>
      </w:r>
      <w:r>
        <w:rPr>
          <w:spacing w:val="-3"/>
        </w:rPr>
        <w:t> </w:t>
      </w:r>
      <w:r>
        <w:rPr/>
        <w:t>question</w:t>
      </w:r>
      <w:r>
        <w:rPr>
          <w:spacing w:val="-6"/>
        </w:rPr>
        <w:t> </w:t>
      </w:r>
      <w:r>
        <w:rPr/>
        <w:t>to each</w:t>
      </w:r>
      <w:r>
        <w:rPr>
          <w:spacing w:val="-6"/>
        </w:rPr>
        <w:t> </w:t>
      </w:r>
      <w:r>
        <w:rPr/>
        <w:t>company</w:t>
      </w:r>
      <w:r>
        <w:rPr>
          <w:spacing w:val="-6"/>
        </w:rPr>
        <w:t> </w:t>
      </w:r>
      <w:r>
        <w:rPr/>
        <w:t>to answer for itself.</w:t>
      </w:r>
      <w:r>
        <w:rPr>
          <w:vertAlign w:val="superscript"/>
        </w:rPr>
        <w:t>50</w:t>
      </w:r>
      <w:r>
        <w:rPr>
          <w:vertAlign w:val="baseline"/>
        </w:rPr>
        <w:t> However, for a limited liability company, it can safely be assumed that the notion of success</w:t>
      </w:r>
      <w:r>
        <w:rPr>
          <w:spacing w:val="-1"/>
          <w:vertAlign w:val="baseline"/>
        </w:rPr>
        <w:t> </w:t>
      </w:r>
      <w:r>
        <w:rPr>
          <w:vertAlign w:val="baseline"/>
        </w:rPr>
        <w:t>would involve a balance sheet heavier on the credit side and more returns</w:t>
      </w:r>
      <w:r>
        <w:rPr>
          <w:spacing w:val="-1"/>
          <w:vertAlign w:val="baseline"/>
        </w:rPr>
        <w:t> </w:t>
      </w:r>
      <w:r>
        <w:rPr>
          <w:vertAlign w:val="baseline"/>
        </w:rPr>
        <w:t>for its shareholders. But it is also possible that for some companies, success is translated in terms</w:t>
      </w:r>
      <w:r>
        <w:rPr>
          <w:spacing w:val="53"/>
          <w:vertAlign w:val="baseline"/>
        </w:rPr>
        <w:t> </w:t>
      </w:r>
      <w:r>
        <w:rPr>
          <w:vertAlign w:val="baseline"/>
        </w:rPr>
        <w:t>of</w:t>
      </w:r>
      <w:r>
        <w:rPr>
          <w:spacing w:val="48"/>
          <w:vertAlign w:val="baseline"/>
        </w:rPr>
        <w:t> </w:t>
      </w:r>
      <w:r>
        <w:rPr>
          <w:vertAlign w:val="baseline"/>
        </w:rPr>
        <w:t>ousting</w:t>
      </w:r>
      <w:r>
        <w:rPr>
          <w:spacing w:val="56"/>
          <w:vertAlign w:val="baseline"/>
        </w:rPr>
        <w:t> </w:t>
      </w:r>
      <w:r>
        <w:rPr>
          <w:vertAlign w:val="baseline"/>
        </w:rPr>
        <w:t>competitors,</w:t>
      </w:r>
      <w:r>
        <w:rPr>
          <w:spacing w:val="54"/>
          <w:vertAlign w:val="baseline"/>
        </w:rPr>
        <w:t> </w:t>
      </w:r>
      <w:r>
        <w:rPr>
          <w:vertAlign w:val="baseline"/>
        </w:rPr>
        <w:t>opening</w:t>
      </w:r>
      <w:r>
        <w:rPr>
          <w:spacing w:val="61"/>
          <w:vertAlign w:val="baseline"/>
        </w:rPr>
        <w:t> </w:t>
      </w:r>
      <w:r>
        <w:rPr>
          <w:vertAlign w:val="baseline"/>
        </w:rPr>
        <w:t>new</w:t>
      </w:r>
      <w:r>
        <w:rPr>
          <w:spacing w:val="61"/>
          <w:vertAlign w:val="baseline"/>
        </w:rPr>
        <w:t> </w:t>
      </w:r>
      <w:r>
        <w:rPr>
          <w:vertAlign w:val="baseline"/>
        </w:rPr>
        <w:t>frontiers,</w:t>
      </w:r>
      <w:r>
        <w:rPr>
          <w:spacing w:val="58"/>
          <w:vertAlign w:val="baseline"/>
        </w:rPr>
        <w:t> </w:t>
      </w:r>
      <w:r>
        <w:rPr>
          <w:vertAlign w:val="baseline"/>
        </w:rPr>
        <w:t>achieving</w:t>
      </w:r>
      <w:r>
        <w:rPr>
          <w:spacing w:val="61"/>
          <w:vertAlign w:val="baseline"/>
        </w:rPr>
        <w:t> </w:t>
      </w:r>
      <w:r>
        <w:rPr>
          <w:vertAlign w:val="baseline"/>
        </w:rPr>
        <w:t>more</w:t>
      </w:r>
      <w:r>
        <w:rPr>
          <w:spacing w:val="60"/>
          <w:vertAlign w:val="baseline"/>
        </w:rPr>
        <w:t> </w:t>
      </w:r>
      <w:r>
        <w:rPr>
          <w:vertAlign w:val="baseline"/>
        </w:rPr>
        <w:t>fame</w:t>
      </w:r>
      <w:r>
        <w:rPr>
          <w:spacing w:val="59"/>
          <w:vertAlign w:val="baseline"/>
        </w:rPr>
        <w:t> </w:t>
      </w:r>
      <w:r>
        <w:rPr>
          <w:vertAlign w:val="baseline"/>
        </w:rPr>
        <w:t>or</w:t>
      </w:r>
      <w:r>
        <w:rPr>
          <w:spacing w:val="58"/>
          <w:vertAlign w:val="baseline"/>
        </w:rPr>
        <w:t> </w:t>
      </w:r>
      <w:r>
        <w:rPr>
          <w:spacing w:val="-4"/>
          <w:vertAlign w:val="baseline"/>
        </w:rPr>
        <w:t>even</w:t>
      </w:r>
    </w:p>
    <w:p>
      <w:pPr>
        <w:pStyle w:val="BodyText"/>
        <w:spacing w:line="480" w:lineRule="auto" w:before="1"/>
        <w:ind w:left="29" w:right="182"/>
        <w:jc w:val="right"/>
      </w:pPr>
      <w:r>
        <w:rPr/>
        <w:t>―greening‖ their operations. This is also bearing in mind that companies are set up for every</w:t>
      </w:r>
      <w:r>
        <w:rPr>
          <w:spacing w:val="40"/>
        </w:rPr>
        <w:t> </w:t>
      </w:r>
      <w:r>
        <w:rPr/>
        <w:t>kind</w:t>
      </w:r>
      <w:r>
        <w:rPr>
          <w:spacing w:val="40"/>
        </w:rPr>
        <w:t> </w:t>
      </w:r>
      <w:r>
        <w:rPr/>
        <w:t>of</w:t>
      </w:r>
      <w:r>
        <w:rPr>
          <w:spacing w:val="40"/>
        </w:rPr>
        <w:t> </w:t>
      </w:r>
      <w:r>
        <w:rPr/>
        <w:t>known</w:t>
      </w:r>
      <w:r>
        <w:rPr>
          <w:spacing w:val="40"/>
        </w:rPr>
        <w:t> </w:t>
      </w:r>
      <w:r>
        <w:rPr/>
        <w:t>lawful</w:t>
      </w:r>
      <w:r>
        <w:rPr>
          <w:spacing w:val="40"/>
        </w:rPr>
        <w:t> </w:t>
      </w:r>
      <w:r>
        <w:rPr/>
        <w:t>business.</w:t>
      </w:r>
      <w:r>
        <w:rPr>
          <w:spacing w:val="40"/>
        </w:rPr>
        <w:t> </w:t>
      </w:r>
      <w:r>
        <w:rPr/>
        <w:t>For</w:t>
      </w:r>
      <w:r>
        <w:rPr>
          <w:spacing w:val="40"/>
        </w:rPr>
        <w:t> </w:t>
      </w:r>
      <w:r>
        <w:rPr/>
        <w:t>charitable</w:t>
      </w:r>
      <w:r>
        <w:rPr>
          <w:spacing w:val="40"/>
        </w:rPr>
        <w:t> </w:t>
      </w:r>
      <w:r>
        <w:rPr/>
        <w:t>or</w:t>
      </w:r>
      <w:r>
        <w:rPr>
          <w:spacing w:val="40"/>
        </w:rPr>
        <w:t> </w:t>
      </w:r>
      <w:r>
        <w:rPr/>
        <w:t>other</w:t>
      </w:r>
      <w:r>
        <w:rPr>
          <w:spacing w:val="40"/>
        </w:rPr>
        <w:t> </w:t>
      </w:r>
      <w:r>
        <w:rPr/>
        <w:t>such</w:t>
      </w:r>
      <w:r>
        <w:rPr>
          <w:spacing w:val="40"/>
        </w:rPr>
        <w:t> </w:t>
      </w:r>
      <w:r>
        <w:rPr/>
        <w:t>companies</w:t>
      </w:r>
      <w:r>
        <w:rPr>
          <w:spacing w:val="40"/>
        </w:rPr>
        <w:t> </w:t>
      </w:r>
      <w:r>
        <w:rPr/>
        <w:t>with altruistic motives, it is</w:t>
      </w:r>
      <w:r>
        <w:rPr>
          <w:spacing w:val="-2"/>
        </w:rPr>
        <w:t> </w:t>
      </w:r>
      <w:r>
        <w:rPr/>
        <w:t>conceded that success</w:t>
      </w:r>
      <w:r>
        <w:rPr>
          <w:spacing w:val="-2"/>
        </w:rPr>
        <w:t> </w:t>
      </w:r>
      <w:r>
        <w:rPr/>
        <w:t>would</w:t>
      </w:r>
      <w:r>
        <w:rPr>
          <w:spacing w:val="-5"/>
        </w:rPr>
        <w:t> </w:t>
      </w:r>
      <w:r>
        <w:rPr/>
        <w:t>take</w:t>
      </w:r>
      <w:r>
        <w:rPr>
          <w:spacing w:val="-1"/>
        </w:rPr>
        <w:t> </w:t>
      </w:r>
      <w:r>
        <w:rPr/>
        <w:t>an</w:t>
      </w:r>
      <w:r>
        <w:rPr>
          <w:spacing w:val="-5"/>
        </w:rPr>
        <w:t> </w:t>
      </w:r>
      <w:r>
        <w:rPr/>
        <w:t>entirely</w:t>
      </w:r>
      <w:r>
        <w:rPr>
          <w:spacing w:val="-9"/>
        </w:rPr>
        <w:t> </w:t>
      </w:r>
      <w:r>
        <w:rPr/>
        <w:t>different dimension. Evidently,</w:t>
      </w:r>
      <w:r>
        <w:rPr>
          <w:spacing w:val="40"/>
        </w:rPr>
        <w:t> </w:t>
      </w:r>
      <w:r>
        <w:rPr>
          <w:i/>
        </w:rPr>
        <w:t>success</w:t>
      </w:r>
      <w:r>
        <w:rPr>
          <w:i/>
          <w:spacing w:val="40"/>
        </w:rPr>
        <w:t> </w:t>
      </w:r>
      <w:r>
        <w:rPr/>
        <w:t>is</w:t>
      </w:r>
      <w:r>
        <w:rPr>
          <w:spacing w:val="40"/>
        </w:rPr>
        <w:t> </w:t>
      </w:r>
      <w:r>
        <w:rPr/>
        <w:t>a</w:t>
      </w:r>
      <w:r>
        <w:rPr>
          <w:spacing w:val="40"/>
        </w:rPr>
        <w:t> </w:t>
      </w:r>
      <w:r>
        <w:rPr/>
        <w:t>very</w:t>
      </w:r>
      <w:r>
        <w:rPr>
          <w:spacing w:val="40"/>
        </w:rPr>
        <w:t> </w:t>
      </w:r>
      <w:r>
        <w:rPr/>
        <w:t>nebulous</w:t>
      </w:r>
      <w:r>
        <w:rPr>
          <w:spacing w:val="40"/>
        </w:rPr>
        <w:t> </w:t>
      </w:r>
      <w:r>
        <w:rPr/>
        <w:t>term</w:t>
      </w:r>
      <w:r>
        <w:rPr>
          <w:spacing w:val="40"/>
        </w:rPr>
        <w:t> </w:t>
      </w:r>
      <w:r>
        <w:rPr/>
        <w:t>which,</w:t>
      </w:r>
      <w:r>
        <w:rPr>
          <w:spacing w:val="40"/>
        </w:rPr>
        <w:t> </w:t>
      </w:r>
      <w:r>
        <w:rPr/>
        <w:t>in</w:t>
      </w:r>
      <w:r>
        <w:rPr>
          <w:spacing w:val="40"/>
        </w:rPr>
        <w:t> </w:t>
      </w:r>
      <w:r>
        <w:rPr/>
        <w:t>the</w:t>
      </w:r>
      <w:r>
        <w:rPr>
          <w:spacing w:val="40"/>
        </w:rPr>
        <w:t> </w:t>
      </w:r>
      <w:r>
        <w:rPr/>
        <w:t>area</w:t>
      </w:r>
      <w:r>
        <w:rPr>
          <w:spacing w:val="40"/>
        </w:rPr>
        <w:t> </w:t>
      </w:r>
      <w:r>
        <w:rPr/>
        <w:t>of</w:t>
      </w:r>
      <w:r>
        <w:rPr>
          <w:spacing w:val="40"/>
        </w:rPr>
        <w:t> </w:t>
      </w:r>
      <w:r>
        <w:rPr/>
        <w:t>companies,</w:t>
      </w:r>
    </w:p>
    <w:p>
      <w:pPr>
        <w:pStyle w:val="BodyText"/>
        <w:spacing w:line="480" w:lineRule="auto" w:before="1"/>
        <w:ind w:left="29" w:right="186"/>
        <w:jc w:val="right"/>
      </w:pPr>
      <w:r>
        <w:rPr/>
        <w:t>cannot</w:t>
      </w:r>
      <w:r>
        <w:rPr>
          <w:spacing w:val="40"/>
        </w:rPr>
        <w:t> </w:t>
      </w:r>
      <w:r>
        <w:rPr/>
        <w:t>easily</w:t>
      </w:r>
      <w:r>
        <w:rPr>
          <w:spacing w:val="40"/>
        </w:rPr>
        <w:t> </w:t>
      </w:r>
      <w:r>
        <w:rPr/>
        <w:t>be</w:t>
      </w:r>
      <w:r>
        <w:rPr>
          <w:spacing w:val="40"/>
        </w:rPr>
        <w:t> </w:t>
      </w:r>
      <w:r>
        <w:rPr/>
        <w:t>pegged</w:t>
      </w:r>
      <w:r>
        <w:rPr>
          <w:spacing w:val="40"/>
        </w:rPr>
        <w:t> </w:t>
      </w:r>
      <w:r>
        <w:rPr/>
        <w:t>down</w:t>
      </w:r>
      <w:r>
        <w:rPr>
          <w:spacing w:val="40"/>
        </w:rPr>
        <w:t> </w:t>
      </w:r>
      <w:r>
        <w:rPr/>
        <w:t>to</w:t>
      </w:r>
      <w:r>
        <w:rPr>
          <w:spacing w:val="40"/>
        </w:rPr>
        <w:t> </w:t>
      </w:r>
      <w:r>
        <w:rPr/>
        <w:t>a</w:t>
      </w:r>
      <w:r>
        <w:rPr>
          <w:spacing w:val="40"/>
        </w:rPr>
        <w:t> </w:t>
      </w:r>
      <w:r>
        <w:rPr/>
        <w:t>specific</w:t>
      </w:r>
      <w:r>
        <w:rPr>
          <w:spacing w:val="40"/>
        </w:rPr>
        <w:t> </w:t>
      </w:r>
      <w:r>
        <w:rPr/>
        <w:t>definition.</w:t>
      </w:r>
      <w:r>
        <w:rPr>
          <w:spacing w:val="40"/>
        </w:rPr>
        <w:t> </w:t>
      </w:r>
      <w:r>
        <w:rPr/>
        <w:t>Thus,</w:t>
      </w:r>
      <w:r>
        <w:rPr>
          <w:spacing w:val="40"/>
        </w:rPr>
        <w:t> </w:t>
      </w:r>
      <w:r>
        <w:rPr/>
        <w:t>when</w:t>
      </w:r>
      <w:r>
        <w:rPr>
          <w:spacing w:val="39"/>
        </w:rPr>
        <w:t> </w:t>
      </w:r>
      <w:r>
        <w:rPr/>
        <w:t>s.279(3)</w:t>
      </w:r>
      <w:r>
        <w:rPr>
          <w:spacing w:val="40"/>
        </w:rPr>
        <w:t> </w:t>
      </w:r>
      <w:r>
        <w:rPr/>
        <w:t>CAMA speaks</w:t>
      </w:r>
      <w:r>
        <w:rPr>
          <w:spacing w:val="26"/>
        </w:rPr>
        <w:t> </w:t>
      </w:r>
      <w:r>
        <w:rPr/>
        <w:t>of</w:t>
      </w:r>
      <w:r>
        <w:rPr>
          <w:spacing w:val="23"/>
        </w:rPr>
        <w:t> </w:t>
      </w:r>
      <w:r>
        <w:rPr/>
        <w:t>preserving</w:t>
      </w:r>
      <w:r>
        <w:rPr>
          <w:spacing w:val="31"/>
        </w:rPr>
        <w:t> </w:t>
      </w:r>
      <w:r>
        <w:rPr/>
        <w:t>the</w:t>
      </w:r>
      <w:r>
        <w:rPr>
          <w:spacing w:val="29"/>
        </w:rPr>
        <w:t> </w:t>
      </w:r>
      <w:r>
        <w:rPr/>
        <w:t>company‘s</w:t>
      </w:r>
      <w:r>
        <w:rPr>
          <w:spacing w:val="33"/>
        </w:rPr>
        <w:t> </w:t>
      </w:r>
      <w:r>
        <w:rPr/>
        <w:t>assets,</w:t>
      </w:r>
      <w:r>
        <w:rPr>
          <w:spacing w:val="32"/>
        </w:rPr>
        <w:t> </w:t>
      </w:r>
      <w:r>
        <w:rPr/>
        <w:t>furthering</w:t>
      </w:r>
      <w:r>
        <w:rPr>
          <w:spacing w:val="36"/>
        </w:rPr>
        <w:t> </w:t>
      </w:r>
      <w:r>
        <w:rPr/>
        <w:t>its</w:t>
      </w:r>
      <w:r>
        <w:rPr>
          <w:spacing w:val="28"/>
        </w:rPr>
        <w:t> </w:t>
      </w:r>
      <w:r>
        <w:rPr/>
        <w:t>business,</w:t>
      </w:r>
      <w:r>
        <w:rPr>
          <w:spacing w:val="33"/>
        </w:rPr>
        <w:t> </w:t>
      </w:r>
      <w:r>
        <w:rPr/>
        <w:t>and</w:t>
      </w:r>
      <w:r>
        <w:rPr>
          <w:spacing w:val="30"/>
        </w:rPr>
        <w:t> </w:t>
      </w:r>
      <w:r>
        <w:rPr/>
        <w:t>promoting</w:t>
      </w:r>
      <w:r>
        <w:rPr>
          <w:spacing w:val="36"/>
        </w:rPr>
        <w:t> </w:t>
      </w:r>
      <w:r>
        <w:rPr>
          <w:spacing w:val="-5"/>
        </w:rPr>
        <w:t>the</w:t>
      </w:r>
    </w:p>
    <w:p>
      <w:pPr>
        <w:pStyle w:val="BodyText"/>
        <w:spacing w:before="28"/>
        <w:ind w:left="0"/>
        <w:rPr>
          <w:sz w:val="20"/>
        </w:rPr>
      </w:pPr>
      <w:r>
        <w:rPr/>
        <mc:AlternateContent>
          <mc:Choice Requires="wps">
            <w:drawing>
              <wp:anchor distT="0" distB="0" distL="0" distR="0" allowOverlap="1" layoutInCell="1" locked="0" behindDoc="1" simplePos="0" relativeHeight="487718400">
                <wp:simplePos x="0" y="0"/>
                <wp:positionH relativeFrom="page">
                  <wp:posOffset>1262481</wp:posOffset>
                </wp:positionH>
                <wp:positionV relativeFrom="paragraph">
                  <wp:posOffset>179090</wp:posOffset>
                </wp:positionV>
                <wp:extent cx="1829435" cy="9525"/>
                <wp:effectExtent l="0" t="0" r="0" b="0"/>
                <wp:wrapTopAndBottom/>
                <wp:docPr id="282" name="Graphic 282"/>
                <wp:cNvGraphicFramePr>
                  <a:graphicFrameLocks/>
                </wp:cNvGraphicFramePr>
                <a:graphic>
                  <a:graphicData uri="http://schemas.microsoft.com/office/word/2010/wordprocessingShape">
                    <wps:wsp>
                      <wps:cNvPr id="282" name="Graphic 282"/>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01592pt;width:144.050pt;height:.71997pt;mso-position-horizontal-relative:page;mso-position-vertical-relative:paragraph;z-index:-15598080;mso-wrap-distance-left:0;mso-wrap-distance-right:0" id="docshape237" filled="true" fillcolor="#000000" stroked="false">
                <v:fill type="solid"/>
                <w10:wrap type="topAndBottom"/>
              </v:rect>
            </w:pict>
          </mc:Fallback>
        </mc:AlternateContent>
      </w:r>
    </w:p>
    <w:p>
      <w:pPr>
        <w:spacing w:before="102"/>
        <w:ind w:left="308" w:right="231" w:firstLine="0"/>
        <w:jc w:val="both"/>
        <w:rPr>
          <w:rFonts w:ascii="Calibri"/>
          <w:sz w:val="20"/>
        </w:rPr>
      </w:pPr>
      <w:r>
        <w:rPr>
          <w:rFonts w:ascii="Calibri"/>
          <w:sz w:val="20"/>
          <w:vertAlign w:val="superscript"/>
        </w:rPr>
        <w:t>49</w:t>
      </w:r>
      <w:r>
        <w:rPr>
          <w:rFonts w:ascii="Calibri"/>
          <w:sz w:val="20"/>
          <w:vertAlign w:val="baseline"/>
        </w:rPr>
        <w:t> These powers include removal of directors and appointment of new ones and holding resolutions towards instituting an action in the name of the company.</w:t>
      </w:r>
    </w:p>
    <w:p>
      <w:pPr>
        <w:spacing w:before="2"/>
        <w:ind w:left="308" w:right="229" w:firstLine="0"/>
        <w:jc w:val="both"/>
        <w:rPr>
          <w:rFonts w:ascii="Calibri" w:hAnsi="Calibri"/>
          <w:sz w:val="20"/>
        </w:rPr>
      </w:pPr>
      <w:r>
        <w:rPr>
          <w:rFonts w:ascii="Calibri" w:hAnsi="Calibri"/>
          <w:sz w:val="20"/>
          <w:vertAlign w:val="superscript"/>
        </w:rPr>
        <w:t>50</w:t>
      </w:r>
      <w:r>
        <w:rPr>
          <w:rFonts w:ascii="Calibri" w:hAnsi="Calibri"/>
          <w:sz w:val="20"/>
          <w:vertAlign w:val="baseline"/>
        </w:rPr>
        <w:t>Per Lord Goldsmith of the Lord’s Grand Committee of Parliament. See </w:t>
      </w:r>
      <w:r>
        <w:rPr>
          <w:rFonts w:ascii="Calibri" w:hAnsi="Calibri"/>
          <w:i/>
          <w:sz w:val="20"/>
          <w:vertAlign w:val="baseline"/>
        </w:rPr>
        <w:t>Companies Act 2006: Duties of Company Directors</w:t>
      </w:r>
      <w:r>
        <w:rPr>
          <w:rFonts w:ascii="Calibri" w:hAnsi="Calibri"/>
          <w:sz w:val="20"/>
          <w:vertAlign w:val="baseline"/>
        </w:rPr>
        <w:t>, Ministerial Statements published by the Department of Trade and Industry (DTI), (June 2007) p. 9, quoting the Hansard of February 6, 2006, column 255, accessible at </w:t>
      </w:r>
      <w:hyperlink r:id="rId12">
        <w:r>
          <w:rPr>
            <w:rFonts w:ascii="Calibri" w:hAnsi="Calibri"/>
            <w:color w:val="0000FF"/>
            <w:spacing w:val="-2"/>
            <w:sz w:val="20"/>
            <w:u w:val="single" w:color="0000FF"/>
            <w:vertAlign w:val="baseline"/>
          </w:rPr>
          <w:t>http://www.berr.gov.uk/files/file40139.pdf</w:t>
        </w:r>
        <w:r>
          <w:rPr>
            <w:rFonts w:ascii="Calibri" w:hAnsi="Calibri"/>
            <w:spacing w:val="-2"/>
            <w:sz w:val="20"/>
            <w:vertAlign w:val="baseline"/>
          </w:rPr>
          <w:t>.</w:t>
        </w:r>
      </w:hyperlink>
    </w:p>
    <w:p>
      <w:pPr>
        <w:spacing w:after="0"/>
        <w:jc w:val="both"/>
        <w:rPr>
          <w:rFonts w:ascii="Calibri" w:hAnsi="Calibri"/>
          <w:sz w:val="20"/>
        </w:rPr>
        <w:sectPr>
          <w:pgSz w:w="11910" w:h="16840"/>
          <w:pgMar w:header="0" w:footer="1003" w:top="1280" w:bottom="1200" w:left="1680" w:right="1180"/>
        </w:sectPr>
      </w:pPr>
    </w:p>
    <w:p>
      <w:pPr>
        <w:pStyle w:val="BodyText"/>
        <w:spacing w:before="70"/>
        <w:jc w:val="both"/>
      </w:pPr>
      <w:r>
        <w:rPr/>
        <w:t>purposes for</w:t>
      </w:r>
      <w:r>
        <w:rPr>
          <w:spacing w:val="4"/>
        </w:rPr>
        <w:t> </w:t>
      </w:r>
      <w:r>
        <w:rPr/>
        <w:t>which</w:t>
      </w:r>
      <w:r>
        <w:rPr>
          <w:spacing w:val="2"/>
        </w:rPr>
        <w:t> </w:t>
      </w:r>
      <w:r>
        <w:rPr/>
        <w:t>it</w:t>
      </w:r>
      <w:r>
        <w:rPr>
          <w:spacing w:val="8"/>
        </w:rPr>
        <w:t> </w:t>
      </w:r>
      <w:r>
        <w:rPr/>
        <w:t>was</w:t>
      </w:r>
      <w:r>
        <w:rPr>
          <w:spacing w:val="5"/>
        </w:rPr>
        <w:t> </w:t>
      </w:r>
      <w:r>
        <w:rPr/>
        <w:t>formed,</w:t>
      </w:r>
      <w:r>
        <w:rPr>
          <w:spacing w:val="9"/>
        </w:rPr>
        <w:t> </w:t>
      </w:r>
      <w:r>
        <w:rPr/>
        <w:t>it</w:t>
      </w:r>
      <w:r>
        <w:rPr>
          <w:spacing w:val="12"/>
        </w:rPr>
        <w:t> </w:t>
      </w:r>
      <w:r>
        <w:rPr/>
        <w:t>is clear</w:t>
      </w:r>
      <w:r>
        <w:rPr>
          <w:spacing w:val="4"/>
        </w:rPr>
        <w:t> </w:t>
      </w:r>
      <w:r>
        <w:rPr/>
        <w:t>that,</w:t>
      </w:r>
      <w:r>
        <w:rPr>
          <w:spacing w:val="1"/>
        </w:rPr>
        <w:t> </w:t>
      </w:r>
      <w:r>
        <w:rPr/>
        <w:t>the</w:t>
      </w:r>
      <w:r>
        <w:rPr>
          <w:spacing w:val="6"/>
        </w:rPr>
        <w:t> </w:t>
      </w:r>
      <w:r>
        <w:rPr/>
        <w:t>law</w:t>
      </w:r>
      <w:r>
        <w:rPr>
          <w:spacing w:val="7"/>
        </w:rPr>
        <w:t> </w:t>
      </w:r>
      <w:r>
        <w:rPr/>
        <w:t>in</w:t>
      </w:r>
      <w:r>
        <w:rPr>
          <w:spacing w:val="-2"/>
        </w:rPr>
        <w:t> </w:t>
      </w:r>
      <w:r>
        <w:rPr/>
        <w:t>attempting</w:t>
      </w:r>
      <w:r>
        <w:rPr>
          <w:spacing w:val="2"/>
        </w:rPr>
        <w:t> </w:t>
      </w:r>
      <w:r>
        <w:rPr/>
        <w:t>at</w:t>
      </w:r>
      <w:r>
        <w:rPr>
          <w:spacing w:val="4"/>
        </w:rPr>
        <w:t> </w:t>
      </w:r>
      <w:r>
        <w:rPr/>
        <w:t>the</w:t>
      </w:r>
      <w:r>
        <w:rPr>
          <w:spacing w:val="6"/>
        </w:rPr>
        <w:t> </w:t>
      </w:r>
      <w:r>
        <w:rPr/>
        <w:t>idea</w:t>
      </w:r>
      <w:r>
        <w:rPr>
          <w:spacing w:val="2"/>
        </w:rPr>
        <w:t> </w:t>
      </w:r>
      <w:r>
        <w:rPr/>
        <w:t>of</w:t>
      </w:r>
      <w:r>
        <w:rPr>
          <w:spacing w:val="-4"/>
        </w:rPr>
        <w:t> </w:t>
      </w:r>
      <w:r>
        <w:rPr>
          <w:spacing w:val="-5"/>
        </w:rPr>
        <w:t>the</w:t>
      </w:r>
    </w:p>
    <w:p>
      <w:pPr>
        <w:pStyle w:val="BodyText"/>
        <w:spacing w:line="480" w:lineRule="auto" w:before="276"/>
        <w:ind w:right="181"/>
        <w:jc w:val="both"/>
      </w:pPr>
      <w:r>
        <w:rPr/>
        <w:t>―best interests of the company‖ has clearly presented a restricted objective for the establishment of companies. A company may not want to hold on to its assets and may</w:t>
      </w:r>
      <w:r>
        <w:rPr>
          <w:spacing w:val="40"/>
        </w:rPr>
        <w:t> </w:t>
      </w:r>
      <w:r>
        <w:rPr/>
        <w:t>in fact desire to liquidate them all, at a particular point in time. A company may also be set</w:t>
      </w:r>
      <w:r>
        <w:rPr>
          <w:spacing w:val="60"/>
        </w:rPr>
        <w:t> </w:t>
      </w:r>
      <w:r>
        <w:rPr/>
        <w:t>up</w:t>
      </w:r>
      <w:r>
        <w:rPr>
          <w:spacing w:val="55"/>
        </w:rPr>
        <w:t> </w:t>
      </w:r>
      <w:r>
        <w:rPr/>
        <w:t>simply</w:t>
      </w:r>
      <w:r>
        <w:rPr>
          <w:spacing w:val="52"/>
        </w:rPr>
        <w:t> </w:t>
      </w:r>
      <w:r>
        <w:rPr/>
        <w:t>for</w:t>
      </w:r>
      <w:r>
        <w:rPr>
          <w:spacing w:val="58"/>
        </w:rPr>
        <w:t> </w:t>
      </w:r>
      <w:r>
        <w:rPr/>
        <w:t>a</w:t>
      </w:r>
      <w:r>
        <w:rPr>
          <w:spacing w:val="54"/>
        </w:rPr>
        <w:t> </w:t>
      </w:r>
      <w:r>
        <w:rPr/>
        <w:t>specific</w:t>
      </w:r>
      <w:r>
        <w:rPr>
          <w:spacing w:val="55"/>
        </w:rPr>
        <w:t> </w:t>
      </w:r>
      <w:r>
        <w:rPr/>
        <w:t>purpose</w:t>
      </w:r>
      <w:r>
        <w:rPr>
          <w:spacing w:val="54"/>
        </w:rPr>
        <w:t> </w:t>
      </w:r>
      <w:r>
        <w:rPr/>
        <w:t>to</w:t>
      </w:r>
      <w:r>
        <w:rPr>
          <w:spacing w:val="57"/>
        </w:rPr>
        <w:t> </w:t>
      </w:r>
      <w:r>
        <w:rPr/>
        <w:t>be</w:t>
      </w:r>
      <w:r>
        <w:rPr>
          <w:spacing w:val="55"/>
        </w:rPr>
        <w:t> </w:t>
      </w:r>
      <w:r>
        <w:rPr/>
        <w:t>achieved</w:t>
      </w:r>
      <w:r>
        <w:rPr>
          <w:spacing w:val="55"/>
        </w:rPr>
        <w:t> </w:t>
      </w:r>
      <w:r>
        <w:rPr/>
        <w:t>within</w:t>
      </w:r>
      <w:r>
        <w:rPr>
          <w:spacing w:val="51"/>
        </w:rPr>
        <w:t> </w:t>
      </w:r>
      <w:r>
        <w:rPr/>
        <w:t>a</w:t>
      </w:r>
      <w:r>
        <w:rPr>
          <w:spacing w:val="59"/>
        </w:rPr>
        <w:t> </w:t>
      </w:r>
      <w:r>
        <w:rPr/>
        <w:t>limited</w:t>
      </w:r>
      <w:r>
        <w:rPr>
          <w:spacing w:val="56"/>
        </w:rPr>
        <w:t> </w:t>
      </w:r>
      <w:r>
        <w:rPr/>
        <w:t>time,</w:t>
      </w:r>
      <w:r>
        <w:rPr>
          <w:spacing w:val="57"/>
        </w:rPr>
        <w:t> </w:t>
      </w:r>
      <w:r>
        <w:rPr/>
        <w:t>so</w:t>
      </w:r>
      <w:r>
        <w:rPr>
          <w:spacing w:val="68"/>
        </w:rPr>
        <w:t> </w:t>
      </w:r>
      <w:r>
        <w:rPr>
          <w:spacing w:val="-4"/>
        </w:rPr>
        <w:t>that</w:t>
      </w:r>
    </w:p>
    <w:p>
      <w:pPr>
        <w:pStyle w:val="BodyText"/>
        <w:spacing w:line="480" w:lineRule="auto" w:before="1"/>
        <w:ind w:right="184"/>
        <w:jc w:val="both"/>
      </w:pPr>
      <w:r>
        <w:rPr/>
        <w:t>―furthering its business‖ may not really be in its best interests. It may even want to sell off or merge with another. The purposes for which a company is formed may change over time, as it is clearly lawful for it to go into any kind of lawful business. Conclusively, therefore,</w:t>
      </w:r>
      <w:r>
        <w:rPr>
          <w:spacing w:val="-1"/>
        </w:rPr>
        <w:t> </w:t>
      </w:r>
      <w:r>
        <w:rPr/>
        <w:t>the idea of</w:t>
      </w:r>
      <w:r>
        <w:rPr>
          <w:spacing w:val="-5"/>
        </w:rPr>
        <w:t> </w:t>
      </w:r>
      <w:r>
        <w:rPr/>
        <w:t>the company‘s objective or success is better</w:t>
      </w:r>
      <w:r>
        <w:rPr>
          <w:spacing w:val="-2"/>
        </w:rPr>
        <w:t> </w:t>
      </w:r>
      <w:r>
        <w:rPr/>
        <w:t>left to it to</w:t>
      </w:r>
      <w:r>
        <w:rPr>
          <w:spacing w:val="33"/>
        </w:rPr>
        <w:t> </w:t>
      </w:r>
      <w:r>
        <w:rPr/>
        <w:t>decide,</w:t>
      </w:r>
      <w:r>
        <w:rPr>
          <w:spacing w:val="34"/>
        </w:rPr>
        <w:t> </w:t>
      </w:r>
      <w:r>
        <w:rPr/>
        <w:t>for</w:t>
      </w:r>
      <w:r>
        <w:rPr>
          <w:spacing w:val="29"/>
        </w:rPr>
        <w:t> </w:t>
      </w:r>
      <w:r>
        <w:rPr/>
        <w:t>this</w:t>
      </w:r>
      <w:r>
        <w:rPr>
          <w:spacing w:val="30"/>
        </w:rPr>
        <w:t> </w:t>
      </w:r>
      <w:r>
        <w:rPr/>
        <w:t>is</w:t>
      </w:r>
      <w:r>
        <w:rPr>
          <w:spacing w:val="25"/>
        </w:rPr>
        <w:t> </w:t>
      </w:r>
      <w:r>
        <w:rPr/>
        <w:t>obviously</w:t>
      </w:r>
      <w:r>
        <w:rPr>
          <w:spacing w:val="28"/>
        </w:rPr>
        <w:t> </w:t>
      </w:r>
      <w:r>
        <w:rPr/>
        <w:t>not</w:t>
      </w:r>
      <w:r>
        <w:rPr>
          <w:spacing w:val="28"/>
        </w:rPr>
        <w:t> </w:t>
      </w:r>
      <w:r>
        <w:rPr/>
        <w:t>the</w:t>
      </w:r>
      <w:r>
        <w:rPr>
          <w:spacing w:val="27"/>
        </w:rPr>
        <w:t> </w:t>
      </w:r>
      <w:r>
        <w:rPr/>
        <w:t>province</w:t>
      </w:r>
      <w:r>
        <w:rPr>
          <w:spacing w:val="31"/>
        </w:rPr>
        <w:t> </w:t>
      </w:r>
      <w:r>
        <w:rPr/>
        <w:t>of</w:t>
      </w:r>
      <w:r>
        <w:rPr>
          <w:spacing w:val="20"/>
        </w:rPr>
        <w:t> </w:t>
      </w:r>
      <w:r>
        <w:rPr/>
        <w:t>corporate</w:t>
      </w:r>
      <w:r>
        <w:rPr>
          <w:spacing w:val="31"/>
        </w:rPr>
        <w:t> </w:t>
      </w:r>
      <w:r>
        <w:rPr/>
        <w:t>law.</w:t>
      </w:r>
      <w:r>
        <w:rPr>
          <w:spacing w:val="29"/>
        </w:rPr>
        <w:t> </w:t>
      </w:r>
      <w:r>
        <w:rPr/>
        <w:t>It</w:t>
      </w:r>
      <w:r>
        <w:rPr>
          <w:spacing w:val="33"/>
        </w:rPr>
        <w:t> </w:t>
      </w:r>
      <w:r>
        <w:rPr/>
        <w:t>is</w:t>
      </w:r>
      <w:r>
        <w:rPr>
          <w:spacing w:val="30"/>
        </w:rPr>
        <w:t> </w:t>
      </w:r>
      <w:r>
        <w:rPr/>
        <w:t>submitted</w:t>
      </w:r>
      <w:r>
        <w:rPr>
          <w:spacing w:val="27"/>
        </w:rPr>
        <w:t> </w:t>
      </w:r>
      <w:r>
        <w:rPr/>
        <w:t>that</w:t>
      </w:r>
    </w:p>
    <w:p>
      <w:pPr>
        <w:pStyle w:val="BodyText"/>
        <w:spacing w:line="480" w:lineRule="auto" w:before="1"/>
        <w:ind w:right="186"/>
        <w:jc w:val="both"/>
      </w:pPr>
      <w:r>
        <w:rPr/>
        <w:t>s.172 CA is more realistic than s.279(3) CAMA for recognizing that the company‘s success is for the benefit of its members and is ultimately for it to decide. This duty</w:t>
      </w:r>
      <w:r>
        <w:rPr>
          <w:spacing w:val="-5"/>
        </w:rPr>
        <w:t> </w:t>
      </w:r>
      <w:r>
        <w:rPr/>
        <w:t>can always be modified by a proviso, in the case of charitable companies or companies limited by guarantee, to be towards achieving whatever purposes for which they were </w:t>
      </w:r>
      <w:r>
        <w:rPr>
          <w:spacing w:val="-2"/>
        </w:rPr>
        <w:t>set.</w:t>
      </w:r>
      <w:r>
        <w:rPr>
          <w:spacing w:val="-2"/>
          <w:vertAlign w:val="superscript"/>
        </w:rPr>
        <w:t>51</w:t>
      </w:r>
    </w:p>
    <w:p>
      <w:pPr>
        <w:pStyle w:val="BodyText"/>
        <w:spacing w:line="480" w:lineRule="auto" w:before="1"/>
        <w:ind w:right="187" w:firstLine="720"/>
        <w:jc w:val="both"/>
      </w:pPr>
      <w:r>
        <w:rPr/>
        <w:t>As for matters</w:t>
      </w:r>
      <w:r>
        <w:rPr>
          <w:spacing w:val="-3"/>
        </w:rPr>
        <w:t> </w:t>
      </w:r>
      <w:r>
        <w:rPr/>
        <w:t>to which</w:t>
      </w:r>
      <w:r>
        <w:rPr>
          <w:spacing w:val="-1"/>
        </w:rPr>
        <w:t> </w:t>
      </w:r>
      <w:r>
        <w:rPr/>
        <w:t>directors are</w:t>
      </w:r>
      <w:r>
        <w:rPr>
          <w:spacing w:val="-2"/>
        </w:rPr>
        <w:t> </w:t>
      </w:r>
      <w:r>
        <w:rPr/>
        <w:t>required to have regard under the</w:t>
      </w:r>
      <w:r>
        <w:rPr>
          <w:spacing w:val="-2"/>
        </w:rPr>
        <w:t> </w:t>
      </w:r>
      <w:r>
        <w:rPr/>
        <w:t>two laws, stakeholder theorists have for some time advocated the idea that the corporation as an entity, acting through its directors, owes a duty to consider the interests of all its stakeholders equally, without giving one constituency primacy over the other. Thus, interests of other groups affecting or being affected by the company should be considered in</w:t>
      </w:r>
      <w:r>
        <w:rPr>
          <w:spacing w:val="-5"/>
        </w:rPr>
        <w:t> </w:t>
      </w:r>
      <w:r>
        <w:rPr/>
        <w:t>the same manner as</w:t>
      </w:r>
      <w:r>
        <w:rPr>
          <w:spacing w:val="-2"/>
        </w:rPr>
        <w:t> </w:t>
      </w:r>
      <w:r>
        <w:rPr/>
        <w:t>the interests</w:t>
      </w:r>
      <w:r>
        <w:rPr>
          <w:spacing w:val="-2"/>
        </w:rPr>
        <w:t> </w:t>
      </w:r>
      <w:r>
        <w:rPr/>
        <w:t>of</w:t>
      </w:r>
      <w:r>
        <w:rPr>
          <w:spacing w:val="-8"/>
        </w:rPr>
        <w:t> </w:t>
      </w:r>
      <w:r>
        <w:rPr/>
        <w:t>shareholders. But the</w:t>
      </w:r>
      <w:r>
        <w:rPr>
          <w:spacing w:val="-1"/>
        </w:rPr>
        <w:t> </w:t>
      </w:r>
      <w:r>
        <w:rPr/>
        <w:t>tone</w:t>
      </w:r>
      <w:r>
        <w:rPr>
          <w:spacing w:val="-1"/>
        </w:rPr>
        <w:t> </w:t>
      </w:r>
      <w:r>
        <w:rPr/>
        <w:t>of</w:t>
      </w:r>
      <w:r>
        <w:rPr>
          <w:spacing w:val="-8"/>
        </w:rPr>
        <w:t> </w:t>
      </w:r>
      <w:r>
        <w:rPr/>
        <w:t>both laws under review negates this philosophy in favour of shareholder primacy.</w:t>
      </w:r>
    </w:p>
    <w:p>
      <w:pPr>
        <w:pStyle w:val="BodyText"/>
        <w:spacing w:before="1"/>
        <w:ind w:left="1028"/>
        <w:jc w:val="both"/>
      </w:pPr>
      <w:r>
        <w:rPr/>
        <w:t>In</w:t>
      </w:r>
      <w:r>
        <w:rPr>
          <w:spacing w:val="21"/>
        </w:rPr>
        <w:t> </w:t>
      </w:r>
      <w:r>
        <w:rPr/>
        <w:t>the</w:t>
      </w:r>
      <w:r>
        <w:rPr>
          <w:spacing w:val="25"/>
        </w:rPr>
        <w:t> </w:t>
      </w:r>
      <w:r>
        <w:rPr/>
        <w:t>case</w:t>
      </w:r>
      <w:r>
        <w:rPr>
          <w:spacing w:val="25"/>
        </w:rPr>
        <w:t> </w:t>
      </w:r>
      <w:r>
        <w:rPr/>
        <w:t>of</w:t>
      </w:r>
      <w:r>
        <w:rPr>
          <w:spacing w:val="24"/>
        </w:rPr>
        <w:t> </w:t>
      </w:r>
      <w:r>
        <w:rPr/>
        <w:t>s.172</w:t>
      </w:r>
      <w:r>
        <w:rPr>
          <w:spacing w:val="26"/>
        </w:rPr>
        <w:t> </w:t>
      </w:r>
      <w:r>
        <w:rPr/>
        <w:t>CA,</w:t>
      </w:r>
      <w:r>
        <w:rPr>
          <w:spacing w:val="27"/>
        </w:rPr>
        <w:t> </w:t>
      </w:r>
      <w:r>
        <w:rPr/>
        <w:t>clearly,</w:t>
      </w:r>
      <w:r>
        <w:rPr>
          <w:spacing w:val="33"/>
        </w:rPr>
        <w:t> </w:t>
      </w:r>
      <w:r>
        <w:rPr/>
        <w:t>―the</w:t>
      </w:r>
      <w:r>
        <w:rPr>
          <w:spacing w:val="30"/>
        </w:rPr>
        <w:t> </w:t>
      </w:r>
      <w:r>
        <w:rPr/>
        <w:t>benefit</w:t>
      </w:r>
      <w:r>
        <w:rPr>
          <w:spacing w:val="30"/>
        </w:rPr>
        <w:t> </w:t>
      </w:r>
      <w:r>
        <w:rPr/>
        <w:t>of</w:t>
      </w:r>
      <w:r>
        <w:rPr>
          <w:spacing w:val="28"/>
        </w:rPr>
        <w:t> </w:t>
      </w:r>
      <w:r>
        <w:rPr/>
        <w:t>members</w:t>
      </w:r>
      <w:r>
        <w:rPr>
          <w:spacing w:val="24"/>
        </w:rPr>
        <w:t> </w:t>
      </w:r>
      <w:r>
        <w:rPr/>
        <w:t>as</w:t>
      </w:r>
      <w:r>
        <w:rPr>
          <w:spacing w:val="24"/>
        </w:rPr>
        <w:t> </w:t>
      </w:r>
      <w:r>
        <w:rPr/>
        <w:t>a</w:t>
      </w:r>
      <w:r>
        <w:rPr>
          <w:spacing w:val="26"/>
        </w:rPr>
        <w:t> </w:t>
      </w:r>
      <w:r>
        <w:rPr/>
        <w:t>whole‖</w:t>
      </w:r>
      <w:r>
        <w:rPr>
          <w:spacing w:val="29"/>
        </w:rPr>
        <w:t> </w:t>
      </w:r>
      <w:r>
        <w:rPr>
          <w:spacing w:val="-2"/>
        </w:rPr>
        <w:t>comes</w:t>
      </w:r>
    </w:p>
    <w:p>
      <w:pPr>
        <w:pStyle w:val="BodyText"/>
        <w:spacing w:before="1"/>
        <w:ind w:left="0"/>
      </w:pPr>
    </w:p>
    <w:p>
      <w:pPr>
        <w:pStyle w:val="BodyText"/>
        <w:jc w:val="both"/>
      </w:pPr>
      <w:r>
        <w:rPr/>
        <w:t>before</w:t>
      </w:r>
      <w:r>
        <w:rPr>
          <w:spacing w:val="-2"/>
        </w:rPr>
        <w:t> </w:t>
      </w:r>
      <w:r>
        <w:rPr/>
        <w:t>the</w:t>
      </w:r>
      <w:r>
        <w:rPr>
          <w:spacing w:val="4"/>
        </w:rPr>
        <w:t> </w:t>
      </w:r>
      <w:r>
        <w:rPr/>
        <w:t>interests</w:t>
      </w:r>
      <w:r>
        <w:rPr>
          <w:spacing w:val="-7"/>
        </w:rPr>
        <w:t> </w:t>
      </w:r>
      <w:r>
        <w:rPr/>
        <w:t>of</w:t>
      </w:r>
      <w:r>
        <w:rPr>
          <w:spacing w:val="-8"/>
        </w:rPr>
        <w:t> </w:t>
      </w:r>
      <w:r>
        <w:rPr/>
        <w:t>all</w:t>
      </w:r>
      <w:r>
        <w:rPr>
          <w:spacing w:val="-9"/>
        </w:rPr>
        <w:t> </w:t>
      </w:r>
      <w:r>
        <w:rPr/>
        <w:t>the</w:t>
      </w:r>
      <w:r>
        <w:rPr>
          <w:spacing w:val="4"/>
        </w:rPr>
        <w:t> </w:t>
      </w:r>
      <w:r>
        <w:rPr/>
        <w:t>factors</w:t>
      </w:r>
      <w:r>
        <w:rPr>
          <w:spacing w:val="-2"/>
        </w:rPr>
        <w:t> </w:t>
      </w:r>
      <w:r>
        <w:rPr/>
        <w:t>in</w:t>
      </w:r>
      <w:r>
        <w:rPr>
          <w:spacing w:val="-6"/>
        </w:rPr>
        <w:t> </w:t>
      </w:r>
      <w:r>
        <w:rPr/>
        <w:t>the</w:t>
      </w:r>
      <w:r>
        <w:rPr>
          <w:spacing w:val="4"/>
        </w:rPr>
        <w:t> </w:t>
      </w:r>
      <w:r>
        <w:rPr/>
        <w:t>list</w:t>
      </w:r>
      <w:r>
        <w:rPr>
          <w:spacing w:val="5"/>
        </w:rPr>
        <w:t> </w:t>
      </w:r>
      <w:r>
        <w:rPr/>
        <w:t>thereunder.</w:t>
      </w:r>
      <w:r>
        <w:rPr>
          <w:spacing w:val="1"/>
        </w:rPr>
        <w:t> </w:t>
      </w:r>
      <w:r>
        <w:rPr/>
        <w:t>In fact,</w:t>
      </w:r>
      <w:r>
        <w:rPr>
          <w:spacing w:val="-3"/>
        </w:rPr>
        <w:t> </w:t>
      </w:r>
      <w:r>
        <w:rPr/>
        <w:t>the</w:t>
      </w:r>
      <w:r>
        <w:rPr>
          <w:spacing w:val="4"/>
        </w:rPr>
        <w:t> </w:t>
      </w:r>
      <w:r>
        <w:rPr/>
        <w:t>listed</w:t>
      </w:r>
      <w:r>
        <w:rPr>
          <w:spacing w:val="3"/>
        </w:rPr>
        <w:t> </w:t>
      </w:r>
      <w:r>
        <w:rPr/>
        <w:t>factors</w:t>
      </w:r>
      <w:r>
        <w:rPr>
          <w:spacing w:val="11"/>
        </w:rPr>
        <w:t> </w:t>
      </w:r>
      <w:r>
        <w:rPr/>
        <w:t>are</w:t>
      </w:r>
      <w:r>
        <w:rPr>
          <w:spacing w:val="-6"/>
        </w:rPr>
        <w:t> </w:t>
      </w:r>
      <w:r>
        <w:rPr>
          <w:spacing w:val="-5"/>
        </w:rPr>
        <w:t>to</w:t>
      </w:r>
    </w:p>
    <w:p>
      <w:pPr>
        <w:pStyle w:val="BodyText"/>
        <w:spacing w:before="3"/>
        <w:ind w:left="0"/>
        <w:rPr>
          <w:sz w:val="14"/>
        </w:rPr>
      </w:pPr>
      <w:r>
        <w:rPr/>
        <mc:AlternateContent>
          <mc:Choice Requires="wps">
            <w:drawing>
              <wp:anchor distT="0" distB="0" distL="0" distR="0" allowOverlap="1" layoutInCell="1" locked="0" behindDoc="1" simplePos="0" relativeHeight="487718912">
                <wp:simplePos x="0" y="0"/>
                <wp:positionH relativeFrom="page">
                  <wp:posOffset>1262481</wp:posOffset>
                </wp:positionH>
                <wp:positionV relativeFrom="paragraph">
                  <wp:posOffset>119429</wp:posOffset>
                </wp:positionV>
                <wp:extent cx="1829435" cy="9525"/>
                <wp:effectExtent l="0" t="0" r="0" b="0"/>
                <wp:wrapTopAndBottom/>
                <wp:docPr id="283" name="Graphic 283"/>
                <wp:cNvGraphicFramePr>
                  <a:graphicFrameLocks/>
                </wp:cNvGraphicFramePr>
                <a:graphic>
                  <a:graphicData uri="http://schemas.microsoft.com/office/word/2010/wordprocessingShape">
                    <wps:wsp>
                      <wps:cNvPr id="283" name="Graphic 28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9.403936pt;width:144.050pt;height:.71997pt;mso-position-horizontal-relative:page;mso-position-vertical-relative:paragraph;z-index:-15597568;mso-wrap-distance-left:0;mso-wrap-distance-right:0" id="docshape238" filled="true" fillcolor="#000000" stroked="false">
                <v:fill type="solid"/>
                <w10:wrap type="topAndBottom"/>
              </v:rect>
            </w:pict>
          </mc:Fallback>
        </mc:AlternateContent>
      </w:r>
    </w:p>
    <w:p>
      <w:pPr>
        <w:spacing w:before="102"/>
        <w:ind w:left="308" w:right="230" w:firstLine="0"/>
        <w:jc w:val="both"/>
        <w:rPr>
          <w:rFonts w:ascii="Calibri"/>
          <w:sz w:val="20"/>
        </w:rPr>
      </w:pPr>
      <w:r>
        <w:rPr>
          <w:rFonts w:ascii="Calibri"/>
          <w:sz w:val="20"/>
          <w:vertAlign w:val="superscript"/>
        </w:rPr>
        <w:t>51</w:t>
      </w:r>
      <w:r>
        <w:rPr>
          <w:rFonts w:ascii="Calibri"/>
          <w:sz w:val="20"/>
          <w:vertAlign w:val="baseline"/>
        </w:rPr>
        <w:t>Interestingly, though, the idea of the objectives of the company under s.279(3) CAMA can accommodate all kinds of companies, whereas that under s.172(1) had to be modified by subsection (2) for charitable companies. But these companies are far less prevalent.</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8"/>
        <w:jc w:val="both"/>
      </w:pPr>
      <w:r>
        <w:rPr/>
        <w:t>be considered only to the extent that their interests promote the success of the company f</w:t>
      </w:r>
      <w:r>
        <w:rPr>
          <w:i/>
        </w:rPr>
        <w:t>or the benefit of its members</w:t>
      </w:r>
      <w:r>
        <w:rPr/>
        <w:t>, so that, where the interests of the factors would be to the detriment of that objective, they would be jettisoned. The CLRSG, by introducing the concept of ESV, intend for the rules to be different, because of the list of factors to</w:t>
      </w:r>
      <w:r>
        <w:rPr>
          <w:spacing w:val="40"/>
        </w:rPr>
        <w:t> </w:t>
      </w:r>
      <w:r>
        <w:rPr/>
        <w:t>which</w:t>
      </w:r>
      <w:r>
        <w:rPr>
          <w:spacing w:val="-2"/>
        </w:rPr>
        <w:t> </w:t>
      </w:r>
      <w:r>
        <w:rPr/>
        <w:t>it is mandatory</w:t>
      </w:r>
      <w:r>
        <w:rPr>
          <w:spacing w:val="-7"/>
        </w:rPr>
        <w:t> </w:t>
      </w:r>
      <w:r>
        <w:rPr/>
        <w:t>to have</w:t>
      </w:r>
      <w:r>
        <w:rPr>
          <w:spacing w:val="-3"/>
        </w:rPr>
        <w:t> </w:t>
      </w:r>
      <w:r>
        <w:rPr/>
        <w:t>regard. But in</w:t>
      </w:r>
      <w:r>
        <w:rPr>
          <w:spacing w:val="-2"/>
        </w:rPr>
        <w:t> </w:t>
      </w:r>
      <w:r>
        <w:rPr/>
        <w:t>fact,</w:t>
      </w:r>
      <w:r>
        <w:rPr>
          <w:spacing w:val="-5"/>
        </w:rPr>
        <w:t> </w:t>
      </w:r>
      <w:r>
        <w:rPr/>
        <w:t>the introductory</w:t>
      </w:r>
      <w:r>
        <w:rPr>
          <w:spacing w:val="-7"/>
        </w:rPr>
        <w:t> </w:t>
      </w:r>
      <w:r>
        <w:rPr/>
        <w:t>statement in</w:t>
      </w:r>
      <w:r>
        <w:rPr>
          <w:spacing w:val="-2"/>
        </w:rPr>
        <w:t> </w:t>
      </w:r>
      <w:r>
        <w:rPr/>
        <w:t>s.172</w:t>
      </w:r>
      <w:r>
        <w:rPr>
          <w:spacing w:val="-2"/>
        </w:rPr>
        <w:t> </w:t>
      </w:r>
      <w:r>
        <w:rPr/>
        <w:t>CA clearly reaffirms the shareholder primacy norm long established within the jurisdiction. In the absence of voting power/ownership rights co-equal with those of members, the interests of the other factors under the section will not improve much.</w:t>
      </w:r>
    </w:p>
    <w:p>
      <w:pPr>
        <w:pStyle w:val="BodyText"/>
        <w:spacing w:line="480" w:lineRule="auto" w:before="2"/>
        <w:ind w:right="178" w:firstLine="777"/>
        <w:jc w:val="both"/>
      </w:pPr>
      <w:r>
        <w:rPr/>
        <w:t>It is important to understand that s.309 of the Companies Act 1985 was exactly like s.279(4) CAMA. The provision has previously been dubbed some disturbingly </w:t>
      </w:r>
      <w:r>
        <w:rPr>
          <w:spacing w:val="-2"/>
        </w:rPr>
        <w:t>unpleasant</w:t>
      </w:r>
      <w:r>
        <w:rPr>
          <w:spacing w:val="-3"/>
        </w:rPr>
        <w:t> </w:t>
      </w:r>
      <w:r>
        <w:rPr>
          <w:spacing w:val="-2"/>
        </w:rPr>
        <w:t>names, including</w:t>
      </w:r>
      <w:r>
        <w:rPr>
          <w:spacing w:val="-4"/>
        </w:rPr>
        <w:t> </w:t>
      </w:r>
      <w:r>
        <w:rPr>
          <w:spacing w:val="-2"/>
        </w:rPr>
        <w:t>―a</w:t>
      </w:r>
      <w:r>
        <w:rPr>
          <w:spacing w:val="-4"/>
        </w:rPr>
        <w:t> </w:t>
      </w:r>
      <w:r>
        <w:rPr>
          <w:spacing w:val="-2"/>
        </w:rPr>
        <w:t>mere</w:t>
      </w:r>
      <w:r>
        <w:rPr>
          <w:spacing w:val="-8"/>
        </w:rPr>
        <w:t> </w:t>
      </w:r>
      <w:r>
        <w:rPr>
          <w:spacing w:val="-2"/>
        </w:rPr>
        <w:t>pious</w:t>
      </w:r>
      <w:r>
        <w:rPr>
          <w:spacing w:val="-10"/>
        </w:rPr>
        <w:t> </w:t>
      </w:r>
      <w:r>
        <w:rPr>
          <w:spacing w:val="-2"/>
        </w:rPr>
        <w:t>declaration‖</w:t>
      </w:r>
      <w:r>
        <w:rPr>
          <w:spacing w:val="-2"/>
          <w:vertAlign w:val="superscript"/>
        </w:rPr>
        <w:t>52</w:t>
      </w:r>
      <w:r>
        <w:rPr>
          <w:spacing w:val="-5"/>
          <w:vertAlign w:val="baseline"/>
        </w:rPr>
        <w:t> </w:t>
      </w:r>
      <w:r>
        <w:rPr>
          <w:spacing w:val="-2"/>
          <w:vertAlign w:val="baseline"/>
        </w:rPr>
        <w:t>and</w:t>
      </w:r>
      <w:r>
        <w:rPr>
          <w:spacing w:val="-4"/>
          <w:vertAlign w:val="baseline"/>
        </w:rPr>
        <w:t> </w:t>
      </w:r>
      <w:r>
        <w:rPr>
          <w:spacing w:val="-2"/>
          <w:vertAlign w:val="baseline"/>
        </w:rPr>
        <w:t>―a</w:t>
      </w:r>
      <w:r>
        <w:rPr>
          <w:spacing w:val="-4"/>
          <w:vertAlign w:val="baseline"/>
        </w:rPr>
        <w:t> </w:t>
      </w:r>
      <w:r>
        <w:rPr>
          <w:spacing w:val="-2"/>
          <w:vertAlign w:val="baseline"/>
        </w:rPr>
        <w:t>lame</w:t>
      </w:r>
      <w:r>
        <w:rPr>
          <w:spacing w:val="-8"/>
          <w:vertAlign w:val="baseline"/>
        </w:rPr>
        <w:t> </w:t>
      </w:r>
      <w:r>
        <w:rPr>
          <w:spacing w:val="-2"/>
          <w:vertAlign w:val="baseline"/>
        </w:rPr>
        <w:t>duck</w:t>
      </w:r>
      <w:r>
        <w:rPr>
          <w:spacing w:val="-7"/>
          <w:vertAlign w:val="baseline"/>
        </w:rPr>
        <w:t> </w:t>
      </w:r>
      <w:r>
        <w:rPr>
          <w:spacing w:val="-2"/>
          <w:vertAlign w:val="baseline"/>
        </w:rPr>
        <w:t>provision,‖</w:t>
      </w:r>
      <w:r>
        <w:rPr>
          <w:spacing w:val="-2"/>
          <w:vertAlign w:val="superscript"/>
        </w:rPr>
        <w:t>53</w:t>
      </w:r>
      <w:r>
        <w:rPr>
          <w:spacing w:val="-2"/>
          <w:vertAlign w:val="baseline"/>
        </w:rPr>
        <w:t> </w:t>
      </w:r>
      <w:r>
        <w:rPr>
          <w:vertAlign w:val="baseline"/>
        </w:rPr>
        <w:t>particularly owing to the fact that hardly any cases have been reported regarding its breach because of the obvious difficulty employees would have encountered regarding proof.</w:t>
      </w:r>
      <w:r>
        <w:rPr>
          <w:vertAlign w:val="superscript"/>
        </w:rPr>
        <w:t>54</w:t>
      </w:r>
      <w:r>
        <w:rPr>
          <w:vertAlign w:val="baseline"/>
        </w:rPr>
        <w:t> Thus, s.172(1)(a)-(f) CA is intended to improve on it. S.279(4) CAMA can admit all the factors listed under s.172 and more, although the director is required to actually consider the members and employees. Recall that some of the criticisms regarding s.172 CA</w:t>
      </w:r>
      <w:r>
        <w:rPr>
          <w:spacing w:val="-1"/>
          <w:vertAlign w:val="baseline"/>
        </w:rPr>
        <w:t> </w:t>
      </w:r>
      <w:r>
        <w:rPr>
          <w:vertAlign w:val="baseline"/>
        </w:rPr>
        <w:t>essentially</w:t>
      </w:r>
      <w:r>
        <w:rPr>
          <w:spacing w:val="-5"/>
          <w:vertAlign w:val="baseline"/>
        </w:rPr>
        <w:t> </w:t>
      </w:r>
      <w:r>
        <w:rPr>
          <w:vertAlign w:val="baseline"/>
        </w:rPr>
        <w:t>point out that it is not for the law to tell</w:t>
      </w:r>
      <w:r>
        <w:rPr>
          <w:spacing w:val="-5"/>
          <w:vertAlign w:val="baseline"/>
        </w:rPr>
        <w:t> </w:t>
      </w:r>
      <w:r>
        <w:rPr>
          <w:vertAlign w:val="baseline"/>
        </w:rPr>
        <w:t>the</w:t>
      </w:r>
      <w:r>
        <w:rPr>
          <w:spacing w:val="-1"/>
          <w:vertAlign w:val="baseline"/>
        </w:rPr>
        <w:t> </w:t>
      </w:r>
      <w:r>
        <w:rPr>
          <w:vertAlign w:val="baseline"/>
        </w:rPr>
        <w:t>director, who has</w:t>
      </w:r>
      <w:r>
        <w:rPr>
          <w:spacing w:val="-3"/>
          <w:vertAlign w:val="baseline"/>
        </w:rPr>
        <w:t> </w:t>
      </w:r>
      <w:r>
        <w:rPr>
          <w:vertAlign w:val="baseline"/>
        </w:rPr>
        <w:t>the job</w:t>
      </w:r>
      <w:r>
        <w:rPr>
          <w:spacing w:val="-6"/>
          <w:vertAlign w:val="baseline"/>
        </w:rPr>
        <w:t> </w:t>
      </w:r>
      <w:r>
        <w:rPr>
          <w:vertAlign w:val="baseline"/>
        </w:rPr>
        <w:t>description</w:t>
      </w:r>
      <w:r>
        <w:rPr>
          <w:spacing w:val="-6"/>
          <w:vertAlign w:val="baseline"/>
        </w:rPr>
        <w:t> </w:t>
      </w:r>
      <w:r>
        <w:rPr>
          <w:vertAlign w:val="baseline"/>
        </w:rPr>
        <w:t>of</w:t>
      </w:r>
      <w:r>
        <w:rPr>
          <w:spacing w:val="-8"/>
          <w:vertAlign w:val="baseline"/>
        </w:rPr>
        <w:t> </w:t>
      </w:r>
      <w:r>
        <w:rPr>
          <w:vertAlign w:val="baseline"/>
        </w:rPr>
        <w:t>a</w:t>
      </w:r>
      <w:r>
        <w:rPr>
          <w:spacing w:val="-2"/>
          <w:vertAlign w:val="baseline"/>
        </w:rPr>
        <w:t> </w:t>
      </w:r>
      <w:r>
        <w:rPr>
          <w:vertAlign w:val="baseline"/>
        </w:rPr>
        <w:t>business man, how</w:t>
      </w:r>
      <w:r>
        <w:rPr>
          <w:spacing w:val="-2"/>
          <w:vertAlign w:val="baseline"/>
        </w:rPr>
        <w:t> </w:t>
      </w:r>
      <w:r>
        <w:rPr>
          <w:vertAlign w:val="baseline"/>
        </w:rPr>
        <w:t>he</w:t>
      </w:r>
      <w:r>
        <w:rPr>
          <w:spacing w:val="-2"/>
          <w:vertAlign w:val="baseline"/>
        </w:rPr>
        <w:t> </w:t>
      </w:r>
      <w:r>
        <w:rPr>
          <w:vertAlign w:val="baseline"/>
        </w:rPr>
        <w:t>should</w:t>
      </w:r>
      <w:r>
        <w:rPr>
          <w:spacing w:val="-1"/>
          <w:vertAlign w:val="baseline"/>
        </w:rPr>
        <w:t> </w:t>
      </w:r>
      <w:r>
        <w:rPr>
          <w:vertAlign w:val="baseline"/>
        </w:rPr>
        <w:t>arrive</w:t>
      </w:r>
      <w:r>
        <w:rPr>
          <w:spacing w:val="-2"/>
          <w:vertAlign w:val="baseline"/>
        </w:rPr>
        <w:t> </w:t>
      </w:r>
      <w:r>
        <w:rPr>
          <w:vertAlign w:val="baseline"/>
        </w:rPr>
        <w:t>at his business</w:t>
      </w:r>
      <w:r>
        <w:rPr>
          <w:spacing w:val="-3"/>
          <w:vertAlign w:val="baseline"/>
        </w:rPr>
        <w:t> </w:t>
      </w:r>
      <w:r>
        <w:rPr>
          <w:vertAlign w:val="baseline"/>
        </w:rPr>
        <w:t>decisions. In</w:t>
      </w:r>
      <w:r>
        <w:rPr>
          <w:spacing w:val="-5"/>
          <w:vertAlign w:val="baseline"/>
        </w:rPr>
        <w:t> </w:t>
      </w:r>
      <w:r>
        <w:rPr>
          <w:vertAlign w:val="baseline"/>
        </w:rPr>
        <w:t>other words, since</w:t>
      </w:r>
      <w:r>
        <w:rPr>
          <w:spacing w:val="-1"/>
          <w:vertAlign w:val="baseline"/>
        </w:rPr>
        <w:t> </w:t>
      </w:r>
      <w:r>
        <w:rPr>
          <w:vertAlign w:val="baseline"/>
        </w:rPr>
        <w:t>the law</w:t>
      </w:r>
      <w:r>
        <w:rPr>
          <w:spacing w:val="-1"/>
          <w:vertAlign w:val="baseline"/>
        </w:rPr>
        <w:t> </w:t>
      </w:r>
      <w:r>
        <w:rPr>
          <w:vertAlign w:val="baseline"/>
        </w:rPr>
        <w:t>grants</w:t>
      </w:r>
      <w:r>
        <w:rPr>
          <w:spacing w:val="-3"/>
          <w:vertAlign w:val="baseline"/>
        </w:rPr>
        <w:t> </w:t>
      </w:r>
      <w:r>
        <w:rPr>
          <w:vertAlign w:val="baseline"/>
        </w:rPr>
        <w:t>him</w:t>
      </w:r>
      <w:r>
        <w:rPr>
          <w:spacing w:val="-4"/>
          <w:vertAlign w:val="baseline"/>
        </w:rPr>
        <w:t> </w:t>
      </w:r>
      <w:r>
        <w:rPr>
          <w:vertAlign w:val="baseline"/>
        </w:rPr>
        <w:t>the leverage</w:t>
      </w:r>
      <w:r>
        <w:rPr>
          <w:spacing w:val="-1"/>
          <w:vertAlign w:val="baseline"/>
        </w:rPr>
        <w:t> </w:t>
      </w:r>
      <w:r>
        <w:rPr>
          <w:vertAlign w:val="baseline"/>
        </w:rPr>
        <w:t>to act ―in</w:t>
      </w:r>
      <w:r>
        <w:rPr>
          <w:spacing w:val="-5"/>
          <w:vertAlign w:val="baseline"/>
        </w:rPr>
        <w:t> </w:t>
      </w:r>
      <w:r>
        <w:rPr>
          <w:vertAlign w:val="baseline"/>
        </w:rPr>
        <w:t>the</w:t>
      </w:r>
      <w:r>
        <w:rPr>
          <w:spacing w:val="-1"/>
          <w:vertAlign w:val="baseline"/>
        </w:rPr>
        <w:t> </w:t>
      </w:r>
      <w:r>
        <w:rPr>
          <w:vertAlign w:val="baseline"/>
        </w:rPr>
        <w:t>way</w:t>
      </w:r>
      <w:r>
        <w:rPr>
          <w:spacing w:val="-1"/>
          <w:vertAlign w:val="baseline"/>
        </w:rPr>
        <w:t> </w:t>
      </w:r>
      <w:r>
        <w:rPr>
          <w:vertAlign w:val="baseline"/>
        </w:rPr>
        <w:t>he considers‖— or</w:t>
      </w:r>
      <w:r>
        <w:rPr>
          <w:spacing w:val="-9"/>
          <w:vertAlign w:val="baseline"/>
        </w:rPr>
        <w:t> </w:t>
      </w:r>
      <w:r>
        <w:rPr>
          <w:vertAlign w:val="baseline"/>
        </w:rPr>
        <w:t>as</w:t>
      </w:r>
      <w:r>
        <w:rPr>
          <w:spacing w:val="-9"/>
          <w:vertAlign w:val="baseline"/>
        </w:rPr>
        <w:t> </w:t>
      </w:r>
      <w:r>
        <w:rPr>
          <w:vertAlign w:val="baseline"/>
        </w:rPr>
        <w:t>the</w:t>
      </w:r>
      <w:r>
        <w:rPr>
          <w:spacing w:val="-8"/>
          <w:vertAlign w:val="baseline"/>
        </w:rPr>
        <w:t> </w:t>
      </w:r>
      <w:r>
        <w:rPr>
          <w:vertAlign w:val="baseline"/>
        </w:rPr>
        <w:t>CAMA</w:t>
      </w:r>
      <w:r>
        <w:rPr>
          <w:spacing w:val="-12"/>
          <w:vertAlign w:val="baseline"/>
        </w:rPr>
        <w:t> </w:t>
      </w:r>
      <w:r>
        <w:rPr>
          <w:vertAlign w:val="baseline"/>
        </w:rPr>
        <w:t>states,</w:t>
      </w:r>
      <w:r>
        <w:rPr>
          <w:spacing w:val="-5"/>
          <w:vertAlign w:val="baseline"/>
        </w:rPr>
        <w:t> </w:t>
      </w:r>
      <w:r>
        <w:rPr>
          <w:vertAlign w:val="baseline"/>
        </w:rPr>
        <w:t>―in</w:t>
      </w:r>
      <w:r>
        <w:rPr>
          <w:spacing w:val="-11"/>
          <w:vertAlign w:val="baseline"/>
        </w:rPr>
        <w:t> </w:t>
      </w:r>
      <w:r>
        <w:rPr>
          <w:vertAlign w:val="baseline"/>
        </w:rPr>
        <w:t>what</w:t>
      </w:r>
      <w:r>
        <w:rPr>
          <w:spacing w:val="-3"/>
          <w:vertAlign w:val="baseline"/>
        </w:rPr>
        <w:t> </w:t>
      </w:r>
      <w:r>
        <w:rPr>
          <w:vertAlign w:val="baseline"/>
        </w:rPr>
        <w:t>he</w:t>
      </w:r>
      <w:r>
        <w:rPr>
          <w:spacing w:val="-3"/>
          <w:vertAlign w:val="baseline"/>
        </w:rPr>
        <w:t> </w:t>
      </w:r>
      <w:r>
        <w:rPr>
          <w:vertAlign w:val="baseline"/>
        </w:rPr>
        <w:t>believes‖—it is</w:t>
      </w:r>
      <w:r>
        <w:rPr>
          <w:spacing w:val="-9"/>
          <w:vertAlign w:val="baseline"/>
        </w:rPr>
        <w:t> </w:t>
      </w:r>
      <w:r>
        <w:rPr>
          <w:vertAlign w:val="baseline"/>
        </w:rPr>
        <w:t>therefore</w:t>
      </w:r>
      <w:r>
        <w:rPr>
          <w:spacing w:val="-8"/>
          <w:vertAlign w:val="baseline"/>
        </w:rPr>
        <w:t> </w:t>
      </w:r>
      <w:r>
        <w:rPr>
          <w:vertAlign w:val="baseline"/>
        </w:rPr>
        <w:t>not</w:t>
      </w:r>
      <w:r>
        <w:rPr>
          <w:spacing w:val="-3"/>
          <w:vertAlign w:val="baseline"/>
        </w:rPr>
        <w:t> </w:t>
      </w:r>
      <w:r>
        <w:rPr>
          <w:vertAlign w:val="baseline"/>
        </w:rPr>
        <w:t>for</w:t>
      </w:r>
      <w:r>
        <w:rPr>
          <w:spacing w:val="-9"/>
          <w:vertAlign w:val="baseline"/>
        </w:rPr>
        <w:t> </w:t>
      </w:r>
      <w:r>
        <w:rPr>
          <w:vertAlign w:val="baseline"/>
        </w:rPr>
        <w:t>the</w:t>
      </w:r>
      <w:r>
        <w:rPr>
          <w:spacing w:val="-3"/>
          <w:vertAlign w:val="baseline"/>
        </w:rPr>
        <w:t> </w:t>
      </w:r>
      <w:r>
        <w:rPr>
          <w:vertAlign w:val="baseline"/>
        </w:rPr>
        <w:t>law</w:t>
      </w:r>
      <w:r>
        <w:rPr>
          <w:spacing w:val="-8"/>
          <w:vertAlign w:val="baseline"/>
        </w:rPr>
        <w:t> </w:t>
      </w:r>
      <w:r>
        <w:rPr>
          <w:vertAlign w:val="baseline"/>
        </w:rPr>
        <w:t>to</w:t>
      </w:r>
      <w:r>
        <w:rPr>
          <w:spacing w:val="-3"/>
          <w:vertAlign w:val="baseline"/>
        </w:rPr>
        <w:t> </w:t>
      </w:r>
      <w:r>
        <w:rPr>
          <w:vertAlign w:val="baseline"/>
        </w:rPr>
        <w:t>encroach into the director‘s subjective judgment by further suggesting to him the interests to</w:t>
      </w:r>
      <w:r>
        <w:rPr>
          <w:spacing w:val="40"/>
          <w:vertAlign w:val="baseline"/>
        </w:rPr>
        <w:t> </w:t>
      </w:r>
      <w:r>
        <w:rPr>
          <w:vertAlign w:val="baseline"/>
        </w:rPr>
        <w:t>which his actions must tend to promote, particularly when the law has already begun by</w:t>
      </w:r>
    </w:p>
    <w:p>
      <w:pPr>
        <w:pStyle w:val="BodyText"/>
        <w:ind w:left="0"/>
        <w:rPr>
          <w:sz w:val="20"/>
        </w:rPr>
      </w:pPr>
    </w:p>
    <w:p>
      <w:pPr>
        <w:pStyle w:val="BodyText"/>
        <w:ind w:left="0"/>
        <w:rPr>
          <w:sz w:val="20"/>
        </w:rPr>
      </w:pPr>
    </w:p>
    <w:p>
      <w:pPr>
        <w:pStyle w:val="BodyText"/>
        <w:spacing w:before="60"/>
        <w:ind w:left="0"/>
        <w:rPr>
          <w:sz w:val="20"/>
        </w:rPr>
      </w:pPr>
      <w:r>
        <w:rPr/>
        <mc:AlternateContent>
          <mc:Choice Requires="wps">
            <w:drawing>
              <wp:anchor distT="0" distB="0" distL="0" distR="0" allowOverlap="1" layoutInCell="1" locked="0" behindDoc="1" simplePos="0" relativeHeight="487719424">
                <wp:simplePos x="0" y="0"/>
                <wp:positionH relativeFrom="page">
                  <wp:posOffset>1262481</wp:posOffset>
                </wp:positionH>
                <wp:positionV relativeFrom="paragraph">
                  <wp:posOffset>199561</wp:posOffset>
                </wp:positionV>
                <wp:extent cx="1829435" cy="9525"/>
                <wp:effectExtent l="0" t="0" r="0" b="0"/>
                <wp:wrapTopAndBottom/>
                <wp:docPr id="284" name="Graphic 284"/>
                <wp:cNvGraphicFramePr>
                  <a:graphicFrameLocks/>
                </wp:cNvGraphicFramePr>
                <a:graphic>
                  <a:graphicData uri="http://schemas.microsoft.com/office/word/2010/wordprocessingShape">
                    <wps:wsp>
                      <wps:cNvPr id="284" name="Graphic 284"/>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5.713486pt;width:144.050pt;height:.72003pt;mso-position-horizontal-relative:page;mso-position-vertical-relative:paragraph;z-index:-15597056;mso-wrap-distance-left:0;mso-wrap-distance-right:0" id="docshape23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52</w:t>
      </w:r>
      <w:r>
        <w:rPr>
          <w:rFonts w:ascii="Calibri"/>
          <w:sz w:val="20"/>
          <w:vertAlign w:val="baseline"/>
        </w:rPr>
        <w:t>Ogbuanya,</w:t>
      </w:r>
      <w:r>
        <w:rPr>
          <w:rFonts w:ascii="Calibri"/>
          <w:spacing w:val="-3"/>
          <w:sz w:val="20"/>
          <w:vertAlign w:val="baseline"/>
        </w:rPr>
        <w:t> </w:t>
      </w:r>
      <w:r>
        <w:rPr>
          <w:rFonts w:ascii="Calibri"/>
          <w:sz w:val="20"/>
          <w:vertAlign w:val="baseline"/>
        </w:rPr>
        <w:t>N.C.S.</w:t>
      </w:r>
      <w:r>
        <w:rPr>
          <w:rFonts w:ascii="Calibri"/>
          <w:spacing w:val="-2"/>
          <w:sz w:val="20"/>
          <w:vertAlign w:val="baseline"/>
        </w:rPr>
        <w:t> </w:t>
      </w:r>
      <w:r>
        <w:rPr>
          <w:rFonts w:ascii="Calibri"/>
          <w:sz w:val="20"/>
          <w:vertAlign w:val="baseline"/>
        </w:rPr>
        <w:t>(2010).</w:t>
      </w:r>
      <w:r>
        <w:rPr>
          <w:rFonts w:ascii="Calibri"/>
          <w:i/>
          <w:sz w:val="20"/>
          <w:vertAlign w:val="baseline"/>
        </w:rPr>
        <w:t>Essentials</w:t>
      </w:r>
      <w:r>
        <w:rPr>
          <w:rFonts w:ascii="Calibri"/>
          <w:i/>
          <w:spacing w:val="-2"/>
          <w:sz w:val="20"/>
          <w:vertAlign w:val="baseline"/>
        </w:rPr>
        <w:t> </w:t>
      </w:r>
      <w:r>
        <w:rPr>
          <w:rFonts w:ascii="Calibri"/>
          <w:i/>
          <w:sz w:val="20"/>
          <w:vertAlign w:val="baseline"/>
        </w:rPr>
        <w:t>of</w:t>
      </w:r>
      <w:r>
        <w:rPr>
          <w:rFonts w:ascii="Calibri"/>
          <w:i/>
          <w:spacing w:val="-3"/>
          <w:sz w:val="20"/>
          <w:vertAlign w:val="baseline"/>
        </w:rPr>
        <w:t> </w:t>
      </w:r>
      <w:r>
        <w:rPr>
          <w:rFonts w:ascii="Calibri"/>
          <w:i/>
          <w:sz w:val="20"/>
          <w:vertAlign w:val="baseline"/>
        </w:rPr>
        <w:t>Corporate</w:t>
      </w:r>
      <w:r>
        <w:rPr>
          <w:rFonts w:ascii="Calibri"/>
          <w:i/>
          <w:spacing w:val="-1"/>
          <w:sz w:val="20"/>
          <w:vertAlign w:val="baseline"/>
        </w:rPr>
        <w:t> </w:t>
      </w:r>
      <w:r>
        <w:rPr>
          <w:rFonts w:ascii="Calibri"/>
          <w:i/>
          <w:sz w:val="20"/>
          <w:vertAlign w:val="baseline"/>
        </w:rPr>
        <w:t>Law</w:t>
      </w:r>
      <w:r>
        <w:rPr>
          <w:rFonts w:ascii="Calibri"/>
          <w:i/>
          <w:spacing w:val="-4"/>
          <w:sz w:val="20"/>
          <w:vertAlign w:val="baseline"/>
        </w:rPr>
        <w:t> </w:t>
      </w:r>
      <w:r>
        <w:rPr>
          <w:rFonts w:ascii="Calibri"/>
          <w:i/>
          <w:sz w:val="20"/>
          <w:vertAlign w:val="baseline"/>
        </w:rPr>
        <w:t>Practice</w:t>
      </w:r>
      <w:r>
        <w:rPr>
          <w:rFonts w:ascii="Calibri"/>
          <w:i/>
          <w:spacing w:val="-1"/>
          <w:sz w:val="20"/>
          <w:vertAlign w:val="baseline"/>
        </w:rPr>
        <w:t> </w:t>
      </w:r>
      <w:r>
        <w:rPr>
          <w:rFonts w:ascii="Calibri"/>
          <w:i/>
          <w:sz w:val="20"/>
          <w:vertAlign w:val="baseline"/>
        </w:rPr>
        <w:t>in</w:t>
      </w:r>
      <w:r>
        <w:rPr>
          <w:rFonts w:ascii="Calibri"/>
          <w:i/>
          <w:spacing w:val="2"/>
          <w:sz w:val="20"/>
          <w:vertAlign w:val="baseline"/>
        </w:rPr>
        <w:t> </w:t>
      </w:r>
      <w:r>
        <w:rPr>
          <w:rFonts w:ascii="Calibri"/>
          <w:i/>
          <w:sz w:val="20"/>
          <w:vertAlign w:val="baseline"/>
        </w:rPr>
        <w:t>Nigeria.</w:t>
      </w:r>
      <w:r>
        <w:rPr>
          <w:rFonts w:ascii="Calibri"/>
          <w:sz w:val="20"/>
          <w:vertAlign w:val="baseline"/>
        </w:rPr>
        <w:t>Novena</w:t>
      </w:r>
      <w:r>
        <w:rPr>
          <w:rFonts w:ascii="Calibri"/>
          <w:spacing w:val="-2"/>
          <w:sz w:val="20"/>
          <w:vertAlign w:val="baseline"/>
        </w:rPr>
        <w:t> </w:t>
      </w:r>
      <w:r>
        <w:rPr>
          <w:rFonts w:ascii="Calibri"/>
          <w:sz w:val="20"/>
          <w:vertAlign w:val="baseline"/>
        </w:rPr>
        <w:t>Publishers</w:t>
      </w:r>
      <w:r>
        <w:rPr>
          <w:rFonts w:ascii="Calibri"/>
          <w:spacing w:val="-2"/>
          <w:sz w:val="20"/>
          <w:vertAlign w:val="baseline"/>
        </w:rPr>
        <w:t> </w:t>
      </w:r>
      <w:r>
        <w:rPr>
          <w:rFonts w:ascii="Calibri"/>
          <w:sz w:val="20"/>
          <w:vertAlign w:val="baseline"/>
        </w:rPr>
        <w:t>Ltd.,</w:t>
      </w:r>
      <w:r>
        <w:rPr>
          <w:rFonts w:ascii="Calibri"/>
          <w:spacing w:val="-2"/>
          <w:sz w:val="20"/>
          <w:vertAlign w:val="baseline"/>
        </w:rPr>
        <w:t> Lagos,</w:t>
      </w:r>
    </w:p>
    <w:p>
      <w:pPr>
        <w:spacing w:before="1"/>
        <w:ind w:left="308" w:right="0" w:firstLine="0"/>
        <w:jc w:val="left"/>
        <w:rPr>
          <w:rFonts w:ascii="Calibri"/>
          <w:sz w:val="20"/>
        </w:rPr>
      </w:pPr>
      <w:r>
        <w:rPr>
          <w:rFonts w:ascii="Calibri"/>
          <w:sz w:val="20"/>
        </w:rPr>
        <w:t>p.</w:t>
      </w:r>
      <w:r>
        <w:rPr>
          <w:rFonts w:ascii="Calibri"/>
          <w:spacing w:val="3"/>
          <w:sz w:val="20"/>
        </w:rPr>
        <w:t> </w:t>
      </w:r>
      <w:r>
        <w:rPr>
          <w:rFonts w:ascii="Calibri"/>
          <w:spacing w:val="-4"/>
          <w:sz w:val="20"/>
        </w:rPr>
        <w:t>337.</w:t>
      </w:r>
    </w:p>
    <w:p>
      <w:pPr>
        <w:spacing w:before="0"/>
        <w:ind w:left="308" w:right="0" w:firstLine="0"/>
        <w:jc w:val="left"/>
        <w:rPr>
          <w:rFonts w:ascii="Calibri"/>
          <w:sz w:val="20"/>
        </w:rPr>
      </w:pPr>
      <w:r>
        <w:rPr>
          <w:rFonts w:ascii="Calibri"/>
          <w:sz w:val="20"/>
          <w:vertAlign w:val="superscript"/>
        </w:rPr>
        <w:t>53</w:t>
      </w:r>
      <w:r>
        <w:rPr>
          <w:rFonts w:ascii="Calibri"/>
          <w:sz w:val="20"/>
          <w:vertAlign w:val="baseline"/>
        </w:rPr>
        <w:t>Keay,</w:t>
      </w:r>
      <w:r>
        <w:rPr>
          <w:rFonts w:ascii="Calibri"/>
          <w:spacing w:val="-7"/>
          <w:sz w:val="20"/>
          <w:vertAlign w:val="baseline"/>
        </w:rPr>
        <w:t> </w:t>
      </w:r>
      <w:r>
        <w:rPr>
          <w:rFonts w:ascii="Calibri"/>
          <w:sz w:val="20"/>
          <w:vertAlign w:val="baseline"/>
        </w:rPr>
        <w:t>A.</w:t>
      </w:r>
      <w:r>
        <w:rPr>
          <w:rFonts w:ascii="Calibri"/>
          <w:spacing w:val="-7"/>
          <w:sz w:val="20"/>
          <w:vertAlign w:val="baseline"/>
        </w:rPr>
        <w:t> </w:t>
      </w:r>
      <w:r>
        <w:rPr>
          <w:rFonts w:ascii="Calibri"/>
          <w:sz w:val="20"/>
          <w:vertAlign w:val="baseline"/>
        </w:rPr>
        <w:t>(2007).Op.cit.,at</w:t>
      </w:r>
      <w:r>
        <w:rPr>
          <w:rFonts w:ascii="Calibri"/>
          <w:spacing w:val="-5"/>
          <w:sz w:val="20"/>
          <w:vertAlign w:val="baseline"/>
        </w:rPr>
        <w:t> </w:t>
      </w:r>
      <w:r>
        <w:rPr>
          <w:rFonts w:ascii="Calibri"/>
          <w:sz w:val="20"/>
          <w:vertAlign w:val="baseline"/>
        </w:rPr>
        <w:t>p.</w:t>
      </w:r>
      <w:r>
        <w:rPr>
          <w:rFonts w:ascii="Calibri"/>
          <w:spacing w:val="-7"/>
          <w:sz w:val="20"/>
          <w:vertAlign w:val="baseline"/>
        </w:rPr>
        <w:t> </w:t>
      </w:r>
      <w:r>
        <w:rPr>
          <w:rFonts w:ascii="Calibri"/>
          <w:spacing w:val="-4"/>
          <w:sz w:val="20"/>
          <w:vertAlign w:val="baseline"/>
        </w:rPr>
        <w:t>593.</w:t>
      </w:r>
    </w:p>
    <w:p>
      <w:pPr>
        <w:spacing w:before="1"/>
        <w:ind w:left="308" w:right="0" w:firstLine="0"/>
        <w:jc w:val="left"/>
        <w:rPr>
          <w:rFonts w:ascii="Calibri"/>
          <w:sz w:val="20"/>
        </w:rPr>
      </w:pPr>
      <w:r>
        <w:rPr>
          <w:rFonts w:ascii="Calibri"/>
          <w:sz w:val="20"/>
          <w:vertAlign w:val="superscript"/>
        </w:rPr>
        <w:t>54</w:t>
      </w:r>
      <w:r>
        <w:rPr>
          <w:rFonts w:ascii="Calibri"/>
          <w:spacing w:val="3"/>
          <w:sz w:val="20"/>
          <w:vertAlign w:val="baseline"/>
        </w:rPr>
        <w:t> </w:t>
      </w:r>
      <w:r>
        <w:rPr>
          <w:rFonts w:ascii="Calibri"/>
          <w:spacing w:val="-2"/>
          <w:sz w:val="20"/>
          <w:vertAlign w:val="baseline"/>
        </w:rPr>
        <w:t>Ibid.</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9"/>
        <w:jc w:val="both"/>
      </w:pPr>
      <w:r>
        <w:rPr/>
        <w:t>stating the prevailing interest he is serving (the benefit of members as a whole, in the case of</w:t>
      </w:r>
      <w:r>
        <w:rPr>
          <w:spacing w:val="-1"/>
        </w:rPr>
        <w:t> </w:t>
      </w:r>
      <w:r>
        <w:rPr/>
        <w:t>the CA, and the benefit of</w:t>
      </w:r>
      <w:r>
        <w:rPr>
          <w:spacing w:val="-1"/>
        </w:rPr>
        <w:t> </w:t>
      </w:r>
      <w:r>
        <w:rPr/>
        <w:t>the company as a whole, in the case of</w:t>
      </w:r>
      <w:r>
        <w:rPr>
          <w:spacing w:val="-1"/>
        </w:rPr>
        <w:t> </w:t>
      </w:r>
      <w:r>
        <w:rPr/>
        <w:t>the CAMA).</w:t>
      </w:r>
    </w:p>
    <w:p>
      <w:pPr>
        <w:pStyle w:val="BodyText"/>
        <w:spacing w:line="480" w:lineRule="auto"/>
        <w:ind w:right="176" w:firstLine="720"/>
        <w:jc w:val="both"/>
      </w:pPr>
      <w:r>
        <w:rPr/>
        <w:t>Recall</w:t>
      </w:r>
      <w:r>
        <w:rPr>
          <w:spacing w:val="-4"/>
        </w:rPr>
        <w:t> </w:t>
      </w:r>
      <w:r>
        <w:rPr/>
        <w:t>that it was noted supra in this work how placing the interests of members, on the one hand, and those of others, such as employees, as the more prominent stakeholders of the company, is inappropriate, considering the fact that the two groups</w:t>
      </w:r>
      <w:r>
        <w:rPr>
          <w:spacing w:val="40"/>
        </w:rPr>
        <w:t> </w:t>
      </w:r>
      <w:r>
        <w:rPr/>
        <w:t>do not have the same powers to wield over directors, nor do they have comparable interests. The interests of the members would most likely be akin to the interests of the company, especially since the members can decide the company‘s objectives at any given time. On the other hand, the interests of employees would most certainly be towards securing their jobs, promotion opportunities and earning better pay. Evidently, therefore,</w:t>
      </w:r>
      <w:r>
        <w:rPr>
          <w:spacing w:val="-4"/>
        </w:rPr>
        <w:t> </w:t>
      </w:r>
      <w:r>
        <w:rPr/>
        <w:t>the</w:t>
      </w:r>
      <w:r>
        <w:rPr>
          <w:spacing w:val="-7"/>
        </w:rPr>
        <w:t> </w:t>
      </w:r>
      <w:r>
        <w:rPr/>
        <w:t>two</w:t>
      </w:r>
      <w:r>
        <w:rPr>
          <w:spacing w:val="-2"/>
        </w:rPr>
        <w:t> </w:t>
      </w:r>
      <w:r>
        <w:rPr/>
        <w:t>groups</w:t>
      </w:r>
      <w:r>
        <w:rPr>
          <w:spacing w:val="-3"/>
        </w:rPr>
        <w:t> </w:t>
      </w:r>
      <w:r>
        <w:rPr/>
        <w:t>have</w:t>
      </w:r>
      <w:r>
        <w:rPr>
          <w:spacing w:val="-2"/>
        </w:rPr>
        <w:t> </w:t>
      </w:r>
      <w:r>
        <w:rPr/>
        <w:t>diverse interests. The fact that</w:t>
      </w:r>
      <w:r>
        <w:rPr>
          <w:spacing w:val="-5"/>
        </w:rPr>
        <w:t> </w:t>
      </w:r>
      <w:r>
        <w:rPr/>
        <w:t>the members in</w:t>
      </w:r>
      <w:r>
        <w:rPr>
          <w:spacing w:val="-6"/>
        </w:rPr>
        <w:t> </w:t>
      </w:r>
      <w:r>
        <w:rPr/>
        <w:t>the</w:t>
      </w:r>
      <w:r>
        <w:rPr>
          <w:spacing w:val="-2"/>
        </w:rPr>
        <w:t> </w:t>
      </w:r>
      <w:r>
        <w:rPr/>
        <w:t>general meeting have the statutory power to appoint and remove directors; decide the latter‘s remuneration and withdraw their funds from</w:t>
      </w:r>
      <w:r>
        <w:rPr>
          <w:spacing w:val="-1"/>
        </w:rPr>
        <w:t> </w:t>
      </w:r>
      <w:r>
        <w:rPr/>
        <w:t>the enterprise, thereby having the potential to influence directors in their decision making, further confirms this point. Thus, although directors are not </w:t>
      </w:r>
      <w:r>
        <w:rPr>
          <w:i/>
        </w:rPr>
        <w:t>legally </w:t>
      </w:r>
      <w:r>
        <w:rPr/>
        <w:t>mandated to consider </w:t>
      </w:r>
      <w:r>
        <w:rPr>
          <w:i/>
        </w:rPr>
        <w:t>only </w:t>
      </w:r>
      <w:r>
        <w:rPr/>
        <w:t>the interests of</w:t>
      </w:r>
      <w:r>
        <w:rPr>
          <w:spacing w:val="80"/>
        </w:rPr>
        <w:t> </w:t>
      </w:r>
      <w:r>
        <w:rPr/>
        <w:t>shareholders, the latter group has been statutorily armed to ensure that the directors do just that. Conclusively, the legal power of</w:t>
      </w:r>
      <w:r>
        <w:rPr>
          <w:spacing w:val="-3"/>
        </w:rPr>
        <w:t> </w:t>
      </w:r>
      <w:r>
        <w:rPr/>
        <w:t>shareholders to vote</w:t>
      </w:r>
      <w:r>
        <w:rPr>
          <w:spacing w:val="-1"/>
        </w:rPr>
        <w:t> </w:t>
      </w:r>
      <w:r>
        <w:rPr/>
        <w:t>for the board of</w:t>
      </w:r>
      <w:r>
        <w:rPr>
          <w:spacing w:val="-3"/>
        </w:rPr>
        <w:t> </w:t>
      </w:r>
      <w:r>
        <w:rPr/>
        <w:t>directors and their remuneration helps to perpetuate the shareholder primacy norm.</w:t>
      </w:r>
      <w:r>
        <w:rPr>
          <w:vertAlign w:val="superscript"/>
        </w:rPr>
        <w:t>55</w:t>
      </w:r>
    </w:p>
    <w:p>
      <w:pPr>
        <w:pStyle w:val="BodyText"/>
        <w:spacing w:line="480" w:lineRule="auto" w:before="3"/>
        <w:ind w:right="182" w:firstLine="720"/>
        <w:jc w:val="both"/>
      </w:pPr>
      <w:r>
        <w:rPr/>
        <w:t>Although both laws have made some provision for the company‘s employees as stakeholders so that the issue of their welfare is included in the directors‘ report,</w:t>
      </w:r>
      <w:r>
        <w:rPr>
          <w:spacing w:val="40"/>
        </w:rPr>
        <w:t> </w:t>
      </w:r>
      <w:r>
        <w:rPr/>
        <w:t>and they may share in the company‘s profit and can even possibly be compensated upon cessation</w:t>
      </w:r>
      <w:r>
        <w:rPr>
          <w:spacing w:val="19"/>
        </w:rPr>
        <w:t> </w:t>
      </w:r>
      <w:r>
        <w:rPr/>
        <w:t>or</w:t>
      </w:r>
      <w:r>
        <w:rPr>
          <w:spacing w:val="16"/>
        </w:rPr>
        <w:t> </w:t>
      </w:r>
      <w:r>
        <w:rPr/>
        <w:t>transfer</w:t>
      </w:r>
      <w:r>
        <w:rPr>
          <w:spacing w:val="21"/>
        </w:rPr>
        <w:t> </w:t>
      </w:r>
      <w:r>
        <w:rPr/>
        <w:t>of</w:t>
      </w:r>
      <w:r>
        <w:rPr>
          <w:spacing w:val="11"/>
        </w:rPr>
        <w:t> </w:t>
      </w:r>
      <w:r>
        <w:rPr/>
        <w:t>the</w:t>
      </w:r>
      <w:r>
        <w:rPr>
          <w:spacing w:val="23"/>
        </w:rPr>
        <w:t> </w:t>
      </w:r>
      <w:r>
        <w:rPr/>
        <w:t>business,</w:t>
      </w:r>
      <w:r>
        <w:rPr>
          <w:vertAlign w:val="superscript"/>
        </w:rPr>
        <w:t>56</w:t>
      </w:r>
      <w:r>
        <w:rPr>
          <w:spacing w:val="23"/>
          <w:vertAlign w:val="baseline"/>
        </w:rPr>
        <w:t> </w:t>
      </w:r>
      <w:r>
        <w:rPr>
          <w:vertAlign w:val="baseline"/>
        </w:rPr>
        <w:t>these</w:t>
      </w:r>
      <w:r>
        <w:rPr>
          <w:spacing w:val="18"/>
          <w:vertAlign w:val="baseline"/>
        </w:rPr>
        <w:t> </w:t>
      </w:r>
      <w:r>
        <w:rPr>
          <w:vertAlign w:val="baseline"/>
        </w:rPr>
        <w:t>provisions</w:t>
      </w:r>
      <w:r>
        <w:rPr>
          <w:spacing w:val="28"/>
          <w:vertAlign w:val="baseline"/>
        </w:rPr>
        <w:t> </w:t>
      </w:r>
      <w:r>
        <w:rPr>
          <w:vertAlign w:val="baseline"/>
        </w:rPr>
        <w:t>nowise</w:t>
      </w:r>
      <w:r>
        <w:rPr>
          <w:spacing w:val="27"/>
          <w:vertAlign w:val="baseline"/>
        </w:rPr>
        <w:t> </w:t>
      </w:r>
      <w:r>
        <w:rPr>
          <w:vertAlign w:val="baseline"/>
        </w:rPr>
        <w:t>make</w:t>
      </w:r>
      <w:r>
        <w:rPr>
          <w:spacing w:val="19"/>
          <w:vertAlign w:val="baseline"/>
        </w:rPr>
        <w:t> </w:t>
      </w:r>
      <w:r>
        <w:rPr>
          <w:vertAlign w:val="baseline"/>
        </w:rPr>
        <w:t>them</w:t>
      </w:r>
      <w:r>
        <w:rPr>
          <w:spacing w:val="19"/>
          <w:vertAlign w:val="baseline"/>
        </w:rPr>
        <w:t> </w:t>
      </w:r>
      <w:r>
        <w:rPr>
          <w:vertAlign w:val="baseline"/>
        </w:rPr>
        <w:t>equals</w:t>
      </w:r>
      <w:r>
        <w:rPr>
          <w:spacing w:val="22"/>
          <w:vertAlign w:val="baseline"/>
        </w:rPr>
        <w:t> </w:t>
      </w:r>
      <w:r>
        <w:rPr>
          <w:spacing w:val="-4"/>
          <w:vertAlign w:val="baseline"/>
        </w:rPr>
        <w:t>with</w:t>
      </w:r>
    </w:p>
    <w:p>
      <w:pPr>
        <w:pStyle w:val="BodyText"/>
        <w:spacing w:before="29"/>
        <w:ind w:left="0"/>
        <w:rPr>
          <w:sz w:val="20"/>
        </w:rPr>
      </w:pPr>
      <w:r>
        <w:rPr/>
        <mc:AlternateContent>
          <mc:Choice Requires="wps">
            <w:drawing>
              <wp:anchor distT="0" distB="0" distL="0" distR="0" allowOverlap="1" layoutInCell="1" locked="0" behindDoc="1" simplePos="0" relativeHeight="487719936">
                <wp:simplePos x="0" y="0"/>
                <wp:positionH relativeFrom="page">
                  <wp:posOffset>1262481</wp:posOffset>
                </wp:positionH>
                <wp:positionV relativeFrom="paragraph">
                  <wp:posOffset>179725</wp:posOffset>
                </wp:positionV>
                <wp:extent cx="1829435" cy="9525"/>
                <wp:effectExtent l="0" t="0" r="0" b="0"/>
                <wp:wrapTopAndBottom/>
                <wp:docPr id="285" name="Graphic 285"/>
                <wp:cNvGraphicFramePr>
                  <a:graphicFrameLocks/>
                </wp:cNvGraphicFramePr>
                <a:graphic>
                  <a:graphicData uri="http://schemas.microsoft.com/office/word/2010/wordprocessingShape">
                    <wps:wsp>
                      <wps:cNvPr id="285" name="Graphic 28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51592pt;width:144.050pt;height:.71997pt;mso-position-horizontal-relative:page;mso-position-vertical-relative:paragraph;z-index:-15596544;mso-wrap-distance-left:0;mso-wrap-distance-right:0" id="docshape240" filled="true" fillcolor="#000000" stroked="false">
                <v:fill type="solid"/>
                <w10:wrap type="topAndBottom"/>
              </v:rect>
            </w:pict>
          </mc:Fallback>
        </mc:AlternateContent>
      </w:r>
    </w:p>
    <w:p>
      <w:pPr>
        <w:spacing w:before="102"/>
        <w:ind w:left="308" w:right="231" w:firstLine="0"/>
        <w:jc w:val="both"/>
        <w:rPr>
          <w:rFonts w:ascii="Calibri" w:hAnsi="Calibri"/>
          <w:sz w:val="20"/>
        </w:rPr>
      </w:pPr>
      <w:r>
        <w:rPr>
          <w:rFonts w:ascii="Calibri" w:hAnsi="Calibri"/>
          <w:sz w:val="20"/>
          <w:vertAlign w:val="superscript"/>
        </w:rPr>
        <w:t>55</w:t>
      </w:r>
      <w:r>
        <w:rPr>
          <w:rFonts w:ascii="Calibri" w:hAnsi="Calibri"/>
          <w:sz w:val="20"/>
          <w:vertAlign w:val="baseline"/>
        </w:rPr>
        <w:t> Refer to </w:t>
      </w:r>
      <w:r>
        <w:rPr>
          <w:rFonts w:ascii="Calibri" w:hAnsi="Calibri"/>
          <w:b/>
          <w:sz w:val="20"/>
          <w:vertAlign w:val="baseline"/>
        </w:rPr>
        <w:t>3.4.2 </w:t>
      </w:r>
      <w:r>
        <w:rPr>
          <w:rFonts w:ascii="Calibri" w:hAnsi="Calibri"/>
          <w:sz w:val="20"/>
          <w:vertAlign w:val="baseline"/>
        </w:rPr>
        <w:t>supra on “In whose Interests and for whose Benefit should Directors Manage the Company?” for a recap on shareholder primacy norm.</w:t>
      </w:r>
    </w:p>
    <w:p>
      <w:pPr>
        <w:spacing w:before="2"/>
        <w:ind w:left="308" w:right="225" w:firstLine="0"/>
        <w:jc w:val="both"/>
        <w:rPr>
          <w:rFonts w:ascii="Calibri"/>
          <w:sz w:val="20"/>
        </w:rPr>
      </w:pPr>
      <w:r>
        <w:rPr>
          <w:rFonts w:ascii="Calibri"/>
          <w:sz w:val="20"/>
          <w:vertAlign w:val="superscript"/>
        </w:rPr>
        <w:t>56</w:t>
      </w:r>
      <w:r>
        <w:rPr>
          <w:rFonts w:ascii="Calibri"/>
          <w:sz w:val="20"/>
          <w:vertAlign w:val="baseline"/>
        </w:rPr>
        <w:t> See ss.342(5), 384 and 566, CAMA respectively and ss.417(5)(b), 247, 549(2)(a) and 1166 CA. In particular, s. 566 CAMA and s.247 CA essentially reject the decision in </w:t>
      </w:r>
      <w:r>
        <w:rPr>
          <w:rFonts w:ascii="Calibri"/>
          <w:i/>
          <w:sz w:val="20"/>
          <w:vertAlign w:val="baseline"/>
        </w:rPr>
        <w:t>Parke vs. Daily News Ltd. </w:t>
      </w:r>
      <w:r>
        <w:rPr>
          <w:rFonts w:ascii="Calibri"/>
          <w:sz w:val="20"/>
          <w:vertAlign w:val="baseline"/>
        </w:rPr>
        <w:t>(1962) Ch. 927, wherein the court held that the defendant company had no power to make redundancy payments to its employees.</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77"/>
        <w:jc w:val="both"/>
      </w:pPr>
      <w:r>
        <w:rPr/>
        <w:t>members in the company because of</w:t>
      </w:r>
      <w:r>
        <w:rPr>
          <w:spacing w:val="-3"/>
        </w:rPr>
        <w:t> </w:t>
      </w:r>
      <w:r>
        <w:rPr/>
        <w:t>the critical issue of</w:t>
      </w:r>
      <w:r>
        <w:rPr>
          <w:spacing w:val="-3"/>
        </w:rPr>
        <w:t> </w:t>
      </w:r>
      <w:r>
        <w:rPr/>
        <w:t>the absence of voting power. In the absence of </w:t>
      </w:r>
      <w:r>
        <w:rPr>
          <w:i/>
        </w:rPr>
        <w:t>equality</w:t>
      </w:r>
      <w:r>
        <w:rPr/>
        <w:t>, therefore, there is </w:t>
      </w:r>
      <w:r>
        <w:rPr>
          <w:i/>
        </w:rPr>
        <w:t>primacy </w:t>
      </w:r>
      <w:r>
        <w:rPr/>
        <w:t>to the advantage of the members, under the two laws.</w:t>
      </w:r>
    </w:p>
    <w:p>
      <w:pPr>
        <w:pStyle w:val="BodyText"/>
        <w:spacing w:line="480" w:lineRule="auto"/>
        <w:ind w:right="181" w:firstLine="720"/>
        <w:jc w:val="both"/>
      </w:pPr>
      <w:r>
        <w:rPr/>
        <w:t>Conclusively, therefore, the list of factors in s.172 CA is unlikely to change things. The</w:t>
      </w:r>
      <w:r>
        <w:rPr>
          <w:spacing w:val="-2"/>
        </w:rPr>
        <w:t> </w:t>
      </w:r>
      <w:r>
        <w:rPr/>
        <w:t>effect of</w:t>
      </w:r>
      <w:r>
        <w:rPr>
          <w:spacing w:val="-8"/>
        </w:rPr>
        <w:t> </w:t>
      </w:r>
      <w:r>
        <w:rPr/>
        <w:t>the section</w:t>
      </w:r>
      <w:r>
        <w:rPr>
          <w:spacing w:val="-1"/>
        </w:rPr>
        <w:t> </w:t>
      </w:r>
      <w:r>
        <w:rPr/>
        <w:t>is more likely</w:t>
      </w:r>
      <w:r>
        <w:rPr>
          <w:spacing w:val="-5"/>
        </w:rPr>
        <w:t> </w:t>
      </w:r>
      <w:r>
        <w:rPr/>
        <w:t>to be</w:t>
      </w:r>
      <w:r>
        <w:rPr>
          <w:spacing w:val="-2"/>
        </w:rPr>
        <w:t> </w:t>
      </w:r>
      <w:r>
        <w:rPr/>
        <w:t>educational, rather than</w:t>
      </w:r>
      <w:r>
        <w:rPr>
          <w:spacing w:val="-1"/>
        </w:rPr>
        <w:t> </w:t>
      </w:r>
      <w:r>
        <w:rPr/>
        <w:t>in</w:t>
      </w:r>
      <w:r>
        <w:rPr>
          <w:spacing w:val="-1"/>
        </w:rPr>
        <w:t> </w:t>
      </w:r>
      <w:r>
        <w:rPr/>
        <w:t>any</w:t>
      </w:r>
      <w:r>
        <w:rPr>
          <w:spacing w:val="-1"/>
        </w:rPr>
        <w:t> </w:t>
      </w:r>
      <w:r>
        <w:rPr/>
        <w:t>sense restrictive and so business decisions taken in good faith will not be any more easily challengeable than they were before the provision existed.</w:t>
      </w:r>
      <w:r>
        <w:rPr>
          <w:vertAlign w:val="superscript"/>
        </w:rPr>
        <w:t>57</w:t>
      </w:r>
      <w:r>
        <w:rPr>
          <w:vertAlign w:val="baseline"/>
        </w:rPr>
        <w:t>The provision is at best a modest development of the common law,</w:t>
      </w:r>
      <w:r>
        <w:rPr>
          <w:vertAlign w:val="superscript"/>
        </w:rPr>
        <w:t>58</w:t>
      </w:r>
      <w:r>
        <w:rPr>
          <w:vertAlign w:val="baseline"/>
        </w:rPr>
        <w:t> highly unlikely to have any great impact on company</w:t>
      </w:r>
      <w:r>
        <w:rPr>
          <w:spacing w:val="-1"/>
          <w:vertAlign w:val="baseline"/>
        </w:rPr>
        <w:t> </w:t>
      </w:r>
      <w:r>
        <w:rPr>
          <w:vertAlign w:val="baseline"/>
        </w:rPr>
        <w:t>boards</w:t>
      </w:r>
      <w:r>
        <w:rPr>
          <w:spacing w:val="-3"/>
          <w:vertAlign w:val="baseline"/>
        </w:rPr>
        <w:t> </w:t>
      </w:r>
      <w:r>
        <w:rPr>
          <w:vertAlign w:val="baseline"/>
        </w:rPr>
        <w:t>and how</w:t>
      </w:r>
      <w:r>
        <w:rPr>
          <w:spacing w:val="-6"/>
          <w:vertAlign w:val="baseline"/>
        </w:rPr>
        <w:t> </w:t>
      </w:r>
      <w:r>
        <w:rPr>
          <w:vertAlign w:val="baseline"/>
        </w:rPr>
        <w:t>they</w:t>
      </w:r>
      <w:r>
        <w:rPr>
          <w:spacing w:val="-11"/>
          <w:vertAlign w:val="baseline"/>
        </w:rPr>
        <w:t> </w:t>
      </w:r>
      <w:r>
        <w:rPr>
          <w:vertAlign w:val="baseline"/>
        </w:rPr>
        <w:t>transact business.</w:t>
      </w:r>
      <w:r>
        <w:rPr>
          <w:vertAlign w:val="superscript"/>
        </w:rPr>
        <w:t>59</w:t>
      </w:r>
      <w:r>
        <w:rPr>
          <w:vertAlign w:val="baseline"/>
        </w:rPr>
        <w:t>The fact</w:t>
      </w:r>
      <w:r>
        <w:rPr>
          <w:spacing w:val="-1"/>
          <w:vertAlign w:val="baseline"/>
        </w:rPr>
        <w:t> </w:t>
      </w:r>
      <w:r>
        <w:rPr>
          <w:vertAlign w:val="baseline"/>
        </w:rPr>
        <w:t>that</w:t>
      </w:r>
      <w:r>
        <w:rPr>
          <w:spacing w:val="-1"/>
          <w:vertAlign w:val="baseline"/>
        </w:rPr>
        <w:t> </w:t>
      </w:r>
      <w:r>
        <w:rPr>
          <w:vertAlign w:val="baseline"/>
        </w:rPr>
        <w:t>only</w:t>
      </w:r>
      <w:r>
        <w:rPr>
          <w:spacing w:val="-6"/>
          <w:vertAlign w:val="baseline"/>
        </w:rPr>
        <w:t> </w:t>
      </w:r>
      <w:r>
        <w:rPr>
          <w:vertAlign w:val="baseline"/>
        </w:rPr>
        <w:t>the members</w:t>
      </w:r>
      <w:r>
        <w:rPr>
          <w:spacing w:val="-3"/>
          <w:vertAlign w:val="baseline"/>
        </w:rPr>
        <w:t> </w:t>
      </w:r>
      <w:r>
        <w:rPr>
          <w:vertAlign w:val="baseline"/>
        </w:rPr>
        <w:t>among the list of stakeholders have the potential to enforce the duties of directors, further underscores this proposition. As well, placing members and employees in the same category</w:t>
      </w:r>
      <w:r>
        <w:rPr>
          <w:spacing w:val="27"/>
          <w:vertAlign w:val="baseline"/>
        </w:rPr>
        <w:t> </w:t>
      </w:r>
      <w:r>
        <w:rPr>
          <w:vertAlign w:val="baseline"/>
        </w:rPr>
        <w:t>as</w:t>
      </w:r>
      <w:r>
        <w:rPr>
          <w:spacing w:val="34"/>
          <w:vertAlign w:val="baseline"/>
        </w:rPr>
        <w:t> </w:t>
      </w:r>
      <w:r>
        <w:rPr>
          <w:vertAlign w:val="baseline"/>
        </w:rPr>
        <w:t>entitled</w:t>
      </w:r>
      <w:r>
        <w:rPr>
          <w:spacing w:val="36"/>
          <w:vertAlign w:val="baseline"/>
        </w:rPr>
        <w:t> </w:t>
      </w:r>
      <w:r>
        <w:rPr>
          <w:vertAlign w:val="baseline"/>
        </w:rPr>
        <w:t>to</w:t>
      </w:r>
      <w:r>
        <w:rPr>
          <w:spacing w:val="36"/>
          <w:vertAlign w:val="baseline"/>
        </w:rPr>
        <w:t> </w:t>
      </w:r>
      <w:r>
        <w:rPr>
          <w:vertAlign w:val="baseline"/>
        </w:rPr>
        <w:t>the</w:t>
      </w:r>
      <w:r>
        <w:rPr>
          <w:spacing w:val="35"/>
          <w:vertAlign w:val="baseline"/>
        </w:rPr>
        <w:t> </w:t>
      </w:r>
      <w:r>
        <w:rPr>
          <w:vertAlign w:val="baseline"/>
        </w:rPr>
        <w:t>special</w:t>
      </w:r>
      <w:r>
        <w:rPr>
          <w:spacing w:val="32"/>
          <w:vertAlign w:val="baseline"/>
        </w:rPr>
        <w:t> </w:t>
      </w:r>
      <w:r>
        <w:rPr>
          <w:vertAlign w:val="baseline"/>
        </w:rPr>
        <w:t>attention</w:t>
      </w:r>
      <w:r>
        <w:rPr>
          <w:spacing w:val="31"/>
          <w:vertAlign w:val="baseline"/>
        </w:rPr>
        <w:t> </w:t>
      </w:r>
      <w:r>
        <w:rPr>
          <w:vertAlign w:val="baseline"/>
        </w:rPr>
        <w:t>of</w:t>
      </w:r>
      <w:r>
        <w:rPr>
          <w:spacing w:val="28"/>
          <w:vertAlign w:val="baseline"/>
        </w:rPr>
        <w:t> </w:t>
      </w:r>
      <w:r>
        <w:rPr>
          <w:vertAlign w:val="baseline"/>
        </w:rPr>
        <w:t>directors,</w:t>
      </w:r>
      <w:r>
        <w:rPr>
          <w:spacing w:val="38"/>
          <w:vertAlign w:val="baseline"/>
        </w:rPr>
        <w:t> </w:t>
      </w:r>
      <w:r>
        <w:rPr>
          <w:vertAlign w:val="baseline"/>
        </w:rPr>
        <w:t>is</w:t>
      </w:r>
      <w:r>
        <w:rPr>
          <w:spacing w:val="39"/>
          <w:vertAlign w:val="baseline"/>
        </w:rPr>
        <w:t> </w:t>
      </w:r>
      <w:r>
        <w:rPr>
          <w:vertAlign w:val="baseline"/>
        </w:rPr>
        <w:t>misleading.</w:t>
      </w:r>
      <w:r>
        <w:rPr>
          <w:spacing w:val="38"/>
          <w:vertAlign w:val="baseline"/>
        </w:rPr>
        <w:t> </w:t>
      </w:r>
      <w:r>
        <w:rPr>
          <w:vertAlign w:val="baseline"/>
        </w:rPr>
        <w:t>On</w:t>
      </w:r>
      <w:r>
        <w:rPr>
          <w:spacing w:val="31"/>
          <w:vertAlign w:val="baseline"/>
        </w:rPr>
        <w:t> </w:t>
      </w:r>
      <w:r>
        <w:rPr>
          <w:vertAlign w:val="baseline"/>
        </w:rPr>
        <w:t>this</w:t>
      </w:r>
      <w:r>
        <w:rPr>
          <w:spacing w:val="34"/>
          <w:vertAlign w:val="baseline"/>
        </w:rPr>
        <w:t> </w:t>
      </w:r>
      <w:r>
        <w:rPr>
          <w:vertAlign w:val="baseline"/>
        </w:rPr>
        <w:t>point,</w:t>
      </w:r>
    </w:p>
    <w:p>
      <w:pPr>
        <w:pStyle w:val="BodyText"/>
        <w:spacing w:line="480" w:lineRule="auto" w:before="2"/>
        <w:ind w:right="186"/>
        <w:jc w:val="both"/>
      </w:pPr>
      <w:r>
        <w:rPr/>
        <w:t>s.172 CA is hardly any different from s.279(3) and (4) of the CAMA. Even the requirement for a business review under s.417 CA does not do much because the members are the likely recipients of</w:t>
      </w:r>
      <w:r>
        <w:rPr>
          <w:spacing w:val="-2"/>
        </w:rPr>
        <w:t> </w:t>
      </w:r>
      <w:r>
        <w:rPr/>
        <w:t>that report and they</w:t>
      </w:r>
      <w:r>
        <w:rPr>
          <w:spacing w:val="-4"/>
        </w:rPr>
        <w:t> </w:t>
      </w:r>
      <w:r>
        <w:rPr/>
        <w:t>are unlikely to raise any issues, unless their own interests have been jeopardized.</w:t>
      </w:r>
    </w:p>
    <w:p>
      <w:pPr>
        <w:pStyle w:val="BodyText"/>
        <w:spacing w:line="480" w:lineRule="auto" w:before="1"/>
        <w:ind w:right="194" w:firstLine="720"/>
        <w:jc w:val="both"/>
      </w:pPr>
      <w:r>
        <w:rPr/>
        <w:t>This writer puts forth the proposition that the various stakeholders of the company</w:t>
      </w:r>
      <w:r>
        <w:rPr>
          <w:spacing w:val="-1"/>
        </w:rPr>
        <w:t> </w:t>
      </w:r>
      <w:r>
        <w:rPr/>
        <w:t>can more appropriately</w:t>
      </w:r>
      <w:r>
        <w:rPr>
          <w:spacing w:val="-1"/>
        </w:rPr>
        <w:t> </w:t>
      </w:r>
      <w:r>
        <w:rPr/>
        <w:t>have their interests addressed outside of</w:t>
      </w:r>
      <w:r>
        <w:rPr>
          <w:spacing w:val="-4"/>
        </w:rPr>
        <w:t> </w:t>
      </w:r>
      <w:r>
        <w:rPr/>
        <w:t>corporate</w:t>
      </w:r>
      <w:r>
        <w:rPr>
          <w:spacing w:val="-2"/>
        </w:rPr>
        <w:t> </w:t>
      </w:r>
      <w:r>
        <w:rPr/>
        <w:t>law. Contract, torts, labour, tax, consumer and environmental laws present great avenues for addressing the interests of the company‘s respective stakeholders. Where these are inadequate, there may be a need for the laws to be reviewed. But importantly, the stakeholders</w:t>
      </w:r>
      <w:r>
        <w:rPr>
          <w:spacing w:val="-4"/>
        </w:rPr>
        <w:t> </w:t>
      </w:r>
      <w:r>
        <w:rPr/>
        <w:t>would</w:t>
      </w:r>
      <w:r>
        <w:rPr>
          <w:spacing w:val="8"/>
        </w:rPr>
        <w:t> </w:t>
      </w:r>
      <w:r>
        <w:rPr/>
        <w:t>not</w:t>
      </w:r>
      <w:r>
        <w:rPr>
          <w:spacing w:val="5"/>
        </w:rPr>
        <w:t> </w:t>
      </w:r>
      <w:r>
        <w:rPr/>
        <w:t>here</w:t>
      </w:r>
      <w:r>
        <w:rPr>
          <w:spacing w:val="4"/>
        </w:rPr>
        <w:t> </w:t>
      </w:r>
      <w:r>
        <w:rPr/>
        <w:t>be</w:t>
      </w:r>
      <w:r>
        <w:rPr>
          <w:spacing w:val="8"/>
        </w:rPr>
        <w:t> </w:t>
      </w:r>
      <w:r>
        <w:rPr/>
        <w:t>faced with</w:t>
      </w:r>
      <w:r>
        <w:rPr>
          <w:spacing w:val="-5"/>
        </w:rPr>
        <w:t> </w:t>
      </w:r>
      <w:r>
        <w:rPr/>
        <w:t>the</w:t>
      </w:r>
      <w:r>
        <w:rPr>
          <w:spacing w:val="3"/>
        </w:rPr>
        <w:t> </w:t>
      </w:r>
      <w:r>
        <w:rPr/>
        <w:t>kind of</w:t>
      </w:r>
      <w:r>
        <w:rPr>
          <w:spacing w:val="-3"/>
        </w:rPr>
        <w:t> </w:t>
      </w:r>
      <w:r>
        <w:rPr/>
        <w:t>impediment</w:t>
      </w:r>
      <w:r>
        <w:rPr>
          <w:spacing w:val="5"/>
        </w:rPr>
        <w:t> </w:t>
      </w:r>
      <w:r>
        <w:rPr/>
        <w:t>they</w:t>
      </w:r>
      <w:r>
        <w:rPr>
          <w:spacing w:val="-5"/>
        </w:rPr>
        <w:t> </w:t>
      </w:r>
      <w:r>
        <w:rPr/>
        <w:t>would</w:t>
      </w:r>
      <w:r>
        <w:rPr>
          <w:spacing w:val="1"/>
        </w:rPr>
        <w:t> </w:t>
      </w:r>
      <w:r>
        <w:rPr>
          <w:spacing w:val="-2"/>
        </w:rPr>
        <w:t>encounter</w:t>
      </w:r>
    </w:p>
    <w:p>
      <w:pPr>
        <w:pStyle w:val="BodyText"/>
        <w:spacing w:before="29"/>
        <w:ind w:left="0"/>
        <w:rPr>
          <w:sz w:val="20"/>
        </w:rPr>
      </w:pPr>
      <w:r>
        <w:rPr/>
        <mc:AlternateContent>
          <mc:Choice Requires="wps">
            <w:drawing>
              <wp:anchor distT="0" distB="0" distL="0" distR="0" allowOverlap="1" layoutInCell="1" locked="0" behindDoc="1" simplePos="0" relativeHeight="487720448">
                <wp:simplePos x="0" y="0"/>
                <wp:positionH relativeFrom="page">
                  <wp:posOffset>1262481</wp:posOffset>
                </wp:positionH>
                <wp:positionV relativeFrom="paragraph">
                  <wp:posOffset>179725</wp:posOffset>
                </wp:positionV>
                <wp:extent cx="1829435" cy="9525"/>
                <wp:effectExtent l="0" t="0" r="0" b="0"/>
                <wp:wrapTopAndBottom/>
                <wp:docPr id="286" name="Graphic 286"/>
                <wp:cNvGraphicFramePr>
                  <a:graphicFrameLocks/>
                </wp:cNvGraphicFramePr>
                <a:graphic>
                  <a:graphicData uri="http://schemas.microsoft.com/office/word/2010/wordprocessingShape">
                    <wps:wsp>
                      <wps:cNvPr id="286" name="Graphic 28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151592pt;width:144.050pt;height:.71997pt;mso-position-horizontal-relative:page;mso-position-vertical-relative:paragraph;z-index:-15596032;mso-wrap-distance-left:0;mso-wrap-distance-right:0" id="docshape241" filled="true" fillcolor="#000000" stroked="false">
                <v:fill type="solid"/>
                <w10:wrap type="topAndBottom"/>
              </v:rect>
            </w:pict>
          </mc:Fallback>
        </mc:AlternateContent>
      </w:r>
    </w:p>
    <w:p>
      <w:pPr>
        <w:spacing w:before="102"/>
        <w:ind w:left="308" w:right="0" w:firstLine="0"/>
        <w:jc w:val="both"/>
        <w:rPr>
          <w:rFonts w:ascii="Calibri" w:hAnsi="Calibri"/>
          <w:sz w:val="20"/>
        </w:rPr>
      </w:pPr>
      <w:r>
        <w:rPr>
          <w:rFonts w:ascii="Calibri" w:hAnsi="Calibri"/>
          <w:sz w:val="20"/>
          <w:vertAlign w:val="superscript"/>
        </w:rPr>
        <w:t>57</w:t>
      </w:r>
      <w:r>
        <w:rPr>
          <w:rFonts w:ascii="Calibri" w:hAnsi="Calibri"/>
          <w:sz w:val="20"/>
          <w:vertAlign w:val="baseline"/>
        </w:rPr>
        <w:t>Birds,</w:t>
      </w:r>
      <w:r>
        <w:rPr>
          <w:rFonts w:ascii="Calibri" w:hAnsi="Calibri"/>
          <w:spacing w:val="-7"/>
          <w:sz w:val="20"/>
          <w:vertAlign w:val="baseline"/>
        </w:rPr>
        <w:t> </w:t>
      </w:r>
      <w:r>
        <w:rPr>
          <w:rFonts w:ascii="Calibri" w:hAnsi="Calibri"/>
          <w:sz w:val="20"/>
          <w:vertAlign w:val="baseline"/>
        </w:rPr>
        <w:t>J.,</w:t>
      </w:r>
      <w:r>
        <w:rPr>
          <w:rFonts w:ascii="Calibri" w:hAnsi="Calibri"/>
          <w:spacing w:val="-11"/>
          <w:sz w:val="20"/>
          <w:vertAlign w:val="baseline"/>
        </w:rPr>
        <w:t> </w:t>
      </w:r>
      <w:r>
        <w:rPr>
          <w:rFonts w:ascii="Calibri" w:hAnsi="Calibri"/>
          <w:sz w:val="20"/>
          <w:vertAlign w:val="baseline"/>
        </w:rPr>
        <w:t>et</w:t>
      </w:r>
      <w:r>
        <w:rPr>
          <w:rFonts w:ascii="Calibri" w:hAnsi="Calibri"/>
          <w:spacing w:val="-9"/>
          <w:sz w:val="20"/>
          <w:vertAlign w:val="baseline"/>
        </w:rPr>
        <w:t> </w:t>
      </w:r>
      <w:r>
        <w:rPr>
          <w:rFonts w:ascii="Calibri" w:hAnsi="Calibri"/>
          <w:sz w:val="20"/>
          <w:vertAlign w:val="baseline"/>
        </w:rPr>
        <w:t>al.</w:t>
      </w:r>
      <w:r>
        <w:rPr>
          <w:rFonts w:ascii="Calibri" w:hAnsi="Calibri"/>
          <w:spacing w:val="-1"/>
          <w:sz w:val="20"/>
          <w:vertAlign w:val="baseline"/>
        </w:rPr>
        <w:t> </w:t>
      </w:r>
      <w:r>
        <w:rPr>
          <w:rFonts w:ascii="Calibri" w:hAnsi="Calibri"/>
          <w:sz w:val="20"/>
          <w:vertAlign w:val="baseline"/>
        </w:rPr>
        <w:t>(2011).</w:t>
      </w:r>
      <w:r>
        <w:rPr>
          <w:rFonts w:ascii="Calibri" w:hAnsi="Calibri"/>
          <w:i/>
          <w:sz w:val="20"/>
          <w:vertAlign w:val="baseline"/>
        </w:rPr>
        <w:t>Boyle</w:t>
      </w:r>
      <w:r>
        <w:rPr>
          <w:rFonts w:ascii="Calibri" w:hAnsi="Calibri"/>
          <w:i/>
          <w:spacing w:val="-9"/>
          <w:sz w:val="20"/>
          <w:vertAlign w:val="baseline"/>
        </w:rPr>
        <w:t> </w:t>
      </w:r>
      <w:r>
        <w:rPr>
          <w:rFonts w:ascii="Calibri" w:hAnsi="Calibri"/>
          <w:i/>
          <w:sz w:val="20"/>
          <w:vertAlign w:val="baseline"/>
        </w:rPr>
        <w:t>and</w:t>
      </w:r>
      <w:r>
        <w:rPr>
          <w:rFonts w:ascii="Calibri" w:hAnsi="Calibri"/>
          <w:i/>
          <w:spacing w:val="-7"/>
          <w:sz w:val="20"/>
          <w:vertAlign w:val="baseline"/>
        </w:rPr>
        <w:t> </w:t>
      </w:r>
      <w:r>
        <w:rPr>
          <w:rFonts w:ascii="Calibri" w:hAnsi="Calibri"/>
          <w:i/>
          <w:sz w:val="20"/>
          <w:vertAlign w:val="baseline"/>
        </w:rPr>
        <w:t>Birds’</w:t>
      </w:r>
      <w:r>
        <w:rPr>
          <w:rFonts w:ascii="Calibri" w:hAnsi="Calibri"/>
          <w:i/>
          <w:spacing w:val="-6"/>
          <w:sz w:val="20"/>
          <w:vertAlign w:val="baseline"/>
        </w:rPr>
        <w:t> </w:t>
      </w:r>
      <w:r>
        <w:rPr>
          <w:rFonts w:ascii="Calibri" w:hAnsi="Calibri"/>
          <w:i/>
          <w:sz w:val="20"/>
          <w:vertAlign w:val="baseline"/>
        </w:rPr>
        <w:t>Company</w:t>
      </w:r>
      <w:r>
        <w:rPr>
          <w:rFonts w:ascii="Calibri" w:hAnsi="Calibri"/>
          <w:i/>
          <w:spacing w:val="-9"/>
          <w:sz w:val="20"/>
          <w:vertAlign w:val="baseline"/>
        </w:rPr>
        <w:t> </w:t>
      </w:r>
      <w:r>
        <w:rPr>
          <w:rFonts w:ascii="Calibri" w:hAnsi="Calibri"/>
          <w:i/>
          <w:sz w:val="20"/>
          <w:vertAlign w:val="baseline"/>
        </w:rPr>
        <w:t>Law.</w:t>
      </w:r>
      <w:r>
        <w:rPr>
          <w:rFonts w:ascii="Calibri" w:hAnsi="Calibri"/>
          <w:sz w:val="20"/>
          <w:vertAlign w:val="baseline"/>
        </w:rPr>
        <w:t>8</w:t>
      </w:r>
      <w:r>
        <w:rPr>
          <w:rFonts w:ascii="Calibri" w:hAnsi="Calibri"/>
          <w:sz w:val="20"/>
          <w:vertAlign w:val="superscript"/>
        </w:rPr>
        <w:t>th</w:t>
      </w:r>
      <w:r>
        <w:rPr>
          <w:rFonts w:ascii="Calibri" w:hAnsi="Calibri"/>
          <w:spacing w:val="-5"/>
          <w:sz w:val="20"/>
          <w:vertAlign w:val="baseline"/>
        </w:rPr>
        <w:t> </w:t>
      </w:r>
      <w:r>
        <w:rPr>
          <w:rFonts w:ascii="Calibri" w:hAnsi="Calibri"/>
          <w:sz w:val="20"/>
          <w:vertAlign w:val="baseline"/>
        </w:rPr>
        <w:t>edition,</w:t>
      </w:r>
      <w:r>
        <w:rPr>
          <w:rFonts w:ascii="Calibri" w:hAnsi="Calibri"/>
          <w:spacing w:val="-6"/>
          <w:sz w:val="20"/>
          <w:vertAlign w:val="baseline"/>
        </w:rPr>
        <w:t> </w:t>
      </w:r>
      <w:r>
        <w:rPr>
          <w:rFonts w:ascii="Calibri" w:hAnsi="Calibri"/>
          <w:sz w:val="20"/>
          <w:vertAlign w:val="baseline"/>
        </w:rPr>
        <w:t>Jordan</w:t>
      </w:r>
      <w:r>
        <w:rPr>
          <w:rFonts w:ascii="Calibri" w:hAnsi="Calibri"/>
          <w:spacing w:val="-9"/>
          <w:sz w:val="20"/>
          <w:vertAlign w:val="baseline"/>
        </w:rPr>
        <w:t> </w:t>
      </w:r>
      <w:r>
        <w:rPr>
          <w:rFonts w:ascii="Calibri" w:hAnsi="Calibri"/>
          <w:sz w:val="20"/>
          <w:vertAlign w:val="baseline"/>
        </w:rPr>
        <w:t>Publishing</w:t>
      </w:r>
      <w:r>
        <w:rPr>
          <w:rFonts w:ascii="Calibri" w:hAnsi="Calibri"/>
          <w:spacing w:val="-9"/>
          <w:sz w:val="20"/>
          <w:vertAlign w:val="baseline"/>
        </w:rPr>
        <w:t> </w:t>
      </w:r>
      <w:r>
        <w:rPr>
          <w:rFonts w:ascii="Calibri" w:hAnsi="Calibri"/>
          <w:sz w:val="20"/>
          <w:vertAlign w:val="baseline"/>
        </w:rPr>
        <w:t>Limited,</w:t>
      </w:r>
      <w:r>
        <w:rPr>
          <w:rFonts w:ascii="Calibri" w:hAnsi="Calibri"/>
          <w:spacing w:val="-6"/>
          <w:sz w:val="20"/>
          <w:vertAlign w:val="baseline"/>
        </w:rPr>
        <w:t> </w:t>
      </w:r>
      <w:r>
        <w:rPr>
          <w:rFonts w:ascii="Calibri" w:hAnsi="Calibri"/>
          <w:spacing w:val="-2"/>
          <w:sz w:val="20"/>
          <w:vertAlign w:val="baseline"/>
        </w:rPr>
        <w:t>Bristol,</w:t>
      </w:r>
    </w:p>
    <w:p>
      <w:pPr>
        <w:spacing w:before="1"/>
        <w:ind w:left="308" w:right="0" w:firstLine="0"/>
        <w:jc w:val="left"/>
        <w:rPr>
          <w:rFonts w:ascii="Calibri"/>
          <w:sz w:val="20"/>
        </w:rPr>
      </w:pPr>
      <w:r>
        <w:rPr>
          <w:rFonts w:ascii="Calibri"/>
          <w:sz w:val="20"/>
        </w:rPr>
        <w:t>p.</w:t>
      </w:r>
      <w:r>
        <w:rPr>
          <w:rFonts w:ascii="Calibri"/>
          <w:spacing w:val="3"/>
          <w:sz w:val="20"/>
        </w:rPr>
        <w:t> </w:t>
      </w:r>
      <w:r>
        <w:rPr>
          <w:rFonts w:ascii="Calibri"/>
          <w:spacing w:val="-4"/>
          <w:sz w:val="20"/>
        </w:rPr>
        <w:t>638.</w:t>
      </w:r>
    </w:p>
    <w:p>
      <w:pPr>
        <w:spacing w:before="1"/>
        <w:ind w:left="308" w:right="0" w:firstLine="0"/>
        <w:jc w:val="both"/>
        <w:rPr>
          <w:rFonts w:ascii="Calibri"/>
          <w:sz w:val="20"/>
        </w:rPr>
      </w:pPr>
      <w:r>
        <w:rPr>
          <w:rFonts w:ascii="Calibri"/>
          <w:sz w:val="20"/>
          <w:vertAlign w:val="superscript"/>
        </w:rPr>
        <w:t>58</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p.</w:t>
      </w:r>
      <w:r>
        <w:rPr>
          <w:rFonts w:ascii="Calibri"/>
          <w:spacing w:val="-6"/>
          <w:sz w:val="20"/>
          <w:vertAlign w:val="baseline"/>
        </w:rPr>
        <w:t> </w:t>
      </w:r>
      <w:r>
        <w:rPr>
          <w:rFonts w:ascii="Calibri"/>
          <w:spacing w:val="-4"/>
          <w:sz w:val="20"/>
          <w:vertAlign w:val="baseline"/>
        </w:rPr>
        <w:t>543.</w:t>
      </w:r>
    </w:p>
    <w:p>
      <w:pPr>
        <w:spacing w:before="1"/>
        <w:ind w:left="308" w:right="224" w:firstLine="0"/>
        <w:jc w:val="both"/>
        <w:rPr>
          <w:rFonts w:ascii="Calibri"/>
          <w:sz w:val="20"/>
        </w:rPr>
      </w:pPr>
      <w:r>
        <w:rPr>
          <w:rFonts w:ascii="Calibri"/>
          <w:sz w:val="20"/>
          <w:vertAlign w:val="superscript"/>
        </w:rPr>
        <w:t>59</w:t>
      </w:r>
      <w:r>
        <w:rPr>
          <w:rFonts w:ascii="Calibri"/>
          <w:sz w:val="20"/>
          <w:vertAlign w:val="baseline"/>
        </w:rPr>
        <w:t>Keay, A. (2010)</w:t>
      </w:r>
      <w:r>
        <w:rPr>
          <w:rFonts w:ascii="Calibri"/>
          <w:i/>
          <w:sz w:val="20"/>
          <w:vertAlign w:val="baseline"/>
        </w:rPr>
        <w:t>The Duty to Promote the Success of the Company: Is it Fit for Purpose? </w:t>
      </w:r>
      <w:r>
        <w:rPr>
          <w:rFonts w:ascii="Calibri"/>
          <w:sz w:val="20"/>
          <w:vertAlign w:val="baseline"/>
        </w:rPr>
        <w:t>Working Paper, Centre for Business Law and Practice, School of Law, University of Leeds, England, p. 36.Retrieved October 21, 2013 from</w:t>
      </w:r>
      <w:hyperlink r:id="rId47">
        <w:r>
          <w:rPr>
            <w:rFonts w:ascii="Calibri"/>
            <w:color w:val="0000FF"/>
            <w:sz w:val="20"/>
            <w:u w:val="single" w:color="0000FF"/>
            <w:vertAlign w:val="baseline"/>
          </w:rPr>
          <w:t>http://papers.ssrn.com/sol3/papers.cfm?abstract_id=1662411</w:t>
        </w:r>
        <w:r>
          <w:rPr>
            <w:rFonts w:ascii="Calibri"/>
            <w:sz w:val="20"/>
            <w:vertAlign w:val="baseline"/>
          </w:rPr>
          <w:t>.</w:t>
        </w:r>
      </w:hyperlink>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91"/>
        <w:jc w:val="both"/>
      </w:pPr>
      <w:r>
        <w:rPr/>
        <w:t>when attempting to safeguard their interests under corporate law, nor would the state on their behalf.</w:t>
      </w:r>
    </w:p>
    <w:p>
      <w:pPr>
        <w:pStyle w:val="BodyText"/>
        <w:spacing w:line="480" w:lineRule="auto"/>
        <w:ind w:right="181" w:firstLine="720"/>
        <w:jc w:val="both"/>
      </w:pPr>
      <w:r>
        <w:rPr/>
        <w:t>Perhaps, if the law had merely </w:t>
      </w:r>
      <w:r>
        <w:rPr>
          <w:i/>
        </w:rPr>
        <w:t>permitted</w:t>
      </w:r>
      <w:r>
        <w:rPr/>
        <w:t>, or </w:t>
      </w:r>
      <w:r>
        <w:rPr>
          <w:i/>
        </w:rPr>
        <w:t>encouraged </w:t>
      </w:r>
      <w:r>
        <w:rPr/>
        <w:t>the director to regard these varying interests, it would not have been so far off the track. But the fact that the law mandates</w:t>
      </w:r>
      <w:r>
        <w:rPr>
          <w:spacing w:val="-4"/>
        </w:rPr>
        <w:t> </w:t>
      </w:r>
      <w:r>
        <w:rPr/>
        <w:t>the</w:t>
      </w:r>
      <w:r>
        <w:rPr>
          <w:spacing w:val="-3"/>
        </w:rPr>
        <w:t> </w:t>
      </w:r>
      <w:r>
        <w:rPr/>
        <w:t>director</w:t>
      </w:r>
      <w:r>
        <w:rPr>
          <w:spacing w:val="-5"/>
        </w:rPr>
        <w:t> </w:t>
      </w:r>
      <w:r>
        <w:rPr/>
        <w:t>to</w:t>
      </w:r>
      <w:r>
        <w:rPr>
          <w:spacing w:val="-2"/>
        </w:rPr>
        <w:t> </w:t>
      </w:r>
      <w:r>
        <w:rPr/>
        <w:t>do so, is</w:t>
      </w:r>
      <w:r>
        <w:rPr>
          <w:spacing w:val="-4"/>
        </w:rPr>
        <w:t> </w:t>
      </w:r>
      <w:r>
        <w:rPr/>
        <w:t>the</w:t>
      </w:r>
      <w:r>
        <w:rPr>
          <w:spacing w:val="-3"/>
        </w:rPr>
        <w:t> </w:t>
      </w:r>
      <w:r>
        <w:rPr/>
        <w:t>contention</w:t>
      </w:r>
      <w:r>
        <w:rPr>
          <w:spacing w:val="-2"/>
        </w:rPr>
        <w:t> </w:t>
      </w:r>
      <w:r>
        <w:rPr/>
        <w:t>here. A</w:t>
      </w:r>
      <w:r>
        <w:rPr>
          <w:spacing w:val="-3"/>
        </w:rPr>
        <w:t> </w:t>
      </w:r>
      <w:r>
        <w:rPr/>
        <w:t>fortiori, it is not</w:t>
      </w:r>
      <w:r>
        <w:rPr>
          <w:spacing w:val="-2"/>
        </w:rPr>
        <w:t> </w:t>
      </w:r>
      <w:r>
        <w:rPr/>
        <w:t>the</w:t>
      </w:r>
      <w:r>
        <w:rPr>
          <w:spacing w:val="-3"/>
        </w:rPr>
        <w:t> </w:t>
      </w:r>
      <w:r>
        <w:rPr/>
        <w:t>place</w:t>
      </w:r>
      <w:r>
        <w:rPr>
          <w:spacing w:val="-3"/>
        </w:rPr>
        <w:t> </w:t>
      </w:r>
      <w:r>
        <w:rPr/>
        <w:t>of law to instruct directors on the interests they must consider in their decisions. As Hollignton</w:t>
      </w:r>
      <w:r>
        <w:rPr>
          <w:spacing w:val="-3"/>
        </w:rPr>
        <w:t> </w:t>
      </w:r>
      <w:r>
        <w:rPr/>
        <w:t>poignantly</w:t>
      </w:r>
      <w:r>
        <w:rPr>
          <w:spacing w:val="-3"/>
        </w:rPr>
        <w:t> </w:t>
      </w:r>
      <w:r>
        <w:rPr/>
        <w:t>pointed out,</w:t>
      </w:r>
      <w:r>
        <w:rPr>
          <w:spacing w:val="-1"/>
        </w:rPr>
        <w:t> </w:t>
      </w:r>
      <w:r>
        <w:rPr/>
        <w:t>this is the province of business schools and corporate codes of ethics.</w:t>
      </w:r>
      <w:r>
        <w:rPr>
          <w:vertAlign w:val="superscript"/>
        </w:rPr>
        <w:t>60</w:t>
      </w:r>
      <w:r>
        <w:rPr>
          <w:vertAlign w:val="baseline"/>
        </w:rPr>
        <w:t> Every business decision is based on certain peculiarities, such as the status, credit base, objective, success rate, and the general circumstance of a company. These vary for every company in every circumstance. This proves the futility of corporate law attempting to restrict the areas for a director‘s consideration.</w:t>
      </w:r>
    </w:p>
    <w:p>
      <w:pPr>
        <w:pStyle w:val="BodyText"/>
        <w:spacing w:line="480" w:lineRule="auto" w:before="2"/>
        <w:ind w:right="187" w:firstLine="720"/>
        <w:jc w:val="both"/>
      </w:pPr>
      <w:r>
        <w:rPr/>
        <w:t>Creditors, on the other hand, are a unique class in that they have direct investments in the corporation. S.172(3) CA simply confirms the long-developed common law rule that, under certain circumstances not mentioned under the subsection, the interests of the company‘s creditors take precedence over those of members or any other group. It is regretful that the law does not specify those circumstances in order to clarify them. However, they usually come up when the company is approaching insolvency. The Insolvency Act 1986 supports the CA on this. The CAMA has no similar special provision for creditors, nor alternative legislation, although many</w:t>
      </w:r>
      <w:r>
        <w:rPr>
          <w:spacing w:val="40"/>
        </w:rPr>
        <w:t> </w:t>
      </w:r>
      <w:r>
        <w:rPr/>
        <w:t>sections</w:t>
      </w:r>
      <w:r>
        <w:rPr>
          <w:spacing w:val="-2"/>
        </w:rPr>
        <w:t> </w:t>
      </w:r>
      <w:r>
        <w:rPr/>
        <w:t>within the Act recognize</w:t>
      </w:r>
      <w:r>
        <w:rPr>
          <w:spacing w:val="-1"/>
        </w:rPr>
        <w:t> </w:t>
      </w:r>
      <w:r>
        <w:rPr/>
        <w:t>the</w:t>
      </w:r>
      <w:r>
        <w:rPr>
          <w:spacing w:val="-1"/>
        </w:rPr>
        <w:t> </w:t>
      </w:r>
      <w:r>
        <w:rPr/>
        <w:t>rights</w:t>
      </w:r>
      <w:r>
        <w:rPr>
          <w:spacing w:val="-2"/>
        </w:rPr>
        <w:t> </w:t>
      </w:r>
      <w:r>
        <w:rPr/>
        <w:t>of</w:t>
      </w:r>
      <w:r>
        <w:rPr>
          <w:spacing w:val="-8"/>
        </w:rPr>
        <w:t> </w:t>
      </w:r>
      <w:r>
        <w:rPr/>
        <w:t>creditors, particularly</w:t>
      </w:r>
      <w:r>
        <w:rPr>
          <w:spacing w:val="-5"/>
        </w:rPr>
        <w:t> </w:t>
      </w:r>
      <w:r>
        <w:rPr/>
        <w:t>on</w:t>
      </w:r>
      <w:r>
        <w:rPr>
          <w:spacing w:val="-5"/>
        </w:rPr>
        <w:t> </w:t>
      </w:r>
      <w:r>
        <w:rPr/>
        <w:t>wrongful</w:t>
      </w:r>
      <w:r>
        <w:rPr>
          <w:spacing w:val="-5"/>
        </w:rPr>
        <w:t> </w:t>
      </w:r>
      <w:r>
        <w:rPr/>
        <w:t>trading and</w:t>
      </w:r>
      <w:r>
        <w:rPr>
          <w:spacing w:val="-2"/>
        </w:rPr>
        <w:t> </w:t>
      </w:r>
      <w:r>
        <w:rPr/>
        <w:t>at winding</w:t>
      </w:r>
      <w:r>
        <w:rPr>
          <w:spacing w:val="-2"/>
        </w:rPr>
        <w:t> </w:t>
      </w:r>
      <w:r>
        <w:rPr/>
        <w:t>up. It is submitted</w:t>
      </w:r>
      <w:r>
        <w:rPr>
          <w:spacing w:val="-2"/>
        </w:rPr>
        <w:t> </w:t>
      </w:r>
      <w:r>
        <w:rPr/>
        <w:t>that in</w:t>
      </w:r>
      <w:r>
        <w:rPr>
          <w:spacing w:val="-7"/>
        </w:rPr>
        <w:t> </w:t>
      </w:r>
      <w:r>
        <w:rPr/>
        <w:t>the interest</w:t>
      </w:r>
      <w:r>
        <w:rPr>
          <w:spacing w:val="-2"/>
        </w:rPr>
        <w:t> </w:t>
      </w:r>
      <w:r>
        <w:rPr/>
        <w:t>of</w:t>
      </w:r>
      <w:r>
        <w:rPr>
          <w:spacing w:val="-10"/>
        </w:rPr>
        <w:t> </w:t>
      </w:r>
      <w:r>
        <w:rPr/>
        <w:t>clarity, both</w:t>
      </w:r>
      <w:r>
        <w:rPr>
          <w:spacing w:val="-2"/>
        </w:rPr>
        <w:t> </w:t>
      </w:r>
      <w:r>
        <w:rPr/>
        <w:t>laws</w:t>
      </w:r>
      <w:r>
        <w:rPr>
          <w:spacing w:val="-4"/>
        </w:rPr>
        <w:t> </w:t>
      </w:r>
      <w:r>
        <w:rPr/>
        <w:t>ought</w:t>
      </w:r>
      <w:r>
        <w:rPr>
          <w:spacing w:val="-2"/>
        </w:rPr>
        <w:t> </w:t>
      </w:r>
      <w:r>
        <w:rPr/>
        <w:t>to clarify the instances where the creditors‘ interests should be considered paramount.</w:t>
      </w:r>
    </w:p>
    <w:p>
      <w:pPr>
        <w:pStyle w:val="BodyText"/>
        <w:spacing w:line="480" w:lineRule="auto" w:before="2"/>
        <w:ind w:right="185" w:firstLine="720"/>
        <w:jc w:val="both"/>
      </w:pPr>
      <w:r>
        <w:rPr/>
        <w:t>Finally, on the point of the director‘s state of mind, s.172 CA requires him to reach</w:t>
      </w:r>
      <w:r>
        <w:rPr>
          <w:spacing w:val="26"/>
        </w:rPr>
        <w:t> </w:t>
      </w:r>
      <w:r>
        <w:rPr/>
        <w:t>his</w:t>
      </w:r>
      <w:r>
        <w:rPr>
          <w:spacing w:val="23"/>
        </w:rPr>
        <w:t> </w:t>
      </w:r>
      <w:r>
        <w:rPr/>
        <w:t>decisions</w:t>
      </w:r>
      <w:r>
        <w:rPr>
          <w:spacing w:val="32"/>
        </w:rPr>
        <w:t> </w:t>
      </w:r>
      <w:r>
        <w:rPr/>
        <w:t>in</w:t>
      </w:r>
      <w:r>
        <w:rPr>
          <w:spacing w:val="27"/>
        </w:rPr>
        <w:t> </w:t>
      </w:r>
      <w:r>
        <w:rPr>
          <w:i/>
        </w:rPr>
        <w:t>good</w:t>
      </w:r>
      <w:r>
        <w:rPr>
          <w:i/>
          <w:spacing w:val="25"/>
        </w:rPr>
        <w:t> </w:t>
      </w:r>
      <w:r>
        <w:rPr>
          <w:i/>
        </w:rPr>
        <w:t>faith</w:t>
      </w:r>
      <w:r>
        <w:rPr/>
        <w:t>,</w:t>
      </w:r>
      <w:r>
        <w:rPr>
          <w:spacing w:val="27"/>
        </w:rPr>
        <w:t> </w:t>
      </w:r>
      <w:r>
        <w:rPr/>
        <w:t>while</w:t>
      </w:r>
      <w:r>
        <w:rPr>
          <w:spacing w:val="27"/>
        </w:rPr>
        <w:t> </w:t>
      </w:r>
      <w:r>
        <w:rPr/>
        <w:t>s.279(3)</w:t>
      </w:r>
      <w:r>
        <w:rPr>
          <w:spacing w:val="26"/>
        </w:rPr>
        <w:t> </w:t>
      </w:r>
      <w:r>
        <w:rPr/>
        <w:t>CAMA</w:t>
      </w:r>
      <w:r>
        <w:rPr>
          <w:spacing w:val="19"/>
        </w:rPr>
        <w:t> </w:t>
      </w:r>
      <w:r>
        <w:rPr/>
        <w:t>requires</w:t>
      </w:r>
      <w:r>
        <w:rPr>
          <w:spacing w:val="32"/>
        </w:rPr>
        <w:t> </w:t>
      </w:r>
      <w:r>
        <w:rPr/>
        <w:t>him</w:t>
      </w:r>
      <w:r>
        <w:rPr>
          <w:spacing w:val="20"/>
        </w:rPr>
        <w:t> </w:t>
      </w:r>
      <w:r>
        <w:rPr/>
        <w:t>to</w:t>
      </w:r>
      <w:r>
        <w:rPr>
          <w:spacing w:val="29"/>
        </w:rPr>
        <w:t> </w:t>
      </w:r>
      <w:r>
        <w:rPr/>
        <w:t>act,</w:t>
      </w:r>
      <w:r>
        <w:rPr>
          <w:spacing w:val="27"/>
        </w:rPr>
        <w:t> </w:t>
      </w:r>
      <w:r>
        <w:rPr/>
        <w:t>not</w:t>
      </w:r>
      <w:r>
        <w:rPr>
          <w:spacing w:val="30"/>
        </w:rPr>
        <w:t> </w:t>
      </w:r>
      <w:r>
        <w:rPr>
          <w:spacing w:val="-4"/>
        </w:rPr>
        <w:t>only</w:t>
      </w:r>
    </w:p>
    <w:p>
      <w:pPr>
        <w:pStyle w:val="BodyText"/>
        <w:spacing w:before="148"/>
        <w:ind w:left="0"/>
        <w:rPr>
          <w:sz w:val="20"/>
        </w:rPr>
      </w:pPr>
      <w:r>
        <w:rPr/>
        <mc:AlternateContent>
          <mc:Choice Requires="wps">
            <w:drawing>
              <wp:anchor distT="0" distB="0" distL="0" distR="0" allowOverlap="1" layoutInCell="1" locked="0" behindDoc="1" simplePos="0" relativeHeight="487720960">
                <wp:simplePos x="0" y="0"/>
                <wp:positionH relativeFrom="page">
                  <wp:posOffset>1262481</wp:posOffset>
                </wp:positionH>
                <wp:positionV relativeFrom="paragraph">
                  <wp:posOffset>255679</wp:posOffset>
                </wp:positionV>
                <wp:extent cx="1829435" cy="9525"/>
                <wp:effectExtent l="0" t="0" r="0" b="0"/>
                <wp:wrapTopAndBottom/>
                <wp:docPr id="287" name="Graphic 287"/>
                <wp:cNvGraphicFramePr>
                  <a:graphicFrameLocks/>
                </wp:cNvGraphicFramePr>
                <a:graphic>
                  <a:graphicData uri="http://schemas.microsoft.com/office/word/2010/wordprocessingShape">
                    <wps:wsp>
                      <wps:cNvPr id="287" name="Graphic 28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32280pt;width:144.050pt;height:.71997pt;mso-position-horizontal-relative:page;mso-position-vertical-relative:paragraph;z-index:-15595520;mso-wrap-distance-left:0;mso-wrap-distance-right:0" id="docshape24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60</w:t>
      </w:r>
      <w:r>
        <w:rPr>
          <w:rFonts w:ascii="Calibri"/>
          <w:sz w:val="20"/>
          <w:vertAlign w:val="baseline"/>
        </w:rPr>
        <w:t>Hollington</w:t>
      </w:r>
      <w:r>
        <w:rPr>
          <w:rFonts w:ascii="Calibri"/>
          <w:spacing w:val="-9"/>
          <w:sz w:val="20"/>
          <w:vertAlign w:val="baseline"/>
        </w:rPr>
        <w:t> </w:t>
      </w:r>
      <w:r>
        <w:rPr>
          <w:rFonts w:ascii="Calibri"/>
          <w:sz w:val="20"/>
          <w:vertAlign w:val="baseline"/>
        </w:rPr>
        <w:t>R.</w:t>
      </w:r>
      <w:r>
        <w:rPr>
          <w:rFonts w:ascii="Calibri"/>
          <w:spacing w:val="-3"/>
          <w:sz w:val="20"/>
          <w:vertAlign w:val="baseline"/>
        </w:rPr>
        <w:t> </w:t>
      </w:r>
      <w:r>
        <w:rPr>
          <w:rFonts w:ascii="Calibri"/>
          <w:sz w:val="20"/>
          <w:vertAlign w:val="baseline"/>
        </w:rPr>
        <w:t>op.cit.at</w:t>
      </w:r>
      <w:r>
        <w:rPr>
          <w:rFonts w:ascii="Calibri"/>
          <w:spacing w:val="-10"/>
          <w:sz w:val="20"/>
          <w:vertAlign w:val="baseline"/>
        </w:rPr>
        <w:t> </w:t>
      </w:r>
      <w:r>
        <w:rPr>
          <w:rFonts w:ascii="Calibri"/>
          <w:spacing w:val="-4"/>
          <w:sz w:val="20"/>
          <w:vertAlign w:val="baseline"/>
        </w:rPr>
        <w:t>p.7.</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4"/>
        <w:jc w:val="both"/>
      </w:pPr>
      <w:r>
        <w:rPr/>
        <w:t>faithfully, but in a diligent, careful and ordinarily skilful manner, as well. Both sections border substantially on the director‘s </w:t>
      </w:r>
      <w:r>
        <w:rPr>
          <w:i/>
        </w:rPr>
        <w:t>fiduciary </w:t>
      </w:r>
      <w:r>
        <w:rPr/>
        <w:t>duty. Apparently, however, the CAMA provision has brought the director‘s duty of care and skill into</w:t>
      </w:r>
      <w:r>
        <w:rPr>
          <w:spacing w:val="14"/>
        </w:rPr>
        <w:t> </w:t>
      </w:r>
      <w:r>
        <w:rPr/>
        <w:t>it, in spite of</w:t>
      </w:r>
      <w:r>
        <w:rPr>
          <w:spacing w:val="-3"/>
        </w:rPr>
        <w:t> </w:t>
      </w:r>
      <w:r>
        <w:rPr/>
        <w:t>the fact that</w:t>
      </w:r>
    </w:p>
    <w:p>
      <w:pPr>
        <w:pStyle w:val="BodyText"/>
        <w:spacing w:line="480" w:lineRule="auto"/>
        <w:ind w:right="188"/>
        <w:jc w:val="both"/>
      </w:pPr>
      <w:r>
        <w:rPr/>
        <w:t>s.282 chiefly addresses this. It is submitted that the law on this point as stated under the CAMA, is repetitive and ambiguous, even if it was thus enacted so as to emphasize the director‘s duty to show care and skill. This</w:t>
      </w:r>
      <w:r>
        <w:rPr>
          <w:spacing w:val="36"/>
        </w:rPr>
        <w:t> </w:t>
      </w:r>
      <w:r>
        <w:rPr/>
        <w:t>is because the director‘s duty of care and skill and his fiduciary</w:t>
      </w:r>
      <w:r>
        <w:rPr>
          <w:spacing w:val="-5"/>
        </w:rPr>
        <w:t> </w:t>
      </w:r>
      <w:r>
        <w:rPr/>
        <w:t>duties of loyalty and good faith under the CAMA, are measurable by</w:t>
      </w:r>
      <w:r>
        <w:rPr>
          <w:spacing w:val="-1"/>
        </w:rPr>
        <w:t> </w:t>
      </w:r>
      <w:r>
        <w:rPr/>
        <w:t>different standards: subjective in the former and objective in the latter. Thus, the law here requires clarification.</w:t>
      </w:r>
    </w:p>
    <w:p>
      <w:pPr>
        <w:pStyle w:val="Heading2"/>
        <w:numPr>
          <w:ilvl w:val="2"/>
          <w:numId w:val="20"/>
        </w:numPr>
        <w:tabs>
          <w:tab w:pos="1027" w:val="left" w:leader="none"/>
        </w:tabs>
        <w:spacing w:line="240" w:lineRule="auto" w:before="208" w:after="0"/>
        <w:ind w:left="1027" w:right="0" w:hanging="719"/>
        <w:jc w:val="both"/>
      </w:pPr>
      <w:bookmarkStart w:name="_TOC_250008" w:id="44"/>
      <w:r>
        <w:rPr/>
        <w:t>Duty</w:t>
      </w:r>
      <w:r>
        <w:rPr>
          <w:spacing w:val="-2"/>
        </w:rPr>
        <w:t> </w:t>
      </w:r>
      <w:r>
        <w:rPr/>
        <w:t>to</w:t>
      </w:r>
      <w:r>
        <w:rPr>
          <w:spacing w:val="-6"/>
        </w:rPr>
        <w:t> </w:t>
      </w:r>
      <w:r>
        <w:rPr/>
        <w:t>Exercise</w:t>
      </w:r>
      <w:r>
        <w:rPr>
          <w:spacing w:val="-2"/>
        </w:rPr>
        <w:t> </w:t>
      </w:r>
      <w:r>
        <w:rPr/>
        <w:t>Independent </w:t>
      </w:r>
      <w:bookmarkEnd w:id="44"/>
      <w:r>
        <w:rPr>
          <w:spacing w:val="-2"/>
        </w:rPr>
        <w:t>Judgment</w:t>
      </w:r>
    </w:p>
    <w:p>
      <w:pPr>
        <w:pStyle w:val="BodyText"/>
        <w:spacing w:line="480" w:lineRule="auto" w:before="132"/>
        <w:ind w:right="183"/>
        <w:jc w:val="both"/>
      </w:pPr>
      <w:r>
        <w:rPr/>
        <w:t>This duty replaces the common law rule against the director fettering his discretion to vote in a particular manner. The principle is widened under s.173 CA to require the director</w:t>
      </w:r>
      <w:r>
        <w:rPr>
          <w:spacing w:val="-1"/>
        </w:rPr>
        <w:t> </w:t>
      </w:r>
      <w:r>
        <w:rPr/>
        <w:t>to ―exercise independent judgment,‖</w:t>
      </w:r>
      <w:r>
        <w:rPr>
          <w:spacing w:val="-4"/>
        </w:rPr>
        <w:t> </w:t>
      </w:r>
      <w:r>
        <w:rPr/>
        <w:t>thus encompassing judgment in</w:t>
      </w:r>
      <w:r>
        <w:rPr>
          <w:spacing w:val="-3"/>
        </w:rPr>
        <w:t> </w:t>
      </w:r>
      <w:r>
        <w:rPr/>
        <w:t>any</w:t>
      </w:r>
      <w:r>
        <w:rPr>
          <w:spacing w:val="-3"/>
        </w:rPr>
        <w:t> </w:t>
      </w:r>
      <w:r>
        <w:rPr/>
        <w:t>form, during the course of serving the company. Importantly, the section has clarified</w:t>
      </w:r>
      <w:r>
        <w:rPr>
          <w:spacing w:val="40"/>
        </w:rPr>
        <w:t> </w:t>
      </w:r>
      <w:r>
        <w:rPr/>
        <w:t>instances where the duty will not be infringed. Thus, where the director acts (a) in accordance with an agreement duly entered into by the company that restricts the future exercise of discretion by its directors, or (b) in a way authorised by the company‘s constitution, this duty will not be said to be infringed.</w:t>
      </w:r>
    </w:p>
    <w:p>
      <w:pPr>
        <w:pStyle w:val="BodyText"/>
        <w:spacing w:line="480" w:lineRule="auto" w:before="2"/>
        <w:ind w:right="185" w:firstLine="720"/>
        <w:jc w:val="both"/>
      </w:pPr>
      <w:r>
        <w:rPr/>
        <w:t>The drafters intended the CA to accommodate and reflect modern business exigency. Thus, the decision in </w:t>
      </w:r>
      <w:r>
        <w:rPr>
          <w:b/>
        </w:rPr>
        <w:t>Cabra Estates Plc. vs. Fulham Football Club</w:t>
      </w:r>
      <w:r>
        <w:rPr/>
        <w:t>,</w:t>
      </w:r>
      <w:r>
        <w:rPr>
          <w:vertAlign w:val="superscript"/>
        </w:rPr>
        <w:t>61</w:t>
      </w:r>
      <w:r>
        <w:rPr>
          <w:vertAlign w:val="baseline"/>
        </w:rPr>
        <w:t> has been codified here, in order to allow companies the freedom to contract in a manner fettering their discretions regarding future obligations. Importantly</w:t>
      </w:r>
      <w:r>
        <w:rPr>
          <w:spacing w:val="-2"/>
          <w:vertAlign w:val="baseline"/>
        </w:rPr>
        <w:t> </w:t>
      </w:r>
      <w:r>
        <w:rPr>
          <w:vertAlign w:val="baseline"/>
        </w:rPr>
        <w:t>also, the constitution may</w:t>
      </w:r>
      <w:r>
        <w:rPr>
          <w:spacing w:val="62"/>
          <w:vertAlign w:val="baseline"/>
        </w:rPr>
        <w:t> </w:t>
      </w:r>
      <w:r>
        <w:rPr>
          <w:vertAlign w:val="baseline"/>
        </w:rPr>
        <w:t>specify</w:t>
      </w:r>
      <w:r>
        <w:rPr>
          <w:spacing w:val="64"/>
          <w:vertAlign w:val="baseline"/>
        </w:rPr>
        <w:t> </w:t>
      </w:r>
      <w:r>
        <w:rPr>
          <w:vertAlign w:val="baseline"/>
        </w:rPr>
        <w:t>certain</w:t>
      </w:r>
      <w:r>
        <w:rPr>
          <w:spacing w:val="64"/>
          <w:vertAlign w:val="baseline"/>
        </w:rPr>
        <w:t> </w:t>
      </w:r>
      <w:r>
        <w:rPr>
          <w:vertAlign w:val="baseline"/>
        </w:rPr>
        <w:t>exceptions</w:t>
      </w:r>
      <w:r>
        <w:rPr>
          <w:spacing w:val="63"/>
          <w:vertAlign w:val="baseline"/>
        </w:rPr>
        <w:t> </w:t>
      </w:r>
      <w:r>
        <w:rPr>
          <w:vertAlign w:val="baseline"/>
        </w:rPr>
        <w:t>to</w:t>
      </w:r>
      <w:r>
        <w:rPr>
          <w:spacing w:val="64"/>
          <w:vertAlign w:val="baseline"/>
        </w:rPr>
        <w:t> </w:t>
      </w:r>
      <w:r>
        <w:rPr>
          <w:vertAlign w:val="baseline"/>
        </w:rPr>
        <w:t>the</w:t>
      </w:r>
      <w:r>
        <w:rPr>
          <w:spacing w:val="63"/>
          <w:vertAlign w:val="baseline"/>
        </w:rPr>
        <w:t> </w:t>
      </w:r>
      <w:r>
        <w:rPr>
          <w:vertAlign w:val="baseline"/>
        </w:rPr>
        <w:t>rule</w:t>
      </w:r>
      <w:r>
        <w:rPr>
          <w:spacing w:val="63"/>
          <w:vertAlign w:val="baseline"/>
        </w:rPr>
        <w:t> </w:t>
      </w:r>
      <w:r>
        <w:rPr>
          <w:vertAlign w:val="baseline"/>
        </w:rPr>
        <w:t>regarding</w:t>
      </w:r>
      <w:r>
        <w:rPr>
          <w:spacing w:val="65"/>
          <w:vertAlign w:val="baseline"/>
        </w:rPr>
        <w:t> </w:t>
      </w:r>
      <w:r>
        <w:rPr>
          <w:vertAlign w:val="baseline"/>
        </w:rPr>
        <w:t>exercise</w:t>
      </w:r>
      <w:r>
        <w:rPr>
          <w:spacing w:val="63"/>
          <w:vertAlign w:val="baseline"/>
        </w:rPr>
        <w:t> </w:t>
      </w:r>
      <w:r>
        <w:rPr>
          <w:vertAlign w:val="baseline"/>
        </w:rPr>
        <w:t>of</w:t>
      </w:r>
      <w:r>
        <w:rPr>
          <w:spacing w:val="61"/>
          <w:vertAlign w:val="baseline"/>
        </w:rPr>
        <w:t> </w:t>
      </w:r>
      <w:r>
        <w:rPr>
          <w:vertAlign w:val="baseline"/>
        </w:rPr>
        <w:t>discretion</w:t>
      </w:r>
      <w:r>
        <w:rPr>
          <w:spacing w:val="64"/>
          <w:vertAlign w:val="baseline"/>
        </w:rPr>
        <w:t> </w:t>
      </w:r>
      <w:r>
        <w:rPr>
          <w:vertAlign w:val="baseline"/>
        </w:rPr>
        <w:t>by</w:t>
      </w:r>
      <w:r>
        <w:rPr>
          <w:spacing w:val="60"/>
          <w:vertAlign w:val="baseline"/>
        </w:rPr>
        <w:t> </w:t>
      </w:r>
      <w:r>
        <w:rPr>
          <w:spacing w:val="-5"/>
          <w:vertAlign w:val="baseline"/>
        </w:rPr>
        <w:t>the</w:t>
      </w:r>
    </w:p>
    <w:p>
      <w:pPr>
        <w:pStyle w:val="BodyText"/>
        <w:ind w:left="0"/>
        <w:rPr>
          <w:sz w:val="20"/>
        </w:rPr>
      </w:pPr>
    </w:p>
    <w:p>
      <w:pPr>
        <w:pStyle w:val="BodyText"/>
        <w:spacing w:before="163"/>
        <w:ind w:left="0"/>
        <w:rPr>
          <w:sz w:val="20"/>
        </w:rPr>
      </w:pPr>
      <w:r>
        <w:rPr/>
        <mc:AlternateContent>
          <mc:Choice Requires="wps">
            <w:drawing>
              <wp:anchor distT="0" distB="0" distL="0" distR="0" allowOverlap="1" layoutInCell="1" locked="0" behindDoc="1" simplePos="0" relativeHeight="487721472">
                <wp:simplePos x="0" y="0"/>
                <wp:positionH relativeFrom="page">
                  <wp:posOffset>1262481</wp:posOffset>
                </wp:positionH>
                <wp:positionV relativeFrom="paragraph">
                  <wp:posOffset>265350</wp:posOffset>
                </wp:positionV>
                <wp:extent cx="1829435" cy="9525"/>
                <wp:effectExtent l="0" t="0" r="0" b="0"/>
                <wp:wrapTopAndBottom/>
                <wp:docPr id="288" name="Graphic 288"/>
                <wp:cNvGraphicFramePr>
                  <a:graphicFrameLocks/>
                </wp:cNvGraphicFramePr>
                <a:graphic>
                  <a:graphicData uri="http://schemas.microsoft.com/office/word/2010/wordprocessingShape">
                    <wps:wsp>
                      <wps:cNvPr id="288" name="Graphic 28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893742pt;width:144.050pt;height:.71997pt;mso-position-horizontal-relative:page;mso-position-vertical-relative:paragraph;z-index:-15595008;mso-wrap-distance-left:0;mso-wrap-distance-right:0" id="docshape243" filled="true" fillcolor="#000000" stroked="false">
                <v:fill type="solid"/>
                <w10:wrap type="topAndBottom"/>
              </v:rect>
            </w:pict>
          </mc:Fallback>
        </mc:AlternateContent>
      </w:r>
    </w:p>
    <w:p>
      <w:pPr>
        <w:spacing w:before="102"/>
        <w:ind w:left="308" w:right="255" w:firstLine="0"/>
        <w:jc w:val="left"/>
        <w:rPr>
          <w:rFonts w:ascii="Calibri" w:hAnsi="Calibri"/>
          <w:sz w:val="20"/>
        </w:rPr>
      </w:pPr>
      <w:r>
        <w:rPr>
          <w:rFonts w:ascii="Calibri" w:hAnsi="Calibri"/>
          <w:sz w:val="20"/>
          <w:vertAlign w:val="superscript"/>
        </w:rPr>
        <w:t>61</w:t>
      </w:r>
      <w:r>
        <w:rPr>
          <w:rFonts w:ascii="Calibri" w:hAnsi="Calibri"/>
          <w:sz w:val="20"/>
          <w:vertAlign w:val="baseline"/>
        </w:rPr>
        <w:t>(1994) 1 BCLC</w:t>
      </w:r>
      <w:r>
        <w:rPr>
          <w:rFonts w:ascii="Calibri" w:hAnsi="Calibri"/>
          <w:spacing w:val="-1"/>
          <w:sz w:val="20"/>
          <w:vertAlign w:val="baseline"/>
        </w:rPr>
        <w:t> </w:t>
      </w:r>
      <w:r>
        <w:rPr>
          <w:rFonts w:ascii="Calibri" w:hAnsi="Calibri"/>
          <w:sz w:val="20"/>
          <w:vertAlign w:val="baseline"/>
        </w:rPr>
        <w:t>363,</w:t>
      </w:r>
      <w:r>
        <w:rPr>
          <w:rFonts w:ascii="Calibri" w:hAnsi="Calibri"/>
          <w:spacing w:val="-1"/>
          <w:sz w:val="20"/>
          <w:vertAlign w:val="baseline"/>
        </w:rPr>
        <w:t> </w:t>
      </w:r>
      <w:r>
        <w:rPr>
          <w:rFonts w:ascii="Calibri" w:hAnsi="Calibri"/>
          <w:sz w:val="20"/>
          <w:vertAlign w:val="baseline"/>
        </w:rPr>
        <w:t>CA,</w:t>
      </w:r>
      <w:r>
        <w:rPr>
          <w:rFonts w:ascii="Calibri" w:hAnsi="Calibri"/>
          <w:spacing w:val="-1"/>
          <w:sz w:val="20"/>
          <w:vertAlign w:val="baseline"/>
        </w:rPr>
        <w:t> </w:t>
      </w:r>
      <w:r>
        <w:rPr>
          <w:rFonts w:ascii="Calibri" w:hAnsi="Calibri"/>
          <w:sz w:val="20"/>
          <w:vertAlign w:val="baseline"/>
        </w:rPr>
        <w:t>following the Australian court’s</w:t>
      </w:r>
      <w:r>
        <w:rPr>
          <w:rFonts w:ascii="Calibri" w:hAnsi="Calibri"/>
          <w:spacing w:val="-1"/>
          <w:sz w:val="20"/>
          <w:vertAlign w:val="baseline"/>
        </w:rPr>
        <w:t> </w:t>
      </w:r>
      <w:r>
        <w:rPr>
          <w:rFonts w:ascii="Calibri" w:hAnsi="Calibri"/>
          <w:sz w:val="20"/>
          <w:vertAlign w:val="baseline"/>
        </w:rPr>
        <w:t>decision in </w:t>
      </w:r>
      <w:r>
        <w:rPr>
          <w:rFonts w:ascii="Calibri" w:hAnsi="Calibri"/>
          <w:i/>
          <w:sz w:val="20"/>
          <w:vertAlign w:val="baseline"/>
        </w:rPr>
        <w:t>Thorby</w:t>
      </w:r>
      <w:r>
        <w:rPr>
          <w:rFonts w:ascii="Calibri" w:hAnsi="Calibri"/>
          <w:i/>
          <w:spacing w:val="-3"/>
          <w:sz w:val="20"/>
          <w:vertAlign w:val="baseline"/>
        </w:rPr>
        <w:t> </w:t>
      </w:r>
      <w:r>
        <w:rPr>
          <w:rFonts w:ascii="Calibri" w:hAnsi="Calibri"/>
          <w:i/>
          <w:sz w:val="20"/>
          <w:vertAlign w:val="baseline"/>
        </w:rPr>
        <w:t>vs.</w:t>
      </w:r>
      <w:r>
        <w:rPr>
          <w:rFonts w:ascii="Calibri" w:hAnsi="Calibri"/>
          <w:i/>
          <w:spacing w:val="-2"/>
          <w:sz w:val="20"/>
          <w:vertAlign w:val="baseline"/>
        </w:rPr>
        <w:t> </w:t>
      </w:r>
      <w:r>
        <w:rPr>
          <w:rFonts w:ascii="Calibri" w:hAnsi="Calibri"/>
          <w:i/>
          <w:sz w:val="20"/>
          <w:vertAlign w:val="baseline"/>
        </w:rPr>
        <w:t>Goldberg </w:t>
      </w:r>
      <w:r>
        <w:rPr>
          <w:rFonts w:ascii="Calibri" w:hAnsi="Calibri"/>
          <w:sz w:val="20"/>
          <w:vertAlign w:val="baseline"/>
        </w:rPr>
        <w:t>(1964) 112 CLR, 597, Aust.HC.</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110"/>
        <w:ind w:right="190"/>
        <w:jc w:val="both"/>
      </w:pPr>
      <w:r>
        <w:rPr/>
        <w:t>director. It has also been suggested</w:t>
      </w:r>
      <w:r>
        <w:rPr>
          <w:vertAlign w:val="superscript"/>
        </w:rPr>
        <w:t>62</w:t>
      </w:r>
      <w:r>
        <w:rPr>
          <w:vertAlign w:val="baseline"/>
        </w:rPr>
        <w:t> that the duty as codified allows the director to freely seek professional</w:t>
      </w:r>
      <w:r>
        <w:rPr>
          <w:spacing w:val="-1"/>
          <w:vertAlign w:val="baseline"/>
        </w:rPr>
        <w:t> </w:t>
      </w:r>
      <w:r>
        <w:rPr>
          <w:vertAlign w:val="baseline"/>
        </w:rPr>
        <w:t>advice and act on it, in order to achieve an informed judgment.</w:t>
      </w:r>
    </w:p>
    <w:p>
      <w:pPr>
        <w:pStyle w:val="BodyText"/>
        <w:spacing w:line="480" w:lineRule="auto"/>
        <w:ind w:right="190" w:firstLine="720"/>
        <w:jc w:val="both"/>
      </w:pPr>
      <w:r>
        <w:rPr/>
        <w:t>In contrast, s.279(6) CAMA simply codifies the common law rule that restricts the observance of the duty to voting situations. ―Vote‖ is rather restrictive. It is submitted that it is not only</w:t>
      </w:r>
      <w:r>
        <w:rPr>
          <w:spacing w:val="-2"/>
        </w:rPr>
        <w:t> </w:t>
      </w:r>
      <w:r>
        <w:rPr/>
        <w:t>when it comes to voting that a director‘s independence may be called to question. This is because a director‘s services to the company may go beyond voting at board meetings. Clearly, ―independent judgment‖ is more all- encompassing than ―discretion to vote.‖ Further, the law as codified admits of no derogation from the tone used: ―a director shall not fetter his discretion to vote in a particular way.‖ This is further reinforced by s.279(8) CAMA which nullifies any provisions of the company‘s articles, resolutions or contracts with the director, which purport to qualify this duty in any way. This implies that, under the CAMA, a director cannot contract</w:t>
      </w:r>
      <w:r>
        <w:rPr>
          <w:spacing w:val="-1"/>
        </w:rPr>
        <w:t> </w:t>
      </w:r>
      <w:r>
        <w:rPr/>
        <w:t>on</w:t>
      </w:r>
      <w:r>
        <w:rPr>
          <w:spacing w:val="-1"/>
        </w:rPr>
        <w:t> </w:t>
      </w:r>
      <w:r>
        <w:rPr/>
        <w:t>behalf</w:t>
      </w:r>
      <w:r>
        <w:rPr>
          <w:spacing w:val="-4"/>
        </w:rPr>
        <w:t> </w:t>
      </w:r>
      <w:r>
        <w:rPr/>
        <w:t>of</w:t>
      </w:r>
      <w:r>
        <w:rPr>
          <w:spacing w:val="-4"/>
        </w:rPr>
        <w:t> </w:t>
      </w:r>
      <w:r>
        <w:rPr/>
        <w:t>his company</w:t>
      </w:r>
      <w:r>
        <w:rPr>
          <w:spacing w:val="-1"/>
        </w:rPr>
        <w:t> </w:t>
      </w:r>
      <w:r>
        <w:rPr/>
        <w:t>to bind himself</w:t>
      </w:r>
      <w:r>
        <w:rPr>
          <w:spacing w:val="-4"/>
        </w:rPr>
        <w:t> </w:t>
      </w:r>
      <w:r>
        <w:rPr/>
        <w:t>to act in</w:t>
      </w:r>
      <w:r>
        <w:rPr>
          <w:spacing w:val="-1"/>
        </w:rPr>
        <w:t> </w:t>
      </w:r>
      <w:r>
        <w:rPr/>
        <w:t>a future manner, even in the company‘s own interests. This is in stark contrast to s.173(2) CA.</w:t>
      </w:r>
    </w:p>
    <w:p>
      <w:pPr>
        <w:pStyle w:val="BodyText"/>
        <w:spacing w:line="480" w:lineRule="auto" w:before="3"/>
        <w:ind w:right="183" w:firstLine="720"/>
        <w:jc w:val="both"/>
      </w:pPr>
      <w:r>
        <w:rPr/>
        <w:t>Evidently, s.279(6) &amp; (8) of CAMA needs reconsidering in view of the fact that</w:t>
      </w:r>
      <w:r>
        <w:rPr>
          <w:spacing w:val="40"/>
        </w:rPr>
        <w:t> </w:t>
      </w:r>
      <w:r>
        <w:rPr/>
        <w:t>it does not support modern business exigency. Recall that companies have the capacity</w:t>
      </w:r>
      <w:r>
        <w:rPr>
          <w:spacing w:val="40"/>
        </w:rPr>
        <w:t> </w:t>
      </w:r>
      <w:r>
        <w:rPr/>
        <w:t>of</w:t>
      </w:r>
      <w:r>
        <w:rPr>
          <w:spacing w:val="-4"/>
        </w:rPr>
        <w:t> </w:t>
      </w:r>
      <w:r>
        <w:rPr/>
        <w:t>natural</w:t>
      </w:r>
      <w:r>
        <w:rPr>
          <w:spacing w:val="-6"/>
        </w:rPr>
        <w:t> </w:t>
      </w:r>
      <w:r>
        <w:rPr/>
        <w:t>persons in most respects. When it comes to contracting with</w:t>
      </w:r>
      <w:r>
        <w:rPr>
          <w:spacing w:val="-1"/>
        </w:rPr>
        <w:t> </w:t>
      </w:r>
      <w:r>
        <w:rPr/>
        <w:t>others, there may be situations where a company would be required to conform to a contracting party‘s terms, such as in loan agreements, for example, or contracts involving patent rights. Perhaps, the only sensible qualifier to this rule would be an instance where some other law</w:t>
      </w:r>
      <w:r>
        <w:rPr>
          <w:spacing w:val="15"/>
        </w:rPr>
        <w:t> </w:t>
      </w:r>
      <w:r>
        <w:rPr/>
        <w:t>has</w:t>
      </w:r>
      <w:r>
        <w:rPr>
          <w:spacing w:val="12"/>
        </w:rPr>
        <w:t> </w:t>
      </w:r>
      <w:r>
        <w:rPr/>
        <w:t>clearly</w:t>
      </w:r>
      <w:r>
        <w:rPr>
          <w:spacing w:val="10"/>
        </w:rPr>
        <w:t> </w:t>
      </w:r>
      <w:r>
        <w:rPr/>
        <w:t>criminalized</w:t>
      </w:r>
      <w:r>
        <w:rPr>
          <w:spacing w:val="18"/>
        </w:rPr>
        <w:t> </w:t>
      </w:r>
      <w:r>
        <w:rPr/>
        <w:t>fettering</w:t>
      </w:r>
      <w:r>
        <w:rPr>
          <w:spacing w:val="14"/>
        </w:rPr>
        <w:t> </w:t>
      </w:r>
      <w:r>
        <w:rPr/>
        <w:t>of</w:t>
      </w:r>
      <w:r>
        <w:rPr>
          <w:spacing w:val="6"/>
        </w:rPr>
        <w:t> </w:t>
      </w:r>
      <w:r>
        <w:rPr/>
        <w:t>discretion</w:t>
      </w:r>
      <w:r>
        <w:rPr>
          <w:spacing w:val="14"/>
        </w:rPr>
        <w:t> </w:t>
      </w:r>
      <w:r>
        <w:rPr/>
        <w:t>in</w:t>
      </w:r>
      <w:r>
        <w:rPr>
          <w:spacing w:val="14"/>
        </w:rPr>
        <w:t> </w:t>
      </w:r>
      <w:r>
        <w:rPr/>
        <w:t>a</w:t>
      </w:r>
      <w:r>
        <w:rPr>
          <w:spacing w:val="13"/>
        </w:rPr>
        <w:t> </w:t>
      </w:r>
      <w:r>
        <w:rPr/>
        <w:t>particular</w:t>
      </w:r>
      <w:r>
        <w:rPr>
          <w:spacing w:val="19"/>
        </w:rPr>
        <w:t> </w:t>
      </w:r>
      <w:r>
        <w:rPr/>
        <w:t>manner,</w:t>
      </w:r>
      <w:r>
        <w:rPr>
          <w:spacing w:val="16"/>
        </w:rPr>
        <w:t> </w:t>
      </w:r>
      <w:r>
        <w:rPr/>
        <w:t>such</w:t>
      </w:r>
      <w:r>
        <w:rPr>
          <w:spacing w:val="9"/>
        </w:rPr>
        <w:t> </w:t>
      </w:r>
      <w:r>
        <w:rPr/>
        <w:t>as</w:t>
      </w:r>
      <w:r>
        <w:rPr>
          <w:spacing w:val="17"/>
        </w:rPr>
        <w:t> </w:t>
      </w:r>
      <w:r>
        <w:rPr>
          <w:spacing w:val="-2"/>
        </w:rPr>
        <w:t>anti-</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151"/>
        <w:ind w:left="0"/>
        <w:rPr>
          <w:sz w:val="20"/>
        </w:rPr>
      </w:pPr>
      <w:r>
        <w:rPr/>
        <mc:AlternateContent>
          <mc:Choice Requires="wps">
            <w:drawing>
              <wp:anchor distT="0" distB="0" distL="0" distR="0" allowOverlap="1" layoutInCell="1" locked="0" behindDoc="1" simplePos="0" relativeHeight="487721984">
                <wp:simplePos x="0" y="0"/>
                <wp:positionH relativeFrom="page">
                  <wp:posOffset>1262481</wp:posOffset>
                </wp:positionH>
                <wp:positionV relativeFrom="paragraph">
                  <wp:posOffset>257341</wp:posOffset>
                </wp:positionV>
                <wp:extent cx="1829435" cy="9525"/>
                <wp:effectExtent l="0" t="0" r="0" b="0"/>
                <wp:wrapTopAndBottom/>
                <wp:docPr id="289" name="Graphic 289"/>
                <wp:cNvGraphicFramePr>
                  <a:graphicFrameLocks/>
                </wp:cNvGraphicFramePr>
                <a:graphic>
                  <a:graphicData uri="http://schemas.microsoft.com/office/word/2010/wordprocessingShape">
                    <wps:wsp>
                      <wps:cNvPr id="289" name="Graphic 28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263096pt;width:144.050pt;height:.72003pt;mso-position-horizontal-relative:page;mso-position-vertical-relative:paragraph;z-index:-15594496;mso-wrap-distance-left:0;mso-wrap-distance-right:0" id="docshape244" filled="true" fillcolor="#000000" stroked="false">
                <v:fill type="solid"/>
                <w10:wrap type="topAndBottom"/>
              </v:rect>
            </w:pict>
          </mc:Fallback>
        </mc:AlternateContent>
      </w:r>
    </w:p>
    <w:p>
      <w:pPr>
        <w:spacing w:before="102"/>
        <w:ind w:left="308" w:right="223" w:firstLine="0"/>
        <w:jc w:val="both"/>
        <w:rPr>
          <w:rFonts w:ascii="Calibri"/>
          <w:sz w:val="20"/>
        </w:rPr>
      </w:pPr>
      <w:r>
        <w:rPr>
          <w:rFonts w:ascii="Calibri"/>
          <w:sz w:val="20"/>
          <w:vertAlign w:val="superscript"/>
        </w:rPr>
        <w:t>62</w:t>
      </w:r>
      <w:r>
        <w:rPr>
          <w:rFonts w:ascii="Calibri"/>
          <w:sz w:val="20"/>
          <w:vertAlign w:val="baseline"/>
        </w:rPr>
        <w:t>Goldsmith MP of the Lords Grand Committee.See </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9, quoting the Hansard of February 6, 2006, column 282, accessible at </w:t>
      </w:r>
      <w:hyperlink r:id="rId12">
        <w:r>
          <w:rPr>
            <w:rFonts w:ascii="Calibri"/>
            <w:color w:val="0000FF"/>
            <w:sz w:val="20"/>
            <w:u w:val="single" w:color="0000FF"/>
            <w:vertAlign w:val="baseline"/>
          </w:rPr>
          <w:t>http://www.berr.gov.uk/files/file40139.pdf</w:t>
        </w:r>
      </w:hyperlink>
      <w:r>
        <w:rPr>
          <w:rFonts w:ascii="Calibri"/>
          <w:sz w:val="20"/>
          <w:vertAlign w:val="baseline"/>
        </w:rPr>
        <w:t>, and Davies, L.P. and Worthington, S. (2012). Op.cit. p. 536;</w:t>
      </w:r>
    </w:p>
    <w:p>
      <w:pPr>
        <w:spacing w:after="0"/>
        <w:jc w:val="both"/>
        <w:rPr>
          <w:rFonts w:ascii="Calibri"/>
          <w:sz w:val="20"/>
        </w:rPr>
        <w:sectPr>
          <w:pgSz w:w="11910" w:h="16840"/>
          <w:pgMar w:header="0" w:footer="1003" w:top="1280" w:bottom="1200" w:left="1680" w:right="1180"/>
        </w:sectPr>
      </w:pPr>
    </w:p>
    <w:p>
      <w:pPr>
        <w:pStyle w:val="BodyText"/>
        <w:spacing w:line="480" w:lineRule="auto" w:before="70"/>
        <w:ind w:right="186"/>
        <w:jc w:val="both"/>
      </w:pPr>
      <w:r>
        <w:rPr/>
        <w:t>trust laws</w:t>
      </w:r>
      <w:r>
        <w:rPr>
          <w:spacing w:val="-1"/>
        </w:rPr>
        <w:t> </w:t>
      </w:r>
      <w:r>
        <w:rPr/>
        <w:t>or conducts</w:t>
      </w:r>
      <w:r>
        <w:rPr>
          <w:spacing w:val="-1"/>
        </w:rPr>
        <w:t> </w:t>
      </w:r>
      <w:r>
        <w:rPr/>
        <w:t>amounting to collusive practices, as</w:t>
      </w:r>
      <w:r>
        <w:rPr>
          <w:spacing w:val="-1"/>
        </w:rPr>
        <w:t> </w:t>
      </w:r>
      <w:r>
        <w:rPr/>
        <w:t>was</w:t>
      </w:r>
      <w:r>
        <w:rPr>
          <w:spacing w:val="-1"/>
        </w:rPr>
        <w:t> </w:t>
      </w:r>
      <w:r>
        <w:rPr/>
        <w:t>the case in </w:t>
      </w:r>
      <w:r>
        <w:rPr>
          <w:b/>
        </w:rPr>
        <w:t>Shepherd vs. Williamson</w:t>
      </w:r>
      <w:r>
        <w:rPr>
          <w:vertAlign w:val="superscript"/>
        </w:rPr>
        <w:t>63</w:t>
      </w:r>
      <w:r>
        <w:rPr>
          <w:vertAlign w:val="baseline"/>
        </w:rPr>
        <w:t>discussed earlier.</w:t>
      </w:r>
      <w:r>
        <w:rPr>
          <w:vertAlign w:val="superscript"/>
        </w:rPr>
        <w:t>64</w:t>
      </w:r>
      <w:r>
        <w:rPr>
          <w:vertAlign w:val="baseline"/>
        </w:rPr>
        <w:t> This is in order to allow for fair trading.</w:t>
      </w:r>
    </w:p>
    <w:p>
      <w:pPr>
        <w:pStyle w:val="Heading2"/>
        <w:numPr>
          <w:ilvl w:val="2"/>
          <w:numId w:val="20"/>
        </w:numPr>
        <w:tabs>
          <w:tab w:pos="1027" w:val="left" w:leader="none"/>
        </w:tabs>
        <w:spacing w:line="240" w:lineRule="auto" w:before="207" w:after="0"/>
        <w:ind w:left="1027" w:right="0" w:hanging="719"/>
        <w:jc w:val="both"/>
      </w:pPr>
      <w:bookmarkStart w:name="_TOC_250007" w:id="45"/>
      <w:r>
        <w:rPr/>
        <w:t>Duty</w:t>
      </w:r>
      <w:r>
        <w:rPr>
          <w:spacing w:val="-1"/>
        </w:rPr>
        <w:t> </w:t>
      </w:r>
      <w:r>
        <w:rPr/>
        <w:t>to</w:t>
      </w:r>
      <w:r>
        <w:rPr>
          <w:spacing w:val="-6"/>
        </w:rPr>
        <w:t> </w:t>
      </w:r>
      <w:r>
        <w:rPr/>
        <w:t>Exercise</w:t>
      </w:r>
      <w:r>
        <w:rPr>
          <w:spacing w:val="-2"/>
        </w:rPr>
        <w:t> </w:t>
      </w:r>
      <w:r>
        <w:rPr/>
        <w:t>Reasonable</w:t>
      </w:r>
      <w:r>
        <w:rPr>
          <w:spacing w:val="-1"/>
        </w:rPr>
        <w:t> </w:t>
      </w:r>
      <w:r>
        <w:rPr/>
        <w:t>Care,</w:t>
      </w:r>
      <w:r>
        <w:rPr>
          <w:spacing w:val="1"/>
        </w:rPr>
        <w:t> </w:t>
      </w:r>
      <w:r>
        <w:rPr/>
        <w:t>Skill</w:t>
      </w:r>
      <w:r>
        <w:rPr>
          <w:spacing w:val="-6"/>
        </w:rPr>
        <w:t> </w:t>
      </w:r>
      <w:r>
        <w:rPr/>
        <w:t>and </w:t>
      </w:r>
      <w:bookmarkEnd w:id="45"/>
      <w:r>
        <w:rPr>
          <w:spacing w:val="-2"/>
        </w:rPr>
        <w:t>Diligence</w:t>
      </w:r>
    </w:p>
    <w:p>
      <w:pPr>
        <w:pStyle w:val="BodyText"/>
        <w:spacing w:line="480" w:lineRule="auto" w:before="132"/>
        <w:ind w:right="191"/>
        <w:jc w:val="both"/>
      </w:pPr>
      <w:r>
        <w:rPr/>
        <w:t>This is another area where the UK law codified the common law that had developed up to the time of the enactment of the CA. Hitherto, the standard of care required was at</w:t>
      </w:r>
      <w:r>
        <w:rPr>
          <w:spacing w:val="40"/>
        </w:rPr>
        <w:t> </w:t>
      </w:r>
      <w:r>
        <w:rPr/>
        <w:t>best minimal for a director was not easily found liable when judged against that standard.</w:t>
      </w:r>
      <w:r>
        <w:rPr>
          <w:vertAlign w:val="superscript"/>
        </w:rPr>
        <w:t>65</w:t>
      </w:r>
      <w:r>
        <w:rPr>
          <w:vertAlign w:val="baseline"/>
        </w:rPr>
        <w:t> The general view then was that the common law gave directors a remarkable freedom to run companies incompetently.</w:t>
      </w:r>
      <w:r>
        <w:rPr>
          <w:vertAlign w:val="superscript"/>
        </w:rPr>
        <w:t>66</w:t>
      </w:r>
      <w:r>
        <w:rPr>
          <w:vertAlign w:val="baseline"/>
        </w:rPr>
        <w:t> Over time, however, the courts had a rethink</w:t>
      </w:r>
      <w:r>
        <w:rPr>
          <w:vertAlign w:val="superscript"/>
        </w:rPr>
        <w:t>67</w:t>
      </w:r>
      <w:r>
        <w:rPr>
          <w:vertAlign w:val="baseline"/>
        </w:rPr>
        <w:t> and s.174 CA was an attempt to set the record straight. Thus,</w:t>
      </w:r>
    </w:p>
    <w:p>
      <w:pPr>
        <w:pStyle w:val="ListParagraph"/>
        <w:numPr>
          <w:ilvl w:val="3"/>
          <w:numId w:val="20"/>
        </w:numPr>
        <w:tabs>
          <w:tab w:pos="2007" w:val="left" w:leader="none"/>
          <w:tab w:pos="2114" w:val="left" w:leader="none"/>
        </w:tabs>
        <w:spacing w:line="242" w:lineRule="auto" w:before="1" w:after="0"/>
        <w:ind w:left="2007" w:right="1888" w:hanging="260"/>
        <w:jc w:val="both"/>
        <w:rPr>
          <w:i/>
          <w:sz w:val="24"/>
        </w:rPr>
      </w:pPr>
      <w:r>
        <w:rPr>
          <w:i/>
          <w:sz w:val="24"/>
        </w:rPr>
        <w:t>A director of a company must exercise reasonable care, skill and diligence.</w:t>
      </w:r>
    </w:p>
    <w:p>
      <w:pPr>
        <w:pStyle w:val="ListParagraph"/>
        <w:numPr>
          <w:ilvl w:val="3"/>
          <w:numId w:val="20"/>
        </w:numPr>
        <w:tabs>
          <w:tab w:pos="2007" w:val="left" w:leader="none"/>
          <w:tab w:pos="2104" w:val="left" w:leader="none"/>
        </w:tabs>
        <w:spacing w:line="242" w:lineRule="auto" w:before="0" w:after="0"/>
        <w:ind w:left="2007" w:right="1892" w:hanging="260"/>
        <w:jc w:val="both"/>
        <w:rPr>
          <w:i/>
          <w:sz w:val="24"/>
        </w:rPr>
      </w:pPr>
      <w:r>
        <w:rPr>
          <w:i/>
          <w:sz w:val="24"/>
        </w:rPr>
        <w:t>This means the care, skill and diligence that would be exercised by a reasonably diligent person with—</w:t>
      </w:r>
    </w:p>
    <w:p>
      <w:pPr>
        <w:pStyle w:val="ListParagraph"/>
        <w:numPr>
          <w:ilvl w:val="4"/>
          <w:numId w:val="20"/>
        </w:numPr>
        <w:tabs>
          <w:tab w:pos="2007" w:val="left" w:leader="none"/>
          <w:tab w:pos="2143" w:val="left" w:leader="none"/>
        </w:tabs>
        <w:spacing w:line="240" w:lineRule="auto" w:before="0" w:after="0"/>
        <w:ind w:left="2007" w:right="1889" w:hanging="260"/>
        <w:jc w:val="both"/>
        <w:rPr>
          <w:i/>
          <w:sz w:val="24"/>
        </w:rPr>
      </w:pPr>
      <w:r>
        <w:rPr>
          <w:i/>
          <w:sz w:val="24"/>
        </w:rPr>
        <w:t>the general knowledge, skill and experience that may</w:t>
      </w:r>
      <w:r>
        <w:rPr>
          <w:i/>
          <w:spacing w:val="-1"/>
          <w:sz w:val="24"/>
        </w:rPr>
        <w:t> </w:t>
      </w:r>
      <w:r>
        <w:rPr>
          <w:i/>
          <w:sz w:val="24"/>
        </w:rPr>
        <w:t>reasonably be expected of a person carrying out the functions carried out by the director in relation</w:t>
      </w:r>
      <w:r>
        <w:rPr>
          <w:i/>
          <w:spacing w:val="80"/>
          <w:sz w:val="24"/>
        </w:rPr>
        <w:t> </w:t>
      </w:r>
      <w:r>
        <w:rPr>
          <w:i/>
          <w:sz w:val="24"/>
        </w:rPr>
        <w:t>to the company, and</w:t>
      </w:r>
    </w:p>
    <w:p>
      <w:pPr>
        <w:pStyle w:val="ListParagraph"/>
        <w:numPr>
          <w:ilvl w:val="4"/>
          <w:numId w:val="20"/>
        </w:numPr>
        <w:tabs>
          <w:tab w:pos="2007" w:val="left" w:leader="none"/>
          <w:tab w:pos="2090" w:val="left" w:leader="none"/>
        </w:tabs>
        <w:spacing w:line="242" w:lineRule="auto" w:before="0" w:after="0"/>
        <w:ind w:left="2007" w:right="1888" w:hanging="260"/>
        <w:jc w:val="both"/>
        <w:rPr>
          <w:i/>
          <w:sz w:val="24"/>
        </w:rPr>
      </w:pPr>
      <w:r>
        <w:rPr>
          <w:i/>
          <w:sz w:val="24"/>
        </w:rPr>
        <w:t>the general knowledge, skill and experience that the director has.</w:t>
      </w:r>
    </w:p>
    <w:p>
      <w:pPr>
        <w:pStyle w:val="BodyText"/>
        <w:spacing w:line="480" w:lineRule="auto" w:before="263"/>
        <w:ind w:right="177"/>
        <w:jc w:val="both"/>
      </w:pPr>
      <w:r>
        <w:rPr/>
        <w:t>The section is reminiscent of s.214 of the UK Insolvency Act 1986. The law has effectively classified directors here because s.174(2)(a) CA takes into consideration the particular responsibilities attached to the office of any particular director, while subsection (2)(b) holds the director accountable to the extent of any extra qualifications he</w:t>
      </w:r>
      <w:r>
        <w:rPr>
          <w:spacing w:val="29"/>
        </w:rPr>
        <w:t> </w:t>
      </w:r>
      <w:r>
        <w:rPr/>
        <w:t>might</w:t>
      </w:r>
      <w:r>
        <w:rPr>
          <w:spacing w:val="31"/>
        </w:rPr>
        <w:t> </w:t>
      </w:r>
      <w:r>
        <w:rPr/>
        <w:t>possess.</w:t>
      </w:r>
      <w:r>
        <w:rPr>
          <w:spacing w:val="29"/>
        </w:rPr>
        <w:t> </w:t>
      </w:r>
      <w:r>
        <w:rPr/>
        <w:t>This</w:t>
      </w:r>
      <w:r>
        <w:rPr>
          <w:spacing w:val="28"/>
        </w:rPr>
        <w:t> </w:t>
      </w:r>
      <w:r>
        <w:rPr/>
        <w:t>makes</w:t>
      </w:r>
      <w:r>
        <w:rPr>
          <w:spacing w:val="24"/>
        </w:rPr>
        <w:t> </w:t>
      </w:r>
      <w:r>
        <w:rPr/>
        <w:t>the</w:t>
      </w:r>
      <w:r>
        <w:rPr>
          <w:spacing w:val="26"/>
        </w:rPr>
        <w:t> </w:t>
      </w:r>
      <w:r>
        <w:rPr/>
        <w:t>requirement</w:t>
      </w:r>
      <w:r>
        <w:rPr>
          <w:spacing w:val="31"/>
        </w:rPr>
        <w:t> </w:t>
      </w:r>
      <w:r>
        <w:rPr/>
        <w:t>cumulative.</w:t>
      </w:r>
      <w:r>
        <w:rPr>
          <w:vertAlign w:val="superscript"/>
        </w:rPr>
        <w:t>68</w:t>
      </w:r>
      <w:r>
        <w:rPr>
          <w:spacing w:val="28"/>
          <w:vertAlign w:val="baseline"/>
        </w:rPr>
        <w:t> </w:t>
      </w:r>
      <w:r>
        <w:rPr>
          <w:vertAlign w:val="baseline"/>
        </w:rPr>
        <w:t>Previously,</w:t>
      </w:r>
      <w:r>
        <w:rPr>
          <w:spacing w:val="31"/>
          <w:vertAlign w:val="baseline"/>
        </w:rPr>
        <w:t> </w:t>
      </w:r>
      <w:r>
        <w:rPr>
          <w:vertAlign w:val="baseline"/>
        </w:rPr>
        <w:t>the</w:t>
      </w:r>
      <w:r>
        <w:rPr>
          <w:spacing w:val="25"/>
          <w:vertAlign w:val="baseline"/>
        </w:rPr>
        <w:t> </w:t>
      </w:r>
      <w:r>
        <w:rPr>
          <w:spacing w:val="-2"/>
          <w:vertAlign w:val="baseline"/>
        </w:rPr>
        <w:t>director‘s</w:t>
      </w:r>
    </w:p>
    <w:p>
      <w:pPr>
        <w:pStyle w:val="BodyText"/>
        <w:spacing w:before="125"/>
        <w:ind w:left="0"/>
        <w:rPr>
          <w:sz w:val="20"/>
        </w:rPr>
      </w:pPr>
      <w:r>
        <w:rPr/>
        <mc:AlternateContent>
          <mc:Choice Requires="wps">
            <w:drawing>
              <wp:anchor distT="0" distB="0" distL="0" distR="0" allowOverlap="1" layoutInCell="1" locked="0" behindDoc="1" simplePos="0" relativeHeight="487722496">
                <wp:simplePos x="0" y="0"/>
                <wp:positionH relativeFrom="page">
                  <wp:posOffset>1262481</wp:posOffset>
                </wp:positionH>
                <wp:positionV relativeFrom="paragraph">
                  <wp:posOffset>240733</wp:posOffset>
                </wp:positionV>
                <wp:extent cx="1829435" cy="9525"/>
                <wp:effectExtent l="0" t="0" r="0" b="0"/>
                <wp:wrapTopAndBottom/>
                <wp:docPr id="290" name="Graphic 290"/>
                <wp:cNvGraphicFramePr>
                  <a:graphicFrameLocks/>
                </wp:cNvGraphicFramePr>
                <a:graphic>
                  <a:graphicData uri="http://schemas.microsoft.com/office/word/2010/wordprocessingShape">
                    <wps:wsp>
                      <wps:cNvPr id="290" name="Graphic 290"/>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8.9554pt;width:144.050pt;height:.72003pt;mso-position-horizontal-relative:page;mso-position-vertical-relative:paragraph;z-index:-15593984;mso-wrap-distance-left:0;mso-wrap-distance-right:0" id="docshape245"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63</w:t>
      </w:r>
      <w:r>
        <w:rPr>
          <w:rFonts w:ascii="Calibri"/>
          <w:spacing w:val="-1"/>
          <w:sz w:val="20"/>
          <w:vertAlign w:val="baseline"/>
        </w:rPr>
        <w:t> </w:t>
      </w:r>
      <w:r>
        <w:rPr>
          <w:rFonts w:ascii="Calibri"/>
          <w:sz w:val="20"/>
          <w:vertAlign w:val="baseline"/>
        </w:rPr>
        <w:t>(2010)</w:t>
      </w:r>
      <w:r>
        <w:rPr>
          <w:rFonts w:ascii="Calibri"/>
          <w:spacing w:val="-5"/>
          <w:sz w:val="20"/>
          <w:vertAlign w:val="baseline"/>
        </w:rPr>
        <w:t> </w:t>
      </w:r>
      <w:r>
        <w:rPr>
          <w:rFonts w:ascii="Calibri"/>
          <w:sz w:val="20"/>
          <w:vertAlign w:val="baseline"/>
        </w:rPr>
        <w:t>EWHC</w:t>
      </w:r>
      <w:r>
        <w:rPr>
          <w:rFonts w:ascii="Calibri"/>
          <w:spacing w:val="-4"/>
          <w:sz w:val="20"/>
          <w:vertAlign w:val="baseline"/>
        </w:rPr>
        <w:t> </w:t>
      </w:r>
      <w:r>
        <w:rPr>
          <w:rFonts w:ascii="Calibri"/>
          <w:sz w:val="20"/>
          <w:vertAlign w:val="baseline"/>
        </w:rPr>
        <w:t>2375,</w:t>
      </w:r>
      <w:r>
        <w:rPr>
          <w:rFonts w:ascii="Calibri"/>
          <w:spacing w:val="-4"/>
          <w:sz w:val="20"/>
          <w:vertAlign w:val="baseline"/>
        </w:rPr>
        <w:t> </w:t>
      </w:r>
      <w:r>
        <w:rPr>
          <w:rFonts w:ascii="Calibri"/>
          <w:spacing w:val="-5"/>
          <w:sz w:val="20"/>
          <w:vertAlign w:val="baseline"/>
        </w:rPr>
        <w:t>Ch.</w:t>
      </w:r>
    </w:p>
    <w:p>
      <w:pPr>
        <w:spacing w:before="1"/>
        <w:ind w:left="308" w:right="0" w:firstLine="0"/>
        <w:jc w:val="left"/>
        <w:rPr>
          <w:rFonts w:ascii="Calibri"/>
          <w:sz w:val="20"/>
        </w:rPr>
      </w:pPr>
      <w:r>
        <w:rPr>
          <w:rFonts w:ascii="Calibri"/>
          <w:sz w:val="20"/>
          <w:vertAlign w:val="superscript"/>
        </w:rPr>
        <w:t>64</w:t>
      </w:r>
      <w:r>
        <w:rPr>
          <w:rFonts w:ascii="Calibri"/>
          <w:sz w:val="20"/>
          <w:vertAlign w:val="baseline"/>
        </w:rPr>
        <w:t> Refer</w:t>
      </w:r>
      <w:r>
        <w:rPr>
          <w:rFonts w:ascii="Calibri"/>
          <w:spacing w:val="-5"/>
          <w:sz w:val="20"/>
          <w:vertAlign w:val="baseline"/>
        </w:rPr>
        <w:t> </w:t>
      </w:r>
      <w:r>
        <w:rPr>
          <w:rFonts w:ascii="Calibri"/>
          <w:sz w:val="20"/>
          <w:vertAlign w:val="baseline"/>
        </w:rPr>
        <w:t>to</w:t>
      </w:r>
      <w:r>
        <w:rPr>
          <w:rFonts w:ascii="Calibri"/>
          <w:spacing w:val="-6"/>
          <w:sz w:val="20"/>
          <w:vertAlign w:val="baseline"/>
        </w:rPr>
        <w:t> </w:t>
      </w:r>
      <w:r>
        <w:rPr>
          <w:rFonts w:ascii="Calibri"/>
          <w:b/>
          <w:sz w:val="20"/>
          <w:vertAlign w:val="baseline"/>
        </w:rPr>
        <w:t>4.2.3</w:t>
      </w:r>
      <w:r>
        <w:rPr>
          <w:rFonts w:ascii="Calibri"/>
          <w:b/>
          <w:spacing w:val="-3"/>
          <w:sz w:val="20"/>
          <w:vertAlign w:val="baseline"/>
        </w:rPr>
        <w:t> </w:t>
      </w:r>
      <w:r>
        <w:rPr>
          <w:rFonts w:ascii="Calibri"/>
          <w:spacing w:val="-2"/>
          <w:sz w:val="20"/>
          <w:vertAlign w:val="baseline"/>
        </w:rPr>
        <w:t>supra.</w:t>
      </w:r>
    </w:p>
    <w:p>
      <w:pPr>
        <w:spacing w:line="240" w:lineRule="auto" w:before="0"/>
        <w:ind w:left="308" w:right="225" w:firstLine="0"/>
        <w:jc w:val="left"/>
        <w:rPr>
          <w:rFonts w:ascii="Calibri" w:hAnsi="Calibri"/>
          <w:sz w:val="20"/>
        </w:rPr>
      </w:pPr>
      <w:r>
        <w:rPr>
          <w:rFonts w:ascii="Calibri" w:hAnsi="Calibri"/>
          <w:sz w:val="20"/>
          <w:vertAlign w:val="superscript"/>
        </w:rPr>
        <w:t>65</w:t>
      </w:r>
      <w:r>
        <w:rPr>
          <w:rFonts w:ascii="Calibri" w:hAnsi="Calibri"/>
          <w:sz w:val="20"/>
          <w:vertAlign w:val="baseline"/>
        </w:rPr>
        <w:t> See for example the</w:t>
      </w:r>
      <w:r>
        <w:rPr>
          <w:rFonts w:ascii="Calibri" w:hAnsi="Calibri"/>
          <w:spacing w:val="-5"/>
          <w:sz w:val="20"/>
          <w:vertAlign w:val="baseline"/>
        </w:rPr>
        <w:t> </w:t>
      </w:r>
      <w:r>
        <w:rPr>
          <w:rFonts w:ascii="Calibri" w:hAnsi="Calibri"/>
          <w:sz w:val="20"/>
          <w:vertAlign w:val="baseline"/>
        </w:rPr>
        <w:t>cases</w:t>
      </w:r>
      <w:r>
        <w:rPr>
          <w:rFonts w:ascii="Calibri" w:hAnsi="Calibri"/>
          <w:spacing w:val="-2"/>
          <w:sz w:val="20"/>
          <w:vertAlign w:val="baseline"/>
        </w:rPr>
        <w:t> </w:t>
      </w:r>
      <w:r>
        <w:rPr>
          <w:rFonts w:ascii="Calibri" w:hAnsi="Calibri"/>
          <w:sz w:val="20"/>
          <w:vertAlign w:val="baseline"/>
        </w:rPr>
        <w:t>of</w:t>
      </w:r>
      <w:r>
        <w:rPr>
          <w:rFonts w:ascii="Calibri" w:hAnsi="Calibri"/>
          <w:spacing w:val="-1"/>
          <w:sz w:val="20"/>
          <w:vertAlign w:val="baseline"/>
        </w:rPr>
        <w:t> </w:t>
      </w:r>
      <w:r>
        <w:rPr>
          <w:rFonts w:ascii="Calibri" w:hAnsi="Calibri"/>
          <w:i/>
          <w:sz w:val="20"/>
          <w:vertAlign w:val="baseline"/>
        </w:rPr>
        <w:t>Re City</w:t>
      </w:r>
      <w:r>
        <w:rPr>
          <w:rFonts w:ascii="Calibri" w:hAnsi="Calibri"/>
          <w:i/>
          <w:spacing w:val="-4"/>
          <w:sz w:val="20"/>
          <w:vertAlign w:val="baseline"/>
        </w:rPr>
        <w:t> </w:t>
      </w:r>
      <w:r>
        <w:rPr>
          <w:rFonts w:ascii="Calibri" w:hAnsi="Calibri"/>
          <w:i/>
          <w:sz w:val="20"/>
          <w:vertAlign w:val="baseline"/>
        </w:rPr>
        <w:t>Equitable Fire</w:t>
      </w:r>
      <w:r>
        <w:rPr>
          <w:rFonts w:ascii="Calibri" w:hAnsi="Calibri"/>
          <w:i/>
          <w:spacing w:val="-5"/>
          <w:sz w:val="20"/>
          <w:vertAlign w:val="baseline"/>
        </w:rPr>
        <w:t> </w:t>
      </w:r>
      <w:r>
        <w:rPr>
          <w:rFonts w:ascii="Calibri" w:hAnsi="Calibri"/>
          <w:i/>
          <w:sz w:val="20"/>
          <w:vertAlign w:val="baseline"/>
        </w:rPr>
        <w:t>Insurance Co.</w:t>
      </w:r>
      <w:r>
        <w:rPr>
          <w:rFonts w:ascii="Calibri" w:hAnsi="Calibri"/>
          <w:sz w:val="20"/>
          <w:vertAlign w:val="baseline"/>
        </w:rPr>
        <w:t>(1925) Ch. 40; </w:t>
      </w:r>
      <w:r>
        <w:rPr>
          <w:rFonts w:ascii="Calibri" w:hAnsi="Calibri"/>
          <w:i/>
          <w:sz w:val="20"/>
          <w:vertAlign w:val="baseline"/>
        </w:rPr>
        <w:t>Re</w:t>
      </w:r>
      <w:r>
        <w:rPr>
          <w:rFonts w:ascii="Calibri" w:hAnsi="Calibri"/>
          <w:i/>
          <w:spacing w:val="-5"/>
          <w:sz w:val="20"/>
          <w:vertAlign w:val="baseline"/>
        </w:rPr>
        <w:t> </w:t>
      </w:r>
      <w:r>
        <w:rPr>
          <w:rFonts w:ascii="Calibri" w:hAnsi="Calibri"/>
          <w:i/>
          <w:sz w:val="20"/>
          <w:vertAlign w:val="baseline"/>
        </w:rPr>
        <w:t>Cardiff Savings</w:t>
      </w:r>
      <w:r>
        <w:rPr>
          <w:rFonts w:ascii="Calibri" w:hAnsi="Calibri"/>
          <w:i/>
          <w:spacing w:val="-2"/>
          <w:sz w:val="20"/>
          <w:vertAlign w:val="baseline"/>
        </w:rPr>
        <w:t> </w:t>
      </w:r>
      <w:r>
        <w:rPr>
          <w:rFonts w:ascii="Calibri" w:hAnsi="Calibri"/>
          <w:i/>
          <w:sz w:val="20"/>
          <w:vertAlign w:val="baseline"/>
        </w:rPr>
        <w:t>Bank (Marquis</w:t>
      </w:r>
      <w:r>
        <w:rPr>
          <w:rFonts w:ascii="Calibri" w:hAnsi="Calibri"/>
          <w:i/>
          <w:spacing w:val="-1"/>
          <w:sz w:val="20"/>
          <w:vertAlign w:val="baseline"/>
        </w:rPr>
        <w:t> </w:t>
      </w:r>
      <w:r>
        <w:rPr>
          <w:rFonts w:ascii="Calibri" w:hAnsi="Calibri"/>
          <w:i/>
          <w:sz w:val="20"/>
          <w:vertAlign w:val="baseline"/>
        </w:rPr>
        <w:t>of Bute’s Case) </w:t>
      </w:r>
      <w:r>
        <w:rPr>
          <w:rFonts w:ascii="Calibri" w:hAnsi="Calibri"/>
          <w:sz w:val="20"/>
          <w:vertAlign w:val="baseline"/>
        </w:rPr>
        <w:t>(1892) Ch. 100 and </w:t>
      </w:r>
      <w:r>
        <w:rPr>
          <w:rFonts w:ascii="Calibri" w:hAnsi="Calibri"/>
          <w:i/>
          <w:sz w:val="20"/>
          <w:vertAlign w:val="baseline"/>
        </w:rPr>
        <w:t>Re Brazilian Rubber Plantations</w:t>
      </w:r>
      <w:r>
        <w:rPr>
          <w:rFonts w:ascii="Calibri" w:hAnsi="Calibri"/>
          <w:i/>
          <w:spacing w:val="-1"/>
          <w:sz w:val="20"/>
          <w:vertAlign w:val="baseline"/>
        </w:rPr>
        <w:t> </w:t>
      </w:r>
      <w:r>
        <w:rPr>
          <w:rFonts w:ascii="Calibri" w:hAnsi="Calibri"/>
          <w:i/>
          <w:sz w:val="20"/>
          <w:vertAlign w:val="baseline"/>
        </w:rPr>
        <w:t>and</w:t>
      </w:r>
      <w:r>
        <w:rPr>
          <w:rFonts w:ascii="Calibri" w:hAnsi="Calibri"/>
          <w:i/>
          <w:spacing w:val="-2"/>
          <w:sz w:val="20"/>
          <w:vertAlign w:val="baseline"/>
        </w:rPr>
        <w:t> </w:t>
      </w:r>
      <w:r>
        <w:rPr>
          <w:rFonts w:ascii="Calibri" w:hAnsi="Calibri"/>
          <w:i/>
          <w:sz w:val="20"/>
          <w:vertAlign w:val="baseline"/>
        </w:rPr>
        <w:t>Estate</w:t>
      </w:r>
      <w:r>
        <w:rPr>
          <w:rFonts w:ascii="Calibri" w:hAnsi="Calibri"/>
          <w:sz w:val="20"/>
          <w:vertAlign w:val="baseline"/>
        </w:rPr>
        <w:t>(1911) 1</w:t>
      </w:r>
      <w:r>
        <w:rPr>
          <w:rFonts w:ascii="Calibri" w:hAnsi="Calibri"/>
          <w:spacing w:val="-1"/>
          <w:sz w:val="20"/>
          <w:vertAlign w:val="baseline"/>
        </w:rPr>
        <w:t> </w:t>
      </w:r>
      <w:r>
        <w:rPr>
          <w:rFonts w:ascii="Calibri" w:hAnsi="Calibri"/>
          <w:sz w:val="20"/>
          <w:vertAlign w:val="baseline"/>
        </w:rPr>
        <w:t>Ch. 425. </w:t>
      </w:r>
      <w:r>
        <w:rPr>
          <w:rFonts w:ascii="Calibri" w:hAnsi="Calibri"/>
          <w:sz w:val="20"/>
          <w:vertAlign w:val="superscript"/>
        </w:rPr>
        <w:t>66</w:t>
      </w:r>
      <w:r>
        <w:rPr>
          <w:rFonts w:ascii="Calibri" w:hAnsi="Calibri"/>
          <w:sz w:val="20"/>
          <w:vertAlign w:val="baseline"/>
        </w:rPr>
        <w:t>Finch, V. (1992).Company Directors: Who Cares About Skill and Care? </w:t>
      </w:r>
      <w:r>
        <w:rPr>
          <w:rFonts w:ascii="Calibri" w:hAnsi="Calibri"/>
          <w:i/>
          <w:sz w:val="20"/>
          <w:vertAlign w:val="baseline"/>
        </w:rPr>
        <w:t>Modern Law Report, </w:t>
      </w:r>
      <w:r>
        <w:rPr>
          <w:rFonts w:ascii="Calibri" w:hAnsi="Calibri"/>
          <w:sz w:val="20"/>
          <w:vertAlign w:val="baseline"/>
        </w:rPr>
        <w:t>55 (2): 179 at 179.</w:t>
      </w:r>
    </w:p>
    <w:p>
      <w:pPr>
        <w:spacing w:before="0"/>
        <w:ind w:left="308" w:right="227" w:firstLine="0"/>
        <w:jc w:val="both"/>
        <w:rPr>
          <w:rFonts w:ascii="Calibri" w:hAnsi="Calibri"/>
          <w:sz w:val="20"/>
        </w:rPr>
      </w:pPr>
      <w:r>
        <w:rPr>
          <w:rFonts w:ascii="Calibri" w:hAnsi="Calibri"/>
          <w:sz w:val="20"/>
          <w:vertAlign w:val="superscript"/>
        </w:rPr>
        <w:t>67</w:t>
      </w:r>
      <w:r>
        <w:rPr>
          <w:rFonts w:ascii="Calibri" w:hAnsi="Calibri"/>
          <w:sz w:val="20"/>
          <w:vertAlign w:val="baseline"/>
        </w:rPr>
        <w:t> Beginning with cases such as </w:t>
      </w:r>
      <w:r>
        <w:rPr>
          <w:rFonts w:ascii="Calibri" w:hAnsi="Calibri"/>
          <w:i/>
          <w:sz w:val="20"/>
          <w:vertAlign w:val="baseline"/>
        </w:rPr>
        <w:t>Dorchester Finance Co. Ltd. vs. Stebbing, </w:t>
      </w:r>
      <w:r>
        <w:rPr>
          <w:rFonts w:ascii="Calibri" w:hAnsi="Calibri"/>
          <w:sz w:val="20"/>
          <w:vertAlign w:val="baseline"/>
        </w:rPr>
        <w:t>decided in 1977, but reported much later: (1989) BCLC 498; </w:t>
      </w:r>
      <w:r>
        <w:rPr>
          <w:rFonts w:ascii="Calibri" w:hAnsi="Calibri"/>
          <w:i/>
          <w:sz w:val="20"/>
          <w:vertAlign w:val="baseline"/>
        </w:rPr>
        <w:t>Norman vs. Theodore Goddard </w:t>
      </w:r>
      <w:r>
        <w:rPr>
          <w:rFonts w:ascii="Calibri" w:hAnsi="Calibri"/>
          <w:sz w:val="20"/>
          <w:vertAlign w:val="baseline"/>
        </w:rPr>
        <w:t>(1991) BCLC 1028; </w:t>
      </w:r>
      <w:r>
        <w:rPr>
          <w:rFonts w:ascii="Calibri" w:hAnsi="Calibri"/>
          <w:i/>
          <w:sz w:val="20"/>
          <w:vertAlign w:val="baseline"/>
        </w:rPr>
        <w:t>Re D’Jan of London Ltd. </w:t>
      </w:r>
      <w:r>
        <w:rPr>
          <w:rFonts w:ascii="Calibri" w:hAnsi="Calibri"/>
          <w:sz w:val="20"/>
          <w:vertAlign w:val="baseline"/>
        </w:rPr>
        <w:t>(1993) BCC 646; and </w:t>
      </w:r>
      <w:r>
        <w:rPr>
          <w:rFonts w:ascii="Calibri" w:hAnsi="Calibri"/>
          <w:i/>
          <w:sz w:val="20"/>
          <w:vertAlign w:val="baseline"/>
        </w:rPr>
        <w:t>Re Barings Plc. </w:t>
      </w:r>
      <w:r>
        <w:rPr>
          <w:rFonts w:ascii="Calibri" w:hAnsi="Calibri"/>
          <w:sz w:val="20"/>
          <w:vertAlign w:val="baseline"/>
        </w:rPr>
        <w:t>[No. 5] (2000) 1 BCLC 523.</w:t>
      </w:r>
    </w:p>
    <w:p>
      <w:pPr>
        <w:spacing w:before="1"/>
        <w:ind w:left="308" w:right="223" w:firstLine="0"/>
        <w:jc w:val="both"/>
        <w:rPr>
          <w:rFonts w:ascii="Calibri"/>
          <w:sz w:val="20"/>
        </w:rPr>
      </w:pPr>
      <w:r>
        <w:rPr>
          <w:rFonts w:ascii="Calibri"/>
          <w:sz w:val="20"/>
          <w:vertAlign w:val="superscript"/>
        </w:rPr>
        <w:t>68</w:t>
      </w:r>
      <w:r>
        <w:rPr>
          <w:rFonts w:ascii="Calibri"/>
          <w:sz w:val="20"/>
          <w:vertAlign w:val="baseline"/>
        </w:rPr>
        <w:t>Goldsmith MP of the Lords Grand Committee.See </w:t>
      </w:r>
      <w:r>
        <w:rPr>
          <w:rFonts w:ascii="Calibri"/>
          <w:i/>
          <w:sz w:val="20"/>
          <w:vertAlign w:val="baseline"/>
        </w:rPr>
        <w:t>Companies Act 2006: Duties of Company Directors</w:t>
      </w:r>
      <w:r>
        <w:rPr>
          <w:rFonts w:ascii="Calibri"/>
          <w:sz w:val="20"/>
          <w:vertAlign w:val="baseline"/>
        </w:rPr>
        <w:t>, Ministerial</w:t>
      </w:r>
      <w:r>
        <w:rPr>
          <w:rFonts w:ascii="Calibri"/>
          <w:spacing w:val="32"/>
          <w:sz w:val="20"/>
          <w:vertAlign w:val="baseline"/>
        </w:rPr>
        <w:t> </w:t>
      </w:r>
      <w:r>
        <w:rPr>
          <w:rFonts w:ascii="Calibri"/>
          <w:sz w:val="20"/>
          <w:vertAlign w:val="baseline"/>
        </w:rPr>
        <w:t>Statements</w:t>
      </w:r>
      <w:r>
        <w:rPr>
          <w:rFonts w:ascii="Calibri"/>
          <w:spacing w:val="28"/>
          <w:sz w:val="20"/>
          <w:vertAlign w:val="baseline"/>
        </w:rPr>
        <w:t> </w:t>
      </w:r>
      <w:r>
        <w:rPr>
          <w:rFonts w:ascii="Calibri"/>
          <w:sz w:val="20"/>
          <w:vertAlign w:val="baseline"/>
        </w:rPr>
        <w:t>published</w:t>
      </w:r>
      <w:r>
        <w:rPr>
          <w:rFonts w:ascii="Calibri"/>
          <w:spacing w:val="31"/>
          <w:sz w:val="20"/>
          <w:vertAlign w:val="baseline"/>
        </w:rPr>
        <w:t> </w:t>
      </w:r>
      <w:r>
        <w:rPr>
          <w:rFonts w:ascii="Calibri"/>
          <w:sz w:val="20"/>
          <w:vertAlign w:val="baseline"/>
        </w:rPr>
        <w:t>by</w:t>
      </w:r>
      <w:r>
        <w:rPr>
          <w:rFonts w:ascii="Calibri"/>
          <w:spacing w:val="30"/>
          <w:sz w:val="20"/>
          <w:vertAlign w:val="baseline"/>
        </w:rPr>
        <w:t> </w:t>
      </w:r>
      <w:r>
        <w:rPr>
          <w:rFonts w:ascii="Calibri"/>
          <w:sz w:val="20"/>
          <w:vertAlign w:val="baseline"/>
        </w:rPr>
        <w:t>the</w:t>
      </w:r>
      <w:r>
        <w:rPr>
          <w:rFonts w:ascii="Calibri"/>
          <w:spacing w:val="26"/>
          <w:sz w:val="20"/>
          <w:vertAlign w:val="baseline"/>
        </w:rPr>
        <w:t> </w:t>
      </w:r>
      <w:r>
        <w:rPr>
          <w:rFonts w:ascii="Calibri"/>
          <w:sz w:val="20"/>
          <w:vertAlign w:val="baseline"/>
        </w:rPr>
        <w:t>Department</w:t>
      </w:r>
      <w:r>
        <w:rPr>
          <w:rFonts w:ascii="Calibri"/>
          <w:spacing w:val="30"/>
          <w:sz w:val="20"/>
          <w:vertAlign w:val="baseline"/>
        </w:rPr>
        <w:t> </w:t>
      </w:r>
      <w:r>
        <w:rPr>
          <w:rFonts w:ascii="Calibri"/>
          <w:sz w:val="20"/>
          <w:vertAlign w:val="baseline"/>
        </w:rPr>
        <w:t>of</w:t>
      </w:r>
      <w:r>
        <w:rPr>
          <w:rFonts w:ascii="Calibri"/>
          <w:spacing w:val="31"/>
          <w:sz w:val="20"/>
          <w:vertAlign w:val="baseline"/>
        </w:rPr>
        <w:t> </w:t>
      </w:r>
      <w:r>
        <w:rPr>
          <w:rFonts w:ascii="Calibri"/>
          <w:sz w:val="20"/>
          <w:vertAlign w:val="baseline"/>
        </w:rPr>
        <w:t>Trade</w:t>
      </w:r>
      <w:r>
        <w:rPr>
          <w:rFonts w:ascii="Calibri"/>
          <w:spacing w:val="31"/>
          <w:sz w:val="20"/>
          <w:vertAlign w:val="baseline"/>
        </w:rPr>
        <w:t> </w:t>
      </w:r>
      <w:r>
        <w:rPr>
          <w:rFonts w:ascii="Calibri"/>
          <w:sz w:val="20"/>
          <w:vertAlign w:val="baseline"/>
        </w:rPr>
        <w:t>and</w:t>
      </w:r>
      <w:r>
        <w:rPr>
          <w:rFonts w:ascii="Calibri"/>
          <w:spacing w:val="30"/>
          <w:sz w:val="20"/>
          <w:vertAlign w:val="baseline"/>
        </w:rPr>
        <w:t> </w:t>
      </w:r>
      <w:r>
        <w:rPr>
          <w:rFonts w:ascii="Calibri"/>
          <w:sz w:val="20"/>
          <w:vertAlign w:val="baseline"/>
        </w:rPr>
        <w:t>Industry</w:t>
      </w:r>
      <w:r>
        <w:rPr>
          <w:rFonts w:ascii="Calibri"/>
          <w:spacing w:val="31"/>
          <w:sz w:val="20"/>
          <w:vertAlign w:val="baseline"/>
        </w:rPr>
        <w:t> </w:t>
      </w:r>
      <w:r>
        <w:rPr>
          <w:rFonts w:ascii="Calibri"/>
          <w:sz w:val="20"/>
          <w:vertAlign w:val="baseline"/>
        </w:rPr>
        <w:t>(DTI),</w:t>
      </w:r>
      <w:r>
        <w:rPr>
          <w:rFonts w:ascii="Calibri"/>
          <w:spacing w:val="28"/>
          <w:sz w:val="20"/>
          <w:vertAlign w:val="baseline"/>
        </w:rPr>
        <w:t> </w:t>
      </w:r>
      <w:r>
        <w:rPr>
          <w:rFonts w:ascii="Calibri"/>
          <w:sz w:val="20"/>
          <w:vertAlign w:val="baseline"/>
        </w:rPr>
        <w:t>(June</w:t>
      </w:r>
      <w:r>
        <w:rPr>
          <w:rFonts w:ascii="Calibri"/>
          <w:spacing w:val="31"/>
          <w:sz w:val="20"/>
          <w:vertAlign w:val="baseline"/>
        </w:rPr>
        <w:t> </w:t>
      </w:r>
      <w:r>
        <w:rPr>
          <w:rFonts w:ascii="Calibri"/>
          <w:sz w:val="20"/>
          <w:vertAlign w:val="baseline"/>
        </w:rPr>
        <w:t>2007)</w:t>
      </w:r>
      <w:r>
        <w:rPr>
          <w:rFonts w:ascii="Calibri"/>
          <w:spacing w:val="32"/>
          <w:sz w:val="20"/>
          <w:vertAlign w:val="baseline"/>
        </w:rPr>
        <w:t> </w:t>
      </w:r>
      <w:r>
        <w:rPr>
          <w:rFonts w:ascii="Calibri"/>
          <w:sz w:val="20"/>
          <w:vertAlign w:val="baseline"/>
        </w:rPr>
        <w:t>p.</w:t>
      </w:r>
      <w:r>
        <w:rPr>
          <w:rFonts w:ascii="Calibri"/>
          <w:spacing w:val="32"/>
          <w:sz w:val="20"/>
          <w:vertAlign w:val="baseline"/>
        </w:rPr>
        <w:t> </w:t>
      </w:r>
      <w:r>
        <w:rPr>
          <w:rFonts w:ascii="Calibri"/>
          <w:sz w:val="20"/>
          <w:vertAlign w:val="baseline"/>
        </w:rPr>
        <w:t>10,</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188"/>
        <w:jc w:val="both"/>
      </w:pPr>
      <w:r>
        <w:rPr/>
        <w:t>subjective level of skill set the standard required of that director, whereas under s. 174, the director‘s subjective level does so only if it improves upon</w:t>
      </w:r>
      <w:r>
        <w:rPr>
          <w:spacing w:val="-1"/>
        </w:rPr>
        <w:t> </w:t>
      </w:r>
      <w:r>
        <w:rPr/>
        <w:t>the objective standard of the reasonable director.</w:t>
      </w:r>
      <w:r>
        <w:rPr>
          <w:vertAlign w:val="superscript"/>
        </w:rPr>
        <w:t>69</w:t>
      </w:r>
    </w:p>
    <w:p>
      <w:pPr>
        <w:pStyle w:val="BodyText"/>
        <w:spacing w:line="480" w:lineRule="auto"/>
        <w:ind w:right="179" w:firstLine="720"/>
        <w:jc w:val="both"/>
      </w:pPr>
      <w:r>
        <w:rPr/>
        <w:t>Thus, the law has clearly not simply lumped all directors into one category and expects them to display the same standard of care and skill. For this reason, it is submitted that the rule is fair. Although ―reasonable‖ is a highly nebulous term, the decision in </w:t>
      </w:r>
      <w:r>
        <w:rPr>
          <w:b/>
        </w:rPr>
        <w:t>Abbey Forwarding Limited (in liquidation) vs. Hone</w:t>
      </w:r>
      <w:r>
        <w:rPr/>
        <w:t>,</w:t>
      </w:r>
      <w:r>
        <w:rPr>
          <w:vertAlign w:val="superscript"/>
        </w:rPr>
        <w:t>70</w:t>
      </w:r>
      <w:r>
        <w:rPr>
          <w:vertAlign w:val="baseline"/>
        </w:rPr>
        <w:t> indicates that, in deciding any case, evidence of what is normal in the field of commerce in which the company operates, is relevant.</w:t>
      </w:r>
    </w:p>
    <w:p>
      <w:pPr>
        <w:pStyle w:val="BodyText"/>
        <w:spacing w:line="480" w:lineRule="auto" w:before="2"/>
        <w:ind w:right="181" w:firstLine="720"/>
        <w:jc w:val="both"/>
      </w:pPr>
      <w:r>
        <w:rPr/>
        <mc:AlternateContent>
          <mc:Choice Requires="wps">
            <w:drawing>
              <wp:anchor distT="0" distB="0" distL="0" distR="0" allowOverlap="1" layoutInCell="1" locked="0" behindDoc="1" simplePos="0" relativeHeight="487723008">
                <wp:simplePos x="0" y="0"/>
                <wp:positionH relativeFrom="page">
                  <wp:posOffset>1262481</wp:posOffset>
                </wp:positionH>
                <wp:positionV relativeFrom="paragraph">
                  <wp:posOffset>4585603</wp:posOffset>
                </wp:positionV>
                <wp:extent cx="5400040" cy="9525"/>
                <wp:effectExtent l="0" t="0" r="0" b="0"/>
                <wp:wrapTopAndBottom/>
                <wp:docPr id="291" name="Graphic 291"/>
                <wp:cNvGraphicFramePr>
                  <a:graphicFrameLocks/>
                </wp:cNvGraphicFramePr>
                <a:graphic>
                  <a:graphicData uri="http://schemas.microsoft.com/office/word/2010/wordprocessingShape">
                    <wps:wsp>
                      <wps:cNvPr id="291" name="Graphic 291"/>
                      <wps:cNvSpPr/>
                      <wps:spPr>
                        <a:xfrm>
                          <a:off x="0" y="0"/>
                          <a:ext cx="5400040" cy="9525"/>
                        </a:xfrm>
                        <a:custGeom>
                          <a:avLst/>
                          <a:gdLst/>
                          <a:ahLst/>
                          <a:cxnLst/>
                          <a:rect l="l" t="t" r="r" b="b"/>
                          <a:pathLst>
                            <a:path w="5400040" h="9525">
                              <a:moveTo>
                                <a:pt x="5399785" y="0"/>
                              </a:moveTo>
                              <a:lnTo>
                                <a:pt x="0" y="0"/>
                              </a:lnTo>
                              <a:lnTo>
                                <a:pt x="0" y="9143"/>
                              </a:lnTo>
                              <a:lnTo>
                                <a:pt x="5399785" y="9143"/>
                              </a:lnTo>
                              <a:lnTo>
                                <a:pt x="5399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361.071136pt;width:425.18pt;height:.71997pt;mso-position-horizontal-relative:page;mso-position-vertical-relative:paragraph;z-index:-15593472;mso-wrap-distance-left:0;mso-wrap-distance-right:0" id="docshape246" filled="true" fillcolor="#000000" stroked="false">
                <v:fill type="solid"/>
                <w10:wrap type="topAndBottom"/>
              </v:rect>
            </w:pict>
          </mc:Fallback>
        </mc:AlternateContent>
      </w:r>
      <w:r>
        <w:rPr/>
        <w:t>In the case of the CAMA, s.282 simply expects every company director—no matter the type of responsibilities attached to his office, or his personal qualifications— to measure up to reasonable standards.S. 282(1), provides that ―every director of a company shall...exercise that degree of care, diligence and skill which a reasonably prudent director would exercise in comparable circumstances</w:t>
      </w:r>
      <w:r>
        <w:rPr>
          <w:i/>
        </w:rPr>
        <w:t>.‖ </w:t>
      </w:r>
      <w:r>
        <w:rPr/>
        <w:t>There is no allowance here for consideration of office or personal qualification, barring any special terms in</w:t>
      </w:r>
      <w:r>
        <w:rPr>
          <w:spacing w:val="40"/>
        </w:rPr>
        <w:t> </w:t>
      </w:r>
      <w:r>
        <w:rPr/>
        <w:t>any service contract between the director and the company. Thus, where a director possesses more skills than the reasonable man, he would still only be judged by the latter‘s standards. Recall that the director is generally the agent of the company. Therefore, the company is entitled to the very best of services the director can offer. Thus, s. 282 of the CAMA would appear to be a bit generous on the ‗skilful‘ director.The disadvantage of this rule compared to s.174 CA is obvious and can be summarized thus:</w:t>
      </w:r>
    </w:p>
    <w:p>
      <w:pPr>
        <w:spacing w:before="97"/>
        <w:ind w:left="308" w:right="233" w:firstLine="0"/>
        <w:jc w:val="both"/>
        <w:rPr>
          <w:rFonts w:ascii="Calibri"/>
          <w:sz w:val="20"/>
        </w:rPr>
      </w:pPr>
      <w:r>
        <w:rPr>
          <w:rFonts w:ascii="Calibri"/>
          <w:sz w:val="20"/>
        </w:rPr>
        <w:t>quoting the Hansard of February 6, 2006, column 284. Retrieved March 10, 2013, from </w:t>
      </w:r>
      <w:hyperlink r:id="rId12">
        <w:r>
          <w:rPr>
            <w:rFonts w:ascii="Calibri"/>
            <w:color w:val="0000FF"/>
            <w:spacing w:val="-2"/>
            <w:sz w:val="20"/>
            <w:u w:val="single" w:color="0000FF"/>
          </w:rPr>
          <w:t>http://www.berr.gov.uk/files/file40139.pdf</w:t>
        </w:r>
        <w:r>
          <w:rPr>
            <w:rFonts w:ascii="Calibri"/>
            <w:spacing w:val="-2"/>
            <w:sz w:val="20"/>
          </w:rPr>
          <w:t>.</w:t>
        </w:r>
      </w:hyperlink>
    </w:p>
    <w:p>
      <w:pPr>
        <w:spacing w:before="2"/>
        <w:ind w:left="308" w:right="0" w:firstLine="0"/>
        <w:jc w:val="both"/>
        <w:rPr>
          <w:rFonts w:ascii="Calibri"/>
          <w:sz w:val="20"/>
        </w:rPr>
      </w:pPr>
      <w:r>
        <w:rPr>
          <w:rFonts w:ascii="Calibri"/>
          <w:sz w:val="20"/>
          <w:vertAlign w:val="superscript"/>
        </w:rPr>
        <w:t>69</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(2012).</w:t>
      </w:r>
      <w:r>
        <w:rPr>
          <w:rFonts w:ascii="Calibri"/>
          <w:spacing w:val="-6"/>
          <w:sz w:val="20"/>
          <w:vertAlign w:val="baseline"/>
        </w:rPr>
        <w:t> </w:t>
      </w:r>
      <w:r>
        <w:rPr>
          <w:rFonts w:ascii="Calibri"/>
          <w:sz w:val="20"/>
          <w:vertAlign w:val="baseline"/>
        </w:rPr>
        <w:t>Op.cit.</w:t>
      </w:r>
      <w:r>
        <w:rPr>
          <w:rFonts w:ascii="Calibri"/>
          <w:spacing w:val="-6"/>
          <w:sz w:val="20"/>
          <w:vertAlign w:val="baseline"/>
        </w:rPr>
        <w:t> </w:t>
      </w:r>
      <w:r>
        <w:rPr>
          <w:rFonts w:ascii="Calibri"/>
          <w:sz w:val="20"/>
          <w:vertAlign w:val="baseline"/>
        </w:rPr>
        <w:t>at</w:t>
      </w:r>
      <w:r>
        <w:rPr>
          <w:rFonts w:ascii="Calibri"/>
          <w:spacing w:val="-4"/>
          <w:sz w:val="20"/>
          <w:vertAlign w:val="baseline"/>
        </w:rPr>
        <w:t> </w:t>
      </w:r>
      <w:r>
        <w:rPr>
          <w:rFonts w:ascii="Calibri"/>
          <w:sz w:val="20"/>
          <w:vertAlign w:val="baseline"/>
        </w:rPr>
        <w:t>p.</w:t>
      </w:r>
      <w:r>
        <w:rPr>
          <w:rFonts w:ascii="Calibri"/>
          <w:spacing w:val="-6"/>
          <w:sz w:val="20"/>
          <w:vertAlign w:val="baseline"/>
        </w:rPr>
        <w:t> </w:t>
      </w:r>
      <w:r>
        <w:rPr>
          <w:rFonts w:ascii="Calibri"/>
          <w:spacing w:val="-4"/>
          <w:sz w:val="20"/>
          <w:vertAlign w:val="baseline"/>
        </w:rPr>
        <w:t>520.</w:t>
      </w:r>
    </w:p>
    <w:p>
      <w:pPr>
        <w:spacing w:before="1"/>
        <w:ind w:left="308" w:right="225" w:firstLine="0"/>
        <w:jc w:val="both"/>
        <w:rPr>
          <w:rFonts w:ascii="Calibri"/>
          <w:sz w:val="20"/>
        </w:rPr>
      </w:pPr>
      <w:r>
        <w:rPr>
          <w:rFonts w:ascii="Calibri"/>
          <w:sz w:val="20"/>
          <w:vertAlign w:val="superscript"/>
        </w:rPr>
        <w:t>70</w:t>
      </w:r>
      <w:r>
        <w:rPr>
          <w:rFonts w:ascii="Calibri"/>
          <w:sz w:val="20"/>
          <w:vertAlign w:val="baseline"/>
        </w:rPr>
        <w:t>(2010) EWHC 2029 (Ch).cited in Bills Committee on Companies Bill: Follow-up to the Meetings on 3</w:t>
      </w:r>
      <w:r>
        <w:rPr>
          <w:rFonts w:ascii="Calibri"/>
          <w:spacing w:val="80"/>
          <w:sz w:val="20"/>
          <w:vertAlign w:val="baseline"/>
        </w:rPr>
        <w:t> </w:t>
      </w:r>
      <w:r>
        <w:rPr>
          <w:rFonts w:ascii="Calibri"/>
          <w:sz w:val="20"/>
          <w:vertAlign w:val="baseline"/>
        </w:rPr>
        <w:t>and 10 June 2011 Supplementary Information (June 22, 2011). Financial Services and the treasury Bureau, Companies Registry, p. 8.Retrieved December 11, 2013, from </w:t>
      </w:r>
      <w:hyperlink r:id="rId56">
        <w:r>
          <w:rPr>
            <w:rFonts w:ascii="Calibri"/>
            <w:color w:val="0000FF"/>
            <w:sz w:val="20"/>
            <w:u w:val="single" w:color="0000FF"/>
            <w:vertAlign w:val="baseline"/>
          </w:rPr>
          <w:t>http://www.legco.gov.hk/yr10-</w:t>
        </w:r>
      </w:hyperlink>
      <w:r>
        <w:rPr>
          <w:rFonts w:ascii="Calibri"/>
          <w:color w:val="0000FF"/>
          <w:sz w:val="20"/>
          <w:vertAlign w:val="baseline"/>
        </w:rPr>
        <w:t> </w:t>
      </w:r>
      <w:hyperlink r:id="rId56">
        <w:r>
          <w:rPr>
            <w:rFonts w:ascii="Calibri"/>
            <w:color w:val="0000FF"/>
            <w:spacing w:val="-2"/>
            <w:sz w:val="20"/>
            <w:u w:val="single" w:color="0000FF"/>
            <w:vertAlign w:val="baseline"/>
          </w:rPr>
          <w:t>11/english/bc/bc03/papers/bc030628cb1-2577-1-e.pdf</w:t>
        </w:r>
      </w:hyperlink>
      <w:r>
        <w:rPr>
          <w:rFonts w:ascii="Calibri"/>
          <w:spacing w:val="-2"/>
          <w:sz w:val="20"/>
          <w:vertAlign w:val="baseline"/>
        </w:rPr>
        <w:t>.</w:t>
      </w:r>
    </w:p>
    <w:p>
      <w:pPr>
        <w:spacing w:after="0"/>
        <w:jc w:val="both"/>
        <w:rPr>
          <w:rFonts w:ascii="Calibri"/>
          <w:sz w:val="20"/>
        </w:rPr>
        <w:sectPr>
          <w:pgSz w:w="11910" w:h="16840"/>
          <w:pgMar w:header="0" w:footer="1003" w:top="1320" w:bottom="1200" w:left="1680" w:right="1180"/>
        </w:sectPr>
      </w:pPr>
    </w:p>
    <w:p>
      <w:pPr>
        <w:pStyle w:val="ListParagraph"/>
        <w:numPr>
          <w:ilvl w:val="0"/>
          <w:numId w:val="22"/>
        </w:numPr>
        <w:tabs>
          <w:tab w:pos="1748" w:val="left" w:leader="none"/>
        </w:tabs>
        <w:spacing w:line="280" w:lineRule="auto" w:before="70" w:after="0"/>
        <w:ind w:left="1748" w:right="192" w:hanging="361"/>
        <w:jc w:val="left"/>
        <w:rPr>
          <w:sz w:val="24"/>
        </w:rPr>
      </w:pPr>
      <w:r>
        <w:rPr>
          <w:sz w:val="24"/>
        </w:rPr>
        <w:t>if</w:t>
      </w:r>
      <w:r>
        <w:rPr>
          <w:spacing w:val="80"/>
          <w:sz w:val="24"/>
        </w:rPr>
        <w:t> </w:t>
      </w:r>
      <w:r>
        <w:rPr>
          <w:sz w:val="24"/>
        </w:rPr>
        <w:t>a</w:t>
      </w:r>
      <w:r>
        <w:rPr>
          <w:spacing w:val="80"/>
          <w:sz w:val="24"/>
        </w:rPr>
        <w:t> </w:t>
      </w:r>
      <w:r>
        <w:rPr>
          <w:sz w:val="24"/>
        </w:rPr>
        <w:t>director</w:t>
      </w:r>
      <w:r>
        <w:rPr>
          <w:spacing w:val="80"/>
          <w:sz w:val="24"/>
        </w:rPr>
        <w:t> </w:t>
      </w:r>
      <w:r>
        <w:rPr>
          <w:sz w:val="24"/>
        </w:rPr>
        <w:t>happens</w:t>
      </w:r>
      <w:r>
        <w:rPr>
          <w:spacing w:val="80"/>
          <w:sz w:val="24"/>
        </w:rPr>
        <w:t> </w:t>
      </w:r>
      <w:r>
        <w:rPr>
          <w:sz w:val="24"/>
        </w:rPr>
        <w:t>to</w:t>
      </w:r>
      <w:r>
        <w:rPr>
          <w:spacing w:val="80"/>
          <w:sz w:val="24"/>
        </w:rPr>
        <w:t> </w:t>
      </w:r>
      <w:r>
        <w:rPr>
          <w:sz w:val="24"/>
        </w:rPr>
        <w:t>have</w:t>
      </w:r>
      <w:r>
        <w:rPr>
          <w:spacing w:val="80"/>
          <w:sz w:val="24"/>
        </w:rPr>
        <w:t> </w:t>
      </w:r>
      <w:r>
        <w:rPr>
          <w:sz w:val="24"/>
        </w:rPr>
        <w:t>more</w:t>
      </w:r>
      <w:r>
        <w:rPr>
          <w:spacing w:val="80"/>
          <w:sz w:val="24"/>
        </w:rPr>
        <w:t> </w:t>
      </w:r>
      <w:r>
        <w:rPr>
          <w:sz w:val="24"/>
        </w:rPr>
        <w:t>qualification</w:t>
      </w:r>
      <w:r>
        <w:rPr>
          <w:spacing w:val="80"/>
          <w:sz w:val="24"/>
        </w:rPr>
        <w:t> </w:t>
      </w:r>
      <w:r>
        <w:rPr>
          <w:sz w:val="24"/>
        </w:rPr>
        <w:t>than</w:t>
      </w:r>
      <w:r>
        <w:rPr>
          <w:spacing w:val="80"/>
          <w:sz w:val="24"/>
        </w:rPr>
        <w:t> </w:t>
      </w:r>
      <w:r>
        <w:rPr>
          <w:sz w:val="24"/>
        </w:rPr>
        <w:t>reasonably</w:t>
      </w:r>
      <w:r>
        <w:rPr>
          <w:spacing w:val="40"/>
          <w:sz w:val="24"/>
        </w:rPr>
        <w:t> </w:t>
      </w:r>
      <w:r>
        <w:rPr>
          <w:sz w:val="24"/>
        </w:rPr>
        <w:t>necessary, he would still only be judged by the reasonability standards;</w:t>
      </w:r>
    </w:p>
    <w:p>
      <w:pPr>
        <w:pStyle w:val="ListParagraph"/>
        <w:numPr>
          <w:ilvl w:val="0"/>
          <w:numId w:val="22"/>
        </w:numPr>
        <w:tabs>
          <w:tab w:pos="1748" w:val="left" w:leader="none"/>
        </w:tabs>
        <w:spacing w:line="276" w:lineRule="auto" w:before="0" w:after="0"/>
        <w:ind w:left="1748" w:right="184" w:hanging="361"/>
        <w:jc w:val="left"/>
        <w:rPr>
          <w:sz w:val="24"/>
        </w:rPr>
      </w:pPr>
      <w:r>
        <w:rPr>
          <w:sz w:val="24"/>
        </w:rPr>
        <w:t>the</w:t>
      </w:r>
      <w:r>
        <w:rPr>
          <w:spacing w:val="74"/>
          <w:sz w:val="24"/>
        </w:rPr>
        <w:t> </w:t>
      </w:r>
      <w:r>
        <w:rPr>
          <w:sz w:val="24"/>
        </w:rPr>
        <w:t>standard</w:t>
      </w:r>
      <w:r>
        <w:rPr>
          <w:spacing w:val="74"/>
          <w:sz w:val="24"/>
        </w:rPr>
        <w:t> </w:t>
      </w:r>
      <w:r>
        <w:rPr>
          <w:sz w:val="24"/>
        </w:rPr>
        <w:t>does</w:t>
      </w:r>
      <w:r>
        <w:rPr>
          <w:spacing w:val="40"/>
          <w:sz w:val="24"/>
        </w:rPr>
        <w:t> </w:t>
      </w:r>
      <w:r>
        <w:rPr>
          <w:sz w:val="24"/>
        </w:rPr>
        <w:t>not</w:t>
      </w:r>
      <w:r>
        <w:rPr>
          <w:spacing w:val="75"/>
          <w:sz w:val="24"/>
        </w:rPr>
        <w:t> </w:t>
      </w:r>
      <w:r>
        <w:rPr>
          <w:sz w:val="24"/>
        </w:rPr>
        <w:t>take</w:t>
      </w:r>
      <w:r>
        <w:rPr>
          <w:spacing w:val="74"/>
          <w:sz w:val="24"/>
        </w:rPr>
        <w:t> </w:t>
      </w:r>
      <w:r>
        <w:rPr>
          <w:sz w:val="24"/>
        </w:rPr>
        <w:t>into</w:t>
      </w:r>
      <w:r>
        <w:rPr>
          <w:spacing w:val="79"/>
          <w:sz w:val="24"/>
        </w:rPr>
        <w:t> </w:t>
      </w:r>
      <w:r>
        <w:rPr>
          <w:sz w:val="24"/>
        </w:rPr>
        <w:t>consideration</w:t>
      </w:r>
      <w:r>
        <w:rPr>
          <w:spacing w:val="74"/>
          <w:sz w:val="24"/>
        </w:rPr>
        <w:t> </w:t>
      </w:r>
      <w:r>
        <w:rPr>
          <w:sz w:val="24"/>
        </w:rPr>
        <w:t>a</w:t>
      </w:r>
      <w:r>
        <w:rPr>
          <w:spacing w:val="74"/>
          <w:sz w:val="24"/>
        </w:rPr>
        <w:t> </w:t>
      </w:r>
      <w:r>
        <w:rPr>
          <w:sz w:val="24"/>
        </w:rPr>
        <w:t>particular</w:t>
      </w:r>
      <w:r>
        <w:rPr>
          <w:spacing w:val="76"/>
          <w:sz w:val="24"/>
        </w:rPr>
        <w:t> </w:t>
      </w:r>
      <w:r>
        <w:rPr>
          <w:sz w:val="24"/>
        </w:rPr>
        <w:t>director‘s position within that type of company; and</w:t>
      </w:r>
    </w:p>
    <w:p>
      <w:pPr>
        <w:pStyle w:val="ListParagraph"/>
        <w:numPr>
          <w:ilvl w:val="0"/>
          <w:numId w:val="22"/>
        </w:numPr>
        <w:tabs>
          <w:tab w:pos="1748" w:val="left" w:leader="none"/>
        </w:tabs>
        <w:spacing w:line="276" w:lineRule="auto" w:before="0" w:after="0"/>
        <w:ind w:left="1748" w:right="196" w:hanging="361"/>
        <w:jc w:val="left"/>
        <w:rPr>
          <w:sz w:val="24"/>
        </w:rPr>
      </w:pPr>
      <w:r>
        <w:rPr>
          <w:sz w:val="24"/>
        </w:rPr>
        <w:t>it</w:t>
      </w:r>
      <w:r>
        <w:rPr>
          <w:spacing w:val="32"/>
          <w:sz w:val="24"/>
        </w:rPr>
        <w:t> </w:t>
      </w:r>
      <w:r>
        <w:rPr>
          <w:sz w:val="24"/>
        </w:rPr>
        <w:t>unfairly categorizes all directors into the same</w:t>
      </w:r>
      <w:r>
        <w:rPr>
          <w:spacing w:val="30"/>
          <w:sz w:val="24"/>
        </w:rPr>
        <w:t> </w:t>
      </w:r>
      <w:r>
        <w:rPr>
          <w:sz w:val="24"/>
        </w:rPr>
        <w:t>category,</w:t>
      </w:r>
      <w:r>
        <w:rPr>
          <w:spacing w:val="29"/>
          <w:sz w:val="24"/>
        </w:rPr>
        <w:t> </w:t>
      </w:r>
      <w:r>
        <w:rPr>
          <w:sz w:val="24"/>
        </w:rPr>
        <w:t>when this</w:t>
      </w:r>
      <w:r>
        <w:rPr>
          <w:spacing w:val="29"/>
          <w:sz w:val="24"/>
        </w:rPr>
        <w:t> </w:t>
      </w:r>
      <w:r>
        <w:rPr>
          <w:sz w:val="24"/>
        </w:rPr>
        <w:t>is hardly ever the case in reality.</w:t>
      </w:r>
    </w:p>
    <w:p>
      <w:pPr>
        <w:pStyle w:val="BodyText"/>
        <w:spacing w:line="480" w:lineRule="auto" w:before="269"/>
        <w:ind w:right="183" w:firstLine="720"/>
        <w:jc w:val="both"/>
      </w:pPr>
      <w:r>
        <w:rPr/>
        <w:t>But s. 174 CA takes all these into consideration, while still maintaining a minimum reasonable standard below which no director is allowed to go. And it is submitted</w:t>
      </w:r>
      <w:r>
        <w:rPr>
          <w:spacing w:val="-3"/>
        </w:rPr>
        <w:t> </w:t>
      </w:r>
      <w:r>
        <w:rPr/>
        <w:t>that subjecting</w:t>
      </w:r>
      <w:r>
        <w:rPr>
          <w:spacing w:val="-3"/>
        </w:rPr>
        <w:t> </w:t>
      </w:r>
      <w:r>
        <w:rPr/>
        <w:t>the more</w:t>
      </w:r>
      <w:r>
        <w:rPr>
          <w:spacing w:val="-4"/>
        </w:rPr>
        <w:t> </w:t>
      </w:r>
      <w:r>
        <w:rPr/>
        <w:t>qualified</w:t>
      </w:r>
      <w:r>
        <w:rPr>
          <w:spacing w:val="-3"/>
        </w:rPr>
        <w:t> </w:t>
      </w:r>
      <w:r>
        <w:rPr/>
        <w:t>director</w:t>
      </w:r>
      <w:r>
        <w:rPr>
          <w:spacing w:val="-10"/>
        </w:rPr>
        <w:t> </w:t>
      </w:r>
      <w:r>
        <w:rPr/>
        <w:t>to a</w:t>
      </w:r>
      <w:r>
        <w:rPr>
          <w:spacing w:val="-4"/>
        </w:rPr>
        <w:t> </w:t>
      </w:r>
      <w:r>
        <w:rPr/>
        <w:t>higher</w:t>
      </w:r>
      <w:r>
        <w:rPr>
          <w:spacing w:val="-2"/>
        </w:rPr>
        <w:t> </w:t>
      </w:r>
      <w:r>
        <w:rPr/>
        <w:t>standard is</w:t>
      </w:r>
      <w:r>
        <w:rPr>
          <w:spacing w:val="-1"/>
        </w:rPr>
        <w:t> </w:t>
      </w:r>
      <w:r>
        <w:rPr/>
        <w:t>fair.</w:t>
      </w:r>
      <w:r>
        <w:rPr>
          <w:spacing w:val="-1"/>
        </w:rPr>
        <w:t> </w:t>
      </w:r>
      <w:r>
        <w:rPr/>
        <w:t>At least, it would discourage prospective directors from embellishing their resumes and companies</w:t>
      </w:r>
      <w:r>
        <w:rPr>
          <w:spacing w:val="-3"/>
        </w:rPr>
        <w:t> </w:t>
      </w:r>
      <w:r>
        <w:rPr/>
        <w:t>would be</w:t>
      </w:r>
      <w:r>
        <w:rPr>
          <w:spacing w:val="-2"/>
        </w:rPr>
        <w:t> </w:t>
      </w:r>
      <w:r>
        <w:rPr/>
        <w:t>sure</w:t>
      </w:r>
      <w:r>
        <w:rPr>
          <w:spacing w:val="-2"/>
        </w:rPr>
        <w:t> </w:t>
      </w:r>
      <w:r>
        <w:rPr/>
        <w:t>they</w:t>
      </w:r>
      <w:r>
        <w:rPr>
          <w:spacing w:val="-10"/>
        </w:rPr>
        <w:t> </w:t>
      </w:r>
      <w:r>
        <w:rPr/>
        <w:t>are</w:t>
      </w:r>
      <w:r>
        <w:rPr>
          <w:spacing w:val="-2"/>
        </w:rPr>
        <w:t> </w:t>
      </w:r>
      <w:r>
        <w:rPr/>
        <w:t>getting</w:t>
      </w:r>
      <w:r>
        <w:rPr>
          <w:spacing w:val="-1"/>
        </w:rPr>
        <w:t> </w:t>
      </w:r>
      <w:r>
        <w:rPr/>
        <w:t>exactly</w:t>
      </w:r>
      <w:r>
        <w:rPr>
          <w:spacing w:val="-6"/>
        </w:rPr>
        <w:t> </w:t>
      </w:r>
      <w:r>
        <w:rPr/>
        <w:t>what they</w:t>
      </w:r>
      <w:r>
        <w:rPr>
          <w:spacing w:val="-10"/>
        </w:rPr>
        <w:t> </w:t>
      </w:r>
      <w:r>
        <w:rPr/>
        <w:t>bargained for.</w:t>
      </w:r>
      <w:r>
        <w:rPr>
          <w:spacing w:val="-4"/>
        </w:rPr>
        <w:t> </w:t>
      </w:r>
      <w:r>
        <w:rPr/>
        <w:t>The</w:t>
      </w:r>
      <w:r>
        <w:rPr>
          <w:spacing w:val="-2"/>
        </w:rPr>
        <w:t> </w:t>
      </w:r>
      <w:r>
        <w:rPr/>
        <w:t>argument that the rule might discourage highly qualified persons from opting for the office is unfounded, since such persons can use this to their advantage to bargain for better pay, for which they know they are prepared to deliver. Recall also that s.174 CA is further supported by the Company Directors Disqualification Act 1986 and the Insolvency Act 2000, which combine to disqualify persons found liable for misconduct, such as breach of the duty under s.174, from being involved in the formation or management of companies and, in particular, from being company directors, in the future.</w:t>
      </w:r>
      <w:r>
        <w:rPr>
          <w:vertAlign w:val="superscript"/>
        </w:rPr>
        <w:t>71</w:t>
      </w:r>
    </w:p>
    <w:p>
      <w:pPr>
        <w:pStyle w:val="BodyText"/>
        <w:spacing w:line="480" w:lineRule="auto" w:before="2"/>
        <w:ind w:right="180" w:firstLine="720"/>
        <w:jc w:val="both"/>
      </w:pPr>
      <w:r>
        <w:rPr/>
        <w:t>In spite of the differences noted in the standard of care required, the two laws</w:t>
      </w:r>
      <w:r>
        <w:rPr>
          <w:spacing w:val="40"/>
        </w:rPr>
        <w:t> </w:t>
      </w:r>
      <w:r>
        <w:rPr/>
        <w:t>still share something in common. Prima facie, all directors must measure up to reasonable standards in both legislations. On the issue of delegation, the CA apparently does not change the common law rule that, though a director may delegate,</w:t>
      </w:r>
      <w:r>
        <w:rPr>
          <w:vertAlign w:val="superscript"/>
        </w:rPr>
        <w:t>72</w:t>
      </w:r>
      <w:r>
        <w:rPr>
          <w:vertAlign w:val="baseline"/>
        </w:rPr>
        <w:t> he must still supervise the discharge of the delegated function.</w:t>
      </w:r>
      <w:r>
        <w:rPr>
          <w:vertAlign w:val="superscript"/>
        </w:rPr>
        <w:t>73</w:t>
      </w:r>
      <w:r>
        <w:rPr>
          <w:vertAlign w:val="baseline"/>
        </w:rPr>
        <w:t>S.279(7) CAMA also clearly allows</w:t>
      </w:r>
      <w:r>
        <w:rPr>
          <w:spacing w:val="18"/>
          <w:vertAlign w:val="baseline"/>
        </w:rPr>
        <w:t> </w:t>
      </w:r>
      <w:r>
        <w:rPr>
          <w:vertAlign w:val="baseline"/>
        </w:rPr>
        <w:t>delegation,</w:t>
      </w:r>
      <w:r>
        <w:rPr>
          <w:spacing w:val="24"/>
          <w:vertAlign w:val="baseline"/>
        </w:rPr>
        <w:t> </w:t>
      </w:r>
      <w:r>
        <w:rPr>
          <w:vertAlign w:val="baseline"/>
        </w:rPr>
        <w:t>though</w:t>
      </w:r>
      <w:r>
        <w:rPr>
          <w:spacing w:val="23"/>
          <w:vertAlign w:val="baseline"/>
        </w:rPr>
        <w:t> </w:t>
      </w:r>
      <w:r>
        <w:rPr>
          <w:vertAlign w:val="baseline"/>
        </w:rPr>
        <w:t>it</w:t>
      </w:r>
      <w:r>
        <w:rPr>
          <w:spacing w:val="27"/>
          <w:vertAlign w:val="baseline"/>
        </w:rPr>
        <w:t> </w:t>
      </w:r>
      <w:r>
        <w:rPr>
          <w:vertAlign w:val="baseline"/>
        </w:rPr>
        <w:t>sounds</w:t>
      </w:r>
      <w:r>
        <w:rPr>
          <w:spacing w:val="20"/>
          <w:vertAlign w:val="baseline"/>
        </w:rPr>
        <w:t> </w:t>
      </w:r>
      <w:r>
        <w:rPr>
          <w:vertAlign w:val="baseline"/>
        </w:rPr>
        <w:t>a</w:t>
      </w:r>
      <w:r>
        <w:rPr>
          <w:spacing w:val="21"/>
          <w:vertAlign w:val="baseline"/>
        </w:rPr>
        <w:t> </w:t>
      </w:r>
      <w:r>
        <w:rPr>
          <w:vertAlign w:val="baseline"/>
        </w:rPr>
        <w:t>caution</w:t>
      </w:r>
      <w:r>
        <w:rPr>
          <w:spacing w:val="18"/>
          <w:vertAlign w:val="baseline"/>
        </w:rPr>
        <w:t> </w:t>
      </w:r>
      <w:r>
        <w:rPr>
          <w:vertAlign w:val="baseline"/>
        </w:rPr>
        <w:t>against</w:t>
      </w:r>
      <w:r>
        <w:rPr>
          <w:spacing w:val="27"/>
          <w:vertAlign w:val="baseline"/>
        </w:rPr>
        <w:t> </w:t>
      </w:r>
      <w:r>
        <w:rPr>
          <w:vertAlign w:val="baseline"/>
        </w:rPr>
        <w:t>delegating</w:t>
      </w:r>
      <w:r>
        <w:rPr>
          <w:spacing w:val="36"/>
          <w:vertAlign w:val="baseline"/>
        </w:rPr>
        <w:t> </w:t>
      </w:r>
      <w:r>
        <w:rPr>
          <w:vertAlign w:val="baseline"/>
        </w:rPr>
        <w:t>in</w:t>
      </w:r>
      <w:r>
        <w:rPr>
          <w:spacing w:val="22"/>
          <w:vertAlign w:val="baseline"/>
        </w:rPr>
        <w:t> </w:t>
      </w:r>
      <w:r>
        <w:rPr>
          <w:vertAlign w:val="baseline"/>
        </w:rPr>
        <w:t>a</w:t>
      </w:r>
      <w:r>
        <w:rPr>
          <w:spacing w:val="26"/>
          <w:vertAlign w:val="baseline"/>
        </w:rPr>
        <w:t> </w:t>
      </w:r>
      <w:r>
        <w:rPr>
          <w:vertAlign w:val="baseline"/>
        </w:rPr>
        <w:t>manner</w:t>
      </w:r>
      <w:r>
        <w:rPr>
          <w:spacing w:val="24"/>
          <w:vertAlign w:val="baseline"/>
        </w:rPr>
        <w:t> </w:t>
      </w:r>
      <w:r>
        <w:rPr>
          <w:vertAlign w:val="baseline"/>
        </w:rPr>
        <w:t>that</w:t>
      </w:r>
      <w:r>
        <w:rPr>
          <w:spacing w:val="32"/>
          <w:vertAlign w:val="baseline"/>
        </w:rPr>
        <w:t> </w:t>
      </w:r>
      <w:r>
        <w:rPr>
          <w:spacing w:val="-5"/>
          <w:vertAlign w:val="baseline"/>
        </w:rPr>
        <w:t>may</w:t>
      </w:r>
    </w:p>
    <w:p>
      <w:pPr>
        <w:pStyle w:val="BodyText"/>
        <w:ind w:left="0"/>
        <w:rPr>
          <w:sz w:val="20"/>
        </w:rPr>
      </w:pPr>
    </w:p>
    <w:p>
      <w:pPr>
        <w:pStyle w:val="BodyText"/>
        <w:ind w:left="0"/>
        <w:rPr>
          <w:sz w:val="20"/>
        </w:rPr>
      </w:pPr>
    </w:p>
    <w:p>
      <w:pPr>
        <w:pStyle w:val="BodyText"/>
        <w:spacing w:before="83"/>
        <w:ind w:left="0"/>
        <w:rPr>
          <w:sz w:val="20"/>
        </w:rPr>
      </w:pPr>
      <w:r>
        <w:rPr/>
        <mc:AlternateContent>
          <mc:Choice Requires="wps">
            <w:drawing>
              <wp:anchor distT="0" distB="0" distL="0" distR="0" allowOverlap="1" layoutInCell="1" locked="0" behindDoc="1" simplePos="0" relativeHeight="487723520">
                <wp:simplePos x="0" y="0"/>
                <wp:positionH relativeFrom="page">
                  <wp:posOffset>1262481</wp:posOffset>
                </wp:positionH>
                <wp:positionV relativeFrom="paragraph">
                  <wp:posOffset>214506</wp:posOffset>
                </wp:positionV>
                <wp:extent cx="1829435" cy="9525"/>
                <wp:effectExtent l="0" t="0" r="0" b="0"/>
                <wp:wrapTopAndBottom/>
                <wp:docPr id="292" name="Graphic 292"/>
                <wp:cNvGraphicFramePr>
                  <a:graphicFrameLocks/>
                </wp:cNvGraphicFramePr>
                <a:graphic>
                  <a:graphicData uri="http://schemas.microsoft.com/office/word/2010/wordprocessingShape">
                    <wps:wsp>
                      <wps:cNvPr id="292" name="Graphic 292"/>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890244pt;width:144.050pt;height:.72003pt;mso-position-horizontal-relative:page;mso-position-vertical-relative:paragraph;z-index:-15592960;mso-wrap-distance-left:0;mso-wrap-distance-right:0" id="docshape24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71</w:t>
      </w:r>
      <w:r>
        <w:rPr>
          <w:rFonts w:ascii="Calibri"/>
          <w:spacing w:val="-1"/>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in</w:t>
      </w:r>
      <w:r>
        <w:rPr>
          <w:rFonts w:ascii="Calibri"/>
          <w:spacing w:val="-7"/>
          <w:sz w:val="20"/>
          <w:vertAlign w:val="baseline"/>
        </w:rPr>
        <w:t> </w:t>
      </w:r>
      <w:r>
        <w:rPr>
          <w:rFonts w:ascii="Calibri"/>
          <w:sz w:val="20"/>
          <w:vertAlign w:val="baseline"/>
        </w:rPr>
        <w:t>particular</w:t>
      </w:r>
      <w:r>
        <w:rPr>
          <w:rFonts w:ascii="Calibri"/>
          <w:spacing w:val="-5"/>
          <w:sz w:val="20"/>
          <w:vertAlign w:val="baseline"/>
        </w:rPr>
        <w:t> </w:t>
      </w:r>
      <w:r>
        <w:rPr>
          <w:rFonts w:ascii="Calibri"/>
          <w:sz w:val="20"/>
          <w:vertAlign w:val="baseline"/>
        </w:rPr>
        <w:t>ss.6</w:t>
      </w:r>
      <w:r>
        <w:rPr>
          <w:rFonts w:ascii="Calibri"/>
          <w:spacing w:val="-8"/>
          <w:sz w:val="20"/>
          <w:vertAlign w:val="baseline"/>
        </w:rPr>
        <w:t> </w:t>
      </w:r>
      <w:r>
        <w:rPr>
          <w:rFonts w:ascii="Calibri"/>
          <w:sz w:val="20"/>
          <w:vertAlign w:val="baseline"/>
        </w:rPr>
        <w:t>&amp;11</w:t>
      </w:r>
      <w:r>
        <w:rPr>
          <w:rFonts w:ascii="Calibri"/>
          <w:spacing w:val="-3"/>
          <w:sz w:val="20"/>
          <w:vertAlign w:val="baseline"/>
        </w:rPr>
        <w:t> </w:t>
      </w:r>
      <w:r>
        <w:rPr>
          <w:rFonts w:ascii="Calibri"/>
          <w:sz w:val="20"/>
          <w:vertAlign w:val="baseline"/>
        </w:rPr>
        <w:t>of</w:t>
      </w:r>
      <w:r>
        <w:rPr>
          <w:rFonts w:ascii="Calibri"/>
          <w:spacing w:val="-7"/>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Company</w:t>
      </w:r>
      <w:r>
        <w:rPr>
          <w:rFonts w:ascii="Calibri"/>
          <w:spacing w:val="-7"/>
          <w:sz w:val="20"/>
          <w:vertAlign w:val="baseline"/>
        </w:rPr>
        <w:t> </w:t>
      </w:r>
      <w:r>
        <w:rPr>
          <w:rFonts w:ascii="Calibri"/>
          <w:sz w:val="20"/>
          <w:vertAlign w:val="baseline"/>
        </w:rPr>
        <w:t>Directors</w:t>
      </w:r>
      <w:r>
        <w:rPr>
          <w:rFonts w:ascii="Calibri"/>
          <w:spacing w:val="-9"/>
          <w:sz w:val="20"/>
          <w:vertAlign w:val="baseline"/>
        </w:rPr>
        <w:t> </w:t>
      </w:r>
      <w:r>
        <w:rPr>
          <w:rFonts w:ascii="Calibri"/>
          <w:sz w:val="20"/>
          <w:vertAlign w:val="baseline"/>
        </w:rPr>
        <w:t>Disqualification</w:t>
      </w:r>
      <w:r>
        <w:rPr>
          <w:rFonts w:ascii="Calibri"/>
          <w:spacing w:val="-5"/>
          <w:sz w:val="20"/>
          <w:vertAlign w:val="baseline"/>
        </w:rPr>
        <w:t> </w:t>
      </w:r>
      <w:r>
        <w:rPr>
          <w:rFonts w:ascii="Calibri"/>
          <w:spacing w:val="-4"/>
          <w:sz w:val="20"/>
          <w:vertAlign w:val="baseline"/>
        </w:rPr>
        <w:t>Act.</w:t>
      </w:r>
    </w:p>
    <w:p>
      <w:pPr>
        <w:spacing w:before="1"/>
        <w:ind w:left="308" w:right="0" w:firstLine="0"/>
        <w:jc w:val="left"/>
        <w:rPr>
          <w:rFonts w:ascii="Calibri"/>
          <w:sz w:val="20"/>
        </w:rPr>
      </w:pPr>
      <w:r>
        <w:rPr>
          <w:rFonts w:ascii="Calibri"/>
          <w:sz w:val="20"/>
          <w:vertAlign w:val="superscript"/>
        </w:rPr>
        <w:t>72</w:t>
      </w:r>
      <w:r>
        <w:rPr>
          <w:rFonts w:ascii="Calibri"/>
          <w:sz w:val="20"/>
          <w:vertAlign w:val="baseline"/>
        </w:rPr>
        <w:t> Application</w:t>
      </w:r>
      <w:r>
        <w:rPr>
          <w:rFonts w:ascii="Calibri"/>
          <w:spacing w:val="-4"/>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which rule</w:t>
      </w:r>
      <w:r>
        <w:rPr>
          <w:rFonts w:ascii="Calibri"/>
          <w:spacing w:val="-3"/>
          <w:sz w:val="20"/>
          <w:vertAlign w:val="baseline"/>
        </w:rPr>
        <w:t> </w:t>
      </w:r>
      <w:r>
        <w:rPr>
          <w:rFonts w:ascii="Calibri"/>
          <w:sz w:val="20"/>
          <w:vertAlign w:val="baseline"/>
        </w:rPr>
        <w:t>would be</w:t>
      </w:r>
      <w:r>
        <w:rPr>
          <w:rFonts w:ascii="Calibri"/>
          <w:spacing w:val="-3"/>
          <w:sz w:val="20"/>
          <w:vertAlign w:val="baseline"/>
        </w:rPr>
        <w:t> </w:t>
      </w:r>
      <w:r>
        <w:rPr>
          <w:rFonts w:ascii="Calibri"/>
          <w:sz w:val="20"/>
          <w:vertAlign w:val="baseline"/>
        </w:rPr>
        <w:t>consistent</w:t>
      </w:r>
      <w:r>
        <w:rPr>
          <w:rFonts w:ascii="Calibri"/>
          <w:spacing w:val="-4"/>
          <w:sz w:val="20"/>
          <w:vertAlign w:val="baseline"/>
        </w:rPr>
        <w:t> </w:t>
      </w:r>
      <w:r>
        <w:rPr>
          <w:rFonts w:ascii="Calibri"/>
          <w:sz w:val="20"/>
          <w:vertAlign w:val="baseline"/>
        </w:rPr>
        <w:t>with s. 170(3) and</w:t>
      </w:r>
      <w:r>
        <w:rPr>
          <w:rFonts w:ascii="Calibri"/>
          <w:spacing w:val="-4"/>
          <w:sz w:val="20"/>
          <w:vertAlign w:val="baseline"/>
        </w:rPr>
        <w:t> </w:t>
      </w:r>
      <w:r>
        <w:rPr>
          <w:rFonts w:ascii="Calibri"/>
          <w:sz w:val="20"/>
          <w:vertAlign w:val="baseline"/>
        </w:rPr>
        <w:t>(4) which acknowledge</w:t>
      </w:r>
      <w:r>
        <w:rPr>
          <w:rFonts w:ascii="Calibri"/>
          <w:spacing w:val="-3"/>
          <w:sz w:val="20"/>
          <w:vertAlign w:val="baseline"/>
        </w:rPr>
        <w:t> </w:t>
      </w:r>
      <w:r>
        <w:rPr>
          <w:rFonts w:ascii="Calibri"/>
          <w:sz w:val="20"/>
          <w:vertAlign w:val="baseline"/>
        </w:rPr>
        <w:t>the</w:t>
      </w:r>
      <w:r>
        <w:rPr>
          <w:rFonts w:ascii="Calibri"/>
          <w:spacing w:val="-4"/>
          <w:sz w:val="20"/>
          <w:vertAlign w:val="baseline"/>
        </w:rPr>
        <w:t> </w:t>
      </w:r>
      <w:r>
        <w:rPr>
          <w:rFonts w:ascii="Calibri"/>
          <w:sz w:val="20"/>
          <w:vertAlign w:val="baseline"/>
        </w:rPr>
        <w:t>continued application of common law principles consistent with the Act.</w:t>
      </w:r>
    </w:p>
    <w:p>
      <w:pPr>
        <w:spacing w:before="1"/>
        <w:ind w:left="308" w:right="0" w:firstLine="0"/>
        <w:jc w:val="left"/>
        <w:rPr>
          <w:rFonts w:ascii="Calibri"/>
          <w:sz w:val="20"/>
        </w:rPr>
      </w:pPr>
      <w:r>
        <w:rPr>
          <w:rFonts w:ascii="Calibri"/>
          <w:sz w:val="20"/>
          <w:vertAlign w:val="superscript"/>
        </w:rPr>
        <w:t>73</w:t>
      </w:r>
      <w:r>
        <w:rPr>
          <w:rFonts w:ascii="Calibri"/>
          <w:i/>
          <w:sz w:val="20"/>
          <w:vertAlign w:val="baseline"/>
        </w:rPr>
        <w:t>Re</w:t>
      </w:r>
      <w:r>
        <w:rPr>
          <w:rFonts w:ascii="Calibri"/>
          <w:i/>
          <w:spacing w:val="-4"/>
          <w:sz w:val="20"/>
          <w:vertAlign w:val="baseline"/>
        </w:rPr>
        <w:t> </w:t>
      </w:r>
      <w:r>
        <w:rPr>
          <w:rFonts w:ascii="Calibri"/>
          <w:i/>
          <w:sz w:val="20"/>
          <w:vertAlign w:val="baseline"/>
        </w:rPr>
        <w:t>Barings</w:t>
      </w:r>
      <w:r>
        <w:rPr>
          <w:rFonts w:ascii="Calibri"/>
          <w:i/>
          <w:spacing w:val="-8"/>
          <w:sz w:val="20"/>
          <w:vertAlign w:val="baseline"/>
        </w:rPr>
        <w:t> </w:t>
      </w:r>
      <w:r>
        <w:rPr>
          <w:rFonts w:ascii="Calibri"/>
          <w:i/>
          <w:sz w:val="20"/>
          <w:vertAlign w:val="baseline"/>
        </w:rPr>
        <w:t>Plc.</w:t>
      </w:r>
      <w:r>
        <w:rPr>
          <w:rFonts w:ascii="Calibri"/>
          <w:i/>
          <w:spacing w:val="-4"/>
          <w:sz w:val="20"/>
          <w:vertAlign w:val="baseline"/>
        </w:rPr>
        <w:t> </w:t>
      </w:r>
      <w:r>
        <w:rPr>
          <w:rFonts w:ascii="Calibri"/>
          <w:sz w:val="20"/>
          <w:vertAlign w:val="baseline"/>
        </w:rPr>
        <w:t>[No.5]</w:t>
      </w:r>
      <w:r>
        <w:rPr>
          <w:rFonts w:ascii="Calibri"/>
          <w:spacing w:val="-6"/>
          <w:sz w:val="20"/>
          <w:vertAlign w:val="baseline"/>
        </w:rPr>
        <w:t> </w:t>
      </w:r>
      <w:r>
        <w:rPr>
          <w:rFonts w:ascii="Calibri"/>
          <w:sz w:val="20"/>
          <w:vertAlign w:val="baseline"/>
        </w:rPr>
        <w:t>(2000)</w:t>
      </w:r>
      <w:r>
        <w:rPr>
          <w:rFonts w:ascii="Calibri"/>
          <w:spacing w:val="-6"/>
          <w:sz w:val="20"/>
          <w:vertAlign w:val="baseline"/>
        </w:rPr>
        <w:t> </w:t>
      </w:r>
      <w:r>
        <w:rPr>
          <w:rFonts w:ascii="Calibri"/>
          <w:sz w:val="20"/>
          <w:vertAlign w:val="baseline"/>
        </w:rPr>
        <w:t>1</w:t>
      </w:r>
      <w:r>
        <w:rPr>
          <w:rFonts w:ascii="Calibri"/>
          <w:spacing w:val="-9"/>
          <w:sz w:val="20"/>
          <w:vertAlign w:val="baseline"/>
        </w:rPr>
        <w:t> </w:t>
      </w:r>
      <w:r>
        <w:rPr>
          <w:rFonts w:ascii="Calibri"/>
          <w:sz w:val="20"/>
          <w:vertAlign w:val="baseline"/>
        </w:rPr>
        <w:t>B.C.L.C.</w:t>
      </w:r>
      <w:r>
        <w:rPr>
          <w:rFonts w:ascii="Calibri"/>
          <w:spacing w:val="-1"/>
          <w:sz w:val="20"/>
          <w:vertAlign w:val="baseline"/>
        </w:rPr>
        <w:t> </w:t>
      </w:r>
      <w:r>
        <w:rPr>
          <w:rFonts w:ascii="Calibri"/>
          <w:spacing w:val="-4"/>
          <w:sz w:val="20"/>
          <w:vertAlign w:val="baseline"/>
        </w:rPr>
        <w:t>433.</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2"/>
        <w:jc w:val="both"/>
      </w:pPr>
      <w:r>
        <w:rPr/>
        <w:t>amount to an abdication of duty. The consequences for breach are also the same:basically an action for negligence and breach of duty.</w:t>
      </w:r>
    </w:p>
    <w:p>
      <w:pPr>
        <w:pStyle w:val="BodyText"/>
        <w:spacing w:line="480" w:lineRule="auto"/>
        <w:ind w:right="179" w:firstLine="720"/>
        <w:jc w:val="both"/>
      </w:pPr>
      <w:r>
        <w:rPr/>
        <w:t>There is some truth to the view held by Justice Arden</w:t>
      </w:r>
      <w:r>
        <w:rPr>
          <w:vertAlign w:val="superscript"/>
        </w:rPr>
        <w:t>74</w:t>
      </w:r>
      <w:r>
        <w:rPr>
          <w:vertAlign w:val="baseline"/>
        </w:rPr>
        <w:t> that courts now, unlike before, appreciate that in large, modern corporations, there‘s a distinction between oversight and management so that the nature and extent of the duty of skill, care and diligence will depend on such factors as the size, location and complexity of a company‘s business and the urgency</w:t>
      </w:r>
      <w:r>
        <w:rPr>
          <w:spacing w:val="-4"/>
          <w:vertAlign w:val="baseline"/>
        </w:rPr>
        <w:t> </w:t>
      </w:r>
      <w:r>
        <w:rPr>
          <w:vertAlign w:val="baseline"/>
        </w:rPr>
        <w:t>of</w:t>
      </w:r>
      <w:r>
        <w:rPr>
          <w:spacing w:val="-2"/>
          <w:vertAlign w:val="baseline"/>
        </w:rPr>
        <w:t> </w:t>
      </w:r>
      <w:r>
        <w:rPr>
          <w:vertAlign w:val="baseline"/>
        </w:rPr>
        <w:t>any</w:t>
      </w:r>
      <w:r>
        <w:rPr>
          <w:spacing w:val="-4"/>
          <w:vertAlign w:val="baseline"/>
        </w:rPr>
        <w:t> </w:t>
      </w:r>
      <w:r>
        <w:rPr>
          <w:vertAlign w:val="baseline"/>
        </w:rPr>
        <w:t>decision because other jurisdictions, such as Australia,</w:t>
      </w:r>
      <w:r>
        <w:rPr>
          <w:vertAlign w:val="superscript"/>
        </w:rPr>
        <w:t>75</w:t>
      </w:r>
      <w:r>
        <w:rPr>
          <w:vertAlign w:val="baseline"/>
        </w:rPr>
        <w:t> Hong Kong</w:t>
      </w:r>
      <w:r>
        <w:rPr>
          <w:vertAlign w:val="superscript"/>
        </w:rPr>
        <w:t>76</w:t>
      </w:r>
      <w:r>
        <w:rPr>
          <w:vertAlign w:val="baseline"/>
        </w:rPr>
        <w:t> and South Africa,</w:t>
      </w:r>
      <w:r>
        <w:rPr>
          <w:vertAlign w:val="superscript"/>
        </w:rPr>
        <w:t>77</w:t>
      </w:r>
      <w:r>
        <w:rPr>
          <w:vertAlign w:val="baseline"/>
        </w:rPr>
        <w:t> have sections similar to that in the CA on the standard of conduct required of a company director. Conclusively, s.174 CA has much to commend it.</w:t>
      </w:r>
    </w:p>
    <w:p>
      <w:pPr>
        <w:pStyle w:val="BodyText"/>
        <w:spacing w:line="480" w:lineRule="auto" w:before="2"/>
        <w:ind w:right="229" w:firstLine="720"/>
        <w:jc w:val="both"/>
      </w:pPr>
      <w:r>
        <w:rPr/>
        <w:t>The standard of care required of directors is gradually tightening up, from the days of </w:t>
      </w:r>
      <w:r>
        <w:rPr>
          <w:b/>
        </w:rPr>
        <w:t>Re City </w:t>
      </w:r>
      <w:r>
        <w:rPr/>
        <w:t>when they were purely subjective, to the uniform objective standard</w:t>
      </w:r>
      <w:r>
        <w:rPr>
          <w:spacing w:val="40"/>
        </w:rPr>
        <w:t> </w:t>
      </w:r>
      <w:r>
        <w:rPr/>
        <w:t>and now to a cumulative objective/subjective standard. This is a sign of the times. Nowadays, directors often have one or more qualification. The view of corporate law now is that it does not matter their qualification, but they must discharge their duties while exercising skill and care up to a reasonable standard and, where they have held themselves out as experts or otherwise, up to that additional standard.</w:t>
      </w:r>
    </w:p>
    <w:p>
      <w:pPr>
        <w:pStyle w:val="BodyText"/>
        <w:spacing w:line="480" w:lineRule="auto" w:before="1"/>
        <w:ind w:right="234" w:firstLine="720"/>
        <w:jc w:val="both"/>
      </w:pPr>
      <w:r>
        <w:rPr/>
        <w:t>Besides, we live in an era of rising standards of commercial education which justifies the</w:t>
      </w:r>
      <w:r>
        <w:rPr>
          <w:spacing w:val="-1"/>
        </w:rPr>
        <w:t> </w:t>
      </w:r>
      <w:r>
        <w:rPr/>
        <w:t>rise in expectations regarding the level of</w:t>
      </w:r>
      <w:r>
        <w:rPr>
          <w:spacing w:val="-8"/>
        </w:rPr>
        <w:t> </w:t>
      </w:r>
      <w:r>
        <w:rPr/>
        <w:t>care</w:t>
      </w:r>
      <w:r>
        <w:rPr>
          <w:spacing w:val="-1"/>
        </w:rPr>
        <w:t> </w:t>
      </w:r>
      <w:r>
        <w:rPr/>
        <w:t>and expertise</w:t>
      </w:r>
      <w:r>
        <w:rPr>
          <w:spacing w:val="-1"/>
        </w:rPr>
        <w:t> </w:t>
      </w:r>
      <w:r>
        <w:rPr/>
        <w:t>to be</w:t>
      </w:r>
      <w:r>
        <w:rPr>
          <w:spacing w:val="-1"/>
        </w:rPr>
        <w:t> </w:t>
      </w:r>
      <w:r>
        <w:rPr/>
        <w:t>displayed by</w:t>
      </w:r>
      <w:r>
        <w:rPr>
          <w:spacing w:val="-1"/>
        </w:rPr>
        <w:t> </w:t>
      </w:r>
      <w:r>
        <w:rPr/>
        <w:t>directors. With</w:t>
      </w:r>
      <w:r>
        <w:rPr>
          <w:spacing w:val="-1"/>
        </w:rPr>
        <w:t> </w:t>
      </w:r>
      <w:r>
        <w:rPr/>
        <w:t>rising unemployment, it would beunreasonable to argue that a rise in standard of</w:t>
      </w:r>
      <w:r>
        <w:rPr>
          <w:spacing w:val="-8"/>
        </w:rPr>
        <w:t> </w:t>
      </w:r>
      <w:r>
        <w:rPr/>
        <w:t>care is likely</w:t>
      </w:r>
      <w:r>
        <w:rPr>
          <w:spacing w:val="-5"/>
        </w:rPr>
        <w:t> </w:t>
      </w:r>
      <w:r>
        <w:rPr/>
        <w:t>to discourage</w:t>
      </w:r>
      <w:r>
        <w:rPr>
          <w:spacing w:val="-1"/>
        </w:rPr>
        <w:t> </w:t>
      </w:r>
      <w:r>
        <w:rPr/>
        <w:t>business men</w:t>
      </w:r>
      <w:r>
        <w:rPr>
          <w:spacing w:val="-1"/>
        </w:rPr>
        <w:t> </w:t>
      </w:r>
      <w:r>
        <w:rPr/>
        <w:t>from</w:t>
      </w:r>
      <w:r>
        <w:rPr>
          <w:spacing w:val="-9"/>
        </w:rPr>
        <w:t> </w:t>
      </w:r>
      <w:r>
        <w:rPr/>
        <w:t>accepting such</w:t>
      </w:r>
      <w:r>
        <w:rPr>
          <w:spacing w:val="-5"/>
        </w:rPr>
        <w:t> </w:t>
      </w:r>
      <w:r>
        <w:rPr/>
        <w:t>positions. It is also not a plausible argument to hold forth that the added subjective standard would likely</w:t>
      </w:r>
      <w:r>
        <w:rPr>
          <w:spacing w:val="33"/>
        </w:rPr>
        <w:t> </w:t>
      </w:r>
      <w:r>
        <w:rPr/>
        <w:t>discourage</w:t>
      </w:r>
      <w:r>
        <w:rPr>
          <w:spacing w:val="39"/>
        </w:rPr>
        <w:t> </w:t>
      </w:r>
      <w:r>
        <w:rPr/>
        <w:t>directors</w:t>
      </w:r>
      <w:r>
        <w:rPr>
          <w:spacing w:val="38"/>
        </w:rPr>
        <w:t> </w:t>
      </w:r>
      <w:r>
        <w:rPr/>
        <w:t>from</w:t>
      </w:r>
      <w:r>
        <w:rPr>
          <w:spacing w:val="31"/>
        </w:rPr>
        <w:t> </w:t>
      </w:r>
      <w:r>
        <w:rPr/>
        <w:t>seeking</w:t>
      </w:r>
      <w:r>
        <w:rPr>
          <w:spacing w:val="40"/>
        </w:rPr>
        <w:t> </w:t>
      </w:r>
      <w:r>
        <w:rPr/>
        <w:t>to</w:t>
      </w:r>
      <w:r>
        <w:rPr>
          <w:spacing w:val="45"/>
        </w:rPr>
        <w:t> </w:t>
      </w:r>
      <w:r>
        <w:rPr/>
        <w:t>improve</w:t>
      </w:r>
      <w:r>
        <w:rPr>
          <w:spacing w:val="38"/>
        </w:rPr>
        <w:t> </w:t>
      </w:r>
      <w:r>
        <w:rPr/>
        <w:t>their</w:t>
      </w:r>
      <w:r>
        <w:rPr>
          <w:spacing w:val="42"/>
        </w:rPr>
        <w:t> </w:t>
      </w:r>
      <w:r>
        <w:rPr/>
        <w:t>own</w:t>
      </w:r>
      <w:r>
        <w:rPr>
          <w:spacing w:val="40"/>
        </w:rPr>
        <w:t> </w:t>
      </w:r>
      <w:r>
        <w:rPr/>
        <w:t>level</w:t>
      </w:r>
      <w:r>
        <w:rPr>
          <w:spacing w:val="31"/>
        </w:rPr>
        <w:t> </w:t>
      </w:r>
      <w:r>
        <w:rPr/>
        <w:t>of</w:t>
      </w:r>
      <w:r>
        <w:rPr>
          <w:spacing w:val="32"/>
        </w:rPr>
        <w:t> </w:t>
      </w:r>
      <w:r>
        <w:rPr/>
        <w:t>skill</w:t>
      </w:r>
      <w:r>
        <w:rPr>
          <w:spacing w:val="41"/>
        </w:rPr>
        <w:t> </w:t>
      </w:r>
      <w:r>
        <w:rPr>
          <w:spacing w:val="-2"/>
        </w:rPr>
        <w:t>because</w:t>
      </w:r>
    </w:p>
    <w:p>
      <w:pPr>
        <w:pStyle w:val="BodyText"/>
        <w:spacing w:before="1"/>
        <w:ind w:left="0"/>
        <w:rPr>
          <w:sz w:val="17"/>
        </w:rPr>
      </w:pPr>
      <w:r>
        <w:rPr/>
        <mc:AlternateContent>
          <mc:Choice Requires="wps">
            <w:drawing>
              <wp:anchor distT="0" distB="0" distL="0" distR="0" allowOverlap="1" layoutInCell="1" locked="0" behindDoc="1" simplePos="0" relativeHeight="487724032">
                <wp:simplePos x="0" y="0"/>
                <wp:positionH relativeFrom="page">
                  <wp:posOffset>1262481</wp:posOffset>
                </wp:positionH>
                <wp:positionV relativeFrom="paragraph">
                  <wp:posOffset>140511</wp:posOffset>
                </wp:positionV>
                <wp:extent cx="1829435" cy="9525"/>
                <wp:effectExtent l="0" t="0" r="0" b="0"/>
                <wp:wrapTopAndBottom/>
                <wp:docPr id="293" name="Graphic 293"/>
                <wp:cNvGraphicFramePr>
                  <a:graphicFrameLocks/>
                </wp:cNvGraphicFramePr>
                <a:graphic>
                  <a:graphicData uri="http://schemas.microsoft.com/office/word/2010/wordprocessingShape">
                    <wps:wsp>
                      <wps:cNvPr id="293" name="Graphic 293"/>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063876pt;width:144.050pt;height:.72003pt;mso-position-horizontal-relative:page;mso-position-vertical-relative:paragraph;z-index:-15592448;mso-wrap-distance-left:0;mso-wrap-distance-right:0" id="docshape248"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74</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Arden,</w:t>
      </w:r>
      <w:r>
        <w:rPr>
          <w:rFonts w:ascii="Calibri"/>
          <w:spacing w:val="-7"/>
          <w:sz w:val="20"/>
          <w:vertAlign w:val="baseline"/>
        </w:rPr>
        <w:t> </w:t>
      </w:r>
      <w:r>
        <w:rPr>
          <w:rFonts w:ascii="Calibri"/>
          <w:sz w:val="20"/>
          <w:vertAlign w:val="baseline"/>
        </w:rPr>
        <w:t>D.B.E.,</w:t>
      </w:r>
      <w:r>
        <w:rPr>
          <w:rFonts w:ascii="Calibri"/>
          <w:spacing w:val="-8"/>
          <w:sz w:val="20"/>
          <w:vertAlign w:val="baseline"/>
        </w:rPr>
        <w:t> </w:t>
      </w:r>
      <w:r>
        <w:rPr>
          <w:rFonts w:ascii="Calibri"/>
          <w:sz w:val="20"/>
          <w:vertAlign w:val="baseline"/>
        </w:rPr>
        <w:t>op.cit.</w:t>
      </w:r>
      <w:r>
        <w:rPr>
          <w:rFonts w:ascii="Calibri"/>
          <w:spacing w:val="2"/>
          <w:sz w:val="20"/>
          <w:vertAlign w:val="baseline"/>
        </w:rPr>
        <w:t> </w:t>
      </w:r>
      <w:r>
        <w:rPr>
          <w:rFonts w:ascii="Calibri"/>
          <w:sz w:val="20"/>
          <w:vertAlign w:val="baseline"/>
        </w:rPr>
        <w:t>at</w:t>
      </w:r>
      <w:r>
        <w:rPr>
          <w:rFonts w:ascii="Calibri"/>
          <w:spacing w:val="-7"/>
          <w:sz w:val="20"/>
          <w:vertAlign w:val="baseline"/>
        </w:rPr>
        <w:t> </w:t>
      </w:r>
      <w:r>
        <w:rPr>
          <w:rFonts w:ascii="Calibri"/>
          <w:spacing w:val="-4"/>
          <w:sz w:val="20"/>
          <w:vertAlign w:val="baseline"/>
        </w:rPr>
        <w:t>169.</w:t>
      </w:r>
    </w:p>
    <w:p>
      <w:pPr>
        <w:spacing w:before="1"/>
        <w:ind w:left="308" w:right="0" w:firstLine="0"/>
        <w:jc w:val="left"/>
        <w:rPr>
          <w:rFonts w:ascii="Calibri"/>
          <w:sz w:val="20"/>
        </w:rPr>
      </w:pPr>
      <w:r>
        <w:rPr>
          <w:rFonts w:ascii="Calibri"/>
          <w:sz w:val="20"/>
          <w:vertAlign w:val="superscript"/>
        </w:rPr>
        <w:t>75</w:t>
      </w:r>
      <w:r>
        <w:rPr>
          <w:rFonts w:ascii="Calibri"/>
          <w:spacing w:val="-2"/>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s.</w:t>
      </w:r>
      <w:r>
        <w:rPr>
          <w:rFonts w:ascii="Calibri"/>
          <w:spacing w:val="-2"/>
          <w:sz w:val="20"/>
          <w:vertAlign w:val="baseline"/>
        </w:rPr>
        <w:t> </w:t>
      </w:r>
      <w:r>
        <w:rPr>
          <w:rFonts w:ascii="Calibri"/>
          <w:sz w:val="20"/>
          <w:vertAlign w:val="baseline"/>
        </w:rPr>
        <w:t>180(1)</w:t>
      </w:r>
      <w:r>
        <w:rPr>
          <w:rFonts w:ascii="Calibri"/>
          <w:spacing w:val="-3"/>
          <w:sz w:val="20"/>
          <w:vertAlign w:val="baseline"/>
        </w:rPr>
        <w:t> </w:t>
      </w:r>
      <w:r>
        <w:rPr>
          <w:rFonts w:ascii="Calibri"/>
          <w:sz w:val="20"/>
          <w:vertAlign w:val="baseline"/>
        </w:rPr>
        <w:t>Australia</w:t>
      </w:r>
      <w:r>
        <w:rPr>
          <w:rFonts w:ascii="Calibri"/>
          <w:spacing w:val="-8"/>
          <w:sz w:val="20"/>
          <w:vertAlign w:val="baseline"/>
        </w:rPr>
        <w:t> </w:t>
      </w:r>
      <w:r>
        <w:rPr>
          <w:rFonts w:ascii="Calibri"/>
          <w:sz w:val="20"/>
          <w:vertAlign w:val="baseline"/>
        </w:rPr>
        <w:t>Corporations</w:t>
      </w:r>
      <w:r>
        <w:rPr>
          <w:rFonts w:ascii="Calibri"/>
          <w:spacing w:val="-5"/>
          <w:sz w:val="20"/>
          <w:vertAlign w:val="baseline"/>
        </w:rPr>
        <w:t> </w:t>
      </w:r>
      <w:r>
        <w:rPr>
          <w:rFonts w:ascii="Calibri"/>
          <w:sz w:val="20"/>
          <w:vertAlign w:val="baseline"/>
        </w:rPr>
        <w:t>Act</w:t>
      </w:r>
      <w:r>
        <w:rPr>
          <w:rFonts w:ascii="Calibri"/>
          <w:spacing w:val="-9"/>
          <w:sz w:val="20"/>
          <w:vertAlign w:val="baseline"/>
        </w:rPr>
        <w:t> </w:t>
      </w:r>
      <w:r>
        <w:rPr>
          <w:rFonts w:ascii="Calibri"/>
          <w:sz w:val="20"/>
          <w:vertAlign w:val="baseline"/>
        </w:rPr>
        <w:t>2001</w:t>
      </w:r>
      <w:r>
        <w:rPr>
          <w:rFonts w:ascii="Calibri"/>
          <w:spacing w:val="-4"/>
          <w:sz w:val="20"/>
          <w:vertAlign w:val="baseline"/>
        </w:rPr>
        <w:t> </w:t>
      </w:r>
      <w:r>
        <w:rPr>
          <w:rFonts w:ascii="Calibri"/>
          <w:sz w:val="20"/>
          <w:vertAlign w:val="baseline"/>
        </w:rPr>
        <w:t>(as</w:t>
      </w:r>
      <w:r>
        <w:rPr>
          <w:rFonts w:ascii="Calibri"/>
          <w:spacing w:val="-10"/>
          <w:sz w:val="20"/>
          <w:vertAlign w:val="baseline"/>
        </w:rPr>
        <w:t> </w:t>
      </w:r>
      <w:r>
        <w:rPr>
          <w:rFonts w:ascii="Calibri"/>
          <w:spacing w:val="-2"/>
          <w:sz w:val="20"/>
          <w:vertAlign w:val="baseline"/>
        </w:rPr>
        <w:t>amended).</w:t>
      </w:r>
    </w:p>
    <w:p>
      <w:pPr>
        <w:spacing w:before="0"/>
        <w:ind w:left="308" w:right="0" w:firstLine="0"/>
        <w:jc w:val="left"/>
        <w:rPr>
          <w:rFonts w:ascii="Calibri"/>
          <w:sz w:val="20"/>
        </w:rPr>
      </w:pPr>
      <w:r>
        <w:rPr>
          <w:rFonts w:ascii="Calibri"/>
          <w:sz w:val="20"/>
          <w:vertAlign w:val="superscript"/>
        </w:rPr>
        <w:t>76</w:t>
      </w:r>
      <w:r>
        <w:rPr>
          <w:rFonts w:ascii="Calibri"/>
          <w:sz w:val="20"/>
          <w:vertAlign w:val="baseline"/>
        </w:rPr>
        <w:t> See</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465</w:t>
      </w:r>
      <w:r>
        <w:rPr>
          <w:rFonts w:ascii="Calibri"/>
          <w:spacing w:val="-8"/>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6"/>
          <w:sz w:val="20"/>
          <w:vertAlign w:val="baseline"/>
        </w:rPr>
        <w:t> </w:t>
      </w:r>
      <w:r>
        <w:rPr>
          <w:rFonts w:ascii="Calibri"/>
          <w:sz w:val="20"/>
          <w:vertAlign w:val="baseline"/>
        </w:rPr>
        <w:t>new</w:t>
      </w:r>
      <w:r>
        <w:rPr>
          <w:rFonts w:ascii="Calibri"/>
          <w:spacing w:val="-6"/>
          <w:sz w:val="20"/>
          <w:vertAlign w:val="baseline"/>
        </w:rPr>
        <w:t> </w:t>
      </w:r>
      <w:r>
        <w:rPr>
          <w:rFonts w:ascii="Calibri"/>
          <w:sz w:val="20"/>
          <w:vertAlign w:val="baseline"/>
        </w:rPr>
        <w:t>Hong</w:t>
      </w:r>
      <w:r>
        <w:rPr>
          <w:rFonts w:ascii="Calibri"/>
          <w:spacing w:val="-6"/>
          <w:sz w:val="20"/>
          <w:vertAlign w:val="baseline"/>
        </w:rPr>
        <w:t> </w:t>
      </w:r>
      <w:r>
        <w:rPr>
          <w:rFonts w:ascii="Calibri"/>
          <w:sz w:val="20"/>
          <w:vertAlign w:val="baseline"/>
        </w:rPr>
        <w:t>Kong Companies</w:t>
      </w:r>
      <w:r>
        <w:rPr>
          <w:rFonts w:ascii="Calibri"/>
          <w:spacing w:val="-7"/>
          <w:sz w:val="20"/>
          <w:vertAlign w:val="baseline"/>
        </w:rPr>
        <w:t> </w:t>
      </w:r>
      <w:r>
        <w:rPr>
          <w:rFonts w:ascii="Calibri"/>
          <w:sz w:val="20"/>
          <w:vertAlign w:val="baseline"/>
        </w:rPr>
        <w:t>Ordinance</w:t>
      </w:r>
      <w:r>
        <w:rPr>
          <w:rFonts w:ascii="Calibri"/>
          <w:spacing w:val="-6"/>
          <w:sz w:val="20"/>
          <w:vertAlign w:val="baseline"/>
        </w:rPr>
        <w:t> </w:t>
      </w:r>
      <w:r>
        <w:rPr>
          <w:rFonts w:ascii="Calibri"/>
          <w:spacing w:val="-2"/>
          <w:sz w:val="20"/>
          <w:vertAlign w:val="baseline"/>
        </w:rPr>
        <w:t>2012.</w:t>
      </w:r>
    </w:p>
    <w:p>
      <w:pPr>
        <w:spacing w:before="1"/>
        <w:ind w:left="308" w:right="0" w:firstLine="0"/>
        <w:jc w:val="left"/>
        <w:rPr>
          <w:rFonts w:ascii="Calibri"/>
          <w:sz w:val="20"/>
        </w:rPr>
      </w:pPr>
      <w:r>
        <w:rPr>
          <w:rFonts w:ascii="Calibri"/>
          <w:sz w:val="20"/>
          <w:vertAlign w:val="superscript"/>
        </w:rPr>
        <w:t>77</w:t>
      </w:r>
      <w:r>
        <w:rPr>
          <w:rFonts w:ascii="Calibri"/>
          <w:spacing w:val="-3"/>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s.</w:t>
      </w:r>
      <w:r>
        <w:rPr>
          <w:rFonts w:ascii="Calibri"/>
          <w:spacing w:val="-2"/>
          <w:sz w:val="20"/>
          <w:vertAlign w:val="baseline"/>
        </w:rPr>
        <w:t> </w:t>
      </w:r>
      <w:r>
        <w:rPr>
          <w:rFonts w:ascii="Calibri"/>
          <w:sz w:val="20"/>
          <w:vertAlign w:val="baseline"/>
        </w:rPr>
        <w:t>76(3)(c)</w:t>
      </w:r>
      <w:r>
        <w:rPr>
          <w:rFonts w:ascii="Calibri"/>
          <w:spacing w:val="-4"/>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the</w:t>
      </w:r>
      <w:r>
        <w:rPr>
          <w:rFonts w:ascii="Calibri"/>
          <w:spacing w:val="-3"/>
          <w:sz w:val="20"/>
          <w:vertAlign w:val="baseline"/>
        </w:rPr>
        <w:t> </w:t>
      </w:r>
      <w:r>
        <w:rPr>
          <w:rFonts w:ascii="Calibri"/>
          <w:sz w:val="20"/>
          <w:vertAlign w:val="baseline"/>
        </w:rPr>
        <w:t>South</w:t>
      </w:r>
      <w:r>
        <w:rPr>
          <w:rFonts w:ascii="Calibri"/>
          <w:spacing w:val="-9"/>
          <w:sz w:val="20"/>
          <w:vertAlign w:val="baseline"/>
        </w:rPr>
        <w:t> </w:t>
      </w:r>
      <w:r>
        <w:rPr>
          <w:rFonts w:ascii="Calibri"/>
          <w:sz w:val="20"/>
          <w:vertAlign w:val="baseline"/>
        </w:rPr>
        <w:t>African</w:t>
      </w:r>
      <w:r>
        <w:rPr>
          <w:rFonts w:ascii="Calibri"/>
          <w:spacing w:val="-5"/>
          <w:sz w:val="20"/>
          <w:vertAlign w:val="baseline"/>
        </w:rPr>
        <w:t> </w:t>
      </w:r>
      <w:r>
        <w:rPr>
          <w:rFonts w:ascii="Calibri"/>
          <w:sz w:val="20"/>
          <w:vertAlign w:val="baseline"/>
        </w:rPr>
        <w:t>Companies</w:t>
      </w:r>
      <w:r>
        <w:rPr>
          <w:rFonts w:ascii="Calibri"/>
          <w:spacing w:val="-5"/>
          <w:sz w:val="20"/>
          <w:vertAlign w:val="baseline"/>
        </w:rPr>
        <w:t> </w:t>
      </w:r>
      <w:r>
        <w:rPr>
          <w:rFonts w:ascii="Calibri"/>
          <w:sz w:val="20"/>
          <w:vertAlign w:val="baseline"/>
        </w:rPr>
        <w:t>Act</w:t>
      </w:r>
      <w:r>
        <w:rPr>
          <w:rFonts w:ascii="Calibri"/>
          <w:spacing w:val="-9"/>
          <w:sz w:val="20"/>
          <w:vertAlign w:val="baseline"/>
        </w:rPr>
        <w:t> </w:t>
      </w:r>
      <w:r>
        <w:rPr>
          <w:rFonts w:ascii="Calibri"/>
          <w:spacing w:val="-2"/>
          <w:sz w:val="20"/>
          <w:vertAlign w:val="baseline"/>
        </w:rPr>
        <w:t>2008.</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27"/>
        <w:jc w:val="both"/>
      </w:pPr>
      <w:r>
        <w:rPr/>
        <w:t>directors do not normally</w:t>
      </w:r>
      <w:r>
        <w:rPr>
          <w:spacing w:val="-5"/>
        </w:rPr>
        <w:t> </w:t>
      </w:r>
      <w:r>
        <w:rPr/>
        <w:t>receive the same pay and more often receive pay based on the level of their qualifications and expertise. The prospect of receiving better pay with higher qualification is incentive enough for directors to seek to improve their level </w:t>
      </w:r>
      <w:r>
        <w:rPr>
          <w:spacing w:val="11"/>
        </w:rPr>
        <w:t>of </w:t>
      </w:r>
      <w:r>
        <w:rPr>
          <w:spacing w:val="-2"/>
        </w:rPr>
        <w:t>expertise.</w:t>
      </w:r>
    </w:p>
    <w:p>
      <w:pPr>
        <w:pStyle w:val="Heading2"/>
        <w:numPr>
          <w:ilvl w:val="2"/>
          <w:numId w:val="20"/>
        </w:numPr>
        <w:tabs>
          <w:tab w:pos="1027" w:val="left" w:leader="none"/>
        </w:tabs>
        <w:spacing w:line="240" w:lineRule="auto" w:before="207" w:after="0"/>
        <w:ind w:left="1027" w:right="0" w:hanging="719"/>
        <w:jc w:val="both"/>
      </w:pPr>
      <w:bookmarkStart w:name="_TOC_250006" w:id="46"/>
      <w:r>
        <w:rPr/>
        <w:t>Duty to</w:t>
      </w:r>
      <w:r>
        <w:rPr>
          <w:spacing w:val="-4"/>
        </w:rPr>
        <w:t> </w:t>
      </w:r>
      <w:r>
        <w:rPr/>
        <w:t>Avoid</w:t>
      </w:r>
      <w:r>
        <w:rPr>
          <w:spacing w:val="-3"/>
        </w:rPr>
        <w:t> </w:t>
      </w:r>
      <w:r>
        <w:rPr/>
        <w:t>Conflicts</w:t>
      </w:r>
      <w:r>
        <w:rPr>
          <w:spacing w:val="-1"/>
        </w:rPr>
        <w:t> </w:t>
      </w:r>
      <w:r>
        <w:rPr/>
        <w:t>of</w:t>
      </w:r>
      <w:bookmarkEnd w:id="46"/>
      <w:r>
        <w:rPr>
          <w:spacing w:val="-2"/>
        </w:rPr>
        <w:t> Interest</w:t>
      </w:r>
    </w:p>
    <w:p>
      <w:pPr>
        <w:pStyle w:val="BodyText"/>
        <w:spacing w:line="480" w:lineRule="auto" w:before="132"/>
        <w:ind w:right="182"/>
        <w:jc w:val="both"/>
      </w:pPr>
      <w:r>
        <w:rPr/>
        <w:t>This rule was strict under the common law: ―no man can…acting as an agent, be allowed to put himself in a position in which his interest and duty will be in conflict.‖</w:t>
      </w:r>
      <w:r>
        <w:rPr>
          <w:vertAlign w:val="superscript"/>
        </w:rPr>
        <w:t>78</w:t>
      </w:r>
      <w:r>
        <w:rPr>
          <w:vertAlign w:val="baseline"/>
        </w:rPr>
        <w:t> Otherwise,</w:t>
      </w:r>
      <w:r>
        <w:rPr>
          <w:spacing w:val="15"/>
          <w:vertAlign w:val="baseline"/>
        </w:rPr>
        <w:t> </w:t>
      </w:r>
      <w:r>
        <w:rPr>
          <w:vertAlign w:val="baseline"/>
        </w:rPr>
        <w:t>he would be liable to pay</w:t>
      </w:r>
      <w:r>
        <w:rPr>
          <w:spacing w:val="-1"/>
          <w:vertAlign w:val="baseline"/>
        </w:rPr>
        <w:t> </w:t>
      </w:r>
      <w:r>
        <w:rPr>
          <w:vertAlign w:val="baseline"/>
        </w:rPr>
        <w:t>over all the profits to his principal.</w:t>
      </w:r>
      <w:r>
        <w:rPr>
          <w:spacing w:val="21"/>
          <w:vertAlign w:val="baseline"/>
        </w:rPr>
        <w:t> </w:t>
      </w:r>
      <w:r>
        <w:rPr>
          <w:vertAlign w:val="baseline"/>
        </w:rPr>
        <w:t>The law under</w:t>
      </w:r>
    </w:p>
    <w:p>
      <w:pPr>
        <w:pStyle w:val="BodyText"/>
        <w:spacing w:line="480" w:lineRule="auto" w:before="1"/>
        <w:ind w:right="182"/>
        <w:jc w:val="both"/>
      </w:pPr>
      <w:r>
        <w:rPr/>
        <w:t>s.175 CA prima facie observes the common law rule, but further qualifies it with an exception which recognizes authorization by the board of directors. The rule does not depend on fraud, or absence of bona fides; or upon such other similar considerations.</w:t>
      </w:r>
      <w:r>
        <w:rPr>
          <w:vertAlign w:val="superscript"/>
        </w:rPr>
        <w:t>79</w:t>
      </w:r>
      <w:r>
        <w:rPr>
          <w:vertAlign w:val="baseline"/>
        </w:rPr>
        <w:t> With respect to directors, this rule applies because they are presumably trustees of the company‘s information, property and opportunity. S.175 CA</w:t>
      </w:r>
      <w:r>
        <w:rPr>
          <w:vertAlign w:val="superscript"/>
        </w:rPr>
        <w:t>80</w:t>
      </w:r>
      <w:r>
        <w:rPr>
          <w:vertAlign w:val="baseline"/>
        </w:rPr>
        <w:t> requires a director to avoid situational conflicts, direct or indirect; actual or possible, and rightly excludes transactional conflicts from its ambit. The question whether an actual or potential conflict of interest has arisen, is one for the courts.</w:t>
      </w:r>
      <w:r>
        <w:rPr>
          <w:vertAlign w:val="superscript"/>
        </w:rPr>
        <w:t>81</w:t>
      </w:r>
    </w:p>
    <w:p>
      <w:pPr>
        <w:pStyle w:val="BodyText"/>
        <w:spacing w:line="480" w:lineRule="auto" w:before="1"/>
        <w:ind w:right="190" w:firstLine="720"/>
        <w:jc w:val="both"/>
      </w:pPr>
      <w:r>
        <w:rPr/>
        <w:t>Under the CAMA, s.279(1) considers company directors to be fiduciaries of the company, so that they must observe the utmost good faith in any transactions with it or on its behalf. S.283 particularly regards them as trustees of its properties. Thus, s.280(2)(b) forbids them from making any gains from the company‘s property, while doing their duty. There are lacunae and grammatical ambiguities in the statement of the duty under this head. In the first place, the demand that a director should observe good faith</w:t>
      </w:r>
      <w:r>
        <w:rPr>
          <w:spacing w:val="38"/>
        </w:rPr>
        <w:t> </w:t>
      </w:r>
      <w:r>
        <w:rPr/>
        <w:t>in</w:t>
      </w:r>
      <w:r>
        <w:rPr>
          <w:spacing w:val="38"/>
        </w:rPr>
        <w:t> </w:t>
      </w:r>
      <w:r>
        <w:rPr/>
        <w:t>any</w:t>
      </w:r>
      <w:r>
        <w:rPr>
          <w:spacing w:val="33"/>
        </w:rPr>
        <w:t> </w:t>
      </w:r>
      <w:r>
        <w:rPr/>
        <w:t>transactions</w:t>
      </w:r>
      <w:r>
        <w:rPr>
          <w:spacing w:val="42"/>
        </w:rPr>
        <w:t> </w:t>
      </w:r>
      <w:r>
        <w:rPr>
          <w:i/>
        </w:rPr>
        <w:t>on</w:t>
      </w:r>
      <w:r>
        <w:rPr>
          <w:i/>
          <w:spacing w:val="38"/>
        </w:rPr>
        <w:t> </w:t>
      </w:r>
      <w:r>
        <w:rPr>
          <w:i/>
        </w:rPr>
        <w:t>behalf</w:t>
      </w:r>
      <w:r>
        <w:rPr>
          <w:i/>
          <w:spacing w:val="44"/>
        </w:rPr>
        <w:t> </w:t>
      </w:r>
      <w:r>
        <w:rPr>
          <w:i/>
        </w:rPr>
        <w:t>of</w:t>
      </w:r>
      <w:r>
        <w:rPr>
          <w:i/>
          <w:spacing w:val="41"/>
        </w:rPr>
        <w:t> </w:t>
      </w:r>
      <w:r>
        <w:rPr/>
        <w:t>the</w:t>
      </w:r>
      <w:r>
        <w:rPr>
          <w:spacing w:val="37"/>
        </w:rPr>
        <w:t> </w:t>
      </w:r>
      <w:r>
        <w:rPr/>
        <w:t>company</w:t>
      </w:r>
      <w:r>
        <w:rPr>
          <w:spacing w:val="38"/>
        </w:rPr>
        <w:t> </w:t>
      </w:r>
      <w:r>
        <w:rPr/>
        <w:t>is</w:t>
      </w:r>
      <w:r>
        <w:rPr>
          <w:spacing w:val="40"/>
        </w:rPr>
        <w:t> </w:t>
      </w:r>
      <w:r>
        <w:rPr/>
        <w:t>quite</w:t>
      </w:r>
      <w:r>
        <w:rPr>
          <w:spacing w:val="42"/>
        </w:rPr>
        <w:t> </w:t>
      </w:r>
      <w:r>
        <w:rPr/>
        <w:t>justified,</w:t>
      </w:r>
      <w:r>
        <w:rPr>
          <w:spacing w:val="40"/>
        </w:rPr>
        <w:t> </w:t>
      </w:r>
      <w:r>
        <w:rPr/>
        <w:t>considering</w:t>
      </w:r>
      <w:r>
        <w:rPr>
          <w:spacing w:val="39"/>
        </w:rPr>
        <w:t> </w:t>
      </w:r>
      <w:r>
        <w:rPr>
          <w:spacing w:val="-5"/>
        </w:rPr>
        <w:t>the</w:t>
      </w:r>
    </w:p>
    <w:p>
      <w:pPr>
        <w:pStyle w:val="BodyText"/>
        <w:spacing w:before="8"/>
        <w:ind w:left="0"/>
        <w:rPr>
          <w:sz w:val="11"/>
        </w:rPr>
      </w:pPr>
      <w:r>
        <w:rPr/>
        <mc:AlternateContent>
          <mc:Choice Requires="wps">
            <w:drawing>
              <wp:anchor distT="0" distB="0" distL="0" distR="0" allowOverlap="1" layoutInCell="1" locked="0" behindDoc="1" simplePos="0" relativeHeight="487724544">
                <wp:simplePos x="0" y="0"/>
                <wp:positionH relativeFrom="page">
                  <wp:posOffset>1262481</wp:posOffset>
                </wp:positionH>
                <wp:positionV relativeFrom="paragraph">
                  <wp:posOffset>101126</wp:posOffset>
                </wp:positionV>
                <wp:extent cx="1829435" cy="9525"/>
                <wp:effectExtent l="0" t="0" r="0" b="0"/>
                <wp:wrapTopAndBottom/>
                <wp:docPr id="294" name="Graphic 294"/>
                <wp:cNvGraphicFramePr>
                  <a:graphicFrameLocks/>
                </wp:cNvGraphicFramePr>
                <a:graphic>
                  <a:graphicData uri="http://schemas.microsoft.com/office/word/2010/wordprocessingShape">
                    <wps:wsp>
                      <wps:cNvPr id="294" name="Graphic 294"/>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7.962704pt;width:144.050pt;height:.72003pt;mso-position-horizontal-relative:page;mso-position-vertical-relative:paragraph;z-index:-15591936;mso-wrap-distance-left:0;mso-wrap-distance-right:0" id="docshape24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78</w:t>
      </w:r>
      <w:r>
        <w:rPr>
          <w:rFonts w:ascii="Calibri"/>
          <w:sz w:val="20"/>
          <w:vertAlign w:val="baseline"/>
        </w:rPr>
        <w:t>Per</w:t>
      </w:r>
      <w:r>
        <w:rPr>
          <w:rFonts w:ascii="Calibri"/>
          <w:spacing w:val="-5"/>
          <w:sz w:val="20"/>
          <w:vertAlign w:val="baseline"/>
        </w:rPr>
        <w:t> </w:t>
      </w:r>
      <w:r>
        <w:rPr>
          <w:rFonts w:ascii="Calibri"/>
          <w:sz w:val="20"/>
          <w:vertAlign w:val="baseline"/>
        </w:rPr>
        <w:t>Lord</w:t>
      </w:r>
      <w:r>
        <w:rPr>
          <w:rFonts w:ascii="Calibri"/>
          <w:spacing w:val="-2"/>
          <w:sz w:val="20"/>
          <w:vertAlign w:val="baseline"/>
        </w:rPr>
        <w:t> </w:t>
      </w:r>
      <w:r>
        <w:rPr>
          <w:rFonts w:ascii="Calibri"/>
          <w:sz w:val="20"/>
          <w:vertAlign w:val="baseline"/>
        </w:rPr>
        <w:t>Cairns</w:t>
      </w:r>
      <w:r>
        <w:rPr>
          <w:rFonts w:ascii="Calibri"/>
          <w:spacing w:val="-7"/>
          <w:sz w:val="20"/>
          <w:vertAlign w:val="baseline"/>
        </w:rPr>
        <w:t> </w:t>
      </w:r>
      <w:r>
        <w:rPr>
          <w:rFonts w:ascii="Calibri"/>
          <w:sz w:val="20"/>
          <w:vertAlign w:val="baseline"/>
        </w:rPr>
        <w:t>in</w:t>
      </w:r>
      <w:r>
        <w:rPr>
          <w:rFonts w:ascii="Calibri"/>
          <w:i/>
          <w:sz w:val="20"/>
          <w:vertAlign w:val="baseline"/>
        </w:rPr>
        <w:t>Parker</w:t>
      </w:r>
      <w:r>
        <w:rPr>
          <w:rFonts w:ascii="Calibri"/>
          <w:i/>
          <w:spacing w:val="-9"/>
          <w:sz w:val="20"/>
          <w:vertAlign w:val="baseline"/>
        </w:rPr>
        <w:t> </w:t>
      </w:r>
      <w:r>
        <w:rPr>
          <w:rFonts w:ascii="Calibri"/>
          <w:i/>
          <w:sz w:val="20"/>
          <w:vertAlign w:val="baseline"/>
        </w:rPr>
        <w:t>vs.</w:t>
      </w:r>
      <w:r>
        <w:rPr>
          <w:rFonts w:ascii="Calibri"/>
          <w:i/>
          <w:spacing w:val="-4"/>
          <w:sz w:val="20"/>
          <w:vertAlign w:val="baseline"/>
        </w:rPr>
        <w:t> </w:t>
      </w:r>
      <w:r>
        <w:rPr>
          <w:rFonts w:ascii="Calibri"/>
          <w:i/>
          <w:sz w:val="20"/>
          <w:vertAlign w:val="baseline"/>
        </w:rPr>
        <w:t>McKenna</w:t>
      </w:r>
      <w:r>
        <w:rPr>
          <w:rFonts w:ascii="Calibri"/>
          <w:i/>
          <w:spacing w:val="-4"/>
          <w:sz w:val="20"/>
          <w:vertAlign w:val="baseline"/>
        </w:rPr>
        <w:t> </w:t>
      </w:r>
      <w:r>
        <w:rPr>
          <w:rFonts w:ascii="Calibri"/>
          <w:sz w:val="20"/>
          <w:vertAlign w:val="baseline"/>
        </w:rPr>
        <w:t>(1874)</w:t>
      </w:r>
      <w:r>
        <w:rPr>
          <w:rFonts w:ascii="Calibri"/>
          <w:spacing w:val="-2"/>
          <w:sz w:val="20"/>
          <w:vertAlign w:val="baseline"/>
        </w:rPr>
        <w:t> </w:t>
      </w:r>
      <w:r>
        <w:rPr>
          <w:rFonts w:ascii="Calibri"/>
          <w:sz w:val="20"/>
          <w:vertAlign w:val="baseline"/>
        </w:rPr>
        <w:t>10</w:t>
      </w:r>
      <w:r>
        <w:rPr>
          <w:rFonts w:ascii="Calibri"/>
          <w:spacing w:val="-8"/>
          <w:sz w:val="20"/>
          <w:vertAlign w:val="baseline"/>
        </w:rPr>
        <w:t> </w:t>
      </w:r>
      <w:r>
        <w:rPr>
          <w:rFonts w:ascii="Calibri"/>
          <w:sz w:val="20"/>
          <w:vertAlign w:val="baseline"/>
        </w:rPr>
        <w:t>Ch.</w:t>
      </w:r>
      <w:r>
        <w:rPr>
          <w:rFonts w:ascii="Calibri"/>
          <w:spacing w:val="-5"/>
          <w:sz w:val="20"/>
          <w:vertAlign w:val="baseline"/>
        </w:rPr>
        <w:t> </w:t>
      </w:r>
      <w:r>
        <w:rPr>
          <w:rFonts w:ascii="Calibri"/>
          <w:sz w:val="20"/>
          <w:vertAlign w:val="baseline"/>
        </w:rPr>
        <w:t>App.</w:t>
      </w:r>
      <w:r>
        <w:rPr>
          <w:rFonts w:ascii="Calibri"/>
          <w:spacing w:val="-5"/>
          <w:sz w:val="20"/>
          <w:vertAlign w:val="baseline"/>
        </w:rPr>
        <w:t> 96.</w:t>
      </w:r>
    </w:p>
    <w:p>
      <w:pPr>
        <w:spacing w:before="1"/>
        <w:ind w:left="308" w:right="0" w:firstLine="0"/>
        <w:jc w:val="left"/>
        <w:rPr>
          <w:rFonts w:ascii="Calibri"/>
          <w:sz w:val="20"/>
        </w:rPr>
      </w:pPr>
      <w:r>
        <w:rPr>
          <w:rFonts w:ascii="Calibri"/>
          <w:sz w:val="20"/>
          <w:vertAlign w:val="superscript"/>
        </w:rPr>
        <w:t>79</w:t>
      </w:r>
      <w:r>
        <w:rPr>
          <w:rFonts w:ascii="Calibri"/>
          <w:spacing w:val="-1"/>
          <w:sz w:val="20"/>
          <w:vertAlign w:val="baseline"/>
        </w:rPr>
        <w:t> </w:t>
      </w:r>
      <w:r>
        <w:rPr>
          <w:rFonts w:ascii="Calibri"/>
          <w:sz w:val="20"/>
          <w:vertAlign w:val="baseline"/>
        </w:rPr>
        <w:t>Per</w:t>
      </w:r>
      <w:r>
        <w:rPr>
          <w:rFonts w:ascii="Calibri"/>
          <w:spacing w:val="-5"/>
          <w:sz w:val="20"/>
          <w:vertAlign w:val="baseline"/>
        </w:rPr>
        <w:t> </w:t>
      </w:r>
      <w:r>
        <w:rPr>
          <w:rFonts w:ascii="Calibri"/>
          <w:sz w:val="20"/>
          <w:vertAlign w:val="baseline"/>
        </w:rPr>
        <w:t>Lord</w:t>
      </w:r>
      <w:r>
        <w:rPr>
          <w:rFonts w:ascii="Calibri"/>
          <w:spacing w:val="-7"/>
          <w:sz w:val="20"/>
          <w:vertAlign w:val="baseline"/>
        </w:rPr>
        <w:t> </w:t>
      </w:r>
      <w:r>
        <w:rPr>
          <w:rFonts w:ascii="Calibri"/>
          <w:sz w:val="20"/>
          <w:vertAlign w:val="baseline"/>
        </w:rPr>
        <w:t>Russell</w:t>
      </w:r>
      <w:r>
        <w:rPr>
          <w:rFonts w:ascii="Calibri"/>
          <w:spacing w:val="-4"/>
          <w:sz w:val="20"/>
          <w:vertAlign w:val="baseline"/>
        </w:rPr>
        <w:t> </w:t>
      </w:r>
      <w:r>
        <w:rPr>
          <w:rFonts w:ascii="Calibri"/>
          <w:sz w:val="20"/>
          <w:vertAlign w:val="baseline"/>
        </w:rPr>
        <w:t>in</w:t>
      </w:r>
      <w:r>
        <w:rPr>
          <w:rFonts w:ascii="Calibri"/>
          <w:spacing w:val="-5"/>
          <w:sz w:val="20"/>
          <w:vertAlign w:val="baseline"/>
        </w:rPr>
        <w:t> </w:t>
      </w:r>
      <w:r>
        <w:rPr>
          <w:rFonts w:ascii="Calibri"/>
          <w:i/>
          <w:sz w:val="20"/>
          <w:vertAlign w:val="baseline"/>
        </w:rPr>
        <w:t>Regal</w:t>
      </w:r>
      <w:r>
        <w:rPr>
          <w:rFonts w:ascii="Calibri"/>
          <w:i/>
          <w:spacing w:val="-5"/>
          <w:sz w:val="20"/>
          <w:vertAlign w:val="baseline"/>
        </w:rPr>
        <w:t> </w:t>
      </w:r>
      <w:r>
        <w:rPr>
          <w:rFonts w:ascii="Calibri"/>
          <w:i/>
          <w:sz w:val="20"/>
          <w:vertAlign w:val="baseline"/>
        </w:rPr>
        <w:t>(Hastings)</w:t>
      </w:r>
      <w:r>
        <w:rPr>
          <w:rFonts w:ascii="Calibri"/>
          <w:i/>
          <w:spacing w:val="-5"/>
          <w:sz w:val="20"/>
          <w:vertAlign w:val="baseline"/>
        </w:rPr>
        <w:t> </w:t>
      </w:r>
      <w:r>
        <w:rPr>
          <w:rFonts w:ascii="Calibri"/>
          <w:i/>
          <w:sz w:val="20"/>
          <w:vertAlign w:val="baseline"/>
        </w:rPr>
        <w:t>Ltd.</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Gulliver</w:t>
      </w:r>
      <w:r>
        <w:rPr>
          <w:rFonts w:ascii="Calibri"/>
          <w:i/>
          <w:spacing w:val="-7"/>
          <w:sz w:val="20"/>
          <w:vertAlign w:val="baseline"/>
        </w:rPr>
        <w:t> </w:t>
      </w:r>
      <w:r>
        <w:rPr>
          <w:rFonts w:ascii="Calibri"/>
          <w:sz w:val="20"/>
          <w:vertAlign w:val="baseline"/>
        </w:rPr>
        <w:t>(1967)</w:t>
      </w:r>
      <w:r>
        <w:rPr>
          <w:rFonts w:ascii="Calibri"/>
          <w:spacing w:val="-1"/>
          <w:sz w:val="20"/>
          <w:vertAlign w:val="baseline"/>
        </w:rPr>
        <w:t> </w:t>
      </w:r>
      <w:r>
        <w:rPr>
          <w:rFonts w:ascii="Calibri"/>
          <w:sz w:val="20"/>
          <w:vertAlign w:val="baseline"/>
        </w:rPr>
        <w:t>2</w:t>
      </w:r>
      <w:r>
        <w:rPr>
          <w:rFonts w:ascii="Calibri"/>
          <w:spacing w:val="-8"/>
          <w:sz w:val="20"/>
          <w:vertAlign w:val="baseline"/>
        </w:rPr>
        <w:t> </w:t>
      </w:r>
      <w:r>
        <w:rPr>
          <w:rFonts w:ascii="Calibri"/>
          <w:sz w:val="20"/>
          <w:vertAlign w:val="baseline"/>
        </w:rPr>
        <w:t>A.C.</w:t>
      </w:r>
      <w:r>
        <w:rPr>
          <w:rFonts w:ascii="Calibri"/>
          <w:spacing w:val="-5"/>
          <w:sz w:val="20"/>
          <w:vertAlign w:val="baseline"/>
        </w:rPr>
        <w:t> </w:t>
      </w:r>
      <w:r>
        <w:rPr>
          <w:rFonts w:ascii="Calibri"/>
          <w:sz w:val="20"/>
          <w:vertAlign w:val="baseline"/>
        </w:rPr>
        <w:t>134,</w:t>
      </w:r>
      <w:r>
        <w:rPr>
          <w:rFonts w:ascii="Calibri"/>
          <w:spacing w:val="-4"/>
          <w:sz w:val="20"/>
          <w:vertAlign w:val="baseline"/>
        </w:rPr>
        <w:t> </w:t>
      </w:r>
      <w:r>
        <w:rPr>
          <w:rFonts w:ascii="Calibri"/>
          <w:sz w:val="20"/>
          <w:vertAlign w:val="baseline"/>
        </w:rPr>
        <w:t>at</w:t>
      </w:r>
      <w:r>
        <w:rPr>
          <w:rFonts w:ascii="Calibri"/>
          <w:spacing w:val="-2"/>
          <w:sz w:val="20"/>
          <w:vertAlign w:val="baseline"/>
        </w:rPr>
        <w:t> </w:t>
      </w:r>
      <w:r>
        <w:rPr>
          <w:rFonts w:ascii="Calibri"/>
          <w:sz w:val="20"/>
          <w:vertAlign w:val="baseline"/>
        </w:rPr>
        <w:t>144-</w:t>
      </w:r>
      <w:r>
        <w:rPr>
          <w:rFonts w:ascii="Calibri"/>
          <w:spacing w:val="-4"/>
          <w:sz w:val="20"/>
          <w:vertAlign w:val="baseline"/>
        </w:rPr>
        <w:t>145.</w:t>
      </w:r>
    </w:p>
    <w:p>
      <w:pPr>
        <w:spacing w:before="0"/>
        <w:ind w:left="308" w:right="0" w:firstLine="0"/>
        <w:jc w:val="left"/>
        <w:rPr>
          <w:rFonts w:ascii="Calibri"/>
          <w:sz w:val="20"/>
        </w:rPr>
      </w:pPr>
      <w:r>
        <w:rPr>
          <w:rFonts w:ascii="Calibri"/>
          <w:sz w:val="20"/>
          <w:vertAlign w:val="superscript"/>
        </w:rPr>
        <w:t>80</w:t>
      </w:r>
      <w:r>
        <w:rPr>
          <w:rFonts w:ascii="Calibri"/>
          <w:spacing w:val="-1"/>
          <w:sz w:val="20"/>
          <w:vertAlign w:val="baseline"/>
        </w:rPr>
        <w:t> </w:t>
      </w:r>
      <w:r>
        <w:rPr>
          <w:rFonts w:ascii="Calibri"/>
          <w:sz w:val="20"/>
          <w:vertAlign w:val="baseline"/>
        </w:rPr>
        <w:t>Please</w:t>
      </w:r>
      <w:r>
        <w:rPr>
          <w:rFonts w:ascii="Calibri"/>
          <w:spacing w:val="-6"/>
          <w:sz w:val="20"/>
          <w:vertAlign w:val="baseline"/>
        </w:rPr>
        <w:t> </w:t>
      </w:r>
      <w:r>
        <w:rPr>
          <w:rFonts w:ascii="Calibri"/>
          <w:sz w:val="20"/>
          <w:vertAlign w:val="baseline"/>
        </w:rPr>
        <w:t>refer</w:t>
      </w:r>
      <w:r>
        <w:rPr>
          <w:rFonts w:ascii="Calibri"/>
          <w:spacing w:val="-5"/>
          <w:sz w:val="20"/>
          <w:vertAlign w:val="baseline"/>
        </w:rPr>
        <w:t> </w:t>
      </w:r>
      <w:r>
        <w:rPr>
          <w:rFonts w:ascii="Calibri"/>
          <w:sz w:val="20"/>
          <w:vertAlign w:val="baseline"/>
        </w:rPr>
        <w:t>to</w:t>
      </w:r>
      <w:r>
        <w:rPr>
          <w:rFonts w:ascii="Calibri"/>
          <w:spacing w:val="-3"/>
          <w:sz w:val="20"/>
          <w:vertAlign w:val="baseline"/>
        </w:rPr>
        <w:t> </w:t>
      </w:r>
      <w:r>
        <w:rPr>
          <w:rFonts w:ascii="Calibri"/>
          <w:sz w:val="20"/>
          <w:vertAlign w:val="baseline"/>
        </w:rPr>
        <w:t>Appendix</w:t>
      </w:r>
      <w:r>
        <w:rPr>
          <w:rFonts w:ascii="Calibri"/>
          <w:spacing w:val="-8"/>
          <w:sz w:val="20"/>
          <w:vertAlign w:val="baseline"/>
        </w:rPr>
        <w:t> </w:t>
      </w:r>
      <w:r>
        <w:rPr>
          <w:rFonts w:ascii="Calibri"/>
          <w:spacing w:val="-5"/>
          <w:sz w:val="20"/>
          <w:vertAlign w:val="baseline"/>
        </w:rPr>
        <w:t>A.</w:t>
      </w:r>
    </w:p>
    <w:p>
      <w:pPr>
        <w:spacing w:before="1"/>
        <w:ind w:left="308" w:right="0" w:firstLine="0"/>
        <w:jc w:val="left"/>
        <w:rPr>
          <w:rFonts w:ascii="Calibri"/>
          <w:sz w:val="20"/>
        </w:rPr>
      </w:pPr>
      <w:r>
        <w:rPr>
          <w:rFonts w:ascii="Calibri"/>
          <w:sz w:val="20"/>
          <w:vertAlign w:val="superscript"/>
        </w:rPr>
        <w:t>81</w:t>
      </w:r>
      <w:r>
        <w:rPr>
          <w:rFonts w:ascii="Calibri"/>
          <w:spacing w:val="-3"/>
          <w:sz w:val="20"/>
          <w:vertAlign w:val="baseline"/>
        </w:rPr>
        <w:t> </w:t>
      </w:r>
      <w:r>
        <w:rPr>
          <w:rFonts w:ascii="Calibri"/>
          <w:sz w:val="20"/>
          <w:vertAlign w:val="baseline"/>
        </w:rPr>
        <w:t>Davies,</w:t>
      </w:r>
      <w:r>
        <w:rPr>
          <w:rFonts w:ascii="Calibri"/>
          <w:spacing w:val="-7"/>
          <w:sz w:val="20"/>
          <w:vertAlign w:val="baseline"/>
        </w:rPr>
        <w:t> </w:t>
      </w:r>
      <w:r>
        <w:rPr>
          <w:rFonts w:ascii="Calibri"/>
          <w:sz w:val="20"/>
          <w:vertAlign w:val="baseline"/>
        </w:rPr>
        <w:t>P.</w:t>
      </w:r>
      <w:r>
        <w:rPr>
          <w:rFonts w:ascii="Calibri"/>
          <w:spacing w:val="-2"/>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7"/>
          <w:sz w:val="20"/>
          <w:vertAlign w:val="baseline"/>
        </w:rPr>
        <w:t> </w:t>
      </w:r>
      <w:r>
        <w:rPr>
          <w:rFonts w:ascii="Calibri"/>
          <w:sz w:val="20"/>
          <w:vertAlign w:val="baseline"/>
        </w:rPr>
        <w:t>(2012).</w:t>
      </w:r>
      <w:r>
        <w:rPr>
          <w:rFonts w:ascii="Calibri"/>
          <w:spacing w:val="-7"/>
          <w:sz w:val="20"/>
          <w:vertAlign w:val="baseline"/>
        </w:rPr>
        <w:t> </w:t>
      </w:r>
      <w:r>
        <w:rPr>
          <w:rFonts w:ascii="Calibri"/>
          <w:sz w:val="20"/>
          <w:vertAlign w:val="baseline"/>
        </w:rPr>
        <w:t>Op.cit.</w:t>
      </w:r>
      <w:r>
        <w:rPr>
          <w:rFonts w:ascii="Calibri"/>
          <w:spacing w:val="-3"/>
          <w:sz w:val="20"/>
          <w:vertAlign w:val="baseline"/>
        </w:rPr>
        <w:t> </w:t>
      </w:r>
      <w:r>
        <w:rPr>
          <w:rFonts w:ascii="Calibri"/>
          <w:sz w:val="20"/>
          <w:vertAlign w:val="baseline"/>
        </w:rPr>
        <w:t>at</w:t>
      </w:r>
      <w:r>
        <w:rPr>
          <w:rFonts w:ascii="Calibri"/>
          <w:spacing w:val="-10"/>
          <w:sz w:val="20"/>
          <w:vertAlign w:val="baseline"/>
        </w:rPr>
        <w:t> </w:t>
      </w:r>
      <w:r>
        <w:rPr>
          <w:rFonts w:ascii="Calibri"/>
          <w:spacing w:val="-4"/>
          <w:sz w:val="20"/>
          <w:vertAlign w:val="baseline"/>
        </w:rPr>
        <w:t>591.</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88"/>
        <w:jc w:val="both"/>
      </w:pPr>
      <w:r>
        <w:rPr/>
        <w:t>director‘s powers and status under the law. But requiring him to observe ―utmost good faith‖ even in transactions </w:t>
      </w:r>
      <w:r>
        <w:rPr>
          <w:i/>
        </w:rPr>
        <w:t>with </w:t>
      </w:r>
      <w:r>
        <w:rPr/>
        <w:t>the company, it is submitted, is quite misleading, considering human nature.</w:t>
      </w:r>
      <w:r>
        <w:rPr>
          <w:vertAlign w:val="superscript"/>
        </w:rPr>
        <w:t>82</w:t>
      </w:r>
      <w:r>
        <w:rPr>
          <w:vertAlign w:val="baseline"/>
        </w:rPr>
        <w:t> Indeed, Lord Cranworth‘s remark that such situations</w:t>
      </w:r>
      <w:r>
        <w:rPr>
          <w:spacing w:val="40"/>
          <w:vertAlign w:val="baseline"/>
        </w:rPr>
        <w:t> </w:t>
      </w:r>
      <w:r>
        <w:rPr>
          <w:vertAlign w:val="baseline"/>
        </w:rPr>
        <w:t>would lead the director in a direction opposite the interests of the company, towards his own interests, rings true.</w:t>
      </w:r>
      <w:r>
        <w:rPr>
          <w:vertAlign w:val="superscript"/>
        </w:rPr>
        <w:t>83</w:t>
      </w:r>
      <w:r>
        <w:rPr>
          <w:vertAlign w:val="baseline"/>
        </w:rPr>
        <w:t> A director dealing with the company would more likely be watching out for his own benefit and interests and seek to make the best bargain for himself, rather than for the company. Besides, the law allows the director to transact</w:t>
      </w:r>
      <w:r>
        <w:rPr>
          <w:spacing w:val="40"/>
          <w:vertAlign w:val="baseline"/>
        </w:rPr>
        <w:t> </w:t>
      </w:r>
      <w:r>
        <w:rPr>
          <w:vertAlign w:val="baseline"/>
        </w:rPr>
        <w:t>with</w:t>
      </w:r>
      <w:r>
        <w:rPr>
          <w:spacing w:val="-1"/>
          <w:vertAlign w:val="baseline"/>
        </w:rPr>
        <w:t> </w:t>
      </w:r>
      <w:r>
        <w:rPr>
          <w:vertAlign w:val="baseline"/>
        </w:rPr>
        <w:t>the company</w:t>
      </w:r>
      <w:r>
        <w:rPr>
          <w:spacing w:val="-5"/>
          <w:vertAlign w:val="baseline"/>
        </w:rPr>
        <w:t> </w:t>
      </w:r>
      <w:r>
        <w:rPr>
          <w:vertAlign w:val="baseline"/>
        </w:rPr>
        <w:t>qua a third party</w:t>
      </w:r>
      <w:r>
        <w:rPr>
          <w:spacing w:val="-5"/>
          <w:vertAlign w:val="baseline"/>
        </w:rPr>
        <w:t> </w:t>
      </w:r>
      <w:r>
        <w:rPr>
          <w:vertAlign w:val="baseline"/>
        </w:rPr>
        <w:t>and not qua its director.</w:t>
      </w:r>
      <w:r>
        <w:rPr>
          <w:vertAlign w:val="superscript"/>
        </w:rPr>
        <w:t>84</w:t>
      </w:r>
      <w:r>
        <w:rPr>
          <w:vertAlign w:val="baseline"/>
        </w:rPr>
        <w:t> Thus, the law has, perhaps inadvertently, been misstated in s.279(1).</w:t>
      </w:r>
    </w:p>
    <w:p>
      <w:pPr>
        <w:pStyle w:val="BodyText"/>
        <w:spacing w:line="480" w:lineRule="auto" w:before="2"/>
        <w:ind w:right="183" w:firstLine="777"/>
        <w:jc w:val="both"/>
      </w:pPr>
      <w:r>
        <w:rPr/>
        <w:t>CAMA</w:t>
      </w:r>
      <w:r>
        <w:rPr>
          <w:spacing w:val="-5"/>
        </w:rPr>
        <w:t> </w:t>
      </w:r>
      <w:r>
        <w:rPr/>
        <w:t>in</w:t>
      </w:r>
      <w:r>
        <w:rPr>
          <w:spacing w:val="-5"/>
        </w:rPr>
        <w:t> </w:t>
      </w:r>
      <w:r>
        <w:rPr/>
        <w:t>s.280</w:t>
      </w:r>
      <w:r>
        <w:rPr>
          <w:spacing w:val="-5"/>
        </w:rPr>
        <w:t> </w:t>
      </w:r>
      <w:r>
        <w:rPr/>
        <w:t>uses</w:t>
      </w:r>
      <w:r>
        <w:rPr>
          <w:spacing w:val="-6"/>
        </w:rPr>
        <w:t> </w:t>
      </w:r>
      <w:r>
        <w:rPr/>
        <w:t>the</w:t>
      </w:r>
      <w:r>
        <w:rPr>
          <w:spacing w:val="-1"/>
        </w:rPr>
        <w:t> </w:t>
      </w:r>
      <w:r>
        <w:rPr/>
        <w:t>language</w:t>
      </w:r>
      <w:r>
        <w:rPr>
          <w:spacing w:val="-5"/>
        </w:rPr>
        <w:t> </w:t>
      </w:r>
      <w:r>
        <w:rPr/>
        <w:t>―shall</w:t>
      </w:r>
      <w:r>
        <w:rPr>
          <w:spacing w:val="-7"/>
        </w:rPr>
        <w:t> </w:t>
      </w:r>
      <w:r>
        <w:rPr/>
        <w:t>not‖</w:t>
      </w:r>
      <w:r>
        <w:rPr>
          <w:spacing w:val="-5"/>
        </w:rPr>
        <w:t> </w:t>
      </w:r>
      <w:r>
        <w:rPr/>
        <w:t>in</w:t>
      </w:r>
      <w:r>
        <w:rPr>
          <w:spacing w:val="-8"/>
        </w:rPr>
        <w:t> </w:t>
      </w:r>
      <w:r>
        <w:rPr/>
        <w:t>a</w:t>
      </w:r>
      <w:r>
        <w:rPr>
          <w:spacing w:val="-1"/>
        </w:rPr>
        <w:t> </w:t>
      </w:r>
      <w:r>
        <w:rPr/>
        <w:t>statement in</w:t>
      </w:r>
      <w:r>
        <w:rPr>
          <w:spacing w:val="-8"/>
        </w:rPr>
        <w:t> </w:t>
      </w:r>
      <w:r>
        <w:rPr/>
        <w:t>which</w:t>
      </w:r>
      <w:r>
        <w:rPr>
          <w:spacing w:val="-5"/>
        </w:rPr>
        <w:t> </w:t>
      </w:r>
      <w:r>
        <w:rPr/>
        <w:t>it requires the</w:t>
      </w:r>
      <w:r>
        <w:rPr>
          <w:spacing w:val="3"/>
        </w:rPr>
        <w:t> </w:t>
      </w:r>
      <w:r>
        <w:rPr/>
        <w:t>director</w:t>
      </w:r>
      <w:r>
        <w:rPr>
          <w:spacing w:val="3"/>
        </w:rPr>
        <w:t> </w:t>
      </w:r>
      <w:r>
        <w:rPr/>
        <w:t>to</w:t>
      </w:r>
      <w:r>
        <w:rPr>
          <w:spacing w:val="11"/>
        </w:rPr>
        <w:t> </w:t>
      </w:r>
      <w:r>
        <w:rPr/>
        <w:t>refrain</w:t>
      </w:r>
      <w:r>
        <w:rPr>
          <w:spacing w:val="11"/>
        </w:rPr>
        <w:t> </w:t>
      </w:r>
      <w:r>
        <w:rPr/>
        <w:t>from</w:t>
      </w:r>
      <w:r>
        <w:rPr>
          <w:spacing w:val="-3"/>
        </w:rPr>
        <w:t> </w:t>
      </w:r>
      <w:r>
        <w:rPr/>
        <w:t>or</w:t>
      </w:r>
      <w:r>
        <w:rPr>
          <w:spacing w:val="7"/>
        </w:rPr>
        <w:t> </w:t>
      </w:r>
      <w:r>
        <w:rPr/>
        <w:t>avoid</w:t>
      </w:r>
      <w:r>
        <w:rPr>
          <w:spacing w:val="11"/>
        </w:rPr>
        <w:t> </w:t>
      </w:r>
      <w:r>
        <w:rPr/>
        <w:t>a</w:t>
      </w:r>
      <w:r>
        <w:rPr>
          <w:spacing w:val="6"/>
        </w:rPr>
        <w:t> </w:t>
      </w:r>
      <w:r>
        <w:rPr/>
        <w:t>particular</w:t>
      </w:r>
      <w:r>
        <w:rPr>
          <w:spacing w:val="7"/>
        </w:rPr>
        <w:t> </w:t>
      </w:r>
      <w:r>
        <w:rPr/>
        <w:t>action,</w:t>
      </w:r>
      <w:r>
        <w:rPr>
          <w:spacing w:val="9"/>
        </w:rPr>
        <w:t> </w:t>
      </w:r>
      <w:r>
        <w:rPr/>
        <w:t>rather</w:t>
      </w:r>
      <w:r>
        <w:rPr>
          <w:spacing w:val="8"/>
        </w:rPr>
        <w:t> </w:t>
      </w:r>
      <w:r>
        <w:rPr/>
        <w:t>than</w:t>
      </w:r>
      <w:r>
        <w:rPr>
          <w:spacing w:val="1"/>
        </w:rPr>
        <w:t> </w:t>
      </w:r>
      <w:r>
        <w:rPr/>
        <w:t>the</w:t>
      </w:r>
      <w:r>
        <w:rPr>
          <w:spacing w:val="10"/>
        </w:rPr>
        <w:t> </w:t>
      </w:r>
      <w:r>
        <w:rPr/>
        <w:t>more</w:t>
      </w:r>
      <w:r>
        <w:rPr>
          <w:spacing w:val="6"/>
        </w:rPr>
        <w:t> </w:t>
      </w:r>
      <w:r>
        <w:rPr>
          <w:spacing w:val="-2"/>
        </w:rPr>
        <w:t>appropriate</w:t>
      </w:r>
    </w:p>
    <w:p>
      <w:pPr>
        <w:pStyle w:val="BodyText"/>
        <w:spacing w:line="480" w:lineRule="auto"/>
        <w:ind w:right="179"/>
        <w:jc w:val="both"/>
      </w:pPr>
      <w:r>
        <w:rPr/>
        <w:t>―must not.‖</w:t>
      </w:r>
      <w:r>
        <w:rPr>
          <w:vertAlign w:val="superscript"/>
        </w:rPr>
        <w:t>85</w:t>
      </w:r>
      <w:r>
        <w:rPr>
          <w:vertAlign w:val="baseline"/>
        </w:rPr>
        <w:t> The latter phrase is the more modern English in describing obligations. Furthermore, s.280(1) is stated in general terms and neglects to clearly identify the situation(s) of conflict alluded to, or at least, recognize the exception in situations of transactions or contracts with the company, already admitted by s.277 CAMA. Ss.</w:t>
      </w:r>
      <w:r>
        <w:rPr>
          <w:spacing w:val="40"/>
          <w:vertAlign w:val="baseline"/>
        </w:rPr>
        <w:t> </w:t>
      </w:r>
      <w:r>
        <w:rPr>
          <w:vertAlign w:val="baseline"/>
        </w:rPr>
        <w:t>280(2) and (3) also use the vague and nebulous term</w:t>
      </w:r>
      <w:r>
        <w:rPr>
          <w:spacing w:val="-2"/>
          <w:vertAlign w:val="baseline"/>
        </w:rPr>
        <w:t> </w:t>
      </w:r>
      <w:r>
        <w:rPr>
          <w:vertAlign w:val="baseline"/>
        </w:rPr>
        <w:t>―unnecessary benefit‖ which does not adequately</w:t>
      </w:r>
      <w:r>
        <w:rPr>
          <w:spacing w:val="-4"/>
          <w:vertAlign w:val="baseline"/>
        </w:rPr>
        <w:t> </w:t>
      </w:r>
      <w:r>
        <w:rPr>
          <w:vertAlign w:val="baseline"/>
        </w:rPr>
        <w:t>describe to the director</w:t>
      </w:r>
      <w:r>
        <w:rPr>
          <w:spacing w:val="-2"/>
          <w:vertAlign w:val="baseline"/>
        </w:rPr>
        <w:t> </w:t>
      </w:r>
      <w:r>
        <w:rPr>
          <w:vertAlign w:val="baseline"/>
        </w:rPr>
        <w:t>the kind of</w:t>
      </w:r>
      <w:r>
        <w:rPr>
          <w:spacing w:val="-2"/>
          <w:vertAlign w:val="baseline"/>
        </w:rPr>
        <w:t> </w:t>
      </w:r>
      <w:r>
        <w:rPr>
          <w:vertAlign w:val="baseline"/>
        </w:rPr>
        <w:t>gain</w:t>
      </w:r>
      <w:r>
        <w:rPr>
          <w:spacing w:val="-4"/>
          <w:vertAlign w:val="baseline"/>
        </w:rPr>
        <w:t> </w:t>
      </w:r>
      <w:r>
        <w:rPr>
          <w:vertAlign w:val="baseline"/>
        </w:rPr>
        <w:t>or profit which he must resist but even</w:t>
      </w:r>
      <w:r>
        <w:rPr>
          <w:spacing w:val="-13"/>
          <w:vertAlign w:val="baseline"/>
        </w:rPr>
        <w:t> </w:t>
      </w:r>
      <w:r>
        <w:rPr>
          <w:vertAlign w:val="baseline"/>
        </w:rPr>
        <w:t>appears</w:t>
      </w:r>
      <w:r>
        <w:rPr>
          <w:spacing w:val="-11"/>
          <w:vertAlign w:val="baseline"/>
        </w:rPr>
        <w:t> </w:t>
      </w:r>
      <w:r>
        <w:rPr>
          <w:vertAlign w:val="baseline"/>
        </w:rPr>
        <w:t>to</w:t>
      </w:r>
      <w:r>
        <w:rPr>
          <w:spacing w:val="-4"/>
          <w:vertAlign w:val="baseline"/>
        </w:rPr>
        <w:t> </w:t>
      </w:r>
      <w:r>
        <w:rPr>
          <w:vertAlign w:val="baseline"/>
        </w:rPr>
        <w:t>allow</w:t>
      </w:r>
      <w:r>
        <w:rPr>
          <w:spacing w:val="-9"/>
          <w:vertAlign w:val="baseline"/>
        </w:rPr>
        <w:t> </w:t>
      </w:r>
      <w:r>
        <w:rPr>
          <w:vertAlign w:val="baseline"/>
        </w:rPr>
        <w:t>his</w:t>
      </w:r>
      <w:r>
        <w:rPr>
          <w:spacing w:val="-7"/>
          <w:vertAlign w:val="baseline"/>
        </w:rPr>
        <w:t> </w:t>
      </w:r>
      <w:r>
        <w:rPr>
          <w:vertAlign w:val="baseline"/>
        </w:rPr>
        <w:t>subjective</w:t>
      </w:r>
      <w:r>
        <w:rPr>
          <w:spacing w:val="-5"/>
          <w:vertAlign w:val="baseline"/>
        </w:rPr>
        <w:t> </w:t>
      </w:r>
      <w:r>
        <w:rPr>
          <w:vertAlign w:val="baseline"/>
        </w:rPr>
        <w:t>judgment</w:t>
      </w:r>
      <w:r>
        <w:rPr>
          <w:spacing w:val="-4"/>
          <w:vertAlign w:val="baseline"/>
        </w:rPr>
        <w:t> </w:t>
      </w:r>
      <w:r>
        <w:rPr>
          <w:vertAlign w:val="baseline"/>
        </w:rPr>
        <w:t>as</w:t>
      </w:r>
      <w:r>
        <w:rPr>
          <w:spacing w:val="-11"/>
          <w:vertAlign w:val="baseline"/>
        </w:rPr>
        <w:t> </w:t>
      </w:r>
      <w:r>
        <w:rPr>
          <w:vertAlign w:val="baseline"/>
        </w:rPr>
        <w:t>to</w:t>
      </w:r>
      <w:r>
        <w:rPr>
          <w:spacing w:val="-4"/>
          <w:vertAlign w:val="baseline"/>
        </w:rPr>
        <w:t> </w:t>
      </w:r>
      <w:r>
        <w:rPr>
          <w:vertAlign w:val="baseline"/>
        </w:rPr>
        <w:t>what</w:t>
      </w:r>
      <w:r>
        <w:rPr>
          <w:spacing w:val="-9"/>
          <w:vertAlign w:val="baseline"/>
        </w:rPr>
        <w:t> </w:t>
      </w:r>
      <w:r>
        <w:rPr>
          <w:vertAlign w:val="baseline"/>
        </w:rPr>
        <w:t>is</w:t>
      </w:r>
      <w:r>
        <w:rPr>
          <w:spacing w:val="-11"/>
          <w:vertAlign w:val="baseline"/>
        </w:rPr>
        <w:t> </w:t>
      </w:r>
      <w:r>
        <w:rPr>
          <w:vertAlign w:val="baseline"/>
        </w:rPr>
        <w:t>‗unnecessary‘</w:t>
      </w:r>
      <w:r>
        <w:rPr>
          <w:spacing w:val="-11"/>
          <w:vertAlign w:val="baseline"/>
        </w:rPr>
        <w:t> </w:t>
      </w:r>
      <w:r>
        <w:rPr>
          <w:vertAlign w:val="baseline"/>
        </w:rPr>
        <w:t>or</w:t>
      </w:r>
      <w:r>
        <w:rPr>
          <w:spacing w:val="-8"/>
          <w:vertAlign w:val="baseline"/>
        </w:rPr>
        <w:t> </w:t>
      </w:r>
      <w:r>
        <w:rPr>
          <w:vertAlign w:val="baseline"/>
        </w:rPr>
        <w:t>‗necessary‘. Further, s. 280(5) and (6) respectively refer to ―the duty not to misuse corporate information‖ and ―the transaction‖, neither of which terms has been previously discussed</w:t>
      </w:r>
      <w:r>
        <w:rPr>
          <w:spacing w:val="-1"/>
          <w:vertAlign w:val="baseline"/>
        </w:rPr>
        <w:t> </w:t>
      </w:r>
      <w:r>
        <w:rPr>
          <w:vertAlign w:val="baseline"/>
        </w:rPr>
        <w:t>earlier in</w:t>
      </w:r>
      <w:r>
        <w:rPr>
          <w:spacing w:val="-6"/>
          <w:vertAlign w:val="baseline"/>
        </w:rPr>
        <w:t> </w:t>
      </w:r>
      <w:r>
        <w:rPr>
          <w:vertAlign w:val="baseline"/>
        </w:rPr>
        <w:t>the</w:t>
      </w:r>
      <w:r>
        <w:rPr>
          <w:spacing w:val="-2"/>
          <w:vertAlign w:val="baseline"/>
        </w:rPr>
        <w:t> </w:t>
      </w:r>
      <w:r>
        <w:rPr>
          <w:vertAlign w:val="baseline"/>
        </w:rPr>
        <w:t>section, so</w:t>
      </w:r>
      <w:r>
        <w:rPr>
          <w:spacing w:val="-1"/>
          <w:vertAlign w:val="baseline"/>
        </w:rPr>
        <w:t> </w:t>
      </w:r>
      <w:r>
        <w:rPr>
          <w:vertAlign w:val="baseline"/>
        </w:rPr>
        <w:t>that</w:t>
      </w:r>
      <w:r>
        <w:rPr>
          <w:spacing w:val="-5"/>
          <w:vertAlign w:val="baseline"/>
        </w:rPr>
        <w:t> </w:t>
      </w:r>
      <w:r>
        <w:rPr>
          <w:vertAlign w:val="baseline"/>
        </w:rPr>
        <w:t>the</w:t>
      </w:r>
      <w:r>
        <w:rPr>
          <w:spacing w:val="-2"/>
          <w:vertAlign w:val="baseline"/>
        </w:rPr>
        <w:t> </w:t>
      </w:r>
      <w:r>
        <w:rPr>
          <w:vertAlign w:val="baseline"/>
        </w:rPr>
        <w:t>use</w:t>
      </w:r>
      <w:r>
        <w:rPr>
          <w:spacing w:val="-2"/>
          <w:vertAlign w:val="baseline"/>
        </w:rPr>
        <w:t> </w:t>
      </w:r>
      <w:r>
        <w:rPr>
          <w:vertAlign w:val="baseline"/>
        </w:rPr>
        <w:t>of</w:t>
      </w:r>
      <w:r>
        <w:rPr>
          <w:spacing w:val="-9"/>
          <w:vertAlign w:val="baseline"/>
        </w:rPr>
        <w:t> </w:t>
      </w:r>
      <w:r>
        <w:rPr>
          <w:vertAlign w:val="baseline"/>
        </w:rPr>
        <w:t>the</w:t>
      </w:r>
      <w:r>
        <w:rPr>
          <w:spacing w:val="-2"/>
          <w:vertAlign w:val="baseline"/>
        </w:rPr>
        <w:t> </w:t>
      </w:r>
      <w:r>
        <w:rPr>
          <w:vertAlign w:val="baseline"/>
        </w:rPr>
        <w:t>definite</w:t>
      </w:r>
      <w:r>
        <w:rPr>
          <w:spacing w:val="-2"/>
          <w:vertAlign w:val="baseline"/>
        </w:rPr>
        <w:t> </w:t>
      </w:r>
      <w:r>
        <w:rPr>
          <w:vertAlign w:val="baseline"/>
        </w:rPr>
        <w:t>article</w:t>
      </w:r>
      <w:r>
        <w:rPr>
          <w:spacing w:val="-2"/>
          <w:vertAlign w:val="baseline"/>
        </w:rPr>
        <w:t> </w:t>
      </w:r>
      <w:r>
        <w:rPr>
          <w:vertAlign w:val="baseline"/>
        </w:rPr>
        <w:t>―the‖ is misleading.</w:t>
      </w:r>
    </w:p>
    <w:p>
      <w:pPr>
        <w:pStyle w:val="BodyText"/>
        <w:spacing w:line="480" w:lineRule="auto" w:before="2"/>
        <w:ind w:right="187" w:firstLine="720"/>
        <w:jc w:val="both"/>
      </w:pPr>
      <w:r>
        <w:rPr/>
        <mc:AlternateContent>
          <mc:Choice Requires="wps">
            <w:drawing>
              <wp:anchor distT="0" distB="0" distL="0" distR="0" allowOverlap="1" layoutInCell="1" locked="0" behindDoc="0" simplePos="0" relativeHeight="15865856">
                <wp:simplePos x="0" y="0"/>
                <wp:positionH relativeFrom="page">
                  <wp:posOffset>1262481</wp:posOffset>
                </wp:positionH>
                <wp:positionV relativeFrom="paragraph">
                  <wp:posOffset>686297</wp:posOffset>
                </wp:positionV>
                <wp:extent cx="1829435" cy="9525"/>
                <wp:effectExtent l="0" t="0" r="0" b="0"/>
                <wp:wrapNone/>
                <wp:docPr id="295" name="Graphic 295"/>
                <wp:cNvGraphicFramePr>
                  <a:graphicFrameLocks/>
                </wp:cNvGraphicFramePr>
                <a:graphic>
                  <a:graphicData uri="http://schemas.microsoft.com/office/word/2010/wordprocessingShape">
                    <wps:wsp>
                      <wps:cNvPr id="295" name="Graphic 29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54.039188pt;width:144.050pt;height:.72003pt;mso-position-horizontal-relative:page;mso-position-vertical-relative:paragraph;z-index:15865856" id="docshape250" filled="true" fillcolor="#000000" stroked="false">
                <v:fill type="solid"/>
                <w10:wrap type="none"/>
              </v:rect>
            </w:pict>
          </mc:Fallback>
        </mc:AlternateContent>
      </w:r>
      <w:r>
        <w:rPr/>
        <w:t>Considering the foregoing, s.175 CA has many advantages over s.280 CAMA, including</w:t>
      </w:r>
      <w:r>
        <w:rPr>
          <w:spacing w:val="24"/>
        </w:rPr>
        <w:t> </w:t>
      </w:r>
      <w:r>
        <w:rPr/>
        <w:t>clarity.</w:t>
      </w:r>
      <w:r>
        <w:rPr>
          <w:spacing w:val="30"/>
        </w:rPr>
        <w:t> </w:t>
      </w:r>
      <w:r>
        <w:rPr/>
        <w:t>In</w:t>
      </w:r>
      <w:r>
        <w:rPr>
          <w:spacing w:val="23"/>
        </w:rPr>
        <w:t> </w:t>
      </w:r>
      <w:r>
        <w:rPr/>
        <w:t>the</w:t>
      </w:r>
      <w:r>
        <w:rPr>
          <w:spacing w:val="30"/>
        </w:rPr>
        <w:t> </w:t>
      </w:r>
      <w:r>
        <w:rPr/>
        <w:t>first</w:t>
      </w:r>
      <w:r>
        <w:rPr>
          <w:spacing w:val="33"/>
        </w:rPr>
        <w:t> </w:t>
      </w:r>
      <w:r>
        <w:rPr/>
        <w:t>place,</w:t>
      </w:r>
      <w:r>
        <w:rPr>
          <w:spacing w:val="29"/>
        </w:rPr>
        <w:t> </w:t>
      </w:r>
      <w:r>
        <w:rPr/>
        <w:t>s.175(1)</w:t>
      </w:r>
      <w:r>
        <w:rPr>
          <w:spacing w:val="29"/>
        </w:rPr>
        <w:t> </w:t>
      </w:r>
      <w:r>
        <w:rPr/>
        <w:t>contemplates</w:t>
      </w:r>
      <w:r>
        <w:rPr>
          <w:spacing w:val="24"/>
        </w:rPr>
        <w:t> </w:t>
      </w:r>
      <w:r>
        <w:rPr/>
        <w:t>both</w:t>
      </w:r>
      <w:r>
        <w:rPr>
          <w:spacing w:val="23"/>
        </w:rPr>
        <w:t> </w:t>
      </w:r>
      <w:r>
        <w:rPr/>
        <w:t>actual</w:t>
      </w:r>
      <w:r>
        <w:rPr>
          <w:spacing w:val="18"/>
        </w:rPr>
        <w:t> </w:t>
      </w:r>
      <w:r>
        <w:rPr/>
        <w:t>and</w:t>
      </w:r>
      <w:r>
        <w:rPr>
          <w:spacing w:val="27"/>
        </w:rPr>
        <w:t> </w:t>
      </w:r>
      <w:r>
        <w:rPr/>
        <w:t>possible,</w:t>
      </w:r>
      <w:r>
        <w:rPr>
          <w:spacing w:val="30"/>
        </w:rPr>
        <w:t> </w:t>
      </w:r>
      <w:r>
        <w:rPr>
          <w:spacing w:val="-5"/>
        </w:rPr>
        <w:t>as</w:t>
      </w:r>
    </w:p>
    <w:p>
      <w:pPr>
        <w:spacing w:before="92"/>
        <w:ind w:left="308" w:right="509" w:firstLine="0"/>
        <w:jc w:val="left"/>
        <w:rPr>
          <w:rFonts w:ascii="Calibri"/>
          <w:sz w:val="20"/>
        </w:rPr>
      </w:pPr>
      <w:r>
        <w:rPr>
          <w:rFonts w:ascii="Calibri"/>
          <w:sz w:val="20"/>
          <w:vertAlign w:val="superscript"/>
        </w:rPr>
        <w:t>82</w:t>
      </w:r>
      <w:r>
        <w:rPr>
          <w:rFonts w:ascii="Calibri"/>
          <w:sz w:val="20"/>
          <w:vertAlign w:val="baseline"/>
        </w:rPr>
        <w:t> See</w:t>
      </w:r>
      <w:r>
        <w:rPr>
          <w:rFonts w:ascii="Calibri"/>
          <w:spacing w:val="-3"/>
          <w:sz w:val="20"/>
          <w:vertAlign w:val="baseline"/>
        </w:rPr>
        <w:t> </w:t>
      </w:r>
      <w:r>
        <w:rPr>
          <w:rFonts w:ascii="Calibri"/>
          <w:sz w:val="20"/>
          <w:vertAlign w:val="baseline"/>
        </w:rPr>
        <w:t>the</w:t>
      </w:r>
      <w:r>
        <w:rPr>
          <w:rFonts w:ascii="Calibri"/>
          <w:spacing w:val="-4"/>
          <w:sz w:val="20"/>
          <w:vertAlign w:val="baseline"/>
        </w:rPr>
        <w:t> </w:t>
      </w:r>
      <w:r>
        <w:rPr>
          <w:rFonts w:ascii="Calibri"/>
          <w:sz w:val="20"/>
          <w:vertAlign w:val="baseline"/>
        </w:rPr>
        <w:t>observation</w:t>
      </w:r>
      <w:r>
        <w:rPr>
          <w:rFonts w:ascii="Calibri"/>
          <w:spacing w:val="-4"/>
          <w:sz w:val="20"/>
          <w:vertAlign w:val="baseline"/>
        </w:rPr>
        <w:t> </w:t>
      </w:r>
      <w:r>
        <w:rPr>
          <w:rFonts w:ascii="Calibri"/>
          <w:sz w:val="20"/>
          <w:vertAlign w:val="baseline"/>
        </w:rPr>
        <w:t>of</w:t>
      </w:r>
      <w:r>
        <w:rPr>
          <w:rFonts w:ascii="Calibri"/>
          <w:spacing w:val="-3"/>
          <w:sz w:val="20"/>
          <w:vertAlign w:val="baseline"/>
        </w:rPr>
        <w:t> </w:t>
      </w:r>
      <w:r>
        <w:rPr>
          <w:rFonts w:ascii="Calibri"/>
          <w:sz w:val="20"/>
          <w:vertAlign w:val="baseline"/>
        </w:rPr>
        <w:t>Lord Cranworth</w:t>
      </w:r>
      <w:r>
        <w:rPr>
          <w:rFonts w:ascii="Calibri"/>
          <w:spacing w:val="-4"/>
          <w:sz w:val="20"/>
          <w:vertAlign w:val="baseline"/>
        </w:rPr>
        <w:t> </w:t>
      </w:r>
      <w:r>
        <w:rPr>
          <w:rFonts w:ascii="Calibri"/>
          <w:sz w:val="20"/>
          <w:vertAlign w:val="baseline"/>
        </w:rPr>
        <w:t>supra</w:t>
      </w:r>
      <w:r>
        <w:rPr>
          <w:rFonts w:ascii="Calibri"/>
          <w:spacing w:val="-4"/>
          <w:sz w:val="20"/>
          <w:vertAlign w:val="baseline"/>
        </w:rPr>
        <w:t> </w:t>
      </w:r>
      <w:r>
        <w:rPr>
          <w:rFonts w:ascii="Calibri"/>
          <w:sz w:val="20"/>
          <w:vertAlign w:val="baseline"/>
        </w:rPr>
        <w:t>in</w:t>
      </w:r>
      <w:r>
        <w:rPr>
          <w:rFonts w:ascii="Calibri"/>
          <w:i/>
          <w:sz w:val="20"/>
          <w:vertAlign w:val="baseline"/>
        </w:rPr>
        <w:t>Aberdeen</w:t>
      </w:r>
      <w:r>
        <w:rPr>
          <w:rFonts w:ascii="Calibri"/>
          <w:i/>
          <w:spacing w:val="-2"/>
          <w:sz w:val="20"/>
          <w:vertAlign w:val="baseline"/>
        </w:rPr>
        <w:t> </w:t>
      </w:r>
      <w:r>
        <w:rPr>
          <w:rFonts w:ascii="Calibri"/>
          <w:i/>
          <w:sz w:val="20"/>
          <w:vertAlign w:val="baseline"/>
        </w:rPr>
        <w:t>Railway Co.</w:t>
      </w:r>
      <w:r>
        <w:rPr>
          <w:rFonts w:ascii="Calibri"/>
          <w:i/>
          <w:spacing w:val="-2"/>
          <w:sz w:val="20"/>
          <w:vertAlign w:val="baseline"/>
        </w:rPr>
        <w:t> </w:t>
      </w:r>
      <w:r>
        <w:rPr>
          <w:rFonts w:ascii="Calibri"/>
          <w:i/>
          <w:sz w:val="20"/>
          <w:vertAlign w:val="baseline"/>
        </w:rPr>
        <w:t>vs.</w:t>
      </w:r>
      <w:r>
        <w:rPr>
          <w:rFonts w:ascii="Calibri"/>
          <w:i/>
          <w:spacing w:val="-2"/>
          <w:sz w:val="20"/>
          <w:vertAlign w:val="baseline"/>
        </w:rPr>
        <w:t> </w:t>
      </w:r>
      <w:r>
        <w:rPr>
          <w:rFonts w:ascii="Calibri"/>
          <w:i/>
          <w:sz w:val="20"/>
          <w:vertAlign w:val="baseline"/>
        </w:rPr>
        <w:t>Blaikie</w:t>
      </w:r>
      <w:r>
        <w:rPr>
          <w:rFonts w:ascii="Calibri"/>
          <w:i/>
          <w:spacing w:val="-4"/>
          <w:sz w:val="20"/>
          <w:vertAlign w:val="baseline"/>
        </w:rPr>
        <w:t> </w:t>
      </w:r>
      <w:r>
        <w:rPr>
          <w:rFonts w:ascii="Calibri"/>
          <w:i/>
          <w:sz w:val="20"/>
          <w:vertAlign w:val="baseline"/>
        </w:rPr>
        <w:t>Bros</w:t>
      </w:r>
      <w:r>
        <w:rPr>
          <w:rFonts w:ascii="Calibri"/>
          <w:i/>
          <w:spacing w:val="-3"/>
          <w:sz w:val="20"/>
          <w:vertAlign w:val="baseline"/>
        </w:rPr>
        <w:t> </w:t>
      </w:r>
      <w:r>
        <w:rPr>
          <w:rFonts w:ascii="Calibri"/>
          <w:sz w:val="20"/>
          <w:vertAlign w:val="baseline"/>
        </w:rPr>
        <w:t>(1854) 23</w:t>
      </w:r>
      <w:r>
        <w:rPr>
          <w:rFonts w:ascii="Calibri"/>
          <w:spacing w:val="-5"/>
          <w:sz w:val="20"/>
          <w:vertAlign w:val="baseline"/>
        </w:rPr>
        <w:t> </w:t>
      </w:r>
      <w:r>
        <w:rPr>
          <w:rFonts w:ascii="Calibri"/>
          <w:sz w:val="20"/>
          <w:vertAlign w:val="baseline"/>
        </w:rPr>
        <w:t>LTR 315 at 316.</w:t>
      </w:r>
    </w:p>
    <w:p>
      <w:pPr>
        <w:spacing w:before="1"/>
        <w:ind w:left="308" w:right="0" w:firstLine="0"/>
        <w:jc w:val="left"/>
        <w:rPr>
          <w:rFonts w:ascii="Calibri"/>
          <w:sz w:val="20"/>
        </w:rPr>
      </w:pPr>
      <w:r>
        <w:rPr>
          <w:rFonts w:ascii="Calibri"/>
          <w:sz w:val="20"/>
          <w:vertAlign w:val="superscript"/>
        </w:rPr>
        <w:t>83</w:t>
      </w:r>
      <w:r>
        <w:rPr>
          <w:rFonts w:ascii="Calibri"/>
          <w:sz w:val="20"/>
          <w:vertAlign w:val="baseline"/>
        </w:rPr>
        <w:t>See</w:t>
      </w:r>
      <w:r>
        <w:rPr>
          <w:rFonts w:ascii="Calibri"/>
          <w:spacing w:val="-3"/>
          <w:sz w:val="20"/>
          <w:vertAlign w:val="baseline"/>
        </w:rPr>
        <w:t> </w:t>
      </w:r>
      <w:r>
        <w:rPr>
          <w:rFonts w:ascii="Calibri"/>
          <w:i/>
          <w:sz w:val="20"/>
          <w:vertAlign w:val="baseline"/>
        </w:rPr>
        <w:t>Aberdeen</w:t>
      </w:r>
      <w:r>
        <w:rPr>
          <w:rFonts w:ascii="Calibri"/>
          <w:i/>
          <w:spacing w:val="-5"/>
          <w:sz w:val="20"/>
          <w:vertAlign w:val="baseline"/>
        </w:rPr>
        <w:t> </w:t>
      </w:r>
      <w:r>
        <w:rPr>
          <w:rFonts w:ascii="Calibri"/>
          <w:i/>
          <w:sz w:val="20"/>
          <w:vertAlign w:val="baseline"/>
        </w:rPr>
        <w:t>Railway</w:t>
      </w:r>
      <w:r>
        <w:rPr>
          <w:rFonts w:ascii="Calibri"/>
          <w:i/>
          <w:spacing w:val="-6"/>
          <w:sz w:val="20"/>
          <w:vertAlign w:val="baseline"/>
        </w:rPr>
        <w:t> </w:t>
      </w:r>
      <w:r>
        <w:rPr>
          <w:rFonts w:ascii="Calibri"/>
          <w:i/>
          <w:sz w:val="20"/>
          <w:vertAlign w:val="baseline"/>
        </w:rPr>
        <w:t>Co.</w:t>
      </w:r>
      <w:r>
        <w:rPr>
          <w:rFonts w:ascii="Calibri"/>
          <w:i/>
          <w:spacing w:val="-5"/>
          <w:sz w:val="20"/>
          <w:vertAlign w:val="baseline"/>
        </w:rPr>
        <w:t> </w:t>
      </w:r>
      <w:r>
        <w:rPr>
          <w:rFonts w:ascii="Calibri"/>
          <w:i/>
          <w:sz w:val="20"/>
          <w:vertAlign w:val="baseline"/>
        </w:rPr>
        <w:t>vs.</w:t>
      </w:r>
      <w:r>
        <w:rPr>
          <w:rFonts w:ascii="Calibri"/>
          <w:i/>
          <w:spacing w:val="-5"/>
          <w:sz w:val="20"/>
          <w:vertAlign w:val="baseline"/>
        </w:rPr>
        <w:t> </w:t>
      </w:r>
      <w:r>
        <w:rPr>
          <w:rFonts w:ascii="Calibri"/>
          <w:i/>
          <w:sz w:val="20"/>
          <w:vertAlign w:val="baseline"/>
        </w:rPr>
        <w:t>Blaikie</w:t>
      </w:r>
      <w:r>
        <w:rPr>
          <w:rFonts w:ascii="Calibri"/>
          <w:i/>
          <w:spacing w:val="-7"/>
          <w:sz w:val="20"/>
          <w:vertAlign w:val="baseline"/>
        </w:rPr>
        <w:t> </w:t>
      </w:r>
      <w:r>
        <w:rPr>
          <w:rFonts w:ascii="Calibri"/>
          <w:i/>
          <w:sz w:val="20"/>
          <w:vertAlign w:val="baseline"/>
        </w:rPr>
        <w:t>Bros</w:t>
      </w:r>
      <w:r>
        <w:rPr>
          <w:rFonts w:ascii="Calibri"/>
          <w:i/>
          <w:spacing w:val="-2"/>
          <w:sz w:val="20"/>
          <w:vertAlign w:val="baseline"/>
        </w:rPr>
        <w:t> </w:t>
      </w:r>
      <w:r>
        <w:rPr>
          <w:rFonts w:ascii="Calibri"/>
          <w:sz w:val="20"/>
          <w:vertAlign w:val="baseline"/>
        </w:rPr>
        <w:t>(1854)</w:t>
      </w:r>
      <w:r>
        <w:rPr>
          <w:rFonts w:ascii="Calibri"/>
          <w:spacing w:val="-5"/>
          <w:sz w:val="20"/>
          <w:vertAlign w:val="baseline"/>
        </w:rPr>
        <w:t> </w:t>
      </w:r>
      <w:r>
        <w:rPr>
          <w:rFonts w:ascii="Calibri"/>
          <w:sz w:val="20"/>
          <w:vertAlign w:val="baseline"/>
        </w:rPr>
        <w:t>23</w:t>
      </w:r>
      <w:r>
        <w:rPr>
          <w:rFonts w:ascii="Calibri"/>
          <w:spacing w:val="-8"/>
          <w:sz w:val="20"/>
          <w:vertAlign w:val="baseline"/>
        </w:rPr>
        <w:t> </w:t>
      </w:r>
      <w:r>
        <w:rPr>
          <w:rFonts w:ascii="Calibri"/>
          <w:sz w:val="20"/>
          <w:vertAlign w:val="baseline"/>
        </w:rPr>
        <w:t>LTR</w:t>
      </w:r>
      <w:r>
        <w:rPr>
          <w:rFonts w:ascii="Calibri"/>
          <w:spacing w:val="-1"/>
          <w:sz w:val="20"/>
          <w:vertAlign w:val="baseline"/>
        </w:rPr>
        <w:t> </w:t>
      </w:r>
      <w:r>
        <w:rPr>
          <w:rFonts w:ascii="Calibri"/>
          <w:sz w:val="20"/>
          <w:vertAlign w:val="baseline"/>
        </w:rPr>
        <w:t>315</w:t>
      </w:r>
      <w:r>
        <w:rPr>
          <w:rFonts w:ascii="Calibri"/>
          <w:spacing w:val="-12"/>
          <w:sz w:val="20"/>
          <w:vertAlign w:val="baseline"/>
        </w:rPr>
        <w:t> </w:t>
      </w:r>
      <w:r>
        <w:rPr>
          <w:rFonts w:ascii="Calibri"/>
          <w:sz w:val="20"/>
          <w:vertAlign w:val="baseline"/>
        </w:rPr>
        <w:t>at</w:t>
      </w:r>
      <w:r>
        <w:rPr>
          <w:rFonts w:ascii="Calibri"/>
          <w:spacing w:val="-3"/>
          <w:sz w:val="20"/>
          <w:vertAlign w:val="baseline"/>
        </w:rPr>
        <w:t> </w:t>
      </w:r>
      <w:r>
        <w:rPr>
          <w:rFonts w:ascii="Calibri"/>
          <w:spacing w:val="-4"/>
          <w:sz w:val="20"/>
          <w:vertAlign w:val="baseline"/>
        </w:rPr>
        <w:t>316.</w:t>
      </w:r>
    </w:p>
    <w:p>
      <w:pPr>
        <w:spacing w:before="1"/>
        <w:ind w:left="308" w:right="0" w:firstLine="0"/>
        <w:jc w:val="left"/>
        <w:rPr>
          <w:rFonts w:ascii="Calibri"/>
          <w:sz w:val="20"/>
        </w:rPr>
      </w:pPr>
      <w:r>
        <w:rPr>
          <w:rFonts w:ascii="Calibri"/>
          <w:sz w:val="20"/>
          <w:vertAlign w:val="superscript"/>
        </w:rPr>
        <w:t>84</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s.277</w:t>
      </w:r>
      <w:r>
        <w:rPr>
          <w:rFonts w:ascii="Calibri"/>
          <w:spacing w:val="-2"/>
          <w:sz w:val="20"/>
          <w:vertAlign w:val="baseline"/>
        </w:rPr>
        <w:t> </w:t>
      </w:r>
      <w:r>
        <w:rPr>
          <w:rFonts w:ascii="Calibri"/>
          <w:sz w:val="20"/>
          <w:vertAlign w:val="baseline"/>
        </w:rPr>
        <w:t>CAMA</w:t>
      </w:r>
      <w:r>
        <w:rPr>
          <w:rFonts w:ascii="Calibri"/>
          <w:spacing w:val="-6"/>
          <w:sz w:val="20"/>
          <w:vertAlign w:val="baseline"/>
        </w:rPr>
        <w:t> </w:t>
      </w:r>
      <w:r>
        <w:rPr>
          <w:rFonts w:ascii="Calibri"/>
          <w:sz w:val="20"/>
          <w:vertAlign w:val="baseline"/>
        </w:rPr>
        <w:t>for</w:t>
      </w:r>
      <w:r>
        <w:rPr>
          <w:rFonts w:ascii="Calibri"/>
          <w:spacing w:val="-4"/>
          <w:sz w:val="20"/>
          <w:vertAlign w:val="baseline"/>
        </w:rPr>
        <w:t> </w:t>
      </w:r>
      <w:r>
        <w:rPr>
          <w:rFonts w:ascii="Calibri"/>
          <w:spacing w:val="-2"/>
          <w:sz w:val="20"/>
          <w:vertAlign w:val="baseline"/>
        </w:rPr>
        <w:t>example.</w:t>
      </w:r>
    </w:p>
    <w:p>
      <w:pPr>
        <w:spacing w:before="1"/>
        <w:ind w:left="308" w:right="0" w:firstLine="0"/>
        <w:jc w:val="left"/>
        <w:rPr>
          <w:rFonts w:ascii="Calibri"/>
          <w:sz w:val="20"/>
        </w:rPr>
      </w:pPr>
      <w:r>
        <w:rPr>
          <w:rFonts w:ascii="Calibri"/>
          <w:sz w:val="20"/>
          <w:vertAlign w:val="superscript"/>
        </w:rPr>
        <w:t>85</w:t>
      </w:r>
      <w:r>
        <w:rPr>
          <w:rFonts w:ascii="Calibri"/>
          <w:spacing w:val="1"/>
          <w:sz w:val="20"/>
          <w:vertAlign w:val="baseline"/>
        </w:rPr>
        <w:t> </w:t>
      </w:r>
      <w:r>
        <w:rPr>
          <w:rFonts w:ascii="Calibri"/>
          <w:sz w:val="20"/>
          <w:vertAlign w:val="baseline"/>
        </w:rPr>
        <w:t>Refer</w:t>
      </w:r>
      <w:r>
        <w:rPr>
          <w:rFonts w:ascii="Calibri"/>
          <w:spacing w:val="-2"/>
          <w:sz w:val="20"/>
          <w:vertAlign w:val="baseline"/>
        </w:rPr>
        <w:t> </w:t>
      </w:r>
      <w:r>
        <w:rPr>
          <w:rFonts w:ascii="Calibri"/>
          <w:sz w:val="20"/>
          <w:vertAlign w:val="baseline"/>
        </w:rPr>
        <w:t>to</w:t>
      </w:r>
      <w:r>
        <w:rPr>
          <w:rFonts w:ascii="Calibri"/>
          <w:spacing w:val="-5"/>
          <w:sz w:val="20"/>
          <w:vertAlign w:val="baseline"/>
        </w:rPr>
        <w:t> </w:t>
      </w:r>
      <w:r>
        <w:rPr>
          <w:rFonts w:ascii="Calibri"/>
          <w:b/>
          <w:sz w:val="20"/>
          <w:vertAlign w:val="baseline"/>
        </w:rPr>
        <w:t>1.1</w:t>
      </w:r>
      <w:r>
        <w:rPr>
          <w:rFonts w:ascii="Calibri"/>
          <w:b/>
          <w:spacing w:val="-1"/>
          <w:sz w:val="20"/>
          <w:vertAlign w:val="baseline"/>
        </w:rPr>
        <w:t> </w:t>
      </w:r>
      <w:r>
        <w:rPr>
          <w:rFonts w:ascii="Calibri"/>
          <w:sz w:val="20"/>
          <w:vertAlign w:val="baseline"/>
        </w:rPr>
        <w:t>supra</w:t>
      </w:r>
      <w:r>
        <w:rPr>
          <w:rFonts w:ascii="Calibri"/>
          <w:spacing w:val="-5"/>
          <w:sz w:val="20"/>
          <w:vertAlign w:val="baseline"/>
        </w:rPr>
        <w:t> </w:t>
      </w:r>
      <w:r>
        <w:rPr>
          <w:rFonts w:ascii="Calibri"/>
          <w:sz w:val="20"/>
          <w:vertAlign w:val="baseline"/>
        </w:rPr>
        <w:t>on</w:t>
      </w:r>
      <w:r>
        <w:rPr>
          <w:rFonts w:ascii="Calibri"/>
          <w:spacing w:val="-5"/>
          <w:sz w:val="20"/>
          <w:vertAlign w:val="baseline"/>
        </w:rPr>
        <w:t> </w:t>
      </w:r>
      <w:r>
        <w:rPr>
          <w:rFonts w:ascii="Calibri"/>
          <w:sz w:val="20"/>
          <w:vertAlign w:val="baseline"/>
        </w:rPr>
        <w:t>this</w:t>
      </w:r>
      <w:r>
        <w:rPr>
          <w:rFonts w:ascii="Calibri"/>
          <w:spacing w:val="-2"/>
          <w:sz w:val="20"/>
          <w:vertAlign w:val="baseline"/>
        </w:rPr>
        <w:t> note.</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191"/>
        <w:jc w:val="both"/>
      </w:pPr>
      <w:r>
        <w:rPr/>
        <w:t>well</w:t>
      </w:r>
      <w:r>
        <w:rPr>
          <w:spacing w:val="-7"/>
        </w:rPr>
        <w:t> </w:t>
      </w:r>
      <w:r>
        <w:rPr/>
        <w:t>as</w:t>
      </w:r>
      <w:r>
        <w:rPr>
          <w:spacing w:val="-4"/>
        </w:rPr>
        <w:t> </w:t>
      </w:r>
      <w:r>
        <w:rPr/>
        <w:t>direct and indirect conflict situations,</w:t>
      </w:r>
      <w:r>
        <w:rPr>
          <w:spacing w:val="-1"/>
        </w:rPr>
        <w:t> </w:t>
      </w:r>
      <w:r>
        <w:rPr/>
        <w:t>and</w:t>
      </w:r>
      <w:r>
        <w:rPr>
          <w:spacing w:val="-2"/>
        </w:rPr>
        <w:t> </w:t>
      </w:r>
      <w:r>
        <w:rPr/>
        <w:t>the</w:t>
      </w:r>
      <w:r>
        <w:rPr>
          <w:spacing w:val="-3"/>
        </w:rPr>
        <w:t> </w:t>
      </w:r>
      <w:r>
        <w:rPr/>
        <w:t>reasonability</w:t>
      </w:r>
      <w:r>
        <w:rPr>
          <w:spacing w:val="-7"/>
        </w:rPr>
        <w:t> </w:t>
      </w:r>
      <w:r>
        <w:rPr/>
        <w:t>doctrine is</w:t>
      </w:r>
      <w:r>
        <w:rPr>
          <w:spacing w:val="-4"/>
        </w:rPr>
        <w:t> </w:t>
      </w:r>
      <w:r>
        <w:rPr/>
        <w:t>admissible to determine breach in each particular case.</w:t>
      </w:r>
      <w:r>
        <w:rPr>
          <w:vertAlign w:val="superscript"/>
        </w:rPr>
        <w:t>86</w:t>
      </w:r>
      <w:r>
        <w:rPr>
          <w:vertAlign w:val="baseline"/>
        </w:rPr>
        <w:t> The company‘s interests to which the rule applies has also been adequately described as information, property and opportunity. Furthermore, the section has clarified the exceptions to the rule with respect to transactions</w:t>
      </w:r>
      <w:r>
        <w:rPr>
          <w:spacing w:val="-3"/>
          <w:vertAlign w:val="baseline"/>
        </w:rPr>
        <w:t> </w:t>
      </w:r>
      <w:r>
        <w:rPr>
          <w:vertAlign w:val="baseline"/>
        </w:rPr>
        <w:t>with</w:t>
      </w:r>
      <w:r>
        <w:rPr>
          <w:spacing w:val="-6"/>
          <w:vertAlign w:val="baseline"/>
        </w:rPr>
        <w:t> </w:t>
      </w:r>
      <w:r>
        <w:rPr>
          <w:vertAlign w:val="baseline"/>
        </w:rPr>
        <w:t>the</w:t>
      </w:r>
      <w:r>
        <w:rPr>
          <w:spacing w:val="-2"/>
          <w:vertAlign w:val="baseline"/>
        </w:rPr>
        <w:t> </w:t>
      </w:r>
      <w:r>
        <w:rPr>
          <w:vertAlign w:val="baseline"/>
        </w:rPr>
        <w:t>company, since</w:t>
      </w:r>
      <w:r>
        <w:rPr>
          <w:spacing w:val="-2"/>
          <w:vertAlign w:val="baseline"/>
        </w:rPr>
        <w:t> </w:t>
      </w:r>
      <w:r>
        <w:rPr>
          <w:vertAlign w:val="baseline"/>
        </w:rPr>
        <w:t>the</w:t>
      </w:r>
      <w:r>
        <w:rPr>
          <w:spacing w:val="-2"/>
          <w:vertAlign w:val="baseline"/>
        </w:rPr>
        <w:t> </w:t>
      </w:r>
      <w:r>
        <w:rPr>
          <w:vertAlign w:val="baseline"/>
        </w:rPr>
        <w:t>CA</w:t>
      </w:r>
      <w:r>
        <w:rPr>
          <w:spacing w:val="-7"/>
          <w:vertAlign w:val="baseline"/>
        </w:rPr>
        <w:t> </w:t>
      </w:r>
      <w:r>
        <w:rPr>
          <w:vertAlign w:val="baseline"/>
        </w:rPr>
        <w:t>allows</w:t>
      </w:r>
      <w:r>
        <w:rPr>
          <w:spacing w:val="-3"/>
          <w:vertAlign w:val="baseline"/>
        </w:rPr>
        <w:t> </w:t>
      </w:r>
      <w:r>
        <w:rPr>
          <w:vertAlign w:val="baseline"/>
        </w:rPr>
        <w:t>this, as</w:t>
      </w:r>
      <w:r>
        <w:rPr>
          <w:spacing w:val="-3"/>
          <w:vertAlign w:val="baseline"/>
        </w:rPr>
        <w:t> </w:t>
      </w:r>
      <w:r>
        <w:rPr>
          <w:vertAlign w:val="baseline"/>
        </w:rPr>
        <w:t>well</w:t>
      </w:r>
      <w:r>
        <w:rPr>
          <w:spacing w:val="-9"/>
          <w:vertAlign w:val="baseline"/>
        </w:rPr>
        <w:t> </w:t>
      </w:r>
      <w:r>
        <w:rPr>
          <w:vertAlign w:val="baseline"/>
        </w:rPr>
        <w:t>as</w:t>
      </w:r>
      <w:r>
        <w:rPr>
          <w:spacing w:val="-3"/>
          <w:vertAlign w:val="baseline"/>
        </w:rPr>
        <w:t> </w:t>
      </w:r>
      <w:r>
        <w:rPr>
          <w:vertAlign w:val="baseline"/>
        </w:rPr>
        <w:t>states</w:t>
      </w:r>
      <w:r>
        <w:rPr>
          <w:spacing w:val="-3"/>
          <w:vertAlign w:val="baseline"/>
        </w:rPr>
        <w:t> </w:t>
      </w:r>
      <w:r>
        <w:rPr>
          <w:vertAlign w:val="baseline"/>
        </w:rPr>
        <w:t>instances</w:t>
      </w:r>
      <w:r>
        <w:rPr>
          <w:spacing w:val="-3"/>
          <w:vertAlign w:val="baseline"/>
        </w:rPr>
        <w:t> </w:t>
      </w:r>
      <w:r>
        <w:rPr>
          <w:vertAlign w:val="baseline"/>
        </w:rPr>
        <w:t>when the rule would not be said to have been infringed. Finally, the mode of disclosure and authorization is detailed.</w:t>
      </w:r>
    </w:p>
    <w:p>
      <w:pPr>
        <w:pStyle w:val="BodyText"/>
        <w:spacing w:line="480" w:lineRule="auto" w:before="1"/>
        <w:ind w:right="181" w:firstLine="720"/>
        <w:jc w:val="both"/>
      </w:pPr>
      <w:r>
        <w:rPr/>
        <w:t>However, there are common grounds discernible from both legislations under consideration. First, both laws consider it immaterial in determining liability, that the company at the relevant time could not in fact have utilized the property.</w:t>
      </w:r>
      <w:r>
        <w:rPr>
          <w:vertAlign w:val="superscript"/>
        </w:rPr>
        <w:t>87</w:t>
      </w:r>
      <w:r>
        <w:rPr>
          <w:vertAlign w:val="baseline"/>
        </w:rPr>
        <w:t> Second, the duty covers conflict of duties as well, so as to also apply in situations of multiple directorships.</w:t>
      </w:r>
      <w:r>
        <w:rPr>
          <w:vertAlign w:val="superscript"/>
        </w:rPr>
        <w:t>88</w:t>
      </w:r>
      <w:r>
        <w:rPr>
          <w:vertAlign w:val="baseline"/>
        </w:rPr>
        <w:t> Finally and more importantly also, the duty, with respect at least to information in the case of the CAMA, is considered to continue even beyond the resignation of the director, so that he may not resign in order to take advantage of the company‘s interests.</w:t>
      </w:r>
      <w:r>
        <w:rPr>
          <w:vertAlign w:val="superscript"/>
        </w:rPr>
        <w:t>89</w:t>
      </w:r>
      <w:r>
        <w:rPr>
          <w:vertAlign w:val="baseline"/>
        </w:rPr>
        <w:t> Why this is not the case with respect to property</w:t>
      </w:r>
      <w:r>
        <w:rPr>
          <w:spacing w:val="-1"/>
          <w:vertAlign w:val="baseline"/>
        </w:rPr>
        <w:t> </w:t>
      </w:r>
      <w:r>
        <w:rPr>
          <w:vertAlign w:val="baseline"/>
        </w:rPr>
        <w:t>and opportunity as well, is not clear. This is probably an oversight on the part of the drafters of the CAMA, considering the spirit of the law regarding prohibition of conflicts of interests, contemplates prohibition of any profit or gain from such cases.</w:t>
      </w:r>
    </w:p>
    <w:p>
      <w:pPr>
        <w:pStyle w:val="BodyText"/>
        <w:spacing w:line="480" w:lineRule="auto" w:before="2"/>
        <w:ind w:right="183" w:firstLine="720"/>
        <w:jc w:val="both"/>
      </w:pPr>
      <w:r>
        <w:rPr/>
        <mc:AlternateContent>
          <mc:Choice Requires="wps">
            <w:drawing>
              <wp:anchor distT="0" distB="0" distL="0" distR="0" allowOverlap="1" layoutInCell="1" locked="0" behindDoc="1" simplePos="0" relativeHeight="487725568">
                <wp:simplePos x="0" y="0"/>
                <wp:positionH relativeFrom="page">
                  <wp:posOffset>1262481</wp:posOffset>
                </wp:positionH>
                <wp:positionV relativeFrom="paragraph">
                  <wp:posOffset>1430556</wp:posOffset>
                </wp:positionV>
                <wp:extent cx="1829435" cy="9525"/>
                <wp:effectExtent l="0" t="0" r="0" b="0"/>
                <wp:wrapTopAndBottom/>
                <wp:docPr id="296" name="Graphic 296"/>
                <wp:cNvGraphicFramePr>
                  <a:graphicFrameLocks/>
                </wp:cNvGraphicFramePr>
                <a:graphic>
                  <a:graphicData uri="http://schemas.microsoft.com/office/word/2010/wordprocessingShape">
                    <wps:wsp>
                      <wps:cNvPr id="296" name="Graphic 29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2.64222pt;width:144.050pt;height:.71997pt;mso-position-horizontal-relative:page;mso-position-vertical-relative:paragraph;z-index:-15590912;mso-wrap-distance-left:0;mso-wrap-distance-right:0" id="docshape251" filled="true" fillcolor="#000000" stroked="false">
                <v:fill type="solid"/>
                <w10:wrap type="topAndBottom"/>
              </v:rect>
            </w:pict>
          </mc:Fallback>
        </mc:AlternateContent>
      </w:r>
      <w:r>
        <w:rPr/>
        <w:t>In</w:t>
      </w:r>
      <w:r>
        <w:rPr>
          <w:spacing w:val="-4"/>
        </w:rPr>
        <w:t> </w:t>
      </w:r>
      <w:r>
        <w:rPr/>
        <w:t>spite</w:t>
      </w:r>
      <w:r>
        <w:rPr>
          <w:spacing w:val="-1"/>
        </w:rPr>
        <w:t> </w:t>
      </w:r>
      <w:r>
        <w:rPr/>
        <w:t>of</w:t>
      </w:r>
      <w:r>
        <w:rPr>
          <w:spacing w:val="-7"/>
        </w:rPr>
        <w:t> </w:t>
      </w:r>
      <w:r>
        <w:rPr/>
        <w:t>the</w:t>
      </w:r>
      <w:r>
        <w:rPr>
          <w:spacing w:val="-1"/>
        </w:rPr>
        <w:t> </w:t>
      </w:r>
      <w:r>
        <w:rPr/>
        <w:t>areas</w:t>
      </w:r>
      <w:r>
        <w:rPr>
          <w:spacing w:val="-1"/>
        </w:rPr>
        <w:t> </w:t>
      </w:r>
      <w:r>
        <w:rPr/>
        <w:t>of</w:t>
      </w:r>
      <w:r>
        <w:rPr>
          <w:spacing w:val="-7"/>
        </w:rPr>
        <w:t> </w:t>
      </w:r>
      <w:r>
        <w:rPr/>
        <w:t>convergence</w:t>
      </w:r>
      <w:r>
        <w:rPr>
          <w:spacing w:val="-1"/>
        </w:rPr>
        <w:t> </w:t>
      </w:r>
      <w:r>
        <w:rPr/>
        <w:t>discussed above, the laws</w:t>
      </w:r>
      <w:r>
        <w:rPr>
          <w:spacing w:val="-2"/>
        </w:rPr>
        <w:t> </w:t>
      </w:r>
      <w:r>
        <w:rPr/>
        <w:t>differ substantially in</w:t>
      </w:r>
      <w:r>
        <w:rPr>
          <w:spacing w:val="-1"/>
        </w:rPr>
        <w:t> </w:t>
      </w:r>
      <w:r>
        <w:rPr/>
        <w:t>the</w:t>
      </w:r>
      <w:r>
        <w:rPr>
          <w:spacing w:val="-2"/>
        </w:rPr>
        <w:t> </w:t>
      </w:r>
      <w:r>
        <w:rPr/>
        <w:t>default authorizing body. The</w:t>
      </w:r>
      <w:r>
        <w:rPr>
          <w:spacing w:val="-2"/>
        </w:rPr>
        <w:t> </w:t>
      </w:r>
      <w:r>
        <w:rPr/>
        <w:t>authorisation</w:t>
      </w:r>
      <w:r>
        <w:rPr>
          <w:spacing w:val="-1"/>
        </w:rPr>
        <w:t> </w:t>
      </w:r>
      <w:r>
        <w:rPr/>
        <w:t>regime is</w:t>
      </w:r>
      <w:r>
        <w:rPr>
          <w:spacing w:val="-3"/>
        </w:rPr>
        <w:t> </w:t>
      </w:r>
      <w:r>
        <w:rPr/>
        <w:t>one</w:t>
      </w:r>
      <w:r>
        <w:rPr>
          <w:spacing w:val="-2"/>
        </w:rPr>
        <w:t> </w:t>
      </w:r>
      <w:r>
        <w:rPr/>
        <w:t>of</w:t>
      </w:r>
      <w:r>
        <w:rPr>
          <w:spacing w:val="-9"/>
        </w:rPr>
        <w:t> </w:t>
      </w:r>
      <w:r>
        <w:rPr/>
        <w:t>the</w:t>
      </w:r>
      <w:r>
        <w:rPr>
          <w:spacing w:val="-2"/>
        </w:rPr>
        <w:t> </w:t>
      </w:r>
      <w:r>
        <w:rPr/>
        <w:t>areas</w:t>
      </w:r>
      <w:r>
        <w:rPr>
          <w:spacing w:val="-3"/>
        </w:rPr>
        <w:t> </w:t>
      </w:r>
      <w:r>
        <w:rPr/>
        <w:t>reviewed by the CA from the former common law position.Formerly, the common law did not condone authorisation</w:t>
      </w:r>
      <w:r>
        <w:rPr>
          <w:spacing w:val="-4"/>
        </w:rPr>
        <w:t> </w:t>
      </w:r>
      <w:r>
        <w:rPr/>
        <w:t>of</w:t>
      </w:r>
      <w:r>
        <w:rPr>
          <w:spacing w:val="-7"/>
        </w:rPr>
        <w:t> </w:t>
      </w:r>
      <w:r>
        <w:rPr/>
        <w:t>conflicts</w:t>
      </w:r>
      <w:r>
        <w:rPr>
          <w:spacing w:val="-2"/>
        </w:rPr>
        <w:t> </w:t>
      </w:r>
      <w:r>
        <w:rPr/>
        <w:t>of</w:t>
      </w:r>
      <w:r>
        <w:rPr>
          <w:spacing w:val="2"/>
        </w:rPr>
        <w:t> </w:t>
      </w:r>
      <w:r>
        <w:rPr/>
        <w:t>interest</w:t>
      </w:r>
      <w:r>
        <w:rPr>
          <w:spacing w:val="9"/>
        </w:rPr>
        <w:t> </w:t>
      </w:r>
      <w:r>
        <w:rPr/>
        <w:t>situations</w:t>
      </w:r>
      <w:r>
        <w:rPr>
          <w:spacing w:val="10"/>
        </w:rPr>
        <w:t> </w:t>
      </w:r>
      <w:r>
        <w:rPr/>
        <w:t>by</w:t>
      </w:r>
      <w:r>
        <w:rPr>
          <w:spacing w:val="-5"/>
        </w:rPr>
        <w:t> </w:t>
      </w:r>
      <w:r>
        <w:rPr/>
        <w:t>the</w:t>
      </w:r>
      <w:r>
        <w:rPr>
          <w:spacing w:val="9"/>
        </w:rPr>
        <w:t> </w:t>
      </w:r>
      <w:r>
        <w:rPr/>
        <w:t>board,</w:t>
      </w:r>
      <w:r>
        <w:rPr>
          <w:spacing w:val="2"/>
        </w:rPr>
        <w:t> </w:t>
      </w:r>
      <w:r>
        <w:rPr/>
        <w:t>insisting</w:t>
      </w:r>
      <w:r>
        <w:rPr>
          <w:spacing w:val="1"/>
        </w:rPr>
        <w:t> </w:t>
      </w:r>
      <w:r>
        <w:rPr/>
        <w:t>always</w:t>
      </w:r>
      <w:r>
        <w:rPr>
          <w:spacing w:val="3"/>
        </w:rPr>
        <w:t> </w:t>
      </w:r>
      <w:r>
        <w:rPr>
          <w:spacing w:val="-5"/>
        </w:rPr>
        <w:t>on</w:t>
      </w:r>
    </w:p>
    <w:p>
      <w:pPr>
        <w:spacing w:before="97"/>
        <w:ind w:left="308" w:right="225" w:firstLine="0"/>
        <w:jc w:val="both"/>
        <w:rPr>
          <w:rFonts w:ascii="Calibri"/>
          <w:sz w:val="20"/>
        </w:rPr>
      </w:pPr>
      <w:r>
        <w:rPr>
          <w:rFonts w:ascii="Calibri"/>
          <w:sz w:val="20"/>
          <w:vertAlign w:val="superscript"/>
        </w:rPr>
        <w:t>86</w:t>
      </w:r>
      <w:r>
        <w:rPr>
          <w:rFonts w:ascii="Calibri"/>
          <w:sz w:val="20"/>
          <w:vertAlign w:val="baseline"/>
        </w:rPr>
        <w:t> Lord Goldsmith of the Lords Grand Committee, reported in the Hansard of May 9, 2006, column 864. Cited in: </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13, per,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before="3"/>
        <w:ind w:left="308" w:right="0" w:firstLine="0"/>
        <w:jc w:val="both"/>
        <w:rPr>
          <w:rFonts w:ascii="Calibri"/>
          <w:sz w:val="20"/>
        </w:rPr>
      </w:pPr>
      <w:r>
        <w:rPr>
          <w:rFonts w:ascii="Calibri"/>
          <w:sz w:val="20"/>
          <w:vertAlign w:val="superscript"/>
        </w:rPr>
        <w:t>87</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s.175(2)</w:t>
      </w:r>
      <w:r>
        <w:rPr>
          <w:rFonts w:ascii="Calibri"/>
          <w:spacing w:val="-5"/>
          <w:sz w:val="20"/>
          <w:vertAlign w:val="baseline"/>
        </w:rPr>
        <w:t> </w:t>
      </w:r>
      <w:r>
        <w:rPr>
          <w:rFonts w:ascii="Calibri"/>
          <w:sz w:val="20"/>
          <w:vertAlign w:val="baseline"/>
        </w:rPr>
        <w:t>CA</w:t>
      </w:r>
      <w:r>
        <w:rPr>
          <w:rFonts w:ascii="Calibri"/>
          <w:spacing w:val="-3"/>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s.280(4)</w:t>
      </w:r>
      <w:r>
        <w:rPr>
          <w:rFonts w:ascii="Calibri"/>
          <w:spacing w:val="-5"/>
          <w:sz w:val="20"/>
          <w:vertAlign w:val="baseline"/>
        </w:rPr>
        <w:t> </w:t>
      </w:r>
      <w:r>
        <w:rPr>
          <w:rFonts w:ascii="Calibri"/>
          <w:spacing w:val="-4"/>
          <w:sz w:val="20"/>
          <w:vertAlign w:val="baseline"/>
        </w:rPr>
        <w:t>CAMA.</w:t>
      </w:r>
    </w:p>
    <w:p>
      <w:pPr>
        <w:spacing w:before="1"/>
        <w:ind w:left="308" w:right="0" w:firstLine="0"/>
        <w:jc w:val="both"/>
        <w:rPr>
          <w:rFonts w:ascii="Calibri"/>
          <w:sz w:val="20"/>
        </w:rPr>
      </w:pPr>
      <w:r>
        <w:rPr>
          <w:rFonts w:ascii="Calibri"/>
          <w:sz w:val="20"/>
          <w:vertAlign w:val="superscript"/>
        </w:rPr>
        <w:t>88</w:t>
      </w:r>
      <w:r>
        <w:rPr>
          <w:rFonts w:ascii="Calibri"/>
          <w:sz w:val="20"/>
          <w:vertAlign w:val="baseline"/>
        </w:rPr>
        <w:t> See</w:t>
      </w:r>
      <w:r>
        <w:rPr>
          <w:rFonts w:ascii="Calibri"/>
          <w:spacing w:val="-6"/>
          <w:sz w:val="20"/>
          <w:vertAlign w:val="baseline"/>
        </w:rPr>
        <w:t> </w:t>
      </w:r>
      <w:r>
        <w:rPr>
          <w:rFonts w:ascii="Calibri"/>
          <w:sz w:val="20"/>
          <w:vertAlign w:val="baseline"/>
        </w:rPr>
        <w:t>s.175(7)</w:t>
      </w:r>
      <w:r>
        <w:rPr>
          <w:rFonts w:ascii="Calibri"/>
          <w:spacing w:val="-4"/>
          <w:sz w:val="20"/>
          <w:vertAlign w:val="baseline"/>
        </w:rPr>
        <w:t> </w:t>
      </w:r>
      <w:r>
        <w:rPr>
          <w:rFonts w:ascii="Calibri"/>
          <w:sz w:val="20"/>
          <w:vertAlign w:val="baseline"/>
        </w:rPr>
        <w:t>CA</w:t>
      </w:r>
      <w:r>
        <w:rPr>
          <w:rFonts w:ascii="Calibri"/>
          <w:spacing w:val="-3"/>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s.281</w:t>
      </w:r>
      <w:r>
        <w:rPr>
          <w:rFonts w:ascii="Calibri"/>
          <w:spacing w:val="-3"/>
          <w:sz w:val="20"/>
          <w:vertAlign w:val="baseline"/>
        </w:rPr>
        <w:t> </w:t>
      </w:r>
      <w:r>
        <w:rPr>
          <w:rFonts w:ascii="Calibri"/>
          <w:spacing w:val="-2"/>
          <w:sz w:val="20"/>
          <w:vertAlign w:val="baseline"/>
        </w:rPr>
        <w:t>CAMA.</w:t>
      </w:r>
    </w:p>
    <w:p>
      <w:pPr>
        <w:spacing w:before="1"/>
        <w:ind w:left="308" w:right="0" w:firstLine="0"/>
        <w:jc w:val="both"/>
        <w:rPr>
          <w:rFonts w:ascii="Calibri"/>
          <w:sz w:val="20"/>
        </w:rPr>
      </w:pPr>
      <w:r>
        <w:rPr>
          <w:rFonts w:ascii="Calibri"/>
          <w:sz w:val="20"/>
          <w:vertAlign w:val="superscript"/>
        </w:rPr>
        <w:t>89</w:t>
      </w:r>
      <w:r>
        <w:rPr>
          <w:rFonts w:ascii="Calibri"/>
          <w:spacing w:val="-2"/>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s.170(2)(a)</w:t>
      </w:r>
      <w:r>
        <w:rPr>
          <w:rFonts w:ascii="Calibri"/>
          <w:spacing w:val="-2"/>
          <w:sz w:val="20"/>
          <w:vertAlign w:val="baseline"/>
        </w:rPr>
        <w:t> </w:t>
      </w:r>
      <w:r>
        <w:rPr>
          <w:rFonts w:ascii="Calibri"/>
          <w:sz w:val="20"/>
          <w:vertAlign w:val="baseline"/>
        </w:rPr>
        <w:t>CA</w:t>
      </w:r>
      <w:r>
        <w:rPr>
          <w:rFonts w:ascii="Calibri"/>
          <w:spacing w:val="-9"/>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s.280(5)</w:t>
      </w:r>
      <w:r>
        <w:rPr>
          <w:rFonts w:ascii="Calibri"/>
          <w:spacing w:val="-6"/>
          <w:sz w:val="20"/>
          <w:vertAlign w:val="baseline"/>
        </w:rPr>
        <w:t> </w:t>
      </w:r>
      <w:r>
        <w:rPr>
          <w:rFonts w:ascii="Calibri"/>
          <w:spacing w:val="-4"/>
          <w:sz w:val="20"/>
          <w:vertAlign w:val="baseline"/>
        </w:rPr>
        <w:t>CAMA.</w:t>
      </w:r>
    </w:p>
    <w:p>
      <w:pPr>
        <w:spacing w:after="0"/>
        <w:jc w:val="both"/>
        <w:rPr>
          <w:rFonts w:ascii="Calibri"/>
          <w:sz w:val="20"/>
        </w:rPr>
        <w:sectPr>
          <w:pgSz w:w="11910" w:h="16840"/>
          <w:pgMar w:header="0" w:footer="1003" w:top="1320" w:bottom="1200" w:left="1680" w:right="1180"/>
        </w:sectPr>
      </w:pPr>
    </w:p>
    <w:p>
      <w:pPr>
        <w:pStyle w:val="BodyText"/>
        <w:spacing w:line="480" w:lineRule="auto" w:before="110"/>
        <w:ind w:right="183"/>
        <w:jc w:val="both"/>
      </w:pPr>
      <w:r>
        <w:rPr/>
        <w:t>the general meeting as the proper body to act instead.</w:t>
      </w:r>
      <w:r>
        <w:rPr>
          <w:vertAlign w:val="superscript"/>
        </w:rPr>
        <w:t>90</w:t>
      </w:r>
      <w:r>
        <w:rPr>
          <w:vertAlign w:val="baseline"/>
        </w:rPr>
        <w:t> However, even the interested director, if he happened to be a shareholder, could participate in the authorisation</w:t>
      </w:r>
      <w:r>
        <w:rPr>
          <w:spacing w:val="40"/>
          <w:vertAlign w:val="baseline"/>
        </w:rPr>
        <w:t> </w:t>
      </w:r>
      <w:r>
        <w:rPr>
          <w:vertAlign w:val="baseline"/>
        </w:rPr>
        <w:t>process and vote.</w:t>
      </w:r>
      <w:r>
        <w:rPr>
          <w:vertAlign w:val="superscript"/>
        </w:rPr>
        <w:t>91</w:t>
      </w:r>
      <w:r>
        <w:rPr>
          <w:vertAlign w:val="baseline"/>
        </w:rPr>
        <w:t> This is the position held by CAMA from the tenor of s.280(6).</w:t>
      </w:r>
      <w:r>
        <w:rPr>
          <w:spacing w:val="40"/>
          <w:vertAlign w:val="baseline"/>
        </w:rPr>
        <w:t> </w:t>
      </w:r>
      <w:r>
        <w:rPr>
          <w:vertAlign w:val="baseline"/>
        </w:rPr>
        <w:t>Unlike s.180(4)(b) CA, the CAMA does not specifically allow the articles to make provisions for dealing with conflicts of interests.</w:t>
      </w:r>
    </w:p>
    <w:p>
      <w:pPr>
        <w:pStyle w:val="BodyText"/>
        <w:spacing w:line="480" w:lineRule="auto" w:before="1"/>
        <w:ind w:right="177" w:firstLine="720"/>
        <w:jc w:val="both"/>
      </w:pPr>
      <w:r>
        <w:rPr/>
        <w:t>Apparently, the drafters of the CA did not intend to outrightly prohibit</w:t>
      </w:r>
      <w:r>
        <w:rPr>
          <w:spacing w:val="40"/>
        </w:rPr>
        <w:t> </w:t>
      </w:r>
      <w:r>
        <w:rPr/>
        <w:t>conflicts—a</w:t>
      </w:r>
      <w:r>
        <w:rPr>
          <w:spacing w:val="-4"/>
        </w:rPr>
        <w:t> </w:t>
      </w:r>
      <w:r>
        <w:rPr/>
        <w:t>task</w:t>
      </w:r>
      <w:r>
        <w:rPr>
          <w:spacing w:val="-3"/>
        </w:rPr>
        <w:t> </w:t>
      </w:r>
      <w:r>
        <w:rPr/>
        <w:t>considered impossible,</w:t>
      </w:r>
      <w:r>
        <w:rPr>
          <w:spacing w:val="-1"/>
        </w:rPr>
        <w:t> </w:t>
      </w:r>
      <w:r>
        <w:rPr/>
        <w:t>considering human</w:t>
      </w:r>
      <w:r>
        <w:rPr>
          <w:spacing w:val="-3"/>
        </w:rPr>
        <w:t> </w:t>
      </w:r>
      <w:r>
        <w:rPr/>
        <w:t>nature—but simply</w:t>
      </w:r>
      <w:r>
        <w:rPr>
          <w:spacing w:val="-7"/>
        </w:rPr>
        <w:t> </w:t>
      </w:r>
      <w:r>
        <w:rPr/>
        <w:t>to allow companies, particularly the board of directors, to decide whether or not to allow a director take advantage of the company‘s interests in the form of information, property</w:t>
      </w:r>
      <w:r>
        <w:rPr>
          <w:spacing w:val="40"/>
        </w:rPr>
        <w:t> </w:t>
      </w:r>
      <w:r>
        <w:rPr/>
        <w:t>or opportunity in any given case. In suggesting the contents of s.175, the CLRSG may have been persuaded by court decisions such as those in </w:t>
      </w:r>
      <w:r>
        <w:rPr>
          <w:b/>
        </w:rPr>
        <w:t>Peso Silver Mines Ltd. vs. Cropper,</w:t>
      </w:r>
      <w:r>
        <w:rPr>
          <w:vertAlign w:val="superscript"/>
        </w:rPr>
        <w:t>92</w:t>
      </w:r>
      <w:r>
        <w:rPr>
          <w:b/>
          <w:vertAlign w:val="baseline"/>
        </w:rPr>
        <w:t>Queensland Mines Ltd. vs. Hudson,</w:t>
      </w:r>
      <w:r>
        <w:rPr>
          <w:vertAlign w:val="superscript"/>
        </w:rPr>
        <w:t>93</w:t>
      </w:r>
      <w:r>
        <w:rPr>
          <w:vertAlign w:val="baseline"/>
        </w:rPr>
        <w:t>and </w:t>
      </w:r>
      <w:r>
        <w:rPr>
          <w:b/>
          <w:vertAlign w:val="baseline"/>
        </w:rPr>
        <w:t>Foster vs. Bryant</w:t>
      </w:r>
      <w:r>
        <w:rPr>
          <w:vertAlign w:val="baseline"/>
        </w:rPr>
        <w:t>,</w:t>
      </w:r>
      <w:r>
        <w:rPr>
          <w:vertAlign w:val="superscript"/>
        </w:rPr>
        <w:t>94</w:t>
      </w:r>
      <w:r>
        <w:rPr>
          <w:vertAlign w:val="baseline"/>
        </w:rPr>
        <w:t> discussed supra,</w:t>
      </w:r>
      <w:r>
        <w:rPr>
          <w:vertAlign w:val="superscript"/>
        </w:rPr>
        <w:t>95</w:t>
      </w:r>
      <w:r>
        <w:rPr>
          <w:vertAlign w:val="baseline"/>
        </w:rPr>
        <w:t> which tend towards a softening of the rule, for it recommended making authorisation easier for interested directors.</w:t>
      </w:r>
    </w:p>
    <w:p>
      <w:pPr>
        <w:pStyle w:val="BodyText"/>
        <w:spacing w:line="480" w:lineRule="auto" w:before="2"/>
        <w:ind w:right="189" w:firstLine="720"/>
        <w:jc w:val="both"/>
      </w:pPr>
      <w:r>
        <w:rPr/>
        <w:t>The CLRSG considered the previous framework regarding personal exploitation of corporate opportunities impractical, due to the requirement for member approval in</w:t>
      </w:r>
      <w:r>
        <w:rPr>
          <w:spacing w:val="80"/>
        </w:rPr>
        <w:t> </w:t>
      </w:r>
      <w:r>
        <w:rPr/>
        <w:t>all</w:t>
      </w:r>
      <w:r>
        <w:rPr>
          <w:spacing w:val="-15"/>
        </w:rPr>
        <w:t> </w:t>
      </w:r>
      <w:r>
        <w:rPr/>
        <w:t>cases,</w:t>
      </w:r>
      <w:r>
        <w:rPr>
          <w:spacing w:val="-15"/>
        </w:rPr>
        <w:t> </w:t>
      </w:r>
      <w:r>
        <w:rPr/>
        <w:t>so</w:t>
      </w:r>
      <w:r>
        <w:rPr>
          <w:spacing w:val="-12"/>
        </w:rPr>
        <w:t> </w:t>
      </w:r>
      <w:r>
        <w:rPr/>
        <w:t>that</w:t>
      </w:r>
      <w:r>
        <w:rPr>
          <w:spacing w:val="-11"/>
        </w:rPr>
        <w:t> </w:t>
      </w:r>
      <w:r>
        <w:rPr/>
        <w:t>the</w:t>
      </w:r>
      <w:r>
        <w:rPr>
          <w:spacing w:val="-12"/>
        </w:rPr>
        <w:t> </w:t>
      </w:r>
      <w:r>
        <w:rPr/>
        <w:t>framework</w:t>
      </w:r>
      <w:r>
        <w:rPr>
          <w:spacing w:val="-15"/>
        </w:rPr>
        <w:t> </w:t>
      </w:r>
      <w:r>
        <w:rPr/>
        <w:t>was</w:t>
      </w:r>
      <w:r>
        <w:rPr>
          <w:spacing w:val="-15"/>
        </w:rPr>
        <w:t> </w:t>
      </w:r>
      <w:r>
        <w:rPr/>
        <w:t>said</w:t>
      </w:r>
      <w:r>
        <w:rPr>
          <w:spacing w:val="-12"/>
        </w:rPr>
        <w:t> </w:t>
      </w:r>
      <w:r>
        <w:rPr/>
        <w:t>to</w:t>
      </w:r>
      <w:r>
        <w:rPr>
          <w:spacing w:val="-12"/>
        </w:rPr>
        <w:t> </w:t>
      </w:r>
      <w:r>
        <w:rPr/>
        <w:t>be</w:t>
      </w:r>
      <w:r>
        <w:rPr>
          <w:spacing w:val="-12"/>
        </w:rPr>
        <w:t> </w:t>
      </w:r>
      <w:r>
        <w:rPr/>
        <w:t>―unduly</w:t>
      </w:r>
      <w:r>
        <w:rPr>
          <w:spacing w:val="-15"/>
        </w:rPr>
        <w:t> </w:t>
      </w:r>
      <w:r>
        <w:rPr/>
        <w:t>strict‖</w:t>
      </w:r>
      <w:r>
        <w:rPr>
          <w:spacing w:val="-15"/>
        </w:rPr>
        <w:t> </w:t>
      </w:r>
      <w:r>
        <w:rPr/>
        <w:t>and</w:t>
      </w:r>
      <w:r>
        <w:rPr>
          <w:spacing w:val="-9"/>
        </w:rPr>
        <w:t> </w:t>
      </w:r>
      <w:r>
        <w:rPr/>
        <w:t>―inconsistent</w:t>
      </w:r>
      <w:r>
        <w:rPr>
          <w:spacing w:val="-11"/>
        </w:rPr>
        <w:t> </w:t>
      </w:r>
      <w:r>
        <w:rPr/>
        <w:t>with</w:t>
      </w:r>
      <w:r>
        <w:rPr>
          <w:spacing w:val="-15"/>
        </w:rPr>
        <w:t> </w:t>
      </w:r>
      <w:r>
        <w:rPr/>
        <w:t>the principle that it is for the board to make business assessments and stifles entrepreneurship.‖</w:t>
      </w:r>
      <w:r>
        <w:rPr>
          <w:vertAlign w:val="superscript"/>
        </w:rPr>
        <w:t>96</w:t>
      </w:r>
      <w:r>
        <w:rPr>
          <w:spacing w:val="26"/>
          <w:vertAlign w:val="baseline"/>
        </w:rPr>
        <w:t> </w:t>
      </w:r>
      <w:r>
        <w:rPr>
          <w:vertAlign w:val="baseline"/>
        </w:rPr>
        <w:t>It</w:t>
      </w:r>
      <w:r>
        <w:rPr>
          <w:spacing w:val="28"/>
          <w:vertAlign w:val="baseline"/>
        </w:rPr>
        <w:t> </w:t>
      </w:r>
      <w:r>
        <w:rPr>
          <w:vertAlign w:val="baseline"/>
        </w:rPr>
        <w:t>therefore</w:t>
      </w:r>
      <w:r>
        <w:rPr>
          <w:spacing w:val="21"/>
          <w:vertAlign w:val="baseline"/>
        </w:rPr>
        <w:t> </w:t>
      </w:r>
      <w:r>
        <w:rPr>
          <w:vertAlign w:val="baseline"/>
        </w:rPr>
        <w:t>proposed,</w:t>
      </w:r>
      <w:r>
        <w:rPr>
          <w:spacing w:val="25"/>
          <w:vertAlign w:val="baseline"/>
        </w:rPr>
        <w:t> </w:t>
      </w:r>
      <w:r>
        <w:rPr>
          <w:vertAlign w:val="baseline"/>
        </w:rPr>
        <w:t>and</w:t>
      </w:r>
      <w:r>
        <w:rPr>
          <w:spacing w:val="23"/>
          <w:vertAlign w:val="baseline"/>
        </w:rPr>
        <w:t> </w:t>
      </w:r>
      <w:r>
        <w:rPr>
          <w:vertAlign w:val="baseline"/>
        </w:rPr>
        <w:t>Parliament</w:t>
      </w:r>
      <w:r>
        <w:rPr>
          <w:spacing w:val="31"/>
          <w:vertAlign w:val="baseline"/>
        </w:rPr>
        <w:t> </w:t>
      </w:r>
      <w:r>
        <w:rPr>
          <w:vertAlign w:val="baseline"/>
        </w:rPr>
        <w:t>accepted,</w:t>
      </w:r>
      <w:r>
        <w:rPr>
          <w:spacing w:val="25"/>
          <w:vertAlign w:val="baseline"/>
        </w:rPr>
        <w:t> </w:t>
      </w:r>
      <w:r>
        <w:rPr>
          <w:vertAlign w:val="baseline"/>
        </w:rPr>
        <w:t>that</w:t>
      </w:r>
      <w:r>
        <w:rPr>
          <w:spacing w:val="28"/>
          <w:vertAlign w:val="baseline"/>
        </w:rPr>
        <w:t> </w:t>
      </w:r>
      <w:r>
        <w:rPr>
          <w:vertAlign w:val="baseline"/>
        </w:rPr>
        <w:t>statute</w:t>
      </w:r>
      <w:r>
        <w:rPr>
          <w:spacing w:val="22"/>
          <w:vertAlign w:val="baseline"/>
        </w:rPr>
        <w:t> </w:t>
      </w:r>
      <w:r>
        <w:rPr>
          <w:spacing w:val="-2"/>
          <w:vertAlign w:val="baseline"/>
        </w:rPr>
        <w:t>should</w:t>
      </w:r>
    </w:p>
    <w:p>
      <w:pPr>
        <w:pStyle w:val="BodyText"/>
        <w:ind w:left="0"/>
        <w:rPr>
          <w:sz w:val="20"/>
        </w:rPr>
      </w:pPr>
    </w:p>
    <w:p>
      <w:pPr>
        <w:pStyle w:val="BodyText"/>
        <w:ind w:left="0"/>
        <w:rPr>
          <w:sz w:val="20"/>
        </w:rPr>
      </w:pPr>
    </w:p>
    <w:p>
      <w:pPr>
        <w:pStyle w:val="BodyText"/>
        <w:spacing w:before="5"/>
        <w:ind w:left="0"/>
        <w:rPr>
          <w:sz w:val="20"/>
        </w:rPr>
      </w:pPr>
      <w:r>
        <w:rPr/>
        <mc:AlternateContent>
          <mc:Choice Requires="wps">
            <w:drawing>
              <wp:anchor distT="0" distB="0" distL="0" distR="0" allowOverlap="1" layoutInCell="1" locked="0" behindDoc="1" simplePos="0" relativeHeight="487726080">
                <wp:simplePos x="0" y="0"/>
                <wp:positionH relativeFrom="page">
                  <wp:posOffset>1262481</wp:posOffset>
                </wp:positionH>
                <wp:positionV relativeFrom="paragraph">
                  <wp:posOffset>164927</wp:posOffset>
                </wp:positionV>
                <wp:extent cx="1829435" cy="9525"/>
                <wp:effectExtent l="0" t="0" r="0" b="0"/>
                <wp:wrapTopAndBottom/>
                <wp:docPr id="297" name="Graphic 297"/>
                <wp:cNvGraphicFramePr>
                  <a:graphicFrameLocks/>
                </wp:cNvGraphicFramePr>
                <a:graphic>
                  <a:graphicData uri="http://schemas.microsoft.com/office/word/2010/wordprocessingShape">
                    <wps:wsp>
                      <wps:cNvPr id="297" name="Graphic 297"/>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2.986454pt;width:144.050pt;height:.72003pt;mso-position-horizontal-relative:page;mso-position-vertical-relative:paragraph;z-index:-15590400;mso-wrap-distance-left:0;mso-wrap-distance-right:0" id="docshape252" filled="true" fillcolor="#000000" stroked="false">
                <v:fill type="solid"/>
                <w10:wrap type="topAndBottom"/>
              </v:rect>
            </w:pict>
          </mc:Fallback>
        </mc:AlternateContent>
      </w:r>
    </w:p>
    <w:p>
      <w:pPr>
        <w:spacing w:before="102"/>
        <w:ind w:left="308" w:right="0" w:firstLine="0"/>
        <w:jc w:val="left"/>
        <w:rPr>
          <w:rFonts w:ascii="Calibri"/>
          <w:i/>
          <w:sz w:val="20"/>
        </w:rPr>
      </w:pPr>
      <w:r>
        <w:rPr>
          <w:rFonts w:ascii="Calibri"/>
          <w:sz w:val="20"/>
          <w:vertAlign w:val="superscript"/>
        </w:rPr>
        <w:t>90</w:t>
      </w:r>
      <w:r>
        <w:rPr>
          <w:rFonts w:ascii="Calibri"/>
          <w:i/>
          <w:sz w:val="20"/>
          <w:vertAlign w:val="baseline"/>
        </w:rPr>
        <w:t>Benson</w:t>
      </w:r>
      <w:r>
        <w:rPr>
          <w:rFonts w:ascii="Calibri"/>
          <w:i/>
          <w:spacing w:val="32"/>
          <w:sz w:val="20"/>
          <w:vertAlign w:val="baseline"/>
        </w:rPr>
        <w:t> </w:t>
      </w:r>
      <w:r>
        <w:rPr>
          <w:rFonts w:ascii="Calibri"/>
          <w:i/>
          <w:sz w:val="20"/>
          <w:vertAlign w:val="baseline"/>
        </w:rPr>
        <w:t>vs.</w:t>
      </w:r>
      <w:r>
        <w:rPr>
          <w:rFonts w:ascii="Calibri"/>
          <w:i/>
          <w:spacing w:val="32"/>
          <w:sz w:val="20"/>
          <w:vertAlign w:val="baseline"/>
        </w:rPr>
        <w:t> </w:t>
      </w:r>
      <w:r>
        <w:rPr>
          <w:rFonts w:ascii="Calibri"/>
          <w:i/>
          <w:sz w:val="20"/>
          <w:vertAlign w:val="baseline"/>
        </w:rPr>
        <w:t>Heathorn</w:t>
      </w:r>
      <w:r>
        <w:rPr>
          <w:rFonts w:ascii="Calibri"/>
          <w:i/>
          <w:spacing w:val="34"/>
          <w:sz w:val="20"/>
          <w:vertAlign w:val="baseline"/>
        </w:rPr>
        <w:t> </w:t>
      </w:r>
      <w:r>
        <w:rPr>
          <w:rFonts w:ascii="Calibri"/>
          <w:sz w:val="20"/>
          <w:vertAlign w:val="baseline"/>
        </w:rPr>
        <w:t>(1842)</w:t>
      </w:r>
      <w:r>
        <w:rPr>
          <w:rFonts w:ascii="Calibri"/>
          <w:spacing w:val="32"/>
          <w:sz w:val="20"/>
          <w:vertAlign w:val="baseline"/>
        </w:rPr>
        <w:t> </w:t>
      </w:r>
      <w:r>
        <w:rPr>
          <w:rFonts w:ascii="Calibri"/>
          <w:sz w:val="20"/>
          <w:vertAlign w:val="baseline"/>
        </w:rPr>
        <w:t>1</w:t>
      </w:r>
      <w:r>
        <w:rPr>
          <w:rFonts w:ascii="Calibri"/>
          <w:spacing w:val="30"/>
          <w:sz w:val="20"/>
          <w:vertAlign w:val="baseline"/>
        </w:rPr>
        <w:t> </w:t>
      </w:r>
      <w:r>
        <w:rPr>
          <w:rFonts w:ascii="Calibri"/>
          <w:sz w:val="20"/>
          <w:vertAlign w:val="baseline"/>
        </w:rPr>
        <w:t>Y.</w:t>
      </w:r>
      <w:r>
        <w:rPr>
          <w:rFonts w:ascii="Calibri"/>
          <w:spacing w:val="32"/>
          <w:sz w:val="20"/>
          <w:vertAlign w:val="baseline"/>
        </w:rPr>
        <w:t> </w:t>
      </w:r>
      <w:r>
        <w:rPr>
          <w:rFonts w:ascii="Calibri"/>
          <w:sz w:val="20"/>
          <w:vertAlign w:val="baseline"/>
        </w:rPr>
        <w:t>&amp;</w:t>
      </w:r>
      <w:r>
        <w:rPr>
          <w:rFonts w:ascii="Calibri"/>
          <w:spacing w:val="32"/>
          <w:sz w:val="20"/>
          <w:vertAlign w:val="baseline"/>
        </w:rPr>
        <w:t> </w:t>
      </w:r>
      <w:r>
        <w:rPr>
          <w:rFonts w:ascii="Calibri"/>
          <w:sz w:val="20"/>
          <w:vertAlign w:val="baseline"/>
        </w:rPr>
        <w:t>C.C.C.</w:t>
      </w:r>
      <w:r>
        <w:rPr>
          <w:rFonts w:ascii="Calibri"/>
          <w:spacing w:val="32"/>
          <w:sz w:val="20"/>
          <w:vertAlign w:val="baseline"/>
        </w:rPr>
        <w:t> </w:t>
      </w:r>
      <w:r>
        <w:rPr>
          <w:rFonts w:ascii="Calibri"/>
          <w:sz w:val="20"/>
          <w:vertAlign w:val="baseline"/>
        </w:rPr>
        <w:t>326;</w:t>
      </w:r>
      <w:r>
        <w:rPr>
          <w:rFonts w:ascii="Calibri"/>
          <w:spacing w:val="33"/>
          <w:sz w:val="20"/>
          <w:vertAlign w:val="baseline"/>
        </w:rPr>
        <w:t> </w:t>
      </w:r>
      <w:r>
        <w:rPr>
          <w:rFonts w:ascii="Calibri"/>
          <w:i/>
          <w:sz w:val="20"/>
          <w:vertAlign w:val="baseline"/>
        </w:rPr>
        <w:t>Imperial</w:t>
      </w:r>
      <w:r>
        <w:rPr>
          <w:rFonts w:ascii="Calibri"/>
          <w:i/>
          <w:spacing w:val="27"/>
          <w:sz w:val="20"/>
          <w:vertAlign w:val="baseline"/>
        </w:rPr>
        <w:t> </w:t>
      </w:r>
      <w:r>
        <w:rPr>
          <w:rFonts w:ascii="Calibri"/>
          <w:i/>
          <w:sz w:val="20"/>
          <w:vertAlign w:val="baseline"/>
        </w:rPr>
        <w:t>Mercantile</w:t>
      </w:r>
      <w:r>
        <w:rPr>
          <w:rFonts w:ascii="Calibri"/>
          <w:i/>
          <w:spacing w:val="30"/>
          <w:sz w:val="20"/>
          <w:vertAlign w:val="baseline"/>
        </w:rPr>
        <w:t> </w:t>
      </w:r>
      <w:r>
        <w:rPr>
          <w:rFonts w:ascii="Calibri"/>
          <w:i/>
          <w:sz w:val="20"/>
          <w:vertAlign w:val="baseline"/>
        </w:rPr>
        <w:t>Credit</w:t>
      </w:r>
      <w:r>
        <w:rPr>
          <w:rFonts w:ascii="Calibri"/>
          <w:i/>
          <w:spacing w:val="31"/>
          <w:sz w:val="20"/>
          <w:vertAlign w:val="baseline"/>
        </w:rPr>
        <w:t> </w:t>
      </w:r>
      <w:r>
        <w:rPr>
          <w:rFonts w:ascii="Calibri"/>
          <w:i/>
          <w:sz w:val="20"/>
          <w:vertAlign w:val="baseline"/>
        </w:rPr>
        <w:t>Association</w:t>
      </w:r>
      <w:r>
        <w:rPr>
          <w:rFonts w:ascii="Calibri"/>
          <w:i/>
          <w:spacing w:val="32"/>
          <w:sz w:val="20"/>
          <w:vertAlign w:val="baseline"/>
        </w:rPr>
        <w:t> </w:t>
      </w:r>
      <w:r>
        <w:rPr>
          <w:rFonts w:ascii="Calibri"/>
          <w:i/>
          <w:sz w:val="20"/>
          <w:vertAlign w:val="baseline"/>
        </w:rPr>
        <w:t>vs.</w:t>
      </w:r>
      <w:r>
        <w:rPr>
          <w:rFonts w:ascii="Calibri"/>
          <w:i/>
          <w:spacing w:val="32"/>
          <w:sz w:val="20"/>
          <w:vertAlign w:val="baseline"/>
        </w:rPr>
        <w:t> </w:t>
      </w:r>
      <w:r>
        <w:rPr>
          <w:rFonts w:ascii="Calibri"/>
          <w:i/>
          <w:spacing w:val="-2"/>
          <w:sz w:val="20"/>
          <w:vertAlign w:val="baseline"/>
        </w:rPr>
        <w:t>Coleman</w:t>
      </w:r>
    </w:p>
    <w:p>
      <w:pPr>
        <w:spacing w:before="1"/>
        <w:ind w:left="308" w:right="0" w:firstLine="0"/>
        <w:jc w:val="both"/>
        <w:rPr>
          <w:rFonts w:ascii="Calibri"/>
          <w:sz w:val="20"/>
        </w:rPr>
      </w:pPr>
      <w:r>
        <w:rPr>
          <w:rFonts w:ascii="Calibri"/>
          <w:sz w:val="20"/>
        </w:rPr>
        <w:t>(1871)</w:t>
      </w:r>
      <w:r>
        <w:rPr>
          <w:rFonts w:ascii="Calibri"/>
          <w:spacing w:val="-2"/>
          <w:sz w:val="20"/>
        </w:rPr>
        <w:t> </w:t>
      </w:r>
      <w:r>
        <w:rPr>
          <w:rFonts w:ascii="Calibri"/>
          <w:sz w:val="20"/>
        </w:rPr>
        <w:t>L.R.</w:t>
      </w:r>
      <w:r>
        <w:rPr>
          <w:rFonts w:ascii="Calibri"/>
          <w:spacing w:val="-1"/>
          <w:sz w:val="20"/>
        </w:rPr>
        <w:t> </w:t>
      </w:r>
      <w:r>
        <w:rPr>
          <w:rFonts w:ascii="Calibri"/>
          <w:sz w:val="20"/>
        </w:rPr>
        <w:t>6</w:t>
      </w:r>
      <w:r>
        <w:rPr>
          <w:rFonts w:ascii="Calibri"/>
          <w:spacing w:val="-8"/>
          <w:sz w:val="20"/>
        </w:rPr>
        <w:t> </w:t>
      </w:r>
      <w:r>
        <w:rPr>
          <w:rFonts w:ascii="Calibri"/>
          <w:sz w:val="20"/>
        </w:rPr>
        <w:t>Ch.</w:t>
      </w:r>
      <w:r>
        <w:rPr>
          <w:rFonts w:ascii="Calibri"/>
          <w:spacing w:val="-6"/>
          <w:sz w:val="20"/>
        </w:rPr>
        <w:t> </w:t>
      </w:r>
      <w:r>
        <w:rPr>
          <w:rFonts w:ascii="Calibri"/>
          <w:sz w:val="20"/>
        </w:rPr>
        <w:t>App.</w:t>
      </w:r>
      <w:r>
        <w:rPr>
          <w:rFonts w:ascii="Calibri"/>
          <w:spacing w:val="-5"/>
          <w:sz w:val="20"/>
        </w:rPr>
        <w:t> </w:t>
      </w:r>
      <w:r>
        <w:rPr>
          <w:rFonts w:ascii="Calibri"/>
          <w:sz w:val="20"/>
        </w:rPr>
        <w:t>558,</w:t>
      </w:r>
      <w:r>
        <w:rPr>
          <w:rFonts w:ascii="Calibri"/>
          <w:spacing w:val="-5"/>
          <w:sz w:val="20"/>
        </w:rPr>
        <w:t> </w:t>
      </w:r>
      <w:r>
        <w:rPr>
          <w:rFonts w:ascii="Calibri"/>
          <w:sz w:val="20"/>
        </w:rPr>
        <w:t>C.A.;</w:t>
      </w:r>
      <w:r>
        <w:rPr>
          <w:rFonts w:ascii="Calibri"/>
          <w:spacing w:val="-4"/>
          <w:sz w:val="20"/>
        </w:rPr>
        <w:t> </w:t>
      </w:r>
      <w:r>
        <w:rPr>
          <w:rFonts w:ascii="Calibri"/>
          <w:i/>
          <w:sz w:val="20"/>
        </w:rPr>
        <w:t>Regal</w:t>
      </w:r>
      <w:r>
        <w:rPr>
          <w:rFonts w:ascii="Calibri"/>
          <w:i/>
          <w:spacing w:val="-6"/>
          <w:sz w:val="20"/>
        </w:rPr>
        <w:t> </w:t>
      </w:r>
      <w:r>
        <w:rPr>
          <w:rFonts w:ascii="Calibri"/>
          <w:i/>
          <w:sz w:val="20"/>
        </w:rPr>
        <w:t>(Hastings)</w:t>
      </w:r>
      <w:r>
        <w:rPr>
          <w:rFonts w:ascii="Calibri"/>
          <w:i/>
          <w:spacing w:val="-5"/>
          <w:sz w:val="20"/>
        </w:rPr>
        <w:t> </w:t>
      </w:r>
      <w:r>
        <w:rPr>
          <w:rFonts w:ascii="Calibri"/>
          <w:i/>
          <w:sz w:val="20"/>
        </w:rPr>
        <w:t>Ltd.</w:t>
      </w:r>
      <w:r>
        <w:rPr>
          <w:rFonts w:ascii="Calibri"/>
          <w:i/>
          <w:spacing w:val="-5"/>
          <w:sz w:val="20"/>
        </w:rPr>
        <w:t> </w:t>
      </w:r>
      <w:r>
        <w:rPr>
          <w:rFonts w:ascii="Calibri"/>
          <w:i/>
          <w:sz w:val="20"/>
        </w:rPr>
        <w:t>vs.</w:t>
      </w:r>
      <w:r>
        <w:rPr>
          <w:rFonts w:ascii="Calibri"/>
          <w:i/>
          <w:spacing w:val="-6"/>
          <w:sz w:val="20"/>
        </w:rPr>
        <w:t> </w:t>
      </w:r>
      <w:r>
        <w:rPr>
          <w:rFonts w:ascii="Calibri"/>
          <w:i/>
          <w:sz w:val="20"/>
        </w:rPr>
        <w:t>Gulliver</w:t>
      </w:r>
      <w:r>
        <w:rPr>
          <w:rFonts w:ascii="Calibri"/>
          <w:i/>
          <w:spacing w:val="-7"/>
          <w:sz w:val="20"/>
        </w:rPr>
        <w:t> </w:t>
      </w:r>
      <w:r>
        <w:rPr>
          <w:rFonts w:ascii="Calibri"/>
          <w:sz w:val="20"/>
        </w:rPr>
        <w:t>(1967)</w:t>
      </w:r>
      <w:r>
        <w:rPr>
          <w:rFonts w:ascii="Calibri"/>
          <w:spacing w:val="-2"/>
          <w:sz w:val="20"/>
        </w:rPr>
        <w:t> </w:t>
      </w:r>
      <w:r>
        <w:rPr>
          <w:rFonts w:ascii="Calibri"/>
          <w:sz w:val="20"/>
        </w:rPr>
        <w:t>2</w:t>
      </w:r>
      <w:r>
        <w:rPr>
          <w:rFonts w:ascii="Calibri"/>
          <w:spacing w:val="-8"/>
          <w:sz w:val="20"/>
        </w:rPr>
        <w:t> </w:t>
      </w:r>
      <w:r>
        <w:rPr>
          <w:rFonts w:ascii="Calibri"/>
          <w:sz w:val="20"/>
        </w:rPr>
        <w:t>A.C.</w:t>
      </w:r>
      <w:r>
        <w:rPr>
          <w:rFonts w:ascii="Calibri"/>
          <w:spacing w:val="-3"/>
          <w:sz w:val="20"/>
        </w:rPr>
        <w:t> </w:t>
      </w:r>
      <w:r>
        <w:rPr>
          <w:rFonts w:ascii="Calibri"/>
          <w:spacing w:val="-4"/>
          <w:sz w:val="20"/>
        </w:rPr>
        <w:t>134.</w:t>
      </w:r>
    </w:p>
    <w:p>
      <w:pPr>
        <w:spacing w:line="237" w:lineRule="auto" w:before="2"/>
        <w:ind w:left="308" w:right="224" w:firstLine="0"/>
        <w:jc w:val="both"/>
        <w:rPr>
          <w:rFonts w:ascii="Calibri"/>
          <w:sz w:val="20"/>
        </w:rPr>
      </w:pPr>
      <w:r>
        <w:rPr>
          <w:rFonts w:ascii="Calibri"/>
          <w:sz w:val="20"/>
          <w:vertAlign w:val="superscript"/>
        </w:rPr>
        <w:t>91</w:t>
      </w:r>
      <w:r>
        <w:rPr>
          <w:rFonts w:ascii="Calibri"/>
          <w:sz w:val="20"/>
          <w:vertAlign w:val="baseline"/>
        </w:rPr>
        <w:t> See </w:t>
      </w:r>
      <w:r>
        <w:rPr>
          <w:rFonts w:ascii="Calibri"/>
          <w:i/>
          <w:sz w:val="20"/>
          <w:vertAlign w:val="baseline"/>
        </w:rPr>
        <w:t>North-West Transportation Co. Ltd. vs. Beatty </w:t>
      </w:r>
      <w:r>
        <w:rPr>
          <w:rFonts w:ascii="Calibri"/>
          <w:sz w:val="20"/>
          <w:vertAlign w:val="baseline"/>
        </w:rPr>
        <w:t>(1887) 12 App. Cas 589; </w:t>
      </w:r>
      <w:r>
        <w:rPr>
          <w:rFonts w:ascii="Calibri"/>
          <w:i/>
          <w:sz w:val="20"/>
          <w:vertAlign w:val="baseline"/>
        </w:rPr>
        <w:t>Northern Counties</w:t>
      </w:r>
      <w:r>
        <w:rPr>
          <w:rFonts w:ascii="Calibri"/>
          <w:i/>
          <w:spacing w:val="40"/>
          <w:sz w:val="20"/>
          <w:vertAlign w:val="baseline"/>
        </w:rPr>
        <w:t> </w:t>
      </w:r>
      <w:r>
        <w:rPr>
          <w:rFonts w:ascii="Calibri"/>
          <w:i/>
          <w:sz w:val="20"/>
          <w:vertAlign w:val="baseline"/>
        </w:rPr>
        <w:t>Securities Ltd. vs. Jackson and Steeple Ltd</w:t>
      </w:r>
      <w:r>
        <w:rPr>
          <w:rFonts w:ascii="Calibri"/>
          <w:sz w:val="20"/>
          <w:vertAlign w:val="baseline"/>
        </w:rPr>
        <w:t>. (1974) 1 WLR 1133 at 1144, 1146; </w:t>
      </w:r>
      <w:r>
        <w:rPr>
          <w:rFonts w:ascii="Calibri"/>
          <w:i/>
          <w:sz w:val="20"/>
          <w:vertAlign w:val="baseline"/>
        </w:rPr>
        <w:t>Estmaco Ltd. vs. Greater London Council </w:t>
      </w:r>
      <w:r>
        <w:rPr>
          <w:rFonts w:ascii="Calibri"/>
          <w:sz w:val="20"/>
          <w:vertAlign w:val="baseline"/>
        </w:rPr>
        <w:t>(1982) 1 All ER 437 at 444.</w:t>
      </w:r>
    </w:p>
    <w:p>
      <w:pPr>
        <w:spacing w:before="3"/>
        <w:ind w:left="308" w:right="0" w:firstLine="0"/>
        <w:jc w:val="left"/>
        <w:rPr>
          <w:rFonts w:ascii="Calibri"/>
          <w:sz w:val="20"/>
        </w:rPr>
      </w:pPr>
      <w:r>
        <w:rPr>
          <w:rFonts w:ascii="Calibri"/>
          <w:sz w:val="20"/>
          <w:vertAlign w:val="superscript"/>
        </w:rPr>
        <w:t>92</w:t>
      </w:r>
      <w:r>
        <w:rPr>
          <w:rFonts w:ascii="Calibri"/>
          <w:sz w:val="20"/>
          <w:vertAlign w:val="baseline"/>
        </w:rPr>
        <w:t>(1966)</w:t>
      </w:r>
      <w:r>
        <w:rPr>
          <w:rFonts w:ascii="Calibri"/>
          <w:spacing w:val="-1"/>
          <w:sz w:val="20"/>
          <w:vertAlign w:val="baseline"/>
        </w:rPr>
        <w:t> </w:t>
      </w:r>
      <w:r>
        <w:rPr>
          <w:rFonts w:ascii="Calibri"/>
          <w:sz w:val="20"/>
          <w:vertAlign w:val="baseline"/>
        </w:rPr>
        <w:t>58</w:t>
      </w:r>
      <w:r>
        <w:rPr>
          <w:rFonts w:ascii="Calibri"/>
          <w:spacing w:val="-6"/>
          <w:sz w:val="20"/>
          <w:vertAlign w:val="baseline"/>
        </w:rPr>
        <w:t> </w:t>
      </w:r>
      <w:r>
        <w:rPr>
          <w:rFonts w:ascii="Calibri"/>
          <w:sz w:val="20"/>
          <w:vertAlign w:val="baseline"/>
        </w:rPr>
        <w:t>DLR</w:t>
      </w:r>
      <w:r>
        <w:rPr>
          <w:rFonts w:ascii="Calibri"/>
          <w:spacing w:val="-5"/>
          <w:sz w:val="20"/>
          <w:vertAlign w:val="baseline"/>
        </w:rPr>
        <w:t> </w:t>
      </w:r>
      <w:r>
        <w:rPr>
          <w:rFonts w:ascii="Calibri"/>
          <w:sz w:val="20"/>
          <w:vertAlign w:val="baseline"/>
        </w:rPr>
        <w:t>(2d.)</w:t>
      </w:r>
      <w:r>
        <w:rPr>
          <w:rFonts w:ascii="Calibri"/>
          <w:spacing w:val="-5"/>
          <w:sz w:val="20"/>
          <w:vertAlign w:val="baseline"/>
        </w:rPr>
        <w:t> 1.</w:t>
      </w:r>
    </w:p>
    <w:p>
      <w:pPr>
        <w:spacing w:before="1"/>
        <w:ind w:left="308" w:right="0" w:firstLine="0"/>
        <w:jc w:val="left"/>
        <w:rPr>
          <w:rFonts w:ascii="Calibri"/>
          <w:sz w:val="20"/>
        </w:rPr>
      </w:pPr>
      <w:r>
        <w:rPr>
          <w:rFonts w:ascii="Calibri"/>
          <w:sz w:val="20"/>
          <w:vertAlign w:val="superscript"/>
        </w:rPr>
        <w:t>93</w:t>
      </w:r>
      <w:r>
        <w:rPr>
          <w:rFonts w:ascii="Calibri"/>
          <w:sz w:val="20"/>
          <w:vertAlign w:val="baseline"/>
        </w:rPr>
        <w:t>(1977)</w:t>
      </w:r>
      <w:r>
        <w:rPr>
          <w:rFonts w:ascii="Calibri"/>
          <w:spacing w:val="-3"/>
          <w:sz w:val="20"/>
          <w:vertAlign w:val="baseline"/>
        </w:rPr>
        <w:t> </w:t>
      </w:r>
      <w:r>
        <w:rPr>
          <w:rFonts w:ascii="Calibri"/>
          <w:sz w:val="20"/>
          <w:vertAlign w:val="baseline"/>
        </w:rPr>
        <w:t>18</w:t>
      </w:r>
      <w:r>
        <w:rPr>
          <w:rFonts w:ascii="Calibri"/>
          <w:spacing w:val="-3"/>
          <w:sz w:val="20"/>
          <w:vertAlign w:val="baseline"/>
        </w:rPr>
        <w:t> </w:t>
      </w:r>
      <w:r>
        <w:rPr>
          <w:rFonts w:ascii="Calibri"/>
          <w:sz w:val="20"/>
          <w:vertAlign w:val="baseline"/>
        </w:rPr>
        <w:t>ALR</w:t>
      </w:r>
      <w:r>
        <w:rPr>
          <w:rFonts w:ascii="Calibri"/>
          <w:spacing w:val="-7"/>
          <w:sz w:val="20"/>
          <w:vertAlign w:val="baseline"/>
        </w:rPr>
        <w:t> </w:t>
      </w:r>
      <w:r>
        <w:rPr>
          <w:rFonts w:ascii="Calibri"/>
          <w:spacing w:val="-5"/>
          <w:sz w:val="20"/>
          <w:vertAlign w:val="baseline"/>
        </w:rPr>
        <w:t>1.</w:t>
      </w:r>
    </w:p>
    <w:p>
      <w:pPr>
        <w:spacing w:before="1"/>
        <w:ind w:left="308" w:right="0" w:firstLine="0"/>
        <w:jc w:val="left"/>
        <w:rPr>
          <w:rFonts w:ascii="Calibri"/>
          <w:sz w:val="20"/>
        </w:rPr>
      </w:pPr>
      <w:r>
        <w:rPr>
          <w:rFonts w:ascii="Calibri"/>
          <w:sz w:val="20"/>
          <w:vertAlign w:val="superscript"/>
        </w:rPr>
        <w:t>94</w:t>
      </w:r>
      <w:r>
        <w:rPr>
          <w:rFonts w:ascii="Calibri"/>
          <w:spacing w:val="1"/>
          <w:sz w:val="20"/>
          <w:vertAlign w:val="baseline"/>
        </w:rPr>
        <w:t> </w:t>
      </w:r>
      <w:r>
        <w:rPr>
          <w:rFonts w:ascii="Calibri"/>
          <w:sz w:val="20"/>
          <w:vertAlign w:val="baseline"/>
        </w:rPr>
        <w:t>(2007)</w:t>
      </w:r>
      <w:r>
        <w:rPr>
          <w:rFonts w:ascii="Calibri"/>
          <w:spacing w:val="-2"/>
          <w:sz w:val="20"/>
          <w:vertAlign w:val="baseline"/>
        </w:rPr>
        <w:t> </w:t>
      </w:r>
      <w:r>
        <w:rPr>
          <w:rFonts w:ascii="Calibri"/>
          <w:sz w:val="20"/>
          <w:vertAlign w:val="baseline"/>
        </w:rPr>
        <w:t>Bus</w:t>
      </w:r>
      <w:r>
        <w:rPr>
          <w:rFonts w:ascii="Calibri"/>
          <w:spacing w:val="-7"/>
          <w:sz w:val="20"/>
          <w:vertAlign w:val="baseline"/>
        </w:rPr>
        <w:t> </w:t>
      </w:r>
      <w:r>
        <w:rPr>
          <w:rFonts w:ascii="Calibri"/>
          <w:sz w:val="20"/>
          <w:vertAlign w:val="baseline"/>
        </w:rPr>
        <w:t>LR</w:t>
      </w:r>
      <w:r>
        <w:rPr>
          <w:rFonts w:ascii="Calibri"/>
          <w:spacing w:val="-4"/>
          <w:sz w:val="20"/>
          <w:vertAlign w:val="baseline"/>
        </w:rPr>
        <w:t> </w:t>
      </w:r>
      <w:r>
        <w:rPr>
          <w:rFonts w:ascii="Calibri"/>
          <w:spacing w:val="-2"/>
          <w:sz w:val="20"/>
          <w:vertAlign w:val="baseline"/>
        </w:rPr>
        <w:t>1565.</w:t>
      </w:r>
    </w:p>
    <w:p>
      <w:pPr>
        <w:spacing w:before="0"/>
        <w:ind w:left="308" w:right="0" w:firstLine="0"/>
        <w:jc w:val="left"/>
        <w:rPr>
          <w:rFonts w:ascii="Calibri"/>
          <w:sz w:val="20"/>
        </w:rPr>
      </w:pPr>
      <w:r>
        <w:rPr>
          <w:rFonts w:ascii="Calibri"/>
          <w:sz w:val="20"/>
          <w:vertAlign w:val="superscript"/>
        </w:rPr>
        <w:t>95</w:t>
      </w:r>
      <w:r>
        <w:rPr>
          <w:rFonts w:ascii="Calibri"/>
          <w:sz w:val="20"/>
          <w:vertAlign w:val="baseline"/>
        </w:rPr>
        <w:t> Refer</w:t>
      </w:r>
      <w:r>
        <w:rPr>
          <w:rFonts w:ascii="Calibri"/>
          <w:spacing w:val="-5"/>
          <w:sz w:val="20"/>
          <w:vertAlign w:val="baseline"/>
        </w:rPr>
        <w:t> </w:t>
      </w:r>
      <w:r>
        <w:rPr>
          <w:rFonts w:ascii="Calibri"/>
          <w:sz w:val="20"/>
          <w:vertAlign w:val="baseline"/>
        </w:rPr>
        <w:t>to</w:t>
      </w:r>
      <w:r>
        <w:rPr>
          <w:rFonts w:ascii="Calibri"/>
          <w:spacing w:val="-6"/>
          <w:sz w:val="20"/>
          <w:vertAlign w:val="baseline"/>
        </w:rPr>
        <w:t> </w:t>
      </w:r>
      <w:r>
        <w:rPr>
          <w:rFonts w:ascii="Calibri"/>
          <w:b/>
          <w:sz w:val="20"/>
          <w:vertAlign w:val="baseline"/>
        </w:rPr>
        <w:t>4.2.6</w:t>
      </w:r>
      <w:r>
        <w:rPr>
          <w:rFonts w:ascii="Calibri"/>
          <w:b/>
          <w:spacing w:val="-3"/>
          <w:sz w:val="20"/>
          <w:vertAlign w:val="baseline"/>
        </w:rPr>
        <w:t> </w:t>
      </w:r>
      <w:r>
        <w:rPr>
          <w:rFonts w:ascii="Calibri"/>
          <w:spacing w:val="-2"/>
          <w:sz w:val="20"/>
          <w:vertAlign w:val="baseline"/>
        </w:rPr>
        <w:t>supra.</w:t>
      </w:r>
    </w:p>
    <w:p>
      <w:pPr>
        <w:spacing w:before="1"/>
        <w:ind w:left="308" w:right="0" w:firstLine="0"/>
        <w:jc w:val="left"/>
        <w:rPr>
          <w:rFonts w:ascii="Calibri"/>
          <w:sz w:val="20"/>
        </w:rPr>
      </w:pPr>
      <w:r>
        <w:rPr>
          <w:rFonts w:ascii="Calibri"/>
          <w:sz w:val="20"/>
          <w:vertAlign w:val="superscript"/>
        </w:rPr>
        <w:t>96</w:t>
      </w:r>
      <w:r>
        <w:rPr>
          <w:rFonts w:ascii="Calibri"/>
          <w:sz w:val="20"/>
          <w:vertAlign w:val="baseline"/>
        </w:rPr>
        <w:t> Company Law Review Steering Group, </w:t>
      </w:r>
      <w:r>
        <w:rPr>
          <w:rFonts w:ascii="Calibri"/>
          <w:i/>
          <w:sz w:val="20"/>
          <w:vertAlign w:val="baseline"/>
        </w:rPr>
        <w:t>Modern Company Law for a Competitive Economy: The Final</w:t>
      </w:r>
      <w:r>
        <w:rPr>
          <w:rFonts w:ascii="Calibri"/>
          <w:i/>
          <w:spacing w:val="80"/>
          <w:sz w:val="20"/>
          <w:vertAlign w:val="baseline"/>
        </w:rPr>
        <w:t> </w:t>
      </w:r>
      <w:r>
        <w:rPr>
          <w:rFonts w:ascii="Calibri"/>
          <w:i/>
          <w:sz w:val="20"/>
          <w:vertAlign w:val="baseline"/>
        </w:rPr>
        <w:t>Report</w:t>
      </w:r>
      <w:r>
        <w:rPr>
          <w:rFonts w:ascii="Calibri"/>
          <w:sz w:val="20"/>
          <w:vertAlign w:val="baseline"/>
        </w:rPr>
        <w:t>, Volume 1, London, DTI, 2001, p. 46</w:t>
      </w:r>
    </w:p>
    <w:p>
      <w:pPr>
        <w:spacing w:after="0"/>
        <w:jc w:val="left"/>
        <w:rPr>
          <w:rFonts w:ascii="Calibri"/>
          <w:sz w:val="20"/>
        </w:rPr>
        <w:sectPr>
          <w:pgSz w:w="11910" w:h="16840"/>
          <w:pgMar w:header="0" w:footer="1003" w:top="1280" w:bottom="1200" w:left="1680" w:right="1180"/>
        </w:sectPr>
      </w:pPr>
    </w:p>
    <w:p>
      <w:pPr>
        <w:pStyle w:val="BodyText"/>
        <w:spacing w:line="480" w:lineRule="auto" w:before="110"/>
        <w:ind w:right="181"/>
        <w:jc w:val="both"/>
      </w:pPr>
      <w:r>
        <w:rPr/>
        <w:t>allow the company‘s rights to be waived by a disinterested board.</w:t>
      </w:r>
      <w:r>
        <w:rPr>
          <w:vertAlign w:val="superscript"/>
        </w:rPr>
        <w:t>97</w:t>
      </w:r>
      <w:r>
        <w:rPr>
          <w:vertAlign w:val="baseline"/>
        </w:rPr>
        <w:t>In fact, the idea behind</w:t>
      </w:r>
      <w:r>
        <w:rPr>
          <w:spacing w:val="-1"/>
          <w:vertAlign w:val="baseline"/>
        </w:rPr>
        <w:t> </w:t>
      </w:r>
      <w:r>
        <w:rPr>
          <w:vertAlign w:val="baseline"/>
        </w:rPr>
        <w:t>the</w:t>
      </w:r>
      <w:r>
        <w:rPr>
          <w:spacing w:val="-2"/>
          <w:vertAlign w:val="baseline"/>
        </w:rPr>
        <w:t> </w:t>
      </w:r>
      <w:r>
        <w:rPr>
          <w:vertAlign w:val="baseline"/>
        </w:rPr>
        <w:t>content</w:t>
      </w:r>
      <w:r>
        <w:rPr>
          <w:spacing w:val="-1"/>
          <w:vertAlign w:val="baseline"/>
        </w:rPr>
        <w:t> </w:t>
      </w:r>
      <w:r>
        <w:rPr>
          <w:vertAlign w:val="baseline"/>
        </w:rPr>
        <w:t>of</w:t>
      </w:r>
      <w:r>
        <w:rPr>
          <w:spacing w:val="-6"/>
          <w:vertAlign w:val="baseline"/>
        </w:rPr>
        <w:t> </w:t>
      </w:r>
      <w:r>
        <w:rPr>
          <w:vertAlign w:val="baseline"/>
        </w:rPr>
        <w:t>s.175 is</w:t>
      </w:r>
      <w:r>
        <w:rPr>
          <w:spacing w:val="-3"/>
          <w:vertAlign w:val="baseline"/>
        </w:rPr>
        <w:t> </w:t>
      </w:r>
      <w:r>
        <w:rPr>
          <w:vertAlign w:val="baseline"/>
        </w:rPr>
        <w:t>actually</w:t>
      </w:r>
      <w:r>
        <w:rPr>
          <w:spacing w:val="-10"/>
          <w:vertAlign w:val="baseline"/>
        </w:rPr>
        <w:t> </w:t>
      </w:r>
      <w:r>
        <w:rPr>
          <w:vertAlign w:val="baseline"/>
        </w:rPr>
        <w:t>to </w:t>
      </w:r>
      <w:r>
        <w:rPr>
          <w:i/>
          <w:vertAlign w:val="baseline"/>
        </w:rPr>
        <w:t>allow</w:t>
      </w:r>
      <w:r>
        <w:rPr>
          <w:i/>
          <w:spacing w:val="-12"/>
          <w:vertAlign w:val="baseline"/>
        </w:rPr>
        <w:t> </w:t>
      </w:r>
      <w:r>
        <w:rPr>
          <w:vertAlign w:val="baseline"/>
        </w:rPr>
        <w:t>conflicts, provided</w:t>
      </w:r>
      <w:r>
        <w:rPr>
          <w:spacing w:val="-1"/>
          <w:vertAlign w:val="baseline"/>
        </w:rPr>
        <w:t> </w:t>
      </w:r>
      <w:r>
        <w:rPr>
          <w:vertAlign w:val="baseline"/>
        </w:rPr>
        <w:t>there is</w:t>
      </w:r>
      <w:r>
        <w:rPr>
          <w:spacing w:val="-3"/>
          <w:vertAlign w:val="baseline"/>
        </w:rPr>
        <w:t> </w:t>
      </w:r>
      <w:r>
        <w:rPr>
          <w:vertAlign w:val="baseline"/>
        </w:rPr>
        <w:t>disclosure</w:t>
      </w:r>
      <w:r>
        <w:rPr>
          <w:spacing w:val="-2"/>
          <w:vertAlign w:val="baseline"/>
        </w:rPr>
        <w:t> </w:t>
      </w:r>
      <w:r>
        <w:rPr>
          <w:vertAlign w:val="baseline"/>
        </w:rPr>
        <w:t>and authorisation, and provided also that there are no provisions within the articles inconsistent with this board power.</w:t>
      </w:r>
      <w:r>
        <w:rPr>
          <w:vertAlign w:val="superscript"/>
        </w:rPr>
        <w:t>98</w:t>
      </w:r>
      <w:r>
        <w:rPr>
          <w:vertAlign w:val="baseline"/>
        </w:rPr>
        <w:t> Thus, changes were made in order to facilitate the exploitation</w:t>
      </w:r>
      <w:r>
        <w:rPr>
          <w:spacing w:val="-8"/>
          <w:vertAlign w:val="baseline"/>
        </w:rPr>
        <w:t> </w:t>
      </w:r>
      <w:r>
        <w:rPr>
          <w:vertAlign w:val="baseline"/>
        </w:rPr>
        <w:t>of</w:t>
      </w:r>
      <w:r>
        <w:rPr>
          <w:spacing w:val="-10"/>
          <w:vertAlign w:val="baseline"/>
        </w:rPr>
        <w:t> </w:t>
      </w:r>
      <w:r>
        <w:rPr>
          <w:vertAlign w:val="baseline"/>
        </w:rPr>
        <w:t>corporate</w:t>
      </w:r>
      <w:r>
        <w:rPr>
          <w:spacing w:val="-4"/>
          <w:vertAlign w:val="baseline"/>
        </w:rPr>
        <w:t> </w:t>
      </w:r>
      <w:r>
        <w:rPr>
          <w:vertAlign w:val="baseline"/>
        </w:rPr>
        <w:t>opportunities</w:t>
      </w:r>
      <w:r>
        <w:rPr>
          <w:spacing w:val="-1"/>
          <w:vertAlign w:val="baseline"/>
        </w:rPr>
        <w:t> </w:t>
      </w:r>
      <w:r>
        <w:rPr>
          <w:vertAlign w:val="baseline"/>
        </w:rPr>
        <w:t>―which might otherwise be left to waste</w:t>
      </w:r>
      <w:r>
        <w:rPr>
          <w:spacing w:val="-4"/>
          <w:vertAlign w:val="baseline"/>
        </w:rPr>
        <w:t> </w:t>
      </w:r>
      <w:r>
        <w:rPr>
          <w:vertAlign w:val="baseline"/>
        </w:rPr>
        <w:t>because of the expense of convening a general meeting.‖</w:t>
      </w:r>
      <w:r>
        <w:rPr>
          <w:vertAlign w:val="superscript"/>
        </w:rPr>
        <w:t>99</w:t>
      </w:r>
      <w:r>
        <w:rPr>
          <w:vertAlign w:val="baseline"/>
        </w:rPr>
        <w:t>It is considered a stifling of enterprise and impediment to free competition, to keep directorsbound by their loyalty to the company regarding opportunities already rejected by their companies, where the rejection was bona fide. Hence, for private companies, the default ruleunder the CA is that a</w:t>
      </w:r>
      <w:r>
        <w:rPr>
          <w:spacing w:val="-6"/>
          <w:vertAlign w:val="baseline"/>
        </w:rPr>
        <w:t> </w:t>
      </w:r>
      <w:r>
        <w:rPr>
          <w:vertAlign w:val="baseline"/>
        </w:rPr>
        <w:t>disinterested or non-conflicted</w:t>
      </w:r>
      <w:r>
        <w:rPr>
          <w:spacing w:val="-1"/>
          <w:vertAlign w:val="baseline"/>
        </w:rPr>
        <w:t> </w:t>
      </w:r>
      <w:r>
        <w:rPr>
          <w:vertAlign w:val="baseline"/>
        </w:rPr>
        <w:t>board</w:t>
      </w:r>
      <w:r>
        <w:rPr>
          <w:spacing w:val="-1"/>
          <w:vertAlign w:val="baseline"/>
        </w:rPr>
        <w:t> </w:t>
      </w:r>
      <w:r>
        <w:rPr>
          <w:vertAlign w:val="baseline"/>
        </w:rPr>
        <w:t>may</w:t>
      </w:r>
      <w:r>
        <w:rPr>
          <w:spacing w:val="-3"/>
          <w:vertAlign w:val="baseline"/>
        </w:rPr>
        <w:t> </w:t>
      </w:r>
      <w:r>
        <w:rPr>
          <w:vertAlign w:val="baseline"/>
        </w:rPr>
        <w:t>consider proposals</w:t>
      </w:r>
      <w:r>
        <w:rPr>
          <w:spacing w:val="-3"/>
          <w:vertAlign w:val="baseline"/>
        </w:rPr>
        <w:t> </w:t>
      </w:r>
      <w:r>
        <w:rPr>
          <w:vertAlign w:val="baseline"/>
        </w:rPr>
        <w:t>on</w:t>
      </w:r>
      <w:r>
        <w:rPr>
          <w:spacing w:val="-6"/>
          <w:vertAlign w:val="baseline"/>
        </w:rPr>
        <w:t> </w:t>
      </w:r>
      <w:r>
        <w:rPr>
          <w:vertAlign w:val="baseline"/>
        </w:rPr>
        <w:t>such</w:t>
      </w:r>
      <w:r>
        <w:rPr>
          <w:spacing w:val="-6"/>
          <w:vertAlign w:val="baseline"/>
        </w:rPr>
        <w:t> </w:t>
      </w:r>
      <w:r>
        <w:rPr>
          <w:vertAlign w:val="baseline"/>
        </w:rPr>
        <w:t>conflicts</w:t>
      </w:r>
      <w:r>
        <w:rPr>
          <w:spacing w:val="-3"/>
          <w:vertAlign w:val="baseline"/>
        </w:rPr>
        <w:t> </w:t>
      </w:r>
      <w:r>
        <w:rPr>
          <w:vertAlign w:val="baseline"/>
        </w:rPr>
        <w:t>and decide whether or not to authorise them, provided there are no provisions within the articles inconsistent with this board power.</w:t>
      </w:r>
      <w:r>
        <w:rPr>
          <w:vertAlign w:val="superscript"/>
        </w:rPr>
        <w:t>100</w:t>
      </w:r>
      <w:r>
        <w:rPr>
          <w:vertAlign w:val="baseline"/>
        </w:rPr>
        <w:t> As for public companies, the articles are required</w:t>
      </w:r>
      <w:r>
        <w:rPr>
          <w:spacing w:val="-3"/>
          <w:vertAlign w:val="baseline"/>
        </w:rPr>
        <w:t> </w:t>
      </w:r>
      <w:r>
        <w:rPr>
          <w:vertAlign w:val="baseline"/>
        </w:rPr>
        <w:t>to have</w:t>
      </w:r>
      <w:r>
        <w:rPr>
          <w:spacing w:val="-4"/>
          <w:vertAlign w:val="baseline"/>
        </w:rPr>
        <w:t> </w:t>
      </w:r>
      <w:r>
        <w:rPr>
          <w:vertAlign w:val="baseline"/>
        </w:rPr>
        <w:t>enabling</w:t>
      </w:r>
      <w:r>
        <w:rPr>
          <w:spacing w:val="-3"/>
          <w:vertAlign w:val="baseline"/>
        </w:rPr>
        <w:t> </w:t>
      </w:r>
      <w:r>
        <w:rPr>
          <w:vertAlign w:val="baseline"/>
        </w:rPr>
        <w:t>provisions</w:t>
      </w:r>
      <w:r>
        <w:rPr>
          <w:spacing w:val="-5"/>
          <w:vertAlign w:val="baseline"/>
        </w:rPr>
        <w:t> </w:t>
      </w:r>
      <w:r>
        <w:rPr>
          <w:vertAlign w:val="baseline"/>
        </w:rPr>
        <w:t>empoweringthe board to consider</w:t>
      </w:r>
      <w:r>
        <w:rPr>
          <w:spacing w:val="-2"/>
          <w:vertAlign w:val="baseline"/>
        </w:rPr>
        <w:t> </w:t>
      </w:r>
      <w:r>
        <w:rPr>
          <w:vertAlign w:val="baseline"/>
        </w:rPr>
        <w:t>and</w:t>
      </w:r>
      <w:r>
        <w:rPr>
          <w:spacing w:val="-3"/>
          <w:vertAlign w:val="baseline"/>
        </w:rPr>
        <w:t> </w:t>
      </w:r>
      <w:r>
        <w:rPr>
          <w:vertAlign w:val="baseline"/>
        </w:rPr>
        <w:t>authorise</w:t>
      </w:r>
      <w:r>
        <w:rPr>
          <w:spacing w:val="-4"/>
          <w:vertAlign w:val="baseline"/>
        </w:rPr>
        <w:t> </w:t>
      </w:r>
      <w:r>
        <w:rPr>
          <w:vertAlign w:val="baseline"/>
        </w:rPr>
        <w:t>any such conflicts.</w:t>
      </w:r>
      <w:r>
        <w:rPr>
          <w:vertAlign w:val="superscript"/>
        </w:rPr>
        <w:t>101</w:t>
      </w:r>
    </w:p>
    <w:p>
      <w:pPr>
        <w:pStyle w:val="BodyText"/>
        <w:spacing w:line="480" w:lineRule="auto" w:before="3"/>
        <w:ind w:right="189" w:firstLine="720"/>
        <w:jc w:val="both"/>
      </w:pPr>
      <w:r>
        <w:rPr/>
        <w:t>The drafters are of the view that the requirement for the authorizing board to be disinterested and the fact that the disinterested directors are still held to their duty</w:t>
      </w:r>
      <w:r>
        <w:rPr>
          <w:spacing w:val="-1"/>
        </w:rPr>
        <w:t> </w:t>
      </w:r>
      <w:r>
        <w:rPr/>
        <w:t>to act in good faith in a way most likely to promote the success of the company, will work to ensure that the authorization</w:t>
      </w:r>
      <w:r>
        <w:rPr>
          <w:spacing w:val="-1"/>
        </w:rPr>
        <w:t> </w:t>
      </w:r>
      <w:r>
        <w:rPr/>
        <w:t>policy is not abused.</w:t>
      </w:r>
      <w:r>
        <w:rPr>
          <w:vertAlign w:val="superscript"/>
        </w:rPr>
        <w:t>102</w:t>
      </w:r>
      <w:r>
        <w:rPr>
          <w:vertAlign w:val="baseline"/>
        </w:rPr>
        <w:t>However, as observed earlier in this work,</w:t>
      </w:r>
      <w:r>
        <w:rPr>
          <w:vertAlign w:val="superscript"/>
        </w:rPr>
        <w:t>103</w:t>
      </w:r>
      <w:r>
        <w:rPr>
          <w:spacing w:val="32"/>
          <w:vertAlign w:val="baseline"/>
        </w:rPr>
        <w:t> </w:t>
      </w:r>
      <w:r>
        <w:rPr>
          <w:vertAlign w:val="baseline"/>
        </w:rPr>
        <w:t>there</w:t>
      </w:r>
      <w:r>
        <w:rPr>
          <w:spacing w:val="30"/>
          <w:vertAlign w:val="baseline"/>
        </w:rPr>
        <w:t> </w:t>
      </w:r>
      <w:r>
        <w:rPr>
          <w:vertAlign w:val="baseline"/>
        </w:rPr>
        <w:t>are</w:t>
      </w:r>
      <w:r>
        <w:rPr>
          <w:spacing w:val="30"/>
          <w:vertAlign w:val="baseline"/>
        </w:rPr>
        <w:t> </w:t>
      </w:r>
      <w:r>
        <w:rPr>
          <w:vertAlign w:val="baseline"/>
        </w:rPr>
        <w:t>risks</w:t>
      </w:r>
      <w:r>
        <w:rPr>
          <w:spacing w:val="28"/>
          <w:vertAlign w:val="baseline"/>
        </w:rPr>
        <w:t> </w:t>
      </w:r>
      <w:r>
        <w:rPr>
          <w:vertAlign w:val="baseline"/>
        </w:rPr>
        <w:t>attendant</w:t>
      </w:r>
      <w:r>
        <w:rPr>
          <w:spacing w:val="35"/>
          <w:vertAlign w:val="baseline"/>
        </w:rPr>
        <w:t> </w:t>
      </w:r>
      <w:r>
        <w:rPr>
          <w:vertAlign w:val="baseline"/>
        </w:rPr>
        <w:t>with</w:t>
      </w:r>
      <w:r>
        <w:rPr>
          <w:spacing w:val="26"/>
          <w:vertAlign w:val="baseline"/>
        </w:rPr>
        <w:t> </w:t>
      </w:r>
      <w:r>
        <w:rPr>
          <w:vertAlign w:val="baseline"/>
        </w:rPr>
        <w:t>this</w:t>
      </w:r>
      <w:r>
        <w:rPr>
          <w:spacing w:val="33"/>
          <w:vertAlign w:val="baseline"/>
        </w:rPr>
        <w:t> </w:t>
      </w:r>
      <w:r>
        <w:rPr>
          <w:vertAlign w:val="baseline"/>
        </w:rPr>
        <w:t>authorization</w:t>
      </w:r>
      <w:r>
        <w:rPr>
          <w:spacing w:val="26"/>
          <w:vertAlign w:val="baseline"/>
        </w:rPr>
        <w:t> </w:t>
      </w:r>
      <w:r>
        <w:rPr>
          <w:vertAlign w:val="baseline"/>
        </w:rPr>
        <w:t>policy.</w:t>
      </w:r>
      <w:r>
        <w:rPr>
          <w:spacing w:val="32"/>
          <w:vertAlign w:val="baseline"/>
        </w:rPr>
        <w:t> </w:t>
      </w:r>
      <w:r>
        <w:rPr>
          <w:vertAlign w:val="baseline"/>
        </w:rPr>
        <w:t>Granted,</w:t>
      </w:r>
      <w:r>
        <w:rPr>
          <w:spacing w:val="33"/>
          <w:vertAlign w:val="baseline"/>
        </w:rPr>
        <w:t> </w:t>
      </w:r>
      <w:r>
        <w:rPr>
          <w:vertAlign w:val="baseline"/>
        </w:rPr>
        <w:t>the</w:t>
      </w:r>
      <w:r>
        <w:rPr>
          <w:spacing w:val="34"/>
          <w:vertAlign w:val="baseline"/>
        </w:rPr>
        <w:t> </w:t>
      </w:r>
      <w:r>
        <w:rPr>
          <w:vertAlign w:val="baseline"/>
        </w:rPr>
        <w:t>board</w:t>
      </w:r>
      <w:r>
        <w:rPr>
          <w:spacing w:val="35"/>
          <w:vertAlign w:val="baseline"/>
        </w:rPr>
        <w:t> </w:t>
      </w:r>
      <w:r>
        <w:rPr>
          <w:spacing w:val="-5"/>
          <w:vertAlign w:val="baseline"/>
        </w:rPr>
        <w:t>is</w:t>
      </w:r>
    </w:p>
    <w:p>
      <w:pPr>
        <w:pStyle w:val="BodyText"/>
        <w:spacing w:before="10"/>
        <w:ind w:left="0"/>
        <w:rPr>
          <w:sz w:val="17"/>
        </w:rPr>
      </w:pPr>
      <w:r>
        <w:rPr/>
        <mc:AlternateContent>
          <mc:Choice Requires="wps">
            <w:drawing>
              <wp:anchor distT="0" distB="0" distL="0" distR="0" allowOverlap="1" layoutInCell="1" locked="0" behindDoc="1" simplePos="0" relativeHeight="487726592">
                <wp:simplePos x="0" y="0"/>
                <wp:positionH relativeFrom="page">
                  <wp:posOffset>1262481</wp:posOffset>
                </wp:positionH>
                <wp:positionV relativeFrom="paragraph">
                  <wp:posOffset>145853</wp:posOffset>
                </wp:positionV>
                <wp:extent cx="1829435" cy="9525"/>
                <wp:effectExtent l="0" t="0" r="0" b="0"/>
                <wp:wrapTopAndBottom/>
                <wp:docPr id="298" name="Graphic 298"/>
                <wp:cNvGraphicFramePr>
                  <a:graphicFrameLocks/>
                </wp:cNvGraphicFramePr>
                <a:graphic>
                  <a:graphicData uri="http://schemas.microsoft.com/office/word/2010/wordprocessingShape">
                    <wps:wsp>
                      <wps:cNvPr id="298" name="Graphic 29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484561pt;width:144.050pt;height:.71997pt;mso-position-horizontal-relative:page;mso-position-vertical-relative:paragraph;z-index:-15589888;mso-wrap-distance-left:0;mso-wrap-distance-right:0" id="docshape253" filled="true" fillcolor="#000000" stroked="false">
                <v:fill type="solid"/>
                <w10:wrap type="topAndBottom"/>
              </v:rect>
            </w:pict>
          </mc:Fallback>
        </mc:AlternateContent>
      </w:r>
    </w:p>
    <w:p>
      <w:pPr>
        <w:spacing w:before="102"/>
        <w:ind w:left="308" w:right="0" w:firstLine="0"/>
        <w:jc w:val="both"/>
        <w:rPr>
          <w:rFonts w:ascii="Calibri"/>
          <w:sz w:val="20"/>
        </w:rPr>
      </w:pPr>
      <w:r>
        <w:rPr>
          <w:rFonts w:ascii="Calibri"/>
          <w:sz w:val="20"/>
          <w:vertAlign w:val="superscript"/>
        </w:rPr>
        <w:t>97</w:t>
      </w:r>
      <w:r>
        <w:rPr>
          <w:rFonts w:ascii="Calibri"/>
          <w:spacing w:val="-2"/>
          <w:sz w:val="20"/>
          <w:vertAlign w:val="baseline"/>
        </w:rPr>
        <w:t> </w:t>
      </w:r>
      <w:r>
        <w:rPr>
          <w:rFonts w:ascii="Calibri"/>
          <w:sz w:val="20"/>
          <w:vertAlign w:val="baseline"/>
        </w:rPr>
        <w:t>Refer</w:t>
      </w:r>
      <w:r>
        <w:rPr>
          <w:rFonts w:ascii="Calibri"/>
          <w:spacing w:val="-6"/>
          <w:sz w:val="20"/>
          <w:vertAlign w:val="baseline"/>
        </w:rPr>
        <w:t> </w:t>
      </w:r>
      <w:r>
        <w:rPr>
          <w:rFonts w:ascii="Calibri"/>
          <w:sz w:val="20"/>
          <w:vertAlign w:val="baseline"/>
        </w:rPr>
        <w:t>to</w:t>
      </w:r>
      <w:r>
        <w:rPr>
          <w:rFonts w:ascii="Calibri"/>
          <w:spacing w:val="-8"/>
          <w:sz w:val="20"/>
          <w:vertAlign w:val="baseline"/>
        </w:rPr>
        <w:t> </w:t>
      </w:r>
      <w:r>
        <w:rPr>
          <w:rFonts w:ascii="Calibri"/>
          <w:sz w:val="20"/>
          <w:vertAlign w:val="baseline"/>
        </w:rPr>
        <w:t>s.175(5)(a)&amp;(b)</w:t>
      </w:r>
      <w:r>
        <w:rPr>
          <w:rFonts w:ascii="Calibri"/>
          <w:spacing w:val="-7"/>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(6)(a)&amp;(b)</w:t>
      </w:r>
      <w:r>
        <w:rPr>
          <w:rFonts w:ascii="Calibri"/>
          <w:spacing w:val="-6"/>
          <w:sz w:val="20"/>
          <w:vertAlign w:val="baseline"/>
        </w:rPr>
        <w:t> </w:t>
      </w:r>
      <w:r>
        <w:rPr>
          <w:rFonts w:ascii="Calibri"/>
          <w:spacing w:val="-5"/>
          <w:sz w:val="20"/>
          <w:vertAlign w:val="baseline"/>
        </w:rPr>
        <w:t>CA.</w:t>
      </w:r>
    </w:p>
    <w:p>
      <w:pPr>
        <w:spacing w:before="1"/>
        <w:ind w:left="308" w:right="223" w:firstLine="0"/>
        <w:jc w:val="both"/>
        <w:rPr>
          <w:rFonts w:ascii="Calibri"/>
          <w:sz w:val="20"/>
        </w:rPr>
      </w:pPr>
      <w:r>
        <w:rPr>
          <w:rFonts w:ascii="Calibri"/>
          <w:sz w:val="20"/>
          <w:vertAlign w:val="superscript"/>
        </w:rPr>
        <w:t>98</w:t>
      </w:r>
      <w:r>
        <w:rPr>
          <w:rFonts w:ascii="Calibri"/>
          <w:sz w:val="20"/>
          <w:vertAlign w:val="baseline"/>
        </w:rPr>
        <w:t>Per Lord Goldsmith of the Lords Grand Committee.</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11, quoting from the Committee Report in the Hansard of 6</w:t>
      </w:r>
      <w:r>
        <w:rPr>
          <w:rFonts w:ascii="Calibri"/>
          <w:sz w:val="20"/>
          <w:vertAlign w:val="superscript"/>
        </w:rPr>
        <w:t>th</w:t>
      </w:r>
      <w:r>
        <w:rPr>
          <w:rFonts w:ascii="Calibri"/>
          <w:sz w:val="20"/>
          <w:vertAlign w:val="baseline"/>
        </w:rPr>
        <w:t> February 2006, column 288.Retrieved December 23</w:t>
      </w:r>
      <w:r>
        <w:rPr>
          <w:rFonts w:ascii="Calibri"/>
          <w:sz w:val="20"/>
          <w:vertAlign w:val="superscript"/>
        </w:rPr>
        <w:t>rd</w:t>
      </w:r>
      <w:r>
        <w:rPr>
          <w:rFonts w:ascii="Calibri"/>
          <w:sz w:val="20"/>
          <w:vertAlign w:val="baseline"/>
        </w:rPr>
        <w:t> 2013, from </w:t>
      </w:r>
      <w:hyperlink r:id="rId12">
        <w:r>
          <w:rPr>
            <w:rFonts w:ascii="Calibri"/>
            <w:color w:val="0000FF"/>
            <w:sz w:val="20"/>
            <w:u w:val="single" w:color="0000FF"/>
            <w:vertAlign w:val="baseline"/>
          </w:rPr>
          <w:t>http://www.berr.gov.uk/files/file40139.pdf</w:t>
        </w:r>
        <w:r>
          <w:rPr>
            <w:rFonts w:ascii="Calibri"/>
            <w:sz w:val="20"/>
            <w:vertAlign w:val="baseline"/>
          </w:rPr>
          <w:t>.</w:t>
        </w:r>
      </w:hyperlink>
    </w:p>
    <w:p>
      <w:pPr>
        <w:spacing w:line="242" w:lineRule="exact" w:before="3"/>
        <w:ind w:left="308" w:right="0" w:firstLine="0"/>
        <w:jc w:val="both"/>
        <w:rPr>
          <w:rFonts w:ascii="Calibri"/>
          <w:sz w:val="20"/>
        </w:rPr>
      </w:pPr>
      <w:r>
        <w:rPr>
          <w:rFonts w:ascii="Calibri"/>
          <w:sz w:val="20"/>
          <w:vertAlign w:val="superscript"/>
        </w:rPr>
        <w:t>99</w:t>
      </w:r>
      <w:r>
        <w:rPr>
          <w:rFonts w:ascii="Calibri"/>
          <w:sz w:val="20"/>
          <w:vertAlign w:val="baseline"/>
        </w:rPr>
        <w:t>Arden,</w:t>
      </w:r>
      <w:r>
        <w:rPr>
          <w:rFonts w:ascii="Calibri"/>
          <w:spacing w:val="-5"/>
          <w:sz w:val="20"/>
          <w:vertAlign w:val="baseline"/>
        </w:rPr>
        <w:t> </w:t>
      </w:r>
      <w:r>
        <w:rPr>
          <w:rFonts w:ascii="Calibri"/>
          <w:sz w:val="20"/>
          <w:vertAlign w:val="baseline"/>
        </w:rPr>
        <w:t>D.B.E.,</w:t>
      </w:r>
      <w:r>
        <w:rPr>
          <w:rFonts w:ascii="Calibri"/>
          <w:spacing w:val="-5"/>
          <w:sz w:val="20"/>
          <w:vertAlign w:val="baseline"/>
        </w:rPr>
        <w:t> </w:t>
      </w:r>
      <w:r>
        <w:rPr>
          <w:rFonts w:ascii="Calibri"/>
          <w:sz w:val="20"/>
          <w:vertAlign w:val="baseline"/>
        </w:rPr>
        <w:t>op.cit.</w:t>
      </w:r>
      <w:r>
        <w:rPr>
          <w:rFonts w:ascii="Calibri"/>
          <w:spacing w:val="-5"/>
          <w:sz w:val="20"/>
          <w:vertAlign w:val="baseline"/>
        </w:rPr>
        <w:t> </w:t>
      </w:r>
      <w:r>
        <w:rPr>
          <w:rFonts w:ascii="Calibri"/>
          <w:sz w:val="20"/>
          <w:vertAlign w:val="baseline"/>
        </w:rPr>
        <w:t>at</w:t>
      </w:r>
      <w:r>
        <w:rPr>
          <w:rFonts w:ascii="Calibri"/>
          <w:spacing w:val="-4"/>
          <w:sz w:val="20"/>
          <w:vertAlign w:val="baseline"/>
        </w:rPr>
        <w:t> 169.</w:t>
      </w:r>
    </w:p>
    <w:p>
      <w:pPr>
        <w:spacing w:line="242" w:lineRule="exact" w:before="0"/>
        <w:ind w:left="308" w:right="0" w:firstLine="0"/>
        <w:jc w:val="both"/>
        <w:rPr>
          <w:rFonts w:ascii="Calibri"/>
          <w:sz w:val="20"/>
        </w:rPr>
      </w:pPr>
      <w:r>
        <w:rPr>
          <w:rFonts w:ascii="Calibri"/>
          <w:sz w:val="20"/>
          <w:vertAlign w:val="superscript"/>
        </w:rPr>
        <w:t>100</w:t>
      </w:r>
      <w:r>
        <w:rPr>
          <w:rFonts w:ascii="Calibri"/>
          <w:sz w:val="20"/>
          <w:vertAlign w:val="baseline"/>
        </w:rPr>
        <w:t> See</w:t>
      </w:r>
      <w:r>
        <w:rPr>
          <w:rFonts w:ascii="Calibri"/>
          <w:spacing w:val="-4"/>
          <w:sz w:val="20"/>
          <w:vertAlign w:val="baseline"/>
        </w:rPr>
        <w:t> </w:t>
      </w:r>
      <w:r>
        <w:rPr>
          <w:rFonts w:ascii="Calibri"/>
          <w:sz w:val="20"/>
          <w:vertAlign w:val="baseline"/>
        </w:rPr>
        <w:t>ss.5(a)</w:t>
      </w:r>
      <w:r>
        <w:rPr>
          <w:rFonts w:ascii="Calibri"/>
          <w:spacing w:val="-5"/>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6(a)</w:t>
      </w:r>
      <w:r>
        <w:rPr>
          <w:rFonts w:ascii="Calibri"/>
          <w:spacing w:val="-5"/>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(b) </w:t>
      </w:r>
      <w:r>
        <w:rPr>
          <w:rFonts w:ascii="Calibri"/>
          <w:spacing w:val="-5"/>
          <w:sz w:val="20"/>
          <w:vertAlign w:val="baseline"/>
        </w:rPr>
        <w:t>CA.</w:t>
      </w:r>
    </w:p>
    <w:p>
      <w:pPr>
        <w:spacing w:before="0"/>
        <w:ind w:left="308" w:right="0" w:firstLine="0"/>
        <w:jc w:val="both"/>
        <w:rPr>
          <w:rFonts w:ascii="Calibri"/>
          <w:sz w:val="20"/>
        </w:rPr>
      </w:pPr>
      <w:r>
        <w:rPr>
          <w:rFonts w:ascii="Calibri"/>
          <w:sz w:val="20"/>
          <w:vertAlign w:val="superscript"/>
        </w:rPr>
        <w:t>101</w:t>
      </w:r>
      <w:r>
        <w:rPr>
          <w:rFonts w:ascii="Calibri"/>
          <w:sz w:val="20"/>
          <w:vertAlign w:val="baseline"/>
        </w:rPr>
        <w:t> See</w:t>
      </w:r>
      <w:r>
        <w:rPr>
          <w:rFonts w:ascii="Calibri"/>
          <w:spacing w:val="-4"/>
          <w:sz w:val="20"/>
          <w:vertAlign w:val="baseline"/>
        </w:rPr>
        <w:t> </w:t>
      </w:r>
      <w:r>
        <w:rPr>
          <w:rFonts w:ascii="Calibri"/>
          <w:sz w:val="20"/>
          <w:vertAlign w:val="baseline"/>
        </w:rPr>
        <w:t>ss.5(b)</w:t>
      </w:r>
      <w:r>
        <w:rPr>
          <w:rFonts w:ascii="Calibri"/>
          <w:spacing w:val="-5"/>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6(a)</w:t>
      </w:r>
      <w:r>
        <w:rPr>
          <w:rFonts w:ascii="Calibri"/>
          <w:spacing w:val="-3"/>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(b) </w:t>
      </w:r>
      <w:r>
        <w:rPr>
          <w:rFonts w:ascii="Calibri"/>
          <w:spacing w:val="-5"/>
          <w:sz w:val="20"/>
          <w:vertAlign w:val="baseline"/>
        </w:rPr>
        <w:t>CA.</w:t>
      </w:r>
    </w:p>
    <w:p>
      <w:pPr>
        <w:spacing w:before="2"/>
        <w:ind w:left="308" w:right="223" w:firstLine="0"/>
        <w:jc w:val="both"/>
        <w:rPr>
          <w:rFonts w:ascii="Calibri"/>
          <w:sz w:val="20"/>
        </w:rPr>
      </w:pPr>
      <w:r>
        <w:rPr>
          <w:rFonts w:ascii="Calibri"/>
          <w:sz w:val="20"/>
          <w:vertAlign w:val="superscript"/>
        </w:rPr>
        <w:t>102</w:t>
      </w:r>
      <w:r>
        <w:rPr>
          <w:rFonts w:ascii="Calibri"/>
          <w:sz w:val="20"/>
          <w:vertAlign w:val="baseline"/>
        </w:rPr>
        <w:t>Per Lord Goldsmith of the Lords Grand Committee.</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11, quoting from the Committee Report in the Hansard of 9</w:t>
      </w:r>
      <w:r>
        <w:rPr>
          <w:rFonts w:ascii="Calibri"/>
          <w:sz w:val="20"/>
          <w:vertAlign w:val="superscript"/>
        </w:rPr>
        <w:t>th</w:t>
      </w:r>
      <w:r>
        <w:rPr>
          <w:rFonts w:ascii="Calibri"/>
          <w:sz w:val="20"/>
          <w:vertAlign w:val="baseline"/>
        </w:rPr>
        <w:t> February 2006, column 327.Retrieved December 23</w:t>
      </w:r>
      <w:r>
        <w:rPr>
          <w:rFonts w:ascii="Calibri"/>
          <w:sz w:val="20"/>
          <w:vertAlign w:val="superscript"/>
        </w:rPr>
        <w:t>rd</w:t>
      </w:r>
      <w:r>
        <w:rPr>
          <w:rFonts w:ascii="Calibri"/>
          <w:sz w:val="20"/>
          <w:vertAlign w:val="baseline"/>
        </w:rPr>
        <w:t> 2013, from </w:t>
      </w:r>
      <w:hyperlink r:id="rId12">
        <w:r>
          <w:rPr>
            <w:rFonts w:ascii="Calibri"/>
            <w:color w:val="0000FF"/>
            <w:sz w:val="20"/>
            <w:u w:val="single" w:color="0000FF"/>
            <w:vertAlign w:val="baseline"/>
          </w:rPr>
          <w:t>http://www.berr.gov.uk/files/file40139.pdf</w:t>
        </w:r>
        <w:r>
          <w:rPr>
            <w:rFonts w:ascii="Calibri"/>
            <w:sz w:val="20"/>
            <w:vertAlign w:val="baseline"/>
          </w:rPr>
          <w:t>.</w:t>
        </w:r>
      </w:hyperlink>
    </w:p>
    <w:p>
      <w:pPr>
        <w:spacing w:before="2"/>
        <w:ind w:left="308" w:right="0" w:firstLine="0"/>
        <w:jc w:val="both"/>
        <w:rPr>
          <w:rFonts w:ascii="Calibri"/>
          <w:sz w:val="20"/>
        </w:rPr>
      </w:pPr>
      <w:r>
        <w:rPr>
          <w:rFonts w:ascii="Calibri"/>
          <w:sz w:val="20"/>
          <w:vertAlign w:val="superscript"/>
        </w:rPr>
        <w:t>103</w:t>
      </w:r>
      <w:r>
        <w:rPr>
          <w:rFonts w:ascii="Calibri"/>
          <w:sz w:val="20"/>
          <w:vertAlign w:val="baseline"/>
        </w:rPr>
        <w:t> Refer</w:t>
      </w:r>
      <w:r>
        <w:rPr>
          <w:rFonts w:ascii="Calibri"/>
          <w:spacing w:val="-5"/>
          <w:sz w:val="20"/>
          <w:vertAlign w:val="baseline"/>
        </w:rPr>
        <w:t> </w:t>
      </w:r>
      <w:r>
        <w:rPr>
          <w:rFonts w:ascii="Calibri"/>
          <w:sz w:val="20"/>
          <w:vertAlign w:val="baseline"/>
        </w:rPr>
        <w:t>to</w:t>
      </w:r>
      <w:r>
        <w:rPr>
          <w:rFonts w:ascii="Calibri"/>
          <w:spacing w:val="-6"/>
          <w:sz w:val="20"/>
          <w:vertAlign w:val="baseline"/>
        </w:rPr>
        <w:t> </w:t>
      </w:r>
      <w:r>
        <w:rPr>
          <w:rFonts w:ascii="Calibri"/>
          <w:b/>
          <w:sz w:val="20"/>
          <w:vertAlign w:val="baseline"/>
        </w:rPr>
        <w:t>4.2.6</w:t>
      </w:r>
      <w:r>
        <w:rPr>
          <w:rFonts w:ascii="Calibri"/>
          <w:b/>
          <w:spacing w:val="-2"/>
          <w:sz w:val="20"/>
          <w:vertAlign w:val="baseline"/>
        </w:rPr>
        <w:t> </w:t>
      </w:r>
      <w:r>
        <w:rPr>
          <w:rFonts w:ascii="Calibri"/>
          <w:spacing w:val="-2"/>
          <w:sz w:val="20"/>
          <w:vertAlign w:val="baseline"/>
        </w:rPr>
        <w:t>supra.</w:t>
      </w:r>
    </w:p>
    <w:p>
      <w:pPr>
        <w:spacing w:after="0"/>
        <w:jc w:val="both"/>
        <w:rPr>
          <w:rFonts w:ascii="Calibri"/>
          <w:sz w:val="20"/>
        </w:rPr>
        <w:sectPr>
          <w:pgSz w:w="11910" w:h="16840"/>
          <w:pgMar w:header="0" w:footer="1003" w:top="1280" w:bottom="1200" w:left="1680" w:right="1180"/>
        </w:sectPr>
      </w:pPr>
    </w:p>
    <w:p>
      <w:pPr>
        <w:pStyle w:val="BodyText"/>
        <w:spacing w:line="480" w:lineRule="auto" w:before="70"/>
        <w:ind w:right="183"/>
        <w:jc w:val="both"/>
      </w:pPr>
      <w:r>
        <w:rPr/>
        <w:t>ideally the most appropriate organ to decide matters regarding the exploitation of its property, etc. Still, board</w:t>
      </w:r>
      <w:r>
        <w:rPr>
          <w:spacing w:val="-1"/>
        </w:rPr>
        <w:t> </w:t>
      </w:r>
      <w:r>
        <w:rPr/>
        <w:t>authorization</w:t>
      </w:r>
      <w:r>
        <w:rPr>
          <w:spacing w:val="-1"/>
        </w:rPr>
        <w:t> </w:t>
      </w:r>
      <w:r>
        <w:rPr/>
        <w:t>has the</w:t>
      </w:r>
      <w:r>
        <w:rPr>
          <w:spacing w:val="-2"/>
        </w:rPr>
        <w:t> </w:t>
      </w:r>
      <w:r>
        <w:rPr/>
        <w:t>potential</w:t>
      </w:r>
      <w:r>
        <w:rPr>
          <w:spacing w:val="-6"/>
        </w:rPr>
        <w:t> </w:t>
      </w:r>
      <w:r>
        <w:rPr/>
        <w:t>to invite boardroom</w:t>
      </w:r>
      <w:r>
        <w:rPr>
          <w:spacing w:val="-6"/>
        </w:rPr>
        <w:t> </w:t>
      </w:r>
      <w:r>
        <w:rPr/>
        <w:t>mischief by encouraging ‗backscratching‘</w:t>
      </w:r>
      <w:r>
        <w:rPr>
          <w:spacing w:val="-2"/>
        </w:rPr>
        <w:t> </w:t>
      </w:r>
      <w:r>
        <w:rPr/>
        <w:t>among board members.</w:t>
      </w:r>
      <w:r>
        <w:rPr>
          <w:vertAlign w:val="superscript"/>
        </w:rPr>
        <w:t>104</w:t>
      </w:r>
      <w:r>
        <w:rPr>
          <w:vertAlign w:val="baseline"/>
        </w:rPr>
        <w:t>Thus, directors, even</w:t>
      </w:r>
      <w:r>
        <w:rPr>
          <w:spacing w:val="-4"/>
          <w:vertAlign w:val="baseline"/>
        </w:rPr>
        <w:t> </w:t>
      </w:r>
      <w:r>
        <w:rPr>
          <w:vertAlign w:val="baseline"/>
        </w:rPr>
        <w:t>abstaining or absent, can</w:t>
      </w:r>
      <w:r>
        <w:rPr>
          <w:spacing w:val="-1"/>
          <w:vertAlign w:val="baseline"/>
        </w:rPr>
        <w:t> </w:t>
      </w:r>
      <w:r>
        <w:rPr>
          <w:vertAlign w:val="baseline"/>
        </w:rPr>
        <w:t>still influence board decisions.</w:t>
      </w:r>
      <w:r>
        <w:rPr>
          <w:vertAlign w:val="superscript"/>
        </w:rPr>
        <w:t>105</w:t>
      </w:r>
      <w:r>
        <w:rPr>
          <w:vertAlign w:val="baseline"/>
        </w:rPr>
        <w:t> Again, directors may not be encouraged to</w:t>
      </w:r>
      <w:r>
        <w:rPr>
          <w:spacing w:val="31"/>
          <w:vertAlign w:val="baseline"/>
        </w:rPr>
        <w:t> </w:t>
      </w:r>
      <w:r>
        <w:rPr>
          <w:vertAlign w:val="baseline"/>
        </w:rPr>
        <w:t>do</w:t>
      </w:r>
      <w:r>
        <w:rPr>
          <w:spacing w:val="28"/>
          <w:vertAlign w:val="baseline"/>
        </w:rPr>
        <w:t> </w:t>
      </w:r>
      <w:r>
        <w:rPr>
          <w:vertAlign w:val="baseline"/>
        </w:rPr>
        <w:t>their</w:t>
      </w:r>
      <w:r>
        <w:rPr>
          <w:spacing w:val="30"/>
          <w:vertAlign w:val="baseline"/>
        </w:rPr>
        <w:t> </w:t>
      </w:r>
      <w:r>
        <w:rPr>
          <w:vertAlign w:val="baseline"/>
        </w:rPr>
        <w:t>best</w:t>
      </w:r>
      <w:r>
        <w:rPr>
          <w:spacing w:val="34"/>
          <w:vertAlign w:val="baseline"/>
        </w:rPr>
        <w:t> </w:t>
      </w:r>
      <w:r>
        <w:rPr>
          <w:vertAlign w:val="baseline"/>
        </w:rPr>
        <w:t>to</w:t>
      </w:r>
      <w:r>
        <w:rPr>
          <w:spacing w:val="29"/>
          <w:vertAlign w:val="baseline"/>
        </w:rPr>
        <w:t> </w:t>
      </w:r>
      <w:r>
        <w:rPr>
          <w:vertAlign w:val="baseline"/>
        </w:rPr>
        <w:t>secure</w:t>
      </w:r>
      <w:r>
        <w:rPr>
          <w:spacing w:val="28"/>
          <w:vertAlign w:val="baseline"/>
        </w:rPr>
        <w:t> </w:t>
      </w:r>
      <w:r>
        <w:rPr>
          <w:vertAlign w:val="baseline"/>
        </w:rPr>
        <w:t>the</w:t>
      </w:r>
      <w:r>
        <w:rPr>
          <w:spacing w:val="28"/>
          <w:vertAlign w:val="baseline"/>
        </w:rPr>
        <w:t> </w:t>
      </w:r>
      <w:r>
        <w:rPr>
          <w:vertAlign w:val="baseline"/>
        </w:rPr>
        <w:t>company‘s</w:t>
      </w:r>
      <w:r>
        <w:rPr>
          <w:spacing w:val="31"/>
          <w:vertAlign w:val="baseline"/>
        </w:rPr>
        <w:t> </w:t>
      </w:r>
      <w:r>
        <w:rPr>
          <w:vertAlign w:val="baseline"/>
        </w:rPr>
        <w:t>interests</w:t>
      </w:r>
      <w:r>
        <w:rPr>
          <w:spacing w:val="31"/>
          <w:vertAlign w:val="baseline"/>
        </w:rPr>
        <w:t> </w:t>
      </w:r>
      <w:r>
        <w:rPr>
          <w:vertAlign w:val="baseline"/>
        </w:rPr>
        <w:t>if</w:t>
      </w:r>
      <w:r>
        <w:rPr>
          <w:spacing w:val="25"/>
          <w:vertAlign w:val="baseline"/>
        </w:rPr>
        <w:t> </w:t>
      </w:r>
      <w:r>
        <w:rPr>
          <w:vertAlign w:val="baseline"/>
        </w:rPr>
        <w:t>they</w:t>
      </w:r>
      <w:r>
        <w:rPr>
          <w:spacing w:val="24"/>
          <w:vertAlign w:val="baseline"/>
        </w:rPr>
        <w:t> </w:t>
      </w:r>
      <w:r>
        <w:rPr>
          <w:vertAlign w:val="baseline"/>
        </w:rPr>
        <w:t>know</w:t>
      </w:r>
      <w:r>
        <w:rPr>
          <w:spacing w:val="28"/>
          <w:vertAlign w:val="baseline"/>
        </w:rPr>
        <w:t> </w:t>
      </w:r>
      <w:r>
        <w:rPr>
          <w:vertAlign w:val="baseline"/>
        </w:rPr>
        <w:t>they</w:t>
      </w:r>
      <w:r>
        <w:rPr>
          <w:spacing w:val="19"/>
          <w:vertAlign w:val="baseline"/>
        </w:rPr>
        <w:t> </w:t>
      </w:r>
      <w:r>
        <w:rPr>
          <w:vertAlign w:val="baseline"/>
        </w:rPr>
        <w:t>can</w:t>
      </w:r>
      <w:r>
        <w:rPr>
          <w:spacing w:val="25"/>
          <w:vertAlign w:val="baseline"/>
        </w:rPr>
        <w:t> </w:t>
      </w:r>
      <w:r>
        <w:rPr>
          <w:spacing w:val="-2"/>
          <w:vertAlign w:val="baseline"/>
        </w:rPr>
        <w:t>conveniently</w:t>
      </w:r>
    </w:p>
    <w:p>
      <w:pPr>
        <w:pStyle w:val="BodyText"/>
        <w:spacing w:line="480" w:lineRule="auto" w:before="1"/>
        <w:ind w:right="179"/>
        <w:jc w:val="both"/>
      </w:pPr>
      <w:r>
        <w:rPr/>
        <w:t>―release‖</w:t>
      </w:r>
      <w:r>
        <w:rPr>
          <w:spacing w:val="-4"/>
        </w:rPr>
        <w:t> </w:t>
      </w:r>
      <w:r>
        <w:rPr/>
        <w:t>the</w:t>
      </w:r>
      <w:r>
        <w:rPr>
          <w:spacing w:val="-4"/>
        </w:rPr>
        <w:t> </w:t>
      </w:r>
      <w:r>
        <w:rPr/>
        <w:t>company‘s</w:t>
      </w:r>
      <w:r>
        <w:rPr>
          <w:spacing w:val="-6"/>
        </w:rPr>
        <w:t> </w:t>
      </w:r>
      <w:r>
        <w:rPr/>
        <w:t>opportunity</w:t>
      </w:r>
      <w:r>
        <w:rPr>
          <w:spacing w:val="-8"/>
        </w:rPr>
        <w:t> </w:t>
      </w:r>
      <w:r>
        <w:rPr/>
        <w:t>for</w:t>
      </w:r>
      <w:r>
        <w:rPr>
          <w:spacing w:val="-3"/>
        </w:rPr>
        <w:t> </w:t>
      </w:r>
      <w:r>
        <w:rPr/>
        <w:t>their future</w:t>
      </w:r>
      <w:r>
        <w:rPr>
          <w:spacing w:val="-4"/>
        </w:rPr>
        <w:t> </w:t>
      </w:r>
      <w:r>
        <w:rPr/>
        <w:t>use.</w:t>
      </w:r>
      <w:r>
        <w:rPr>
          <w:spacing w:val="-2"/>
        </w:rPr>
        <w:t> </w:t>
      </w:r>
      <w:r>
        <w:rPr/>
        <w:t>Besides, how</w:t>
      </w:r>
      <w:r>
        <w:rPr>
          <w:spacing w:val="-4"/>
        </w:rPr>
        <w:t> </w:t>
      </w:r>
      <w:r>
        <w:rPr/>
        <w:t>can</w:t>
      </w:r>
      <w:r>
        <w:rPr>
          <w:spacing w:val="-8"/>
        </w:rPr>
        <w:t> </w:t>
      </w:r>
      <w:r>
        <w:rPr/>
        <w:t>the</w:t>
      </w:r>
      <w:r>
        <w:rPr>
          <w:spacing w:val="-1"/>
        </w:rPr>
        <w:t> </w:t>
      </w:r>
      <w:r>
        <w:rPr/>
        <w:t>company be certain that the rejection</w:t>
      </w:r>
      <w:r>
        <w:rPr>
          <w:spacing w:val="-4"/>
        </w:rPr>
        <w:t> </w:t>
      </w:r>
      <w:r>
        <w:rPr/>
        <w:t>of</w:t>
      </w:r>
      <w:r>
        <w:rPr>
          <w:spacing w:val="-2"/>
        </w:rPr>
        <w:t> </w:t>
      </w:r>
      <w:r>
        <w:rPr/>
        <w:t>an</w:t>
      </w:r>
      <w:r>
        <w:rPr>
          <w:spacing w:val="-4"/>
        </w:rPr>
        <w:t> </w:t>
      </w:r>
      <w:r>
        <w:rPr/>
        <w:t>opportunity, etc was bona fide in each case? A fortiori, it would be dangerous to allow the board to delineate the scope of board members fiduciary duties: essentially allowing directors to be judges in their own cause.</w:t>
      </w:r>
      <w:r>
        <w:rPr>
          <w:vertAlign w:val="superscript"/>
        </w:rPr>
        <w:t>106</w:t>
      </w:r>
      <w:r>
        <w:rPr>
          <w:vertAlign w:val="baseline"/>
        </w:rPr>
        <w:t> Moreover, the argument about the expense of convening general meetings is not so persuasive because conflicts of such nature are unlikely to be frequent enough to justify that view.</w:t>
      </w:r>
    </w:p>
    <w:p>
      <w:pPr>
        <w:pStyle w:val="BodyText"/>
        <w:spacing w:line="480" w:lineRule="auto" w:before="1"/>
        <w:ind w:right="186" w:firstLine="720"/>
        <w:jc w:val="both"/>
      </w:pPr>
      <w:r>
        <w:rPr/>
        <mc:AlternateContent>
          <mc:Choice Requires="wps">
            <w:drawing>
              <wp:anchor distT="0" distB="0" distL="0" distR="0" allowOverlap="1" layoutInCell="1" locked="0" behindDoc="0" simplePos="0" relativeHeight="15867904">
                <wp:simplePos x="0" y="0"/>
                <wp:positionH relativeFrom="page">
                  <wp:posOffset>1262481</wp:posOffset>
                </wp:positionH>
                <wp:positionV relativeFrom="paragraph">
                  <wp:posOffset>3841344</wp:posOffset>
                </wp:positionV>
                <wp:extent cx="1829435" cy="9525"/>
                <wp:effectExtent l="0" t="0" r="0" b="0"/>
                <wp:wrapNone/>
                <wp:docPr id="299" name="Graphic 299"/>
                <wp:cNvGraphicFramePr>
                  <a:graphicFrameLocks/>
                </wp:cNvGraphicFramePr>
                <a:graphic>
                  <a:graphicData uri="http://schemas.microsoft.com/office/word/2010/wordprocessingShape">
                    <wps:wsp>
                      <wps:cNvPr id="299" name="Graphic 299"/>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302.468109pt;width:144.050pt;height:.72003pt;mso-position-horizontal-relative:page;mso-position-vertical-relative:paragraph;z-index:15867904" id="docshape254" filled="true" fillcolor="#000000" stroked="false">
                <v:fill type="solid"/>
                <w10:wrap type="none"/>
              </v:rect>
            </w:pict>
          </mc:Fallback>
        </mc:AlternateContent>
      </w:r>
      <w:r>
        <w:rPr/>
        <w:t>For these reasons, the default rule in s.175(5) CA has the tendency to encourage breach, or at the most, is more suited for private companies, where the demarcation between management and members is often blurred. It is therefore submitted that the common law rule on authorisation reflected in s.280(6) CAMA is better suited to guard against abuse.</w:t>
      </w:r>
      <w:r>
        <w:rPr>
          <w:vertAlign w:val="superscript"/>
        </w:rPr>
        <w:t>107</w:t>
      </w:r>
      <w:r>
        <w:rPr>
          <w:vertAlign w:val="baseline"/>
        </w:rPr>
        <w:t> Perhaps, it may be that a conflicting director who happens to be a member would be able to vote towards his interests. But the fact is that shareholders, unlike directors, are not subject to fiduciary duties.</w:t>
      </w:r>
      <w:r>
        <w:rPr>
          <w:vertAlign w:val="superscript"/>
        </w:rPr>
        <w:t>108</w:t>
      </w:r>
      <w:r>
        <w:rPr>
          <w:vertAlign w:val="baseline"/>
        </w:rPr>
        <w:t> For this reason, their shares and</w:t>
      </w:r>
      <w:r>
        <w:rPr>
          <w:spacing w:val="40"/>
          <w:vertAlign w:val="baseline"/>
        </w:rPr>
        <w:t> </w:t>
      </w:r>
      <w:r>
        <w:rPr>
          <w:vertAlign w:val="baseline"/>
        </w:rPr>
        <w:t>the attendant rights, are to be regarded as their property, with all the inherent rights to use them in their own interests. For balance, the law allocates to the minority certain avenues through derivative action by which they may get redress from any oppressive tendencies of the majority.</w:t>
      </w:r>
    </w:p>
    <w:p>
      <w:pPr>
        <w:spacing w:before="94"/>
        <w:ind w:left="308" w:right="0" w:firstLine="0"/>
        <w:jc w:val="left"/>
        <w:rPr>
          <w:rFonts w:ascii="Calibri"/>
          <w:sz w:val="20"/>
        </w:rPr>
      </w:pPr>
      <w:r>
        <w:rPr>
          <w:rFonts w:ascii="Calibri"/>
          <w:sz w:val="20"/>
          <w:vertAlign w:val="superscript"/>
        </w:rPr>
        <w:t>104</w:t>
      </w:r>
      <w:r>
        <w:rPr>
          <w:rFonts w:ascii="Calibri"/>
          <w:spacing w:val="-3"/>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Davies,</w:t>
      </w:r>
      <w:r>
        <w:rPr>
          <w:rFonts w:ascii="Calibri"/>
          <w:spacing w:val="-6"/>
          <w:sz w:val="20"/>
          <w:vertAlign w:val="baseline"/>
        </w:rPr>
        <w:t> </w:t>
      </w:r>
      <w:r>
        <w:rPr>
          <w:rFonts w:ascii="Calibri"/>
          <w:sz w:val="20"/>
          <w:vertAlign w:val="baseline"/>
        </w:rPr>
        <w:t>L.P.</w:t>
      </w:r>
      <w:r>
        <w:rPr>
          <w:rFonts w:ascii="Calibri"/>
          <w:spacing w:val="-2"/>
          <w:sz w:val="20"/>
          <w:vertAlign w:val="baseline"/>
        </w:rPr>
        <w:t> </w:t>
      </w:r>
      <w:r>
        <w:rPr>
          <w:rFonts w:ascii="Calibri"/>
          <w:sz w:val="20"/>
          <w:vertAlign w:val="baseline"/>
        </w:rPr>
        <w:t>and</w:t>
      </w:r>
      <w:r>
        <w:rPr>
          <w:rFonts w:ascii="Calibri"/>
          <w:spacing w:val="-4"/>
          <w:sz w:val="20"/>
          <w:vertAlign w:val="baseline"/>
        </w:rPr>
        <w:t> </w:t>
      </w:r>
      <w:r>
        <w:rPr>
          <w:rFonts w:ascii="Calibri"/>
          <w:sz w:val="20"/>
          <w:vertAlign w:val="baseline"/>
        </w:rPr>
        <w:t>Worthington,</w:t>
      </w:r>
      <w:r>
        <w:rPr>
          <w:rFonts w:ascii="Calibri"/>
          <w:spacing w:val="-5"/>
          <w:sz w:val="20"/>
          <w:vertAlign w:val="baseline"/>
        </w:rPr>
        <w:t> </w:t>
      </w:r>
      <w:r>
        <w:rPr>
          <w:rFonts w:ascii="Calibri"/>
          <w:sz w:val="20"/>
          <w:vertAlign w:val="baseline"/>
        </w:rPr>
        <w:t>S.</w:t>
      </w:r>
      <w:r>
        <w:rPr>
          <w:rFonts w:ascii="Calibri"/>
          <w:spacing w:val="-3"/>
          <w:sz w:val="20"/>
          <w:vertAlign w:val="baseline"/>
        </w:rPr>
        <w:t> </w:t>
      </w:r>
      <w:r>
        <w:rPr>
          <w:rFonts w:ascii="Calibri"/>
          <w:sz w:val="20"/>
          <w:vertAlign w:val="baseline"/>
        </w:rPr>
        <w:t>op.cit.</w:t>
      </w:r>
      <w:r>
        <w:rPr>
          <w:rFonts w:ascii="Calibri"/>
          <w:spacing w:val="-7"/>
          <w:sz w:val="20"/>
          <w:vertAlign w:val="baseline"/>
        </w:rPr>
        <w:t> </w:t>
      </w:r>
      <w:r>
        <w:rPr>
          <w:rFonts w:ascii="Calibri"/>
          <w:sz w:val="20"/>
          <w:vertAlign w:val="baseline"/>
        </w:rPr>
        <w:t>at</w:t>
      </w:r>
      <w:r>
        <w:rPr>
          <w:rFonts w:ascii="Calibri"/>
          <w:spacing w:val="-4"/>
          <w:sz w:val="20"/>
          <w:vertAlign w:val="baseline"/>
        </w:rPr>
        <w:t> </w:t>
      </w:r>
      <w:r>
        <w:rPr>
          <w:rFonts w:ascii="Calibri"/>
          <w:spacing w:val="-2"/>
          <w:sz w:val="20"/>
          <w:vertAlign w:val="baseline"/>
        </w:rPr>
        <w:t>p.602.</w:t>
      </w:r>
    </w:p>
    <w:p>
      <w:pPr>
        <w:spacing w:before="1"/>
        <w:ind w:left="308" w:right="0" w:firstLine="0"/>
        <w:jc w:val="left"/>
        <w:rPr>
          <w:rFonts w:ascii="Calibri" w:hAnsi="Calibri"/>
          <w:sz w:val="20"/>
        </w:rPr>
      </w:pPr>
      <w:r>
        <w:rPr>
          <w:rFonts w:ascii="Calibri" w:hAnsi="Calibri"/>
          <w:sz w:val="20"/>
          <w:vertAlign w:val="superscript"/>
        </w:rPr>
        <w:t>105</w:t>
      </w:r>
      <w:r>
        <w:rPr>
          <w:rFonts w:ascii="Calibri" w:hAnsi="Calibri"/>
          <w:sz w:val="20"/>
          <w:vertAlign w:val="baseline"/>
        </w:rPr>
        <w:t>seeCorkery,</w:t>
      </w:r>
      <w:r>
        <w:rPr>
          <w:rFonts w:ascii="Calibri" w:hAnsi="Calibri"/>
          <w:spacing w:val="-12"/>
          <w:sz w:val="20"/>
          <w:vertAlign w:val="baseline"/>
        </w:rPr>
        <w:t> </w:t>
      </w:r>
      <w:r>
        <w:rPr>
          <w:rFonts w:ascii="Calibri" w:hAnsi="Calibri"/>
          <w:sz w:val="20"/>
          <w:vertAlign w:val="baseline"/>
        </w:rPr>
        <w:t>F.J.</w:t>
      </w:r>
      <w:r>
        <w:rPr>
          <w:rFonts w:ascii="Calibri" w:hAnsi="Calibri"/>
          <w:spacing w:val="-8"/>
          <w:sz w:val="20"/>
          <w:vertAlign w:val="baseline"/>
        </w:rPr>
        <w:t> </w:t>
      </w:r>
      <w:r>
        <w:rPr>
          <w:rFonts w:ascii="Calibri" w:hAnsi="Calibri"/>
          <w:sz w:val="20"/>
          <w:vertAlign w:val="baseline"/>
        </w:rPr>
        <w:t>(1987).</w:t>
      </w:r>
      <w:r>
        <w:rPr>
          <w:rFonts w:ascii="Calibri" w:hAnsi="Calibri"/>
          <w:i/>
          <w:sz w:val="20"/>
          <w:vertAlign w:val="baseline"/>
        </w:rPr>
        <w:t>Directors’</w:t>
      </w:r>
      <w:r>
        <w:rPr>
          <w:rFonts w:ascii="Calibri" w:hAnsi="Calibri"/>
          <w:i/>
          <w:spacing w:val="-8"/>
          <w:sz w:val="20"/>
          <w:vertAlign w:val="baseline"/>
        </w:rPr>
        <w:t> </w:t>
      </w:r>
      <w:r>
        <w:rPr>
          <w:rFonts w:ascii="Calibri" w:hAnsi="Calibri"/>
          <w:i/>
          <w:sz w:val="20"/>
          <w:vertAlign w:val="baseline"/>
        </w:rPr>
        <w:t>Powers</w:t>
      </w:r>
      <w:r>
        <w:rPr>
          <w:rFonts w:ascii="Calibri" w:hAnsi="Calibri"/>
          <w:i/>
          <w:spacing w:val="-8"/>
          <w:sz w:val="20"/>
          <w:vertAlign w:val="baseline"/>
        </w:rPr>
        <w:t> </w:t>
      </w:r>
      <w:r>
        <w:rPr>
          <w:rFonts w:ascii="Calibri" w:hAnsi="Calibri"/>
          <w:i/>
          <w:sz w:val="20"/>
          <w:vertAlign w:val="baseline"/>
        </w:rPr>
        <w:t>and</w:t>
      </w:r>
      <w:r>
        <w:rPr>
          <w:rFonts w:ascii="Calibri" w:hAnsi="Calibri"/>
          <w:i/>
          <w:spacing w:val="-9"/>
          <w:sz w:val="20"/>
          <w:vertAlign w:val="baseline"/>
        </w:rPr>
        <w:t> </w:t>
      </w:r>
      <w:r>
        <w:rPr>
          <w:rFonts w:ascii="Calibri" w:hAnsi="Calibri"/>
          <w:i/>
          <w:sz w:val="20"/>
          <w:vertAlign w:val="baseline"/>
        </w:rPr>
        <w:t>Duties</w:t>
      </w:r>
      <w:r>
        <w:rPr>
          <w:rFonts w:ascii="Calibri" w:hAnsi="Calibri"/>
          <w:sz w:val="20"/>
          <w:vertAlign w:val="baseline"/>
        </w:rPr>
        <w:t>.</w:t>
      </w:r>
      <w:r>
        <w:rPr>
          <w:rFonts w:ascii="Calibri" w:hAnsi="Calibri"/>
          <w:spacing w:val="-9"/>
          <w:sz w:val="20"/>
          <w:vertAlign w:val="baseline"/>
        </w:rPr>
        <w:t> </w:t>
      </w:r>
      <w:r>
        <w:rPr>
          <w:rFonts w:ascii="Calibri" w:hAnsi="Calibri"/>
          <w:sz w:val="20"/>
          <w:vertAlign w:val="baseline"/>
        </w:rPr>
        <w:t>Longman</w:t>
      </w:r>
      <w:r>
        <w:rPr>
          <w:rFonts w:ascii="Calibri" w:hAnsi="Calibri"/>
          <w:spacing w:val="-8"/>
          <w:sz w:val="20"/>
          <w:vertAlign w:val="baseline"/>
        </w:rPr>
        <w:t> </w:t>
      </w:r>
      <w:r>
        <w:rPr>
          <w:rFonts w:ascii="Calibri" w:hAnsi="Calibri"/>
          <w:sz w:val="20"/>
          <w:vertAlign w:val="baseline"/>
        </w:rPr>
        <w:t>Cheshire,</w:t>
      </w:r>
      <w:r>
        <w:rPr>
          <w:rFonts w:ascii="Calibri" w:hAnsi="Calibri"/>
          <w:spacing w:val="-8"/>
          <w:sz w:val="20"/>
          <w:vertAlign w:val="baseline"/>
        </w:rPr>
        <w:t> </w:t>
      </w:r>
      <w:r>
        <w:rPr>
          <w:rFonts w:ascii="Calibri" w:hAnsi="Calibri"/>
          <w:sz w:val="20"/>
          <w:vertAlign w:val="baseline"/>
        </w:rPr>
        <w:t>Melbourne</w:t>
      </w:r>
      <w:r>
        <w:rPr>
          <w:rFonts w:ascii="Calibri" w:hAnsi="Calibri"/>
          <w:spacing w:val="-10"/>
          <w:sz w:val="20"/>
          <w:vertAlign w:val="baseline"/>
        </w:rPr>
        <w:t> </w:t>
      </w:r>
      <w:r>
        <w:rPr>
          <w:rFonts w:ascii="Calibri" w:hAnsi="Calibri"/>
          <w:sz w:val="20"/>
          <w:vertAlign w:val="baseline"/>
        </w:rPr>
        <w:t>Australia,</w:t>
      </w:r>
      <w:r>
        <w:rPr>
          <w:rFonts w:ascii="Calibri" w:hAnsi="Calibri"/>
          <w:spacing w:val="-8"/>
          <w:sz w:val="20"/>
          <w:vertAlign w:val="baseline"/>
        </w:rPr>
        <w:t> </w:t>
      </w:r>
      <w:r>
        <w:rPr>
          <w:rFonts w:ascii="Calibri" w:hAnsi="Calibri"/>
          <w:spacing w:val="-2"/>
          <w:sz w:val="20"/>
          <w:vertAlign w:val="baseline"/>
        </w:rPr>
        <w:t>p.87.</w:t>
      </w:r>
    </w:p>
    <w:p>
      <w:pPr>
        <w:spacing w:before="0"/>
        <w:ind w:left="308" w:right="0" w:firstLine="0"/>
        <w:jc w:val="left"/>
        <w:rPr>
          <w:rFonts w:ascii="Calibri"/>
          <w:sz w:val="20"/>
        </w:rPr>
      </w:pPr>
      <w:r>
        <w:rPr>
          <w:rFonts w:ascii="Calibri"/>
          <w:sz w:val="20"/>
          <w:vertAlign w:val="superscript"/>
        </w:rPr>
        <w:t>106</w:t>
      </w:r>
      <w:r>
        <w:rPr>
          <w:rFonts w:ascii="Calibri"/>
          <w:sz w:val="20"/>
          <w:vertAlign w:val="baseline"/>
        </w:rPr>
        <w:t>Ibid.</w:t>
      </w:r>
      <w:r>
        <w:rPr>
          <w:rFonts w:ascii="Calibri"/>
          <w:spacing w:val="2"/>
          <w:sz w:val="20"/>
          <w:vertAlign w:val="baseline"/>
        </w:rPr>
        <w:t> </w:t>
      </w:r>
      <w:r>
        <w:rPr>
          <w:rFonts w:ascii="Calibri"/>
          <w:sz w:val="20"/>
          <w:vertAlign w:val="baseline"/>
        </w:rPr>
        <w:t>at</w:t>
      </w:r>
      <w:r>
        <w:rPr>
          <w:rFonts w:ascii="Calibri"/>
          <w:spacing w:val="-5"/>
          <w:sz w:val="20"/>
          <w:vertAlign w:val="baseline"/>
        </w:rPr>
        <w:t> </w:t>
      </w:r>
      <w:r>
        <w:rPr>
          <w:rFonts w:ascii="Calibri"/>
          <w:spacing w:val="-2"/>
          <w:sz w:val="20"/>
          <w:vertAlign w:val="baseline"/>
        </w:rPr>
        <w:t>p.88.</w:t>
      </w:r>
    </w:p>
    <w:p>
      <w:pPr>
        <w:spacing w:before="1"/>
        <w:ind w:left="308" w:right="0" w:firstLine="0"/>
        <w:jc w:val="left"/>
        <w:rPr>
          <w:rFonts w:ascii="Calibri"/>
          <w:sz w:val="20"/>
        </w:rPr>
      </w:pPr>
      <w:r>
        <w:rPr>
          <w:rFonts w:ascii="Calibri"/>
          <w:sz w:val="20"/>
          <w:vertAlign w:val="superscript"/>
        </w:rPr>
        <w:t>107</w:t>
      </w:r>
      <w:r>
        <w:rPr>
          <w:rFonts w:ascii="Calibri"/>
          <w:sz w:val="20"/>
          <w:vertAlign w:val="baseline"/>
        </w:rPr>
        <w:t>Or</w:t>
      </w:r>
      <w:r>
        <w:rPr>
          <w:rFonts w:ascii="Calibri"/>
          <w:spacing w:val="-5"/>
          <w:sz w:val="20"/>
          <w:vertAlign w:val="baseline"/>
        </w:rPr>
        <w:t> </w:t>
      </w:r>
      <w:r>
        <w:rPr>
          <w:rFonts w:ascii="Calibri"/>
          <w:sz w:val="20"/>
          <w:vertAlign w:val="baseline"/>
        </w:rPr>
        <w:t>at</w:t>
      </w:r>
      <w:r>
        <w:rPr>
          <w:rFonts w:ascii="Calibri"/>
          <w:spacing w:val="-7"/>
          <w:sz w:val="20"/>
          <w:vertAlign w:val="baseline"/>
        </w:rPr>
        <w:t> </w:t>
      </w:r>
      <w:r>
        <w:rPr>
          <w:rFonts w:ascii="Calibri"/>
          <w:sz w:val="20"/>
          <w:vertAlign w:val="baseline"/>
        </w:rPr>
        <w:t>least,</w:t>
      </w:r>
      <w:r>
        <w:rPr>
          <w:rFonts w:ascii="Calibri"/>
          <w:spacing w:val="-5"/>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lesser of</w:t>
      </w:r>
      <w:r>
        <w:rPr>
          <w:rFonts w:ascii="Calibri"/>
          <w:spacing w:val="-1"/>
          <w:sz w:val="20"/>
          <w:vertAlign w:val="baseline"/>
        </w:rPr>
        <w:t> </w:t>
      </w:r>
      <w:r>
        <w:rPr>
          <w:rFonts w:ascii="Calibri"/>
          <w:sz w:val="20"/>
          <w:vertAlign w:val="baseline"/>
        </w:rPr>
        <w:t>the</w:t>
      </w:r>
      <w:r>
        <w:rPr>
          <w:rFonts w:ascii="Calibri"/>
          <w:spacing w:val="-1"/>
          <w:sz w:val="20"/>
          <w:vertAlign w:val="baseline"/>
        </w:rPr>
        <w:t> </w:t>
      </w:r>
      <w:r>
        <w:rPr>
          <w:rFonts w:ascii="Calibri"/>
          <w:sz w:val="20"/>
          <w:vertAlign w:val="baseline"/>
        </w:rPr>
        <w:t>two</w:t>
      </w:r>
      <w:r>
        <w:rPr>
          <w:rFonts w:ascii="Calibri"/>
          <w:spacing w:val="-3"/>
          <w:sz w:val="20"/>
          <w:vertAlign w:val="baseline"/>
        </w:rPr>
        <w:t> </w:t>
      </w:r>
      <w:r>
        <w:rPr>
          <w:rFonts w:ascii="Calibri"/>
          <w:spacing w:val="-2"/>
          <w:sz w:val="20"/>
          <w:vertAlign w:val="baseline"/>
        </w:rPr>
        <w:t>evils.</w:t>
      </w:r>
    </w:p>
    <w:p>
      <w:pPr>
        <w:spacing w:before="1"/>
        <w:ind w:left="308" w:right="0" w:firstLine="0"/>
        <w:jc w:val="left"/>
        <w:rPr>
          <w:rFonts w:ascii="Calibri"/>
          <w:sz w:val="20"/>
        </w:rPr>
      </w:pPr>
      <w:r>
        <w:rPr>
          <w:rFonts w:ascii="Calibri"/>
          <w:sz w:val="20"/>
          <w:vertAlign w:val="superscript"/>
        </w:rPr>
        <w:t>108</w:t>
      </w:r>
      <w:r>
        <w:rPr>
          <w:rFonts w:ascii="Calibri"/>
          <w:sz w:val="20"/>
          <w:vertAlign w:val="baseline"/>
        </w:rPr>
        <w:t>Davies,</w:t>
      </w:r>
      <w:r>
        <w:rPr>
          <w:rFonts w:ascii="Calibri"/>
          <w:spacing w:val="-10"/>
          <w:sz w:val="20"/>
          <w:vertAlign w:val="baseline"/>
        </w:rPr>
        <w:t> </w:t>
      </w:r>
      <w:r>
        <w:rPr>
          <w:rFonts w:ascii="Calibri"/>
          <w:sz w:val="20"/>
          <w:vertAlign w:val="baseline"/>
        </w:rPr>
        <w:t>L.P.</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Worthington,</w:t>
      </w:r>
      <w:r>
        <w:rPr>
          <w:rFonts w:ascii="Calibri"/>
          <w:spacing w:val="-6"/>
          <w:sz w:val="20"/>
          <w:vertAlign w:val="baseline"/>
        </w:rPr>
        <w:t> </w:t>
      </w:r>
      <w:r>
        <w:rPr>
          <w:rFonts w:ascii="Calibri"/>
          <w:sz w:val="20"/>
          <w:vertAlign w:val="baseline"/>
        </w:rPr>
        <w:t>S.</w:t>
      </w:r>
      <w:r>
        <w:rPr>
          <w:rFonts w:ascii="Calibri"/>
          <w:spacing w:val="1"/>
          <w:sz w:val="20"/>
          <w:vertAlign w:val="baseline"/>
        </w:rPr>
        <w:t> </w:t>
      </w:r>
      <w:r>
        <w:rPr>
          <w:rFonts w:ascii="Calibri"/>
          <w:sz w:val="20"/>
          <w:vertAlign w:val="baseline"/>
        </w:rPr>
        <w:t>op.cit.at</w:t>
      </w:r>
      <w:r>
        <w:rPr>
          <w:rFonts w:ascii="Calibri"/>
          <w:spacing w:val="-8"/>
          <w:sz w:val="20"/>
          <w:vertAlign w:val="baseline"/>
        </w:rPr>
        <w:t> </w:t>
      </w:r>
      <w:r>
        <w:rPr>
          <w:rFonts w:ascii="Calibri"/>
          <w:spacing w:val="-2"/>
          <w:sz w:val="20"/>
          <w:vertAlign w:val="baseline"/>
        </w:rPr>
        <w:t>p.622.</w:t>
      </w:r>
    </w:p>
    <w:p>
      <w:pPr>
        <w:spacing w:after="0"/>
        <w:jc w:val="left"/>
        <w:rPr>
          <w:rFonts w:ascii="Calibri"/>
          <w:sz w:val="20"/>
        </w:rPr>
        <w:sectPr>
          <w:pgSz w:w="11910" w:h="16840"/>
          <w:pgMar w:header="0" w:footer="1003" w:top="1320" w:bottom="1200" w:left="1680" w:right="1180"/>
        </w:sectPr>
      </w:pPr>
    </w:p>
    <w:p>
      <w:pPr>
        <w:pStyle w:val="Heading2"/>
        <w:numPr>
          <w:ilvl w:val="2"/>
          <w:numId w:val="20"/>
        </w:numPr>
        <w:tabs>
          <w:tab w:pos="1027" w:val="left" w:leader="none"/>
        </w:tabs>
        <w:spacing w:line="240" w:lineRule="auto" w:before="74" w:after="0"/>
        <w:ind w:left="1027" w:right="0" w:hanging="719"/>
        <w:jc w:val="both"/>
      </w:pPr>
      <w:bookmarkStart w:name="_TOC_250005" w:id="47"/>
      <w:r>
        <w:rPr/>
        <w:t>Duty Not</w:t>
      </w:r>
      <w:r>
        <w:rPr>
          <w:spacing w:val="-4"/>
        </w:rPr>
        <w:t> </w:t>
      </w:r>
      <w:r>
        <w:rPr/>
        <w:t>to</w:t>
      </w:r>
      <w:r>
        <w:rPr>
          <w:spacing w:val="-5"/>
        </w:rPr>
        <w:t> </w:t>
      </w:r>
      <w:r>
        <w:rPr/>
        <w:t>Accept</w:t>
      </w:r>
      <w:r>
        <w:rPr>
          <w:spacing w:val="-3"/>
        </w:rPr>
        <w:t> </w:t>
      </w:r>
      <w:r>
        <w:rPr/>
        <w:t>Benefits</w:t>
      </w:r>
      <w:r>
        <w:rPr>
          <w:spacing w:val="-2"/>
        </w:rPr>
        <w:t> </w:t>
      </w:r>
      <w:r>
        <w:rPr/>
        <w:t>from</w:t>
      </w:r>
      <w:r>
        <w:rPr>
          <w:spacing w:val="-3"/>
        </w:rPr>
        <w:t> </w:t>
      </w:r>
      <w:r>
        <w:rPr/>
        <w:t>Third</w:t>
      </w:r>
      <w:r>
        <w:rPr>
          <w:spacing w:val="1"/>
        </w:rPr>
        <w:t> </w:t>
      </w:r>
      <w:bookmarkEnd w:id="47"/>
      <w:r>
        <w:rPr>
          <w:spacing w:val="-2"/>
        </w:rPr>
        <w:t>Parties</w:t>
      </w:r>
    </w:p>
    <w:p>
      <w:pPr>
        <w:pStyle w:val="BodyText"/>
        <w:spacing w:line="480" w:lineRule="auto" w:before="137"/>
        <w:ind w:right="173"/>
        <w:jc w:val="both"/>
      </w:pPr>
      <w:r>
        <w:rPr/>
        <w:t>This duty is another aspect of the general rule against conflicts of interests discussed above. S.176(1) CA provides that ―A director of a company must not accept a benefit from a third party conferred by reason of—(a) his being a director, or (b) his doing (or not doing) anything as director.‖</w:t>
      </w:r>
      <w:r>
        <w:rPr>
          <w:spacing w:val="-4"/>
        </w:rPr>
        <w:t> </w:t>
      </w:r>
      <w:r>
        <w:rPr/>
        <w:t>Though</w:t>
      </w:r>
      <w:r>
        <w:rPr>
          <w:spacing w:val="-3"/>
        </w:rPr>
        <w:t> </w:t>
      </w:r>
      <w:r>
        <w:rPr/>
        <w:t>the provision makes no direct mention</w:t>
      </w:r>
      <w:r>
        <w:rPr>
          <w:spacing w:val="-3"/>
        </w:rPr>
        <w:t> </w:t>
      </w:r>
      <w:r>
        <w:rPr/>
        <w:t>of</w:t>
      </w:r>
      <w:r>
        <w:rPr>
          <w:spacing w:val="-1"/>
        </w:rPr>
        <w:t> </w:t>
      </w:r>
      <w:r>
        <w:rPr/>
        <w:t>it,</w:t>
      </w:r>
      <w:r>
        <w:rPr>
          <w:spacing w:val="-1"/>
        </w:rPr>
        <w:t> </w:t>
      </w:r>
      <w:r>
        <w:rPr/>
        <w:t>the law clearly contemplates bribes within the prohibition, thereby complementing the UK Bribery Act 2010. Importantly, the drafters intend ―benefit‖ to admit a wide interpretationincluding non-financial gains, gifts and other such advantages,</w:t>
      </w:r>
      <w:r>
        <w:rPr>
          <w:vertAlign w:val="superscript"/>
        </w:rPr>
        <w:t>109</w:t>
      </w:r>
      <w:r>
        <w:rPr>
          <w:vertAlign w:val="baseline"/>
        </w:rPr>
        <w:t> and they need not even</w:t>
      </w:r>
      <w:r>
        <w:rPr>
          <w:spacing w:val="-2"/>
          <w:vertAlign w:val="baseline"/>
        </w:rPr>
        <w:t> </w:t>
      </w:r>
      <w:r>
        <w:rPr>
          <w:vertAlign w:val="baseline"/>
        </w:rPr>
        <w:t>be ‗secret‘, from</w:t>
      </w:r>
      <w:r>
        <w:rPr>
          <w:spacing w:val="-7"/>
          <w:vertAlign w:val="baseline"/>
        </w:rPr>
        <w:t> </w:t>
      </w:r>
      <w:r>
        <w:rPr>
          <w:vertAlign w:val="baseline"/>
        </w:rPr>
        <w:t>the tenor of</w:t>
      </w:r>
      <w:r>
        <w:rPr>
          <w:spacing w:val="-5"/>
          <w:vertAlign w:val="baseline"/>
        </w:rPr>
        <w:t> </w:t>
      </w:r>
      <w:r>
        <w:rPr>
          <w:vertAlign w:val="baseline"/>
        </w:rPr>
        <w:t>the section. Where the benefit is in</w:t>
      </w:r>
      <w:r>
        <w:rPr>
          <w:spacing w:val="-2"/>
          <w:vertAlign w:val="baseline"/>
        </w:rPr>
        <w:t> </w:t>
      </w:r>
      <w:r>
        <w:rPr>
          <w:vertAlign w:val="baseline"/>
        </w:rPr>
        <w:t>the form of</w:t>
      </w:r>
      <w:r>
        <w:rPr>
          <w:spacing w:val="8"/>
          <w:vertAlign w:val="baseline"/>
        </w:rPr>
        <w:t> </w:t>
      </w:r>
      <w:r>
        <w:rPr>
          <w:vertAlign w:val="baseline"/>
        </w:rPr>
        <w:t>corporate</w:t>
      </w:r>
      <w:r>
        <w:rPr>
          <w:spacing w:val="17"/>
          <w:vertAlign w:val="baseline"/>
        </w:rPr>
        <w:t> </w:t>
      </w:r>
      <w:r>
        <w:rPr>
          <w:vertAlign w:val="baseline"/>
        </w:rPr>
        <w:t>property</w:t>
      </w:r>
      <w:r>
        <w:rPr>
          <w:spacing w:val="8"/>
          <w:vertAlign w:val="baseline"/>
        </w:rPr>
        <w:t> </w:t>
      </w:r>
      <w:r>
        <w:rPr>
          <w:vertAlign w:val="baseline"/>
        </w:rPr>
        <w:t>or</w:t>
      </w:r>
      <w:r>
        <w:rPr>
          <w:spacing w:val="23"/>
          <w:vertAlign w:val="baseline"/>
        </w:rPr>
        <w:t> </w:t>
      </w:r>
      <w:r>
        <w:rPr>
          <w:vertAlign w:val="baseline"/>
        </w:rPr>
        <w:t>information,</w:t>
      </w:r>
      <w:r>
        <w:rPr>
          <w:spacing w:val="20"/>
          <w:vertAlign w:val="baseline"/>
        </w:rPr>
        <w:t> </w:t>
      </w:r>
      <w:r>
        <w:rPr>
          <w:vertAlign w:val="baseline"/>
        </w:rPr>
        <w:t>the</w:t>
      </w:r>
      <w:r>
        <w:rPr>
          <w:spacing w:val="17"/>
          <w:vertAlign w:val="baseline"/>
        </w:rPr>
        <w:t> </w:t>
      </w:r>
      <w:r>
        <w:rPr>
          <w:vertAlign w:val="baseline"/>
        </w:rPr>
        <w:t>rule</w:t>
      </w:r>
      <w:r>
        <w:rPr>
          <w:spacing w:val="17"/>
          <w:vertAlign w:val="baseline"/>
        </w:rPr>
        <w:t> </w:t>
      </w:r>
      <w:r>
        <w:rPr>
          <w:vertAlign w:val="baseline"/>
        </w:rPr>
        <w:t>discussed</w:t>
      </w:r>
      <w:r>
        <w:rPr>
          <w:spacing w:val="23"/>
          <w:vertAlign w:val="baseline"/>
        </w:rPr>
        <w:t> </w:t>
      </w:r>
      <w:r>
        <w:rPr>
          <w:vertAlign w:val="baseline"/>
        </w:rPr>
        <w:t>in</w:t>
      </w:r>
      <w:r>
        <w:rPr>
          <w:spacing w:val="22"/>
          <w:vertAlign w:val="baseline"/>
        </w:rPr>
        <w:t> </w:t>
      </w:r>
      <w:r>
        <w:rPr>
          <w:vertAlign w:val="baseline"/>
        </w:rPr>
        <w:t>s.175</w:t>
      </w:r>
      <w:r>
        <w:rPr>
          <w:spacing w:val="23"/>
          <w:vertAlign w:val="baseline"/>
        </w:rPr>
        <w:t> </w:t>
      </w:r>
      <w:r>
        <w:rPr>
          <w:vertAlign w:val="baseline"/>
        </w:rPr>
        <w:t>may</w:t>
      </w:r>
      <w:r>
        <w:rPr>
          <w:spacing w:val="18"/>
          <w:vertAlign w:val="baseline"/>
        </w:rPr>
        <w:t> </w:t>
      </w:r>
      <w:r>
        <w:rPr>
          <w:vertAlign w:val="baseline"/>
        </w:rPr>
        <w:t>also</w:t>
      </w:r>
      <w:r>
        <w:rPr>
          <w:spacing w:val="22"/>
          <w:vertAlign w:val="baseline"/>
        </w:rPr>
        <w:t> </w:t>
      </w:r>
      <w:r>
        <w:rPr>
          <w:vertAlign w:val="baseline"/>
        </w:rPr>
        <w:t>apply,</w:t>
      </w:r>
      <w:r>
        <w:rPr>
          <w:spacing w:val="20"/>
          <w:vertAlign w:val="baseline"/>
        </w:rPr>
        <w:t> </w:t>
      </w:r>
      <w:r>
        <w:rPr>
          <w:spacing w:val="-2"/>
          <w:vertAlign w:val="baseline"/>
        </w:rPr>
        <w:t>since</w:t>
      </w:r>
    </w:p>
    <w:p>
      <w:pPr>
        <w:pStyle w:val="BodyText"/>
        <w:spacing w:before="2"/>
        <w:jc w:val="both"/>
      </w:pPr>
      <w:r>
        <w:rPr/>
        <w:t>s.179</w:t>
      </w:r>
      <w:r>
        <w:rPr>
          <w:spacing w:val="10"/>
        </w:rPr>
        <w:t> </w:t>
      </w:r>
      <w:r>
        <w:rPr/>
        <w:t>CA</w:t>
      </w:r>
      <w:r>
        <w:rPr>
          <w:spacing w:val="7"/>
        </w:rPr>
        <w:t> </w:t>
      </w:r>
      <w:r>
        <w:rPr/>
        <w:t>recognizes</w:t>
      </w:r>
      <w:r>
        <w:rPr>
          <w:spacing w:val="10"/>
        </w:rPr>
        <w:t> </w:t>
      </w:r>
      <w:r>
        <w:rPr/>
        <w:t>that</w:t>
      </w:r>
      <w:r>
        <w:rPr>
          <w:spacing w:val="17"/>
        </w:rPr>
        <w:t> </w:t>
      </w:r>
      <w:r>
        <w:rPr/>
        <w:t>one</w:t>
      </w:r>
      <w:r>
        <w:rPr>
          <w:spacing w:val="11"/>
        </w:rPr>
        <w:t> </w:t>
      </w:r>
      <w:r>
        <w:rPr/>
        <w:t>or</w:t>
      </w:r>
      <w:r>
        <w:rPr>
          <w:spacing w:val="19"/>
        </w:rPr>
        <w:t> </w:t>
      </w:r>
      <w:r>
        <w:rPr/>
        <w:t>more</w:t>
      </w:r>
      <w:r>
        <w:rPr>
          <w:spacing w:val="11"/>
        </w:rPr>
        <w:t> </w:t>
      </w:r>
      <w:r>
        <w:rPr/>
        <w:t>of</w:t>
      </w:r>
      <w:r>
        <w:rPr>
          <w:spacing w:val="4"/>
        </w:rPr>
        <w:t> </w:t>
      </w:r>
      <w:r>
        <w:rPr/>
        <w:t>the</w:t>
      </w:r>
      <w:r>
        <w:rPr>
          <w:spacing w:val="11"/>
        </w:rPr>
        <w:t> </w:t>
      </w:r>
      <w:r>
        <w:rPr/>
        <w:t>general</w:t>
      </w:r>
      <w:r>
        <w:rPr>
          <w:spacing w:val="3"/>
        </w:rPr>
        <w:t> </w:t>
      </w:r>
      <w:r>
        <w:rPr/>
        <w:t>duties</w:t>
      </w:r>
      <w:r>
        <w:rPr>
          <w:spacing w:val="19"/>
        </w:rPr>
        <w:t> </w:t>
      </w:r>
      <w:r>
        <w:rPr/>
        <w:t>may</w:t>
      </w:r>
      <w:r>
        <w:rPr>
          <w:spacing w:val="7"/>
        </w:rPr>
        <w:t> </w:t>
      </w:r>
      <w:r>
        <w:rPr/>
        <w:t>apply</w:t>
      </w:r>
      <w:r>
        <w:rPr>
          <w:spacing w:val="18"/>
        </w:rPr>
        <w:t> </w:t>
      </w:r>
      <w:r>
        <w:rPr/>
        <w:t>in</w:t>
      </w:r>
      <w:r>
        <w:rPr>
          <w:spacing w:val="13"/>
        </w:rPr>
        <w:t> </w:t>
      </w:r>
      <w:r>
        <w:rPr/>
        <w:t>any</w:t>
      </w:r>
      <w:r>
        <w:rPr>
          <w:spacing w:val="7"/>
        </w:rPr>
        <w:t> </w:t>
      </w:r>
      <w:r>
        <w:rPr>
          <w:spacing w:val="-2"/>
        </w:rPr>
        <w:t>particular</w:t>
      </w:r>
    </w:p>
    <w:p>
      <w:pPr>
        <w:pStyle w:val="BodyText"/>
        <w:spacing w:before="3"/>
        <w:ind w:left="0"/>
        <w:rPr>
          <w:sz w:val="16"/>
        </w:rPr>
      </w:pPr>
    </w:p>
    <w:p>
      <w:pPr>
        <w:spacing w:after="0"/>
        <w:rPr>
          <w:sz w:val="16"/>
        </w:rPr>
        <w:sectPr>
          <w:pgSz w:w="11910" w:h="16840"/>
          <w:pgMar w:header="0" w:footer="1003" w:top="1320" w:bottom="1200" w:left="1680" w:right="1180"/>
        </w:sectPr>
      </w:pPr>
    </w:p>
    <w:p>
      <w:pPr>
        <w:pStyle w:val="BodyText"/>
        <w:spacing w:before="90"/>
      </w:pPr>
      <w:r>
        <w:rPr>
          <w:spacing w:val="-4"/>
        </w:rPr>
        <w:t>case.</w:t>
      </w:r>
    </w:p>
    <w:p>
      <w:pPr>
        <w:spacing w:line="240" w:lineRule="auto" w:before="0"/>
        <w:rPr>
          <w:sz w:val="24"/>
        </w:rPr>
      </w:pPr>
      <w:r>
        <w:rPr/>
        <w:br w:type="column"/>
      </w:r>
      <w:r>
        <w:rPr>
          <w:sz w:val="24"/>
        </w:rPr>
      </w:r>
    </w:p>
    <w:p>
      <w:pPr>
        <w:pStyle w:val="BodyText"/>
        <w:spacing w:before="90"/>
        <w:ind w:left="0"/>
      </w:pPr>
    </w:p>
    <w:p>
      <w:pPr>
        <w:pStyle w:val="BodyText"/>
        <w:ind w:left="212"/>
      </w:pPr>
      <w:r>
        <w:rPr/>
        <w:t>Furthermore,</w:t>
      </w:r>
      <w:r>
        <w:rPr>
          <w:spacing w:val="13"/>
        </w:rPr>
        <w:t> </w:t>
      </w:r>
      <w:r>
        <w:rPr/>
        <w:t>the</w:t>
      </w:r>
      <w:r>
        <w:rPr>
          <w:spacing w:val="15"/>
        </w:rPr>
        <w:t> </w:t>
      </w:r>
      <w:r>
        <w:rPr/>
        <w:t>section</w:t>
      </w:r>
      <w:r>
        <w:rPr>
          <w:spacing w:val="12"/>
        </w:rPr>
        <w:t> </w:t>
      </w:r>
      <w:r>
        <w:rPr/>
        <w:t>does</w:t>
      </w:r>
      <w:r>
        <w:rPr>
          <w:spacing w:val="17"/>
        </w:rPr>
        <w:t> </w:t>
      </w:r>
      <w:r>
        <w:rPr/>
        <w:t>not</w:t>
      </w:r>
      <w:r>
        <w:rPr>
          <w:spacing w:val="16"/>
        </w:rPr>
        <w:t> </w:t>
      </w:r>
      <w:r>
        <w:rPr/>
        <w:t>only</w:t>
      </w:r>
      <w:r>
        <w:rPr>
          <w:spacing w:val="12"/>
        </w:rPr>
        <w:t> </w:t>
      </w:r>
      <w:r>
        <w:rPr/>
        <w:t>define</w:t>
      </w:r>
      <w:r>
        <w:rPr>
          <w:spacing w:val="20"/>
        </w:rPr>
        <w:t> </w:t>
      </w:r>
      <w:r>
        <w:rPr/>
        <w:t>―third</w:t>
      </w:r>
      <w:r>
        <w:rPr>
          <w:spacing w:val="16"/>
        </w:rPr>
        <w:t> </w:t>
      </w:r>
      <w:r>
        <w:rPr/>
        <w:t>party‖</w:t>
      </w:r>
      <w:r>
        <w:rPr>
          <w:vertAlign w:val="superscript"/>
        </w:rPr>
        <w:t>110</w:t>
      </w:r>
      <w:r>
        <w:rPr>
          <w:spacing w:val="17"/>
          <w:vertAlign w:val="baseline"/>
        </w:rPr>
        <w:t> </w:t>
      </w:r>
      <w:r>
        <w:rPr>
          <w:vertAlign w:val="baseline"/>
        </w:rPr>
        <w:t>but</w:t>
      </w:r>
      <w:r>
        <w:rPr>
          <w:spacing w:val="21"/>
          <w:vertAlign w:val="baseline"/>
        </w:rPr>
        <w:t> </w:t>
      </w:r>
      <w:r>
        <w:rPr>
          <w:vertAlign w:val="baseline"/>
        </w:rPr>
        <w:t>also</w:t>
      </w:r>
      <w:r>
        <w:rPr>
          <w:spacing w:val="19"/>
          <w:vertAlign w:val="baseline"/>
        </w:rPr>
        <w:t> </w:t>
      </w:r>
      <w:r>
        <w:rPr>
          <w:spacing w:val="-2"/>
          <w:vertAlign w:val="baseline"/>
        </w:rPr>
        <w:t>clarifies</w:t>
      </w:r>
    </w:p>
    <w:p>
      <w:pPr>
        <w:spacing w:after="0"/>
        <w:sectPr>
          <w:type w:val="continuous"/>
          <w:pgSz w:w="11910" w:h="16840"/>
          <w:pgMar w:header="0" w:footer="1003" w:top="1320" w:bottom="280" w:left="1680" w:right="1180"/>
          <w:cols w:num="2" w:equalWidth="0">
            <w:col w:w="777" w:space="40"/>
            <w:col w:w="8233"/>
          </w:cols>
        </w:sectPr>
      </w:pPr>
    </w:p>
    <w:p>
      <w:pPr>
        <w:pStyle w:val="BodyText"/>
        <w:ind w:left="0"/>
      </w:pPr>
    </w:p>
    <w:p>
      <w:pPr>
        <w:pStyle w:val="BodyText"/>
        <w:spacing w:line="480" w:lineRule="auto"/>
        <w:ind w:right="185"/>
        <w:jc w:val="both"/>
      </w:pPr>
      <w:r>
        <w:rPr/>
        <w:t>situations that would not be regarded as a breach of the duty.</w:t>
      </w:r>
      <w:r>
        <w:rPr>
          <w:vertAlign w:val="superscript"/>
        </w:rPr>
        <w:t>111</w:t>
      </w:r>
      <w:r>
        <w:rPr>
          <w:vertAlign w:val="baseline"/>
        </w:rPr>
        <w:t> Thus, the duty is not infringed where</w:t>
      </w:r>
      <w:r>
        <w:rPr>
          <w:spacing w:val="-1"/>
          <w:vertAlign w:val="baseline"/>
        </w:rPr>
        <w:t> </w:t>
      </w:r>
      <w:r>
        <w:rPr>
          <w:vertAlign w:val="baseline"/>
        </w:rPr>
        <w:t>the</w:t>
      </w:r>
      <w:r>
        <w:rPr>
          <w:spacing w:val="-1"/>
          <w:vertAlign w:val="baseline"/>
        </w:rPr>
        <w:t> </w:t>
      </w:r>
      <w:r>
        <w:rPr>
          <w:vertAlign w:val="baseline"/>
        </w:rPr>
        <w:t>gift is given by</w:t>
      </w:r>
      <w:r>
        <w:rPr>
          <w:spacing w:val="-5"/>
          <w:vertAlign w:val="baseline"/>
        </w:rPr>
        <w:t> </w:t>
      </w:r>
      <w:r>
        <w:rPr>
          <w:vertAlign w:val="baseline"/>
        </w:rPr>
        <w:t>the</w:t>
      </w:r>
      <w:r>
        <w:rPr>
          <w:spacing w:val="-1"/>
          <w:vertAlign w:val="baseline"/>
        </w:rPr>
        <w:t> </w:t>
      </w:r>
      <w:r>
        <w:rPr>
          <w:vertAlign w:val="baseline"/>
        </w:rPr>
        <w:t>director‘s</w:t>
      </w:r>
      <w:r>
        <w:rPr>
          <w:spacing w:val="-3"/>
          <w:vertAlign w:val="baseline"/>
        </w:rPr>
        <w:t> </w:t>
      </w:r>
      <w:r>
        <w:rPr>
          <w:vertAlign w:val="baseline"/>
        </w:rPr>
        <w:t>nominator to the</w:t>
      </w:r>
      <w:r>
        <w:rPr>
          <w:spacing w:val="-1"/>
          <w:vertAlign w:val="baseline"/>
        </w:rPr>
        <w:t> </w:t>
      </w:r>
      <w:r>
        <w:rPr>
          <w:vertAlign w:val="baseline"/>
        </w:rPr>
        <w:t>nominee director, nor where the acceptance of the benefit cannot reasonably be regarded as likely to give rise to a conflict of interest. This effectively allows the courts to decide breach cases based</w:t>
      </w:r>
      <w:r>
        <w:rPr>
          <w:spacing w:val="40"/>
          <w:vertAlign w:val="baseline"/>
        </w:rPr>
        <w:t> </w:t>
      </w:r>
      <w:r>
        <w:rPr>
          <w:vertAlign w:val="baseline"/>
        </w:rPr>
        <w:t>on reasonability. Thus, the question of the director‘s good faith does not arise in these </w:t>
      </w:r>
      <w:r>
        <w:rPr>
          <w:spacing w:val="-2"/>
          <w:vertAlign w:val="baseline"/>
        </w:rPr>
        <w:t>matters.</w:t>
      </w:r>
    </w:p>
    <w:p>
      <w:pPr>
        <w:pStyle w:val="BodyText"/>
        <w:spacing w:line="480" w:lineRule="auto"/>
        <w:ind w:right="181" w:firstLine="720"/>
        <w:jc w:val="both"/>
      </w:pPr>
      <w:r>
        <w:rPr/>
        <w:t>Under the CAMA, ss.280 and 287 appear to be closely related:</w:t>
      </w:r>
      <w:r>
        <w:rPr>
          <w:vertAlign w:val="superscript"/>
        </w:rPr>
        <w:t>112</w:t>
      </w:r>
      <w:r>
        <w:rPr>
          <w:vertAlign w:val="baseline"/>
        </w:rPr>
        <w:t> it is curious</w:t>
      </w:r>
      <w:r>
        <w:rPr>
          <w:spacing w:val="40"/>
          <w:vertAlign w:val="baseline"/>
        </w:rPr>
        <w:t> </w:t>
      </w:r>
      <w:r>
        <w:rPr>
          <w:vertAlign w:val="baseline"/>
        </w:rPr>
        <w:t>that the sections do not follow each other. While s.280 generally prohibits secret profits and</w:t>
      </w:r>
      <w:r>
        <w:rPr>
          <w:spacing w:val="4"/>
          <w:vertAlign w:val="baseline"/>
        </w:rPr>
        <w:t> </w:t>
      </w:r>
      <w:r>
        <w:rPr>
          <w:vertAlign w:val="baseline"/>
        </w:rPr>
        <w:t>benefit,</w:t>
      </w:r>
      <w:r>
        <w:rPr>
          <w:spacing w:val="2"/>
          <w:vertAlign w:val="baseline"/>
        </w:rPr>
        <w:t> </w:t>
      </w:r>
      <w:r>
        <w:rPr>
          <w:vertAlign w:val="baseline"/>
        </w:rPr>
        <w:t>s.287 of</w:t>
      </w:r>
      <w:r>
        <w:rPr>
          <w:spacing w:val="-7"/>
          <w:vertAlign w:val="baseline"/>
        </w:rPr>
        <w:t> </w:t>
      </w:r>
      <w:r>
        <w:rPr>
          <w:vertAlign w:val="baseline"/>
        </w:rPr>
        <w:t>the</w:t>
      </w:r>
      <w:r>
        <w:rPr>
          <w:spacing w:val="4"/>
          <w:vertAlign w:val="baseline"/>
        </w:rPr>
        <w:t> </w:t>
      </w:r>
      <w:r>
        <w:rPr>
          <w:vertAlign w:val="baseline"/>
        </w:rPr>
        <w:t>law</w:t>
      </w:r>
      <w:r>
        <w:rPr>
          <w:spacing w:val="4"/>
          <w:vertAlign w:val="baseline"/>
        </w:rPr>
        <w:t> </w:t>
      </w:r>
      <w:r>
        <w:rPr>
          <w:vertAlign w:val="baseline"/>
        </w:rPr>
        <w:t>further</w:t>
      </w:r>
      <w:r>
        <w:rPr>
          <w:spacing w:val="1"/>
          <w:vertAlign w:val="baseline"/>
        </w:rPr>
        <w:t> </w:t>
      </w:r>
      <w:r>
        <w:rPr>
          <w:vertAlign w:val="baseline"/>
        </w:rPr>
        <w:t>prohibits</w:t>
      </w:r>
      <w:r>
        <w:rPr>
          <w:spacing w:val="-1"/>
          <w:vertAlign w:val="baseline"/>
        </w:rPr>
        <w:t> </w:t>
      </w:r>
      <w:r>
        <w:rPr>
          <w:vertAlign w:val="baseline"/>
        </w:rPr>
        <w:t>a</w:t>
      </w:r>
      <w:r>
        <w:rPr>
          <w:spacing w:val="3"/>
          <w:vertAlign w:val="baseline"/>
        </w:rPr>
        <w:t> </w:t>
      </w:r>
      <w:r>
        <w:rPr>
          <w:vertAlign w:val="baseline"/>
        </w:rPr>
        <w:t>director</w:t>
      </w:r>
      <w:r>
        <w:rPr>
          <w:spacing w:val="1"/>
          <w:vertAlign w:val="baseline"/>
        </w:rPr>
        <w:t> </w:t>
      </w:r>
      <w:r>
        <w:rPr>
          <w:vertAlign w:val="baseline"/>
        </w:rPr>
        <w:t>from</w:t>
      </w:r>
      <w:r>
        <w:rPr>
          <w:spacing w:val="3"/>
          <w:vertAlign w:val="baseline"/>
        </w:rPr>
        <w:t> </w:t>
      </w:r>
      <w:r>
        <w:rPr>
          <w:vertAlign w:val="baseline"/>
        </w:rPr>
        <w:t>accepting</w:t>
      </w:r>
      <w:r>
        <w:rPr>
          <w:spacing w:val="6"/>
          <w:vertAlign w:val="baseline"/>
        </w:rPr>
        <w:t> </w:t>
      </w:r>
      <w:r>
        <w:rPr>
          <w:vertAlign w:val="baseline"/>
        </w:rPr>
        <w:t>a</w:t>
      </w:r>
      <w:r>
        <w:rPr>
          <w:spacing w:val="4"/>
          <w:vertAlign w:val="baseline"/>
        </w:rPr>
        <w:t> </w:t>
      </w:r>
      <w:r>
        <w:rPr>
          <w:vertAlign w:val="baseline"/>
        </w:rPr>
        <w:t>bribe,</w:t>
      </w:r>
      <w:r>
        <w:rPr>
          <w:spacing w:val="2"/>
          <w:vertAlign w:val="baseline"/>
        </w:rPr>
        <w:t> </w:t>
      </w:r>
      <w:r>
        <w:rPr>
          <w:vertAlign w:val="baseline"/>
        </w:rPr>
        <w:t>a</w:t>
      </w:r>
      <w:r>
        <w:rPr>
          <w:spacing w:val="-1"/>
          <w:vertAlign w:val="baseline"/>
        </w:rPr>
        <w:t> </w:t>
      </w:r>
      <w:r>
        <w:rPr>
          <w:vertAlign w:val="baseline"/>
        </w:rPr>
        <w:t>gift,</w:t>
      </w:r>
      <w:r>
        <w:rPr>
          <w:spacing w:val="3"/>
          <w:vertAlign w:val="baseline"/>
        </w:rPr>
        <w:t> </w:t>
      </w:r>
      <w:r>
        <w:rPr>
          <w:spacing w:val="-5"/>
          <w:vertAlign w:val="baseline"/>
        </w:rPr>
        <w:t>or</w:t>
      </w:r>
    </w:p>
    <w:p>
      <w:pPr>
        <w:pStyle w:val="BodyText"/>
        <w:spacing w:before="4"/>
        <w:ind w:left="0"/>
        <w:rPr>
          <w:sz w:val="13"/>
        </w:rPr>
      </w:pPr>
      <w:r>
        <w:rPr/>
        <mc:AlternateContent>
          <mc:Choice Requires="wps">
            <w:drawing>
              <wp:anchor distT="0" distB="0" distL="0" distR="0" allowOverlap="1" layoutInCell="1" locked="0" behindDoc="1" simplePos="0" relativeHeight="487727616">
                <wp:simplePos x="0" y="0"/>
                <wp:positionH relativeFrom="page">
                  <wp:posOffset>1262481</wp:posOffset>
                </wp:positionH>
                <wp:positionV relativeFrom="paragraph">
                  <wp:posOffset>113030</wp:posOffset>
                </wp:positionV>
                <wp:extent cx="1829435" cy="9525"/>
                <wp:effectExtent l="0" t="0" r="0" b="0"/>
                <wp:wrapTopAndBottom/>
                <wp:docPr id="300" name="Graphic 300"/>
                <wp:cNvGraphicFramePr>
                  <a:graphicFrameLocks/>
                </wp:cNvGraphicFramePr>
                <a:graphic>
                  <a:graphicData uri="http://schemas.microsoft.com/office/word/2010/wordprocessingShape">
                    <wps:wsp>
                      <wps:cNvPr id="300" name="Graphic 300"/>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8.900030pt;width:144.050pt;height:.71997pt;mso-position-horizontal-relative:page;mso-position-vertical-relative:paragraph;z-index:-15588864;mso-wrap-distance-left:0;mso-wrap-distance-right:0" id="docshape255" filled="true" fillcolor="#000000" stroked="false">
                <v:fill type="solid"/>
                <w10:wrap type="topAndBottom"/>
              </v:rect>
            </w:pict>
          </mc:Fallback>
        </mc:AlternateContent>
      </w:r>
    </w:p>
    <w:p>
      <w:pPr>
        <w:spacing w:before="97"/>
        <w:ind w:left="308" w:right="226" w:firstLine="0"/>
        <w:jc w:val="both"/>
        <w:rPr>
          <w:rFonts w:ascii="Calibri"/>
          <w:sz w:val="20"/>
        </w:rPr>
      </w:pPr>
      <w:r>
        <w:rPr>
          <w:rFonts w:ascii="Calibri"/>
          <w:sz w:val="20"/>
          <w:vertAlign w:val="superscript"/>
        </w:rPr>
        <w:t>109</w:t>
      </w:r>
      <w:r>
        <w:rPr>
          <w:rFonts w:ascii="Calibri"/>
          <w:sz w:val="20"/>
          <w:vertAlign w:val="baseline"/>
        </w:rPr>
        <w:t>Per</w:t>
      </w:r>
      <w:r>
        <w:rPr>
          <w:rFonts w:ascii="Calibri"/>
          <w:spacing w:val="-2"/>
          <w:sz w:val="20"/>
          <w:vertAlign w:val="baseline"/>
        </w:rPr>
        <w:t> </w:t>
      </w:r>
      <w:r>
        <w:rPr>
          <w:rFonts w:ascii="Calibri"/>
          <w:sz w:val="20"/>
          <w:vertAlign w:val="baseline"/>
        </w:rPr>
        <w:t>Lord</w:t>
      </w:r>
      <w:r>
        <w:rPr>
          <w:rFonts w:ascii="Calibri"/>
          <w:spacing w:val="-4"/>
          <w:sz w:val="20"/>
          <w:vertAlign w:val="baseline"/>
        </w:rPr>
        <w:t> </w:t>
      </w:r>
      <w:r>
        <w:rPr>
          <w:rFonts w:ascii="Calibri"/>
          <w:sz w:val="20"/>
          <w:vertAlign w:val="baseline"/>
        </w:rPr>
        <w:t>Goldsmith</w:t>
      </w:r>
      <w:r>
        <w:rPr>
          <w:rFonts w:ascii="Calibri"/>
          <w:spacing w:val="-4"/>
          <w:sz w:val="20"/>
          <w:vertAlign w:val="baseline"/>
        </w:rPr>
        <w:t> </w:t>
      </w:r>
      <w:r>
        <w:rPr>
          <w:rFonts w:ascii="Calibri"/>
          <w:sz w:val="20"/>
          <w:vertAlign w:val="baseline"/>
        </w:rPr>
        <w:t>of the</w:t>
      </w:r>
      <w:r>
        <w:rPr>
          <w:rFonts w:ascii="Calibri"/>
          <w:spacing w:val="-3"/>
          <w:sz w:val="20"/>
          <w:vertAlign w:val="baseline"/>
        </w:rPr>
        <w:t> </w:t>
      </w:r>
      <w:r>
        <w:rPr>
          <w:rFonts w:ascii="Calibri"/>
          <w:sz w:val="20"/>
          <w:vertAlign w:val="baseline"/>
        </w:rPr>
        <w:t>Lords</w:t>
      </w:r>
      <w:r>
        <w:rPr>
          <w:rFonts w:ascii="Calibri"/>
          <w:spacing w:val="-6"/>
          <w:sz w:val="20"/>
          <w:vertAlign w:val="baseline"/>
        </w:rPr>
        <w:t> </w:t>
      </w:r>
      <w:r>
        <w:rPr>
          <w:rFonts w:ascii="Calibri"/>
          <w:sz w:val="20"/>
          <w:vertAlign w:val="baseline"/>
        </w:rPr>
        <w:t>Grand Committee at the Committee hearing on</w:t>
      </w:r>
      <w:r>
        <w:rPr>
          <w:rFonts w:ascii="Calibri"/>
          <w:spacing w:val="-4"/>
          <w:sz w:val="20"/>
          <w:vertAlign w:val="baseline"/>
        </w:rPr>
        <w:t> </w:t>
      </w:r>
      <w:r>
        <w:rPr>
          <w:rFonts w:ascii="Calibri"/>
          <w:sz w:val="20"/>
          <w:vertAlign w:val="baseline"/>
        </w:rPr>
        <w:t>9 February,</w:t>
      </w:r>
      <w:r>
        <w:rPr>
          <w:rFonts w:ascii="Calibri"/>
          <w:spacing w:val="-1"/>
          <w:sz w:val="20"/>
          <w:vertAlign w:val="baseline"/>
        </w:rPr>
        <w:t> </w:t>
      </w:r>
      <w:r>
        <w:rPr>
          <w:rFonts w:ascii="Calibri"/>
          <w:sz w:val="20"/>
          <w:vertAlign w:val="baseline"/>
        </w:rPr>
        <w:t>2006.</w:t>
      </w:r>
      <w:r>
        <w:rPr>
          <w:rFonts w:ascii="Calibri"/>
          <w:spacing w:val="-2"/>
          <w:sz w:val="20"/>
          <w:vertAlign w:val="baseline"/>
        </w:rPr>
        <w:t> </w:t>
      </w:r>
      <w:r>
        <w:rPr>
          <w:rFonts w:ascii="Calibri"/>
          <w:sz w:val="20"/>
          <w:vertAlign w:val="baseline"/>
        </w:rPr>
        <w:t>See Hansard, Column 330. </w:t>
      </w:r>
      <w:r>
        <w:rPr>
          <w:rFonts w:ascii="Calibri"/>
          <w:i/>
          <w:sz w:val="20"/>
          <w:vertAlign w:val="baseline"/>
        </w:rPr>
        <w:t>Companies Act 2006: Duties of Company Directors</w:t>
      </w:r>
      <w:r>
        <w:rPr>
          <w:rFonts w:ascii="Calibri"/>
          <w:sz w:val="20"/>
          <w:vertAlign w:val="baseline"/>
        </w:rPr>
        <w:t>, Ministerial Statements published by the Department of Trade and Industry (DTI), (June 2007), p. 12, accessible at </w:t>
      </w:r>
      <w:hyperlink r:id="rId12">
        <w:r>
          <w:rPr>
            <w:rFonts w:ascii="Calibri"/>
            <w:color w:val="0000FF"/>
            <w:spacing w:val="-2"/>
            <w:sz w:val="20"/>
            <w:u w:val="single" w:color="0000FF"/>
            <w:vertAlign w:val="baseline"/>
          </w:rPr>
          <w:t>http://www.berr.gov.uk/files/file40139.pdf</w:t>
        </w:r>
        <w:r>
          <w:rPr>
            <w:rFonts w:ascii="Calibri"/>
            <w:spacing w:val="-2"/>
            <w:sz w:val="20"/>
            <w:vertAlign w:val="baseline"/>
          </w:rPr>
          <w:t>.</w:t>
        </w:r>
      </w:hyperlink>
    </w:p>
    <w:p>
      <w:pPr>
        <w:spacing w:before="3"/>
        <w:ind w:left="308" w:right="0" w:firstLine="0"/>
        <w:jc w:val="both"/>
        <w:rPr>
          <w:rFonts w:ascii="Calibri"/>
          <w:sz w:val="20"/>
        </w:rPr>
      </w:pPr>
      <w:r>
        <w:rPr>
          <w:rFonts w:ascii="Calibri"/>
          <w:sz w:val="20"/>
          <w:vertAlign w:val="superscript"/>
        </w:rPr>
        <w:t>110</w:t>
      </w:r>
      <w:r>
        <w:rPr>
          <w:rFonts w:ascii="Calibri"/>
          <w:sz w:val="20"/>
          <w:vertAlign w:val="baseline"/>
        </w:rPr>
        <w:t> See</w:t>
      </w:r>
      <w:r>
        <w:rPr>
          <w:rFonts w:ascii="Calibri"/>
          <w:spacing w:val="-6"/>
          <w:sz w:val="20"/>
          <w:vertAlign w:val="baseline"/>
        </w:rPr>
        <w:t> </w:t>
      </w:r>
      <w:r>
        <w:rPr>
          <w:rFonts w:ascii="Calibri"/>
          <w:sz w:val="20"/>
          <w:vertAlign w:val="baseline"/>
        </w:rPr>
        <w:t>s.176(2)</w:t>
      </w:r>
      <w:r>
        <w:rPr>
          <w:rFonts w:ascii="Calibri"/>
          <w:spacing w:val="-4"/>
          <w:sz w:val="20"/>
          <w:vertAlign w:val="baseline"/>
        </w:rPr>
        <w:t> </w:t>
      </w:r>
      <w:r>
        <w:rPr>
          <w:rFonts w:ascii="Calibri"/>
          <w:spacing w:val="-5"/>
          <w:sz w:val="20"/>
          <w:vertAlign w:val="baseline"/>
        </w:rPr>
        <w:t>CA.</w:t>
      </w:r>
    </w:p>
    <w:p>
      <w:pPr>
        <w:spacing w:before="1"/>
        <w:ind w:left="308" w:right="0" w:firstLine="0"/>
        <w:jc w:val="both"/>
        <w:rPr>
          <w:rFonts w:ascii="Calibri"/>
          <w:sz w:val="20"/>
        </w:rPr>
      </w:pPr>
      <w:r>
        <w:rPr>
          <w:rFonts w:ascii="Calibri"/>
          <w:sz w:val="20"/>
          <w:vertAlign w:val="superscript"/>
        </w:rPr>
        <w:t>111</w:t>
      </w:r>
      <w:r>
        <w:rPr>
          <w:rFonts w:ascii="Calibri"/>
          <w:sz w:val="20"/>
          <w:vertAlign w:val="baseline"/>
        </w:rPr>
        <w:t> See</w:t>
      </w:r>
      <w:r>
        <w:rPr>
          <w:rFonts w:ascii="Calibri"/>
          <w:spacing w:val="-4"/>
          <w:sz w:val="20"/>
          <w:vertAlign w:val="baseline"/>
        </w:rPr>
        <w:t> </w:t>
      </w:r>
      <w:r>
        <w:rPr>
          <w:rFonts w:ascii="Calibri"/>
          <w:sz w:val="20"/>
          <w:vertAlign w:val="baseline"/>
        </w:rPr>
        <w:t>s.176(3)</w:t>
      </w:r>
      <w:r>
        <w:rPr>
          <w:rFonts w:ascii="Calibri"/>
          <w:spacing w:val="-4"/>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(4)</w:t>
      </w:r>
      <w:r>
        <w:rPr>
          <w:rFonts w:ascii="Calibri"/>
          <w:spacing w:val="-3"/>
          <w:sz w:val="20"/>
          <w:vertAlign w:val="baseline"/>
        </w:rPr>
        <w:t> </w:t>
      </w:r>
      <w:r>
        <w:rPr>
          <w:rFonts w:ascii="Calibri"/>
          <w:spacing w:val="-5"/>
          <w:sz w:val="20"/>
          <w:vertAlign w:val="baseline"/>
        </w:rPr>
        <w:t>CA.</w:t>
      </w:r>
    </w:p>
    <w:p>
      <w:pPr>
        <w:spacing w:before="1"/>
        <w:ind w:left="308" w:right="0" w:firstLine="0"/>
        <w:jc w:val="both"/>
        <w:rPr>
          <w:rFonts w:ascii="Calibri"/>
          <w:sz w:val="20"/>
        </w:rPr>
      </w:pPr>
      <w:r>
        <w:rPr>
          <w:rFonts w:ascii="Calibri"/>
          <w:sz w:val="20"/>
          <w:vertAlign w:val="superscript"/>
        </w:rPr>
        <w:t>112</w:t>
      </w:r>
      <w:r>
        <w:rPr>
          <w:rFonts w:ascii="Calibri"/>
          <w:spacing w:val="1"/>
          <w:sz w:val="20"/>
          <w:vertAlign w:val="baseline"/>
        </w:rPr>
        <w:t> </w:t>
      </w:r>
      <w:r>
        <w:rPr>
          <w:rFonts w:ascii="Calibri"/>
          <w:sz w:val="20"/>
          <w:vertAlign w:val="baseline"/>
        </w:rPr>
        <w:t>See</w:t>
      </w:r>
      <w:r>
        <w:rPr>
          <w:rFonts w:ascii="Calibri"/>
          <w:spacing w:val="-4"/>
          <w:sz w:val="20"/>
          <w:vertAlign w:val="baseline"/>
        </w:rPr>
        <w:t> </w:t>
      </w:r>
      <w:r>
        <w:rPr>
          <w:rFonts w:ascii="Calibri"/>
          <w:b/>
          <w:sz w:val="20"/>
          <w:vertAlign w:val="baseline"/>
        </w:rPr>
        <w:t>3.8</w:t>
      </w:r>
      <w:r>
        <w:rPr>
          <w:rFonts w:ascii="Calibri"/>
          <w:b/>
          <w:spacing w:val="-1"/>
          <w:sz w:val="20"/>
          <w:vertAlign w:val="baseline"/>
        </w:rPr>
        <w:t> </w:t>
      </w:r>
      <w:r>
        <w:rPr>
          <w:rFonts w:ascii="Calibri"/>
          <w:sz w:val="20"/>
          <w:vertAlign w:val="baseline"/>
        </w:rPr>
        <w:t>supra</w:t>
      </w:r>
      <w:r>
        <w:rPr>
          <w:rFonts w:ascii="Calibri"/>
          <w:spacing w:val="-6"/>
          <w:sz w:val="20"/>
          <w:vertAlign w:val="baseline"/>
        </w:rPr>
        <w:t> </w:t>
      </w:r>
      <w:r>
        <w:rPr>
          <w:rFonts w:ascii="Calibri"/>
          <w:sz w:val="20"/>
          <w:vertAlign w:val="baseline"/>
        </w:rPr>
        <w:t>on</w:t>
      </w:r>
      <w:r>
        <w:rPr>
          <w:rFonts w:ascii="Calibri"/>
          <w:spacing w:val="-5"/>
          <w:sz w:val="20"/>
          <w:vertAlign w:val="baseline"/>
        </w:rPr>
        <w:t> </w:t>
      </w:r>
      <w:r>
        <w:rPr>
          <w:rFonts w:ascii="Calibri"/>
          <w:sz w:val="20"/>
          <w:vertAlign w:val="baseline"/>
        </w:rPr>
        <w:t>Duty</w:t>
      </w:r>
      <w:r>
        <w:rPr>
          <w:rFonts w:ascii="Calibri"/>
          <w:spacing w:val="-5"/>
          <w:sz w:val="20"/>
          <w:vertAlign w:val="baseline"/>
        </w:rPr>
        <w:t> </w:t>
      </w:r>
      <w:r>
        <w:rPr>
          <w:rFonts w:ascii="Calibri"/>
          <w:sz w:val="20"/>
          <w:vertAlign w:val="baseline"/>
        </w:rPr>
        <w:t>Not</w:t>
      </w:r>
      <w:r>
        <w:rPr>
          <w:rFonts w:ascii="Calibri"/>
          <w:spacing w:val="-5"/>
          <w:sz w:val="20"/>
          <w:vertAlign w:val="baseline"/>
        </w:rPr>
        <w:t> </w:t>
      </w:r>
      <w:r>
        <w:rPr>
          <w:rFonts w:ascii="Calibri"/>
          <w:sz w:val="20"/>
          <w:vertAlign w:val="baseline"/>
        </w:rPr>
        <w:t>to</w:t>
      </w:r>
      <w:r>
        <w:rPr>
          <w:rFonts w:ascii="Calibri"/>
          <w:spacing w:val="-1"/>
          <w:sz w:val="20"/>
          <w:vertAlign w:val="baseline"/>
        </w:rPr>
        <w:t> </w:t>
      </w:r>
      <w:r>
        <w:rPr>
          <w:rFonts w:ascii="Calibri"/>
          <w:sz w:val="20"/>
          <w:vertAlign w:val="baseline"/>
        </w:rPr>
        <w:t>Accept</w:t>
      </w:r>
      <w:r>
        <w:rPr>
          <w:rFonts w:ascii="Calibri"/>
          <w:spacing w:val="-5"/>
          <w:sz w:val="20"/>
          <w:vertAlign w:val="baseline"/>
        </w:rPr>
        <w:t> </w:t>
      </w:r>
      <w:r>
        <w:rPr>
          <w:rFonts w:ascii="Calibri"/>
          <w:sz w:val="20"/>
          <w:vertAlign w:val="baseline"/>
        </w:rPr>
        <w:t>Secret</w:t>
      </w:r>
      <w:r>
        <w:rPr>
          <w:rFonts w:ascii="Calibri"/>
          <w:spacing w:val="-5"/>
          <w:sz w:val="20"/>
          <w:vertAlign w:val="baseline"/>
        </w:rPr>
        <w:t> </w:t>
      </w:r>
      <w:r>
        <w:rPr>
          <w:rFonts w:ascii="Calibri"/>
          <w:spacing w:val="-2"/>
          <w:sz w:val="20"/>
          <w:vertAlign w:val="baseline"/>
        </w:rPr>
        <w:t>Benefits.</w:t>
      </w:r>
    </w:p>
    <w:p>
      <w:pPr>
        <w:spacing w:after="0"/>
        <w:jc w:val="both"/>
        <w:rPr>
          <w:rFonts w:ascii="Calibri"/>
          <w:sz w:val="20"/>
        </w:rPr>
        <w:sectPr>
          <w:type w:val="continuous"/>
          <w:pgSz w:w="11910" w:h="16840"/>
          <w:pgMar w:header="0" w:footer="1003" w:top="1320" w:bottom="280" w:left="1680" w:right="1180"/>
        </w:sectPr>
      </w:pPr>
    </w:p>
    <w:p>
      <w:pPr>
        <w:pStyle w:val="BodyText"/>
        <w:spacing w:line="480" w:lineRule="auto" w:before="70"/>
        <w:ind w:right="185"/>
        <w:jc w:val="both"/>
      </w:pPr>
      <w:r>
        <w:rPr/>
        <w:t>commission either in cash or kind, from any person, or sharing in the profit of that person in respect of any transaction involving his company in order to introduce his company</w:t>
      </w:r>
      <w:r>
        <w:rPr>
          <w:spacing w:val="9"/>
        </w:rPr>
        <w:t> </w:t>
      </w:r>
      <w:r>
        <w:rPr/>
        <w:t>to</w:t>
      </w:r>
      <w:r>
        <w:rPr>
          <w:spacing w:val="17"/>
        </w:rPr>
        <w:t> </w:t>
      </w:r>
      <w:r>
        <w:rPr/>
        <w:t>deal</w:t>
      </w:r>
      <w:r>
        <w:rPr>
          <w:spacing w:val="5"/>
        </w:rPr>
        <w:t> </w:t>
      </w:r>
      <w:r>
        <w:rPr/>
        <w:t>with</w:t>
      </w:r>
      <w:r>
        <w:rPr>
          <w:spacing w:val="8"/>
        </w:rPr>
        <w:t> </w:t>
      </w:r>
      <w:r>
        <w:rPr/>
        <w:t>such</w:t>
      </w:r>
      <w:r>
        <w:rPr>
          <w:spacing w:val="9"/>
        </w:rPr>
        <w:t> </w:t>
      </w:r>
      <w:r>
        <w:rPr/>
        <w:t>a</w:t>
      </w:r>
      <w:r>
        <w:rPr>
          <w:spacing w:val="12"/>
        </w:rPr>
        <w:t> </w:t>
      </w:r>
      <w:r>
        <w:rPr/>
        <w:t>person.</w:t>
      </w:r>
      <w:r>
        <w:rPr>
          <w:spacing w:val="19"/>
        </w:rPr>
        <w:t> </w:t>
      </w:r>
      <w:r>
        <w:rPr/>
        <w:t>Clearly,</w:t>
      </w:r>
      <w:r>
        <w:rPr>
          <w:spacing w:val="15"/>
        </w:rPr>
        <w:t> </w:t>
      </w:r>
      <w:r>
        <w:rPr/>
        <w:t>the</w:t>
      </w:r>
      <w:r>
        <w:rPr>
          <w:spacing w:val="17"/>
        </w:rPr>
        <w:t> </w:t>
      </w:r>
      <w:r>
        <w:rPr/>
        <w:t>drafters</w:t>
      </w:r>
      <w:r>
        <w:rPr>
          <w:spacing w:val="14"/>
        </w:rPr>
        <w:t> </w:t>
      </w:r>
      <w:r>
        <w:rPr/>
        <w:t>intended</w:t>
      </w:r>
      <w:r>
        <w:rPr>
          <w:spacing w:val="18"/>
        </w:rPr>
        <w:t> </w:t>
      </w:r>
      <w:r>
        <w:rPr/>
        <w:t>―introduce‖</w:t>
      </w:r>
      <w:r>
        <w:rPr>
          <w:spacing w:val="12"/>
        </w:rPr>
        <w:t> </w:t>
      </w:r>
      <w:r>
        <w:rPr/>
        <w:t>to</w:t>
      </w:r>
      <w:r>
        <w:rPr>
          <w:spacing w:val="13"/>
        </w:rPr>
        <w:t> </w:t>
      </w:r>
      <w:r>
        <w:rPr>
          <w:spacing w:val="-4"/>
        </w:rPr>
        <w:t>read</w:t>
      </w:r>
    </w:p>
    <w:p>
      <w:pPr>
        <w:pStyle w:val="BodyText"/>
        <w:spacing w:line="480" w:lineRule="auto"/>
        <w:ind w:right="190"/>
        <w:jc w:val="both"/>
      </w:pPr>
      <w:r>
        <w:rPr/>
        <w:t>―induce‖ in the latter section. Otherwise, the wording would not make sense. S. 287(2) clarifies the consequence of breach as disgorgement, in addition to damages. Also, the law recognizes an exception to the rule in cases where unsolicited gift</w:t>
      </w:r>
      <w:r>
        <w:rPr>
          <w:spacing w:val="36"/>
        </w:rPr>
        <w:t> </w:t>
      </w:r>
      <w:r>
        <w:rPr/>
        <w:t>is offered as a sign of gratitude after the transaction. However, a declaration must be made before the board and the fact must be recorded in the minutes book.</w:t>
      </w:r>
    </w:p>
    <w:p>
      <w:pPr>
        <w:pStyle w:val="BodyText"/>
        <w:spacing w:line="480" w:lineRule="auto" w:before="2"/>
        <w:ind w:right="193" w:firstLine="720"/>
        <w:jc w:val="both"/>
      </w:pPr>
      <w:r>
        <w:rPr/>
        <w:t>The two laws share little in common, apart from the fact that both clearly admit bribery within the prohibition. Also, secrecy is not a factor considered in determining liability under either s.176 CA or s.287 CAMA. Although the marginal notes in s.287 CAMA refer to ―prohibition of secret benefits,‖ the term ―secret‖ features only in the last subsection. Obviously, it would not matter that the gift/benefit was ―openly‖ </w:t>
      </w:r>
      <w:r>
        <w:rPr>
          <w:spacing w:val="-2"/>
        </w:rPr>
        <w:t>received.</w:t>
      </w:r>
      <w:r>
        <w:rPr>
          <w:spacing w:val="-2"/>
          <w:vertAlign w:val="superscript"/>
        </w:rPr>
        <w:t>113</w:t>
      </w:r>
    </w:p>
    <w:p>
      <w:pPr>
        <w:pStyle w:val="BodyText"/>
        <w:spacing w:line="480" w:lineRule="auto" w:before="1"/>
        <w:ind w:right="236" w:firstLine="720"/>
        <w:jc w:val="both"/>
      </w:pPr>
      <w:r>
        <w:rPr/>
        <w:t>The</w:t>
      </w:r>
      <w:r>
        <w:rPr>
          <w:spacing w:val="-2"/>
        </w:rPr>
        <w:t> </w:t>
      </w:r>
      <w:r>
        <w:rPr/>
        <w:t>provisions</w:t>
      </w:r>
      <w:r>
        <w:rPr>
          <w:spacing w:val="-3"/>
        </w:rPr>
        <w:t> </w:t>
      </w:r>
      <w:r>
        <w:rPr/>
        <w:t>of</w:t>
      </w:r>
      <w:r>
        <w:rPr>
          <w:spacing w:val="-9"/>
        </w:rPr>
        <w:t> </w:t>
      </w:r>
      <w:r>
        <w:rPr/>
        <w:t>the</w:t>
      </w:r>
      <w:r>
        <w:rPr>
          <w:spacing w:val="-2"/>
        </w:rPr>
        <w:t> </w:t>
      </w:r>
      <w:r>
        <w:rPr/>
        <w:t>two laws</w:t>
      </w:r>
      <w:r>
        <w:rPr>
          <w:spacing w:val="-4"/>
        </w:rPr>
        <w:t> </w:t>
      </w:r>
      <w:r>
        <w:rPr/>
        <w:t>differ in</w:t>
      </w:r>
      <w:r>
        <w:rPr>
          <w:spacing w:val="-6"/>
        </w:rPr>
        <w:t> </w:t>
      </w:r>
      <w:r>
        <w:rPr/>
        <w:t>certain</w:t>
      </w:r>
      <w:r>
        <w:rPr>
          <w:spacing w:val="-6"/>
        </w:rPr>
        <w:t> </w:t>
      </w:r>
      <w:r>
        <w:rPr/>
        <w:t>respects</w:t>
      </w:r>
      <w:r>
        <w:rPr>
          <w:spacing w:val="-3"/>
        </w:rPr>
        <w:t> </w:t>
      </w:r>
      <w:r>
        <w:rPr/>
        <w:t>regarding</w:t>
      </w:r>
      <w:r>
        <w:rPr>
          <w:spacing w:val="-1"/>
        </w:rPr>
        <w:t> </w:t>
      </w:r>
      <w:r>
        <w:rPr/>
        <w:t>the</w:t>
      </w:r>
      <w:r>
        <w:rPr>
          <w:spacing w:val="-2"/>
        </w:rPr>
        <w:t> </w:t>
      </w:r>
      <w:r>
        <w:rPr/>
        <w:t>duty</w:t>
      </w:r>
      <w:r>
        <w:rPr>
          <w:spacing w:val="-10"/>
        </w:rPr>
        <w:t> </w:t>
      </w:r>
      <w:r>
        <w:rPr/>
        <w:t>under review. Firstly, where s.287 CAMA prohibits the taking of bribe, gift or commission in cash or kind, s.176 simply prohibits benefits, which word, it is submitted, neatly encompasses all the items mentioned under s.287(1) CAMA and admits more.</w:t>
      </w:r>
      <w:r>
        <w:rPr>
          <w:spacing w:val="40"/>
        </w:rPr>
        <w:t> </w:t>
      </w:r>
      <w:r>
        <w:rPr/>
        <w:t>Secondly, the tenor of s.287(1) CAMA appears to restrict the application of the rule to the motive of inducement. That is, cases where the director accepted the bribe, gift or commission in</w:t>
      </w:r>
      <w:r>
        <w:rPr>
          <w:spacing w:val="-1"/>
        </w:rPr>
        <w:t> </w:t>
      </w:r>
      <w:r>
        <w:rPr/>
        <w:t>order to induce his company</w:t>
      </w:r>
      <w:r>
        <w:rPr>
          <w:spacing w:val="-6"/>
        </w:rPr>
        <w:t> </w:t>
      </w:r>
      <w:r>
        <w:rPr/>
        <w:t>to deal</w:t>
      </w:r>
      <w:r>
        <w:rPr>
          <w:spacing w:val="-1"/>
        </w:rPr>
        <w:t> </w:t>
      </w:r>
      <w:r>
        <w:rPr/>
        <w:t>with such</w:t>
      </w:r>
      <w:r>
        <w:rPr>
          <w:spacing w:val="-1"/>
        </w:rPr>
        <w:t> </w:t>
      </w:r>
      <w:r>
        <w:rPr/>
        <w:t>a person. Thus, where the gift or commission</w:t>
      </w:r>
      <w:r>
        <w:rPr>
          <w:spacing w:val="-1"/>
        </w:rPr>
        <w:t> </w:t>
      </w:r>
      <w:r>
        <w:rPr/>
        <w:t>is received by</w:t>
      </w:r>
      <w:r>
        <w:rPr>
          <w:spacing w:val="-6"/>
        </w:rPr>
        <w:t> </w:t>
      </w:r>
      <w:r>
        <w:rPr/>
        <w:t>the</w:t>
      </w:r>
      <w:r>
        <w:rPr>
          <w:spacing w:val="-2"/>
        </w:rPr>
        <w:t> </w:t>
      </w:r>
      <w:r>
        <w:rPr/>
        <w:t>director without any</w:t>
      </w:r>
      <w:r>
        <w:rPr>
          <w:spacing w:val="-11"/>
        </w:rPr>
        <w:t> </w:t>
      </w:r>
      <w:r>
        <w:rPr/>
        <w:t>evidence</w:t>
      </w:r>
      <w:r>
        <w:rPr>
          <w:spacing w:val="-2"/>
        </w:rPr>
        <w:t> </w:t>
      </w:r>
      <w:r>
        <w:rPr/>
        <w:t>of</w:t>
      </w:r>
      <w:r>
        <w:rPr>
          <w:spacing w:val="-9"/>
        </w:rPr>
        <w:t> </w:t>
      </w:r>
      <w:r>
        <w:rPr/>
        <w:t>corrupt motive</w:t>
      </w:r>
      <w:r>
        <w:rPr>
          <w:spacing w:val="-2"/>
        </w:rPr>
        <w:t> </w:t>
      </w:r>
      <w:r>
        <w:rPr/>
        <w:t>or where it is apparent that the director was actually unaffected, the rule under the section would</w:t>
      </w:r>
      <w:r>
        <w:rPr>
          <w:spacing w:val="8"/>
        </w:rPr>
        <w:t> </w:t>
      </w:r>
      <w:r>
        <w:rPr/>
        <w:t>not</w:t>
      </w:r>
      <w:r>
        <w:rPr>
          <w:spacing w:val="9"/>
        </w:rPr>
        <w:t> </w:t>
      </w:r>
      <w:r>
        <w:rPr/>
        <w:t>apply.</w:t>
      </w:r>
      <w:r>
        <w:rPr>
          <w:spacing w:val="7"/>
        </w:rPr>
        <w:t> </w:t>
      </w:r>
      <w:r>
        <w:rPr/>
        <w:t>But</w:t>
      </w:r>
      <w:r>
        <w:rPr>
          <w:spacing w:val="9"/>
        </w:rPr>
        <w:t> </w:t>
      </w:r>
      <w:r>
        <w:rPr/>
        <w:t>this</w:t>
      </w:r>
      <w:r>
        <w:rPr>
          <w:spacing w:val="2"/>
        </w:rPr>
        <w:t> </w:t>
      </w:r>
      <w:r>
        <w:rPr/>
        <w:t>would</w:t>
      </w:r>
      <w:r>
        <w:rPr>
          <w:spacing w:val="8"/>
        </w:rPr>
        <w:t> </w:t>
      </w:r>
      <w:r>
        <w:rPr/>
        <w:t>not</w:t>
      </w:r>
      <w:r>
        <w:rPr>
          <w:spacing w:val="10"/>
        </w:rPr>
        <w:t> </w:t>
      </w:r>
      <w:r>
        <w:rPr/>
        <w:t>be</w:t>
      </w:r>
      <w:r>
        <w:rPr>
          <w:spacing w:val="3"/>
        </w:rPr>
        <w:t> </w:t>
      </w:r>
      <w:r>
        <w:rPr/>
        <w:t>the</w:t>
      </w:r>
      <w:r>
        <w:rPr>
          <w:spacing w:val="4"/>
        </w:rPr>
        <w:t> </w:t>
      </w:r>
      <w:r>
        <w:rPr/>
        <w:t>case</w:t>
      </w:r>
      <w:r>
        <w:rPr>
          <w:spacing w:val="4"/>
        </w:rPr>
        <w:t> </w:t>
      </w:r>
      <w:r>
        <w:rPr/>
        <w:t>under</w:t>
      </w:r>
      <w:r>
        <w:rPr>
          <w:spacing w:val="5"/>
        </w:rPr>
        <w:t> </w:t>
      </w:r>
      <w:r>
        <w:rPr/>
        <w:t>s.176</w:t>
      </w:r>
      <w:r>
        <w:rPr>
          <w:spacing w:val="4"/>
        </w:rPr>
        <w:t> </w:t>
      </w:r>
      <w:r>
        <w:rPr/>
        <w:t>CA</w:t>
      </w:r>
      <w:r>
        <w:rPr>
          <w:spacing w:val="-1"/>
        </w:rPr>
        <w:t> </w:t>
      </w:r>
      <w:r>
        <w:rPr/>
        <w:t>which</w:t>
      </w:r>
      <w:r>
        <w:rPr>
          <w:spacing w:val="-1"/>
        </w:rPr>
        <w:t> </w:t>
      </w:r>
      <w:r>
        <w:rPr/>
        <w:t>appears</w:t>
      </w:r>
      <w:r>
        <w:rPr>
          <w:spacing w:val="2"/>
        </w:rPr>
        <w:t> </w:t>
      </w:r>
      <w:r>
        <w:rPr/>
        <w:t>to</w:t>
      </w:r>
      <w:r>
        <w:rPr>
          <w:spacing w:val="9"/>
        </w:rPr>
        <w:t> </w:t>
      </w:r>
      <w:r>
        <w:rPr>
          <w:spacing w:val="-2"/>
        </w:rPr>
        <w:t>leave</w:t>
      </w:r>
    </w:p>
    <w:p>
      <w:pPr>
        <w:pStyle w:val="BodyText"/>
        <w:spacing w:before="149"/>
        <w:ind w:left="0"/>
        <w:rPr>
          <w:sz w:val="20"/>
        </w:rPr>
      </w:pPr>
      <w:r>
        <w:rPr/>
        <mc:AlternateContent>
          <mc:Choice Requires="wps">
            <w:drawing>
              <wp:anchor distT="0" distB="0" distL="0" distR="0" allowOverlap="1" layoutInCell="1" locked="0" behindDoc="1" simplePos="0" relativeHeight="487728128">
                <wp:simplePos x="0" y="0"/>
                <wp:positionH relativeFrom="page">
                  <wp:posOffset>1262481</wp:posOffset>
                </wp:positionH>
                <wp:positionV relativeFrom="paragraph">
                  <wp:posOffset>256314</wp:posOffset>
                </wp:positionV>
                <wp:extent cx="1829435" cy="9525"/>
                <wp:effectExtent l="0" t="0" r="0" b="0"/>
                <wp:wrapTopAndBottom/>
                <wp:docPr id="301" name="Graphic 301"/>
                <wp:cNvGraphicFramePr>
                  <a:graphicFrameLocks/>
                </wp:cNvGraphicFramePr>
                <a:graphic>
                  <a:graphicData uri="http://schemas.microsoft.com/office/word/2010/wordprocessingShape">
                    <wps:wsp>
                      <wps:cNvPr id="301" name="Graphic 301"/>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0.182280pt;width:144.050pt;height:.71997pt;mso-position-horizontal-relative:page;mso-position-vertical-relative:paragraph;z-index:-15588352;mso-wrap-distance-left:0;mso-wrap-distance-right:0" id="docshape256"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113</w:t>
      </w:r>
      <w:r>
        <w:rPr>
          <w:rFonts w:ascii="Calibri"/>
          <w:spacing w:val="-3"/>
          <w:sz w:val="20"/>
          <w:vertAlign w:val="baseline"/>
        </w:rPr>
        <w:t> </w:t>
      </w:r>
      <w:r>
        <w:rPr>
          <w:rFonts w:ascii="Calibri"/>
          <w:sz w:val="20"/>
          <w:vertAlign w:val="baseline"/>
        </w:rPr>
        <w:t>However,</w:t>
      </w:r>
      <w:r>
        <w:rPr>
          <w:rFonts w:ascii="Calibri"/>
          <w:spacing w:val="-10"/>
          <w:sz w:val="20"/>
          <w:vertAlign w:val="baseline"/>
        </w:rPr>
        <w:t> </w:t>
      </w:r>
      <w:r>
        <w:rPr>
          <w:rFonts w:ascii="Calibri"/>
          <w:sz w:val="20"/>
          <w:vertAlign w:val="baseline"/>
        </w:rPr>
        <w:t>compare</w:t>
      </w:r>
      <w:r>
        <w:rPr>
          <w:rFonts w:ascii="Calibri"/>
          <w:spacing w:val="-7"/>
          <w:sz w:val="20"/>
          <w:vertAlign w:val="baseline"/>
        </w:rPr>
        <w:t> </w:t>
      </w:r>
      <w:r>
        <w:rPr>
          <w:rFonts w:ascii="Calibri"/>
          <w:sz w:val="20"/>
          <w:vertAlign w:val="baseline"/>
        </w:rPr>
        <w:t>situations</w:t>
      </w:r>
      <w:r>
        <w:rPr>
          <w:rFonts w:ascii="Calibri"/>
          <w:spacing w:val="-6"/>
          <w:sz w:val="20"/>
          <w:vertAlign w:val="baseline"/>
        </w:rPr>
        <w:t> </w:t>
      </w:r>
      <w:r>
        <w:rPr>
          <w:rFonts w:ascii="Calibri"/>
          <w:sz w:val="20"/>
          <w:vertAlign w:val="baseline"/>
        </w:rPr>
        <w:t>falling</w:t>
      </w:r>
      <w:r>
        <w:rPr>
          <w:rFonts w:ascii="Calibri"/>
          <w:spacing w:val="-7"/>
          <w:sz w:val="20"/>
          <w:vertAlign w:val="baseline"/>
        </w:rPr>
        <w:t> </w:t>
      </w:r>
      <w:r>
        <w:rPr>
          <w:rFonts w:ascii="Calibri"/>
          <w:sz w:val="20"/>
          <w:vertAlign w:val="baseline"/>
        </w:rPr>
        <w:t>under</w:t>
      </w:r>
      <w:r>
        <w:rPr>
          <w:rFonts w:ascii="Calibri"/>
          <w:spacing w:val="-7"/>
          <w:sz w:val="20"/>
          <w:vertAlign w:val="baseline"/>
        </w:rPr>
        <w:t> </w:t>
      </w:r>
      <w:r>
        <w:rPr>
          <w:rFonts w:ascii="Calibri"/>
          <w:sz w:val="20"/>
          <w:vertAlign w:val="baseline"/>
        </w:rPr>
        <w:t>s.280</w:t>
      </w:r>
      <w:r>
        <w:rPr>
          <w:rFonts w:ascii="Calibri"/>
          <w:spacing w:val="-4"/>
          <w:sz w:val="20"/>
          <w:vertAlign w:val="baseline"/>
        </w:rPr>
        <w:t> </w:t>
      </w:r>
      <w:r>
        <w:rPr>
          <w:rFonts w:ascii="Calibri"/>
          <w:sz w:val="20"/>
          <w:vertAlign w:val="baseline"/>
        </w:rPr>
        <w:t>CAMA</w:t>
      </w:r>
      <w:r>
        <w:rPr>
          <w:rFonts w:ascii="Calibri"/>
          <w:spacing w:val="-10"/>
          <w:sz w:val="20"/>
          <w:vertAlign w:val="baseline"/>
        </w:rPr>
        <w:t> </w:t>
      </w:r>
      <w:r>
        <w:rPr>
          <w:rFonts w:ascii="Calibri"/>
          <w:sz w:val="20"/>
          <w:vertAlign w:val="baseline"/>
        </w:rPr>
        <w:t>which</w:t>
      </w:r>
      <w:r>
        <w:rPr>
          <w:rFonts w:ascii="Calibri"/>
          <w:spacing w:val="-4"/>
          <w:sz w:val="20"/>
          <w:vertAlign w:val="baseline"/>
        </w:rPr>
        <w:t> </w:t>
      </w:r>
      <w:r>
        <w:rPr>
          <w:rFonts w:ascii="Calibri"/>
          <w:sz w:val="20"/>
          <w:vertAlign w:val="baseline"/>
        </w:rPr>
        <w:t>clearly</w:t>
      </w:r>
      <w:r>
        <w:rPr>
          <w:rFonts w:ascii="Calibri"/>
          <w:spacing w:val="-8"/>
          <w:sz w:val="20"/>
          <w:vertAlign w:val="baseline"/>
        </w:rPr>
        <w:t> </w:t>
      </w:r>
      <w:r>
        <w:rPr>
          <w:rFonts w:ascii="Calibri"/>
          <w:sz w:val="20"/>
          <w:vertAlign w:val="baseline"/>
        </w:rPr>
        <w:t>refer</w:t>
      </w:r>
      <w:r>
        <w:rPr>
          <w:rFonts w:ascii="Calibri"/>
          <w:spacing w:val="-2"/>
          <w:sz w:val="20"/>
          <w:vertAlign w:val="baseline"/>
        </w:rPr>
        <w:t> </w:t>
      </w:r>
      <w:r>
        <w:rPr>
          <w:rFonts w:ascii="Calibri"/>
          <w:sz w:val="20"/>
          <w:vertAlign w:val="baseline"/>
        </w:rPr>
        <w:t>to</w:t>
      </w:r>
      <w:r>
        <w:rPr>
          <w:rFonts w:ascii="Calibri"/>
          <w:spacing w:val="-9"/>
          <w:sz w:val="20"/>
          <w:vertAlign w:val="baseline"/>
        </w:rPr>
        <w:t> </w:t>
      </w:r>
      <w:r>
        <w:rPr>
          <w:rFonts w:ascii="Calibri"/>
          <w:sz w:val="20"/>
          <w:vertAlign w:val="baseline"/>
        </w:rPr>
        <w:t>secret</w:t>
      </w:r>
      <w:r>
        <w:rPr>
          <w:rFonts w:ascii="Calibri"/>
          <w:spacing w:val="-8"/>
          <w:sz w:val="20"/>
          <w:vertAlign w:val="baseline"/>
        </w:rPr>
        <w:t> </w:t>
      </w:r>
      <w:r>
        <w:rPr>
          <w:rFonts w:ascii="Calibri"/>
          <w:spacing w:val="-2"/>
          <w:sz w:val="20"/>
          <w:vertAlign w:val="baseline"/>
        </w:rPr>
        <w:t>profit.</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38"/>
        <w:jc w:val="both"/>
      </w:pPr>
      <w:r>
        <w:rPr/>
        <w:t>no loophole, since the rule applies even where the benefit was given simply for being a director of a particular company. The idea behind the principle under discussion is to prohibit unauthorized profits</w:t>
      </w:r>
      <w:r>
        <w:rPr>
          <w:spacing w:val="-2"/>
        </w:rPr>
        <w:t> </w:t>
      </w:r>
      <w:r>
        <w:rPr/>
        <w:t>or gains in the course</w:t>
      </w:r>
      <w:r>
        <w:rPr>
          <w:spacing w:val="-1"/>
        </w:rPr>
        <w:t> </w:t>
      </w:r>
      <w:r>
        <w:rPr/>
        <w:t>of</w:t>
      </w:r>
      <w:r>
        <w:rPr>
          <w:spacing w:val="-8"/>
        </w:rPr>
        <w:t> </w:t>
      </w:r>
      <w:r>
        <w:rPr/>
        <w:t>discharge</w:t>
      </w:r>
      <w:r>
        <w:rPr>
          <w:spacing w:val="-1"/>
        </w:rPr>
        <w:t> </w:t>
      </w:r>
      <w:r>
        <w:rPr/>
        <w:t>of</w:t>
      </w:r>
      <w:r>
        <w:rPr>
          <w:spacing w:val="-8"/>
        </w:rPr>
        <w:t> </w:t>
      </w:r>
      <w:r>
        <w:rPr/>
        <w:t>the</w:t>
      </w:r>
      <w:r>
        <w:rPr>
          <w:spacing w:val="-1"/>
        </w:rPr>
        <w:t> </w:t>
      </w:r>
      <w:r>
        <w:rPr/>
        <w:t>duties</w:t>
      </w:r>
      <w:r>
        <w:rPr>
          <w:spacing w:val="-2"/>
        </w:rPr>
        <w:t> </w:t>
      </w:r>
      <w:r>
        <w:rPr/>
        <w:t>attached to the office. Thus, there is no room for the director‘s subjective judgment in these cases.</w:t>
      </w:r>
    </w:p>
    <w:p>
      <w:pPr>
        <w:pStyle w:val="BodyText"/>
        <w:spacing w:line="480" w:lineRule="auto"/>
        <w:ind w:right="235" w:firstLine="720"/>
        <w:jc w:val="both"/>
      </w:pPr>
      <w:r>
        <w:rPr/>
        <w:t>Thirdly, where s.176 CA speaks of ―third party‖ and defines it, s.278 CAMA mentions ―any</w:t>
      </w:r>
      <w:r>
        <w:rPr>
          <w:spacing w:val="-6"/>
        </w:rPr>
        <w:t> </w:t>
      </w:r>
      <w:r>
        <w:rPr/>
        <w:t>person‖</w:t>
      </w:r>
      <w:r>
        <w:rPr>
          <w:spacing w:val="-2"/>
        </w:rPr>
        <w:t> </w:t>
      </w:r>
      <w:r>
        <w:rPr/>
        <w:t>and</w:t>
      </w:r>
      <w:r>
        <w:rPr>
          <w:spacing w:val="-1"/>
        </w:rPr>
        <w:t> </w:t>
      </w:r>
      <w:r>
        <w:rPr/>
        <w:t>does</w:t>
      </w:r>
      <w:r>
        <w:rPr>
          <w:spacing w:val="-3"/>
        </w:rPr>
        <w:t> </w:t>
      </w:r>
      <w:r>
        <w:rPr/>
        <w:t>not</w:t>
      </w:r>
      <w:r>
        <w:rPr>
          <w:spacing w:val="-1"/>
        </w:rPr>
        <w:t> </w:t>
      </w:r>
      <w:r>
        <w:rPr/>
        <w:t>define it. Potentially, an</w:t>
      </w:r>
      <w:r>
        <w:rPr>
          <w:spacing w:val="-6"/>
        </w:rPr>
        <w:t> </w:t>
      </w:r>
      <w:r>
        <w:rPr/>
        <w:t>associated</w:t>
      </w:r>
      <w:r>
        <w:rPr>
          <w:spacing w:val="-1"/>
        </w:rPr>
        <w:t> </w:t>
      </w:r>
      <w:r>
        <w:rPr/>
        <w:t>corporate</w:t>
      </w:r>
      <w:r>
        <w:rPr>
          <w:spacing w:val="-2"/>
        </w:rPr>
        <w:t> </w:t>
      </w:r>
      <w:r>
        <w:rPr/>
        <w:t>body or</w:t>
      </w:r>
      <w:r>
        <w:rPr>
          <w:spacing w:val="-5"/>
        </w:rPr>
        <w:t> </w:t>
      </w:r>
      <w:r>
        <w:rPr/>
        <w:t>person</w:t>
      </w:r>
      <w:r>
        <w:rPr>
          <w:spacing w:val="-10"/>
        </w:rPr>
        <w:t> </w:t>
      </w:r>
      <w:r>
        <w:rPr/>
        <w:t>acting</w:t>
      </w:r>
      <w:r>
        <w:rPr>
          <w:spacing w:val="-6"/>
        </w:rPr>
        <w:t> </w:t>
      </w:r>
      <w:r>
        <w:rPr/>
        <w:t>on</w:t>
      </w:r>
      <w:r>
        <w:rPr>
          <w:spacing w:val="-2"/>
        </w:rPr>
        <w:t> </w:t>
      </w:r>
      <w:r>
        <w:rPr/>
        <w:t>its</w:t>
      </w:r>
      <w:r>
        <w:rPr>
          <w:spacing w:val="-4"/>
        </w:rPr>
        <w:t> </w:t>
      </w:r>
      <w:r>
        <w:rPr/>
        <w:t>behalf</w:t>
      </w:r>
      <w:r>
        <w:rPr>
          <w:spacing w:val="-5"/>
        </w:rPr>
        <w:t> </w:t>
      </w:r>
      <w:r>
        <w:rPr/>
        <w:t>can</w:t>
      </w:r>
      <w:r>
        <w:rPr>
          <w:spacing w:val="-6"/>
        </w:rPr>
        <w:t> </w:t>
      </w:r>
      <w:r>
        <w:rPr/>
        <w:t>come</w:t>
      </w:r>
      <w:r>
        <w:rPr>
          <w:spacing w:val="-6"/>
        </w:rPr>
        <w:t> </w:t>
      </w:r>
      <w:r>
        <w:rPr/>
        <w:t>within</w:t>
      </w:r>
      <w:r>
        <w:rPr>
          <w:spacing w:val="-6"/>
        </w:rPr>
        <w:t> </w:t>
      </w:r>
      <w:r>
        <w:rPr/>
        <w:t>the meaning</w:t>
      </w:r>
      <w:r>
        <w:rPr>
          <w:spacing w:val="-2"/>
        </w:rPr>
        <w:t> </w:t>
      </w:r>
      <w:r>
        <w:rPr/>
        <w:t>of</w:t>
      </w:r>
      <w:r>
        <w:rPr>
          <w:spacing w:val="-5"/>
        </w:rPr>
        <w:t> </w:t>
      </w:r>
      <w:r>
        <w:rPr/>
        <w:t>―any</w:t>
      </w:r>
      <w:r>
        <w:rPr>
          <w:spacing w:val="-10"/>
        </w:rPr>
        <w:t> </w:t>
      </w:r>
      <w:r>
        <w:rPr/>
        <w:t>person‖,</w:t>
      </w:r>
      <w:r>
        <w:rPr>
          <w:spacing w:val="-4"/>
        </w:rPr>
        <w:t> </w:t>
      </w:r>
      <w:r>
        <w:rPr/>
        <w:t>which</w:t>
      </w:r>
      <w:r>
        <w:rPr>
          <w:spacing w:val="-6"/>
        </w:rPr>
        <w:t> </w:t>
      </w:r>
      <w:r>
        <w:rPr/>
        <w:t>may not have been the intendment of the drafters. Fourthly, where s.176(3) CA makes concessions regarding benefits received by nominee directors from their nominators, s.278(3) CAMA on the other hand makes concessions regarding unsolicited gifts received as a sign of gratitude after the transaction.</w:t>
      </w:r>
    </w:p>
    <w:p>
      <w:pPr>
        <w:pStyle w:val="BodyText"/>
        <w:spacing w:line="480" w:lineRule="auto" w:before="2"/>
        <w:ind w:right="236" w:firstLine="720"/>
        <w:jc w:val="both"/>
      </w:pPr>
      <w:r>
        <w:rPr/>
        <w:t>Fifthly, s.176(4) CA intends the reasonability doctrine to apply in determining liability under the rule, while s.287(4) disregards the fact of</w:t>
      </w:r>
      <w:r>
        <w:rPr>
          <w:spacing w:val="-3"/>
        </w:rPr>
        <w:t> </w:t>
      </w:r>
      <w:r>
        <w:rPr/>
        <w:t>any benefit to the company or the good faith of the director as defence to a breach of the duty. It</w:t>
      </w:r>
      <w:r>
        <w:rPr>
          <w:spacing w:val="26"/>
        </w:rPr>
        <w:t> </w:t>
      </w:r>
      <w:r>
        <w:rPr/>
        <w:t>may be that this will</w:t>
      </w:r>
      <w:r>
        <w:rPr>
          <w:spacing w:val="-4"/>
        </w:rPr>
        <w:t> </w:t>
      </w:r>
      <w:r>
        <w:rPr/>
        <w:t>practically lead to the same results. This is because, if</w:t>
      </w:r>
      <w:r>
        <w:rPr>
          <w:spacing w:val="-3"/>
        </w:rPr>
        <w:t> </w:t>
      </w:r>
      <w:r>
        <w:rPr/>
        <w:t>the good faith of</w:t>
      </w:r>
      <w:r>
        <w:rPr>
          <w:spacing w:val="-3"/>
        </w:rPr>
        <w:t> </w:t>
      </w:r>
      <w:r>
        <w:rPr/>
        <w:t>the director is disregarded, the implication is that a subjective test is discarded for an objective, reasonable standard in determining liability. However, the issue of benefit to the company is entirely a different matter.</w:t>
      </w:r>
    </w:p>
    <w:p>
      <w:pPr>
        <w:pStyle w:val="BodyText"/>
        <w:spacing w:line="480" w:lineRule="auto" w:before="1"/>
        <w:ind w:right="236" w:firstLine="720"/>
        <w:jc w:val="both"/>
      </w:pPr>
      <w:r>
        <w:rPr/>
        <w:t>Finally, s.170(2)(b) CA clearly imposes the duty in s.176 on a former director,</w:t>
      </w:r>
      <w:r>
        <w:rPr>
          <w:spacing w:val="40"/>
        </w:rPr>
        <w:t> </w:t>
      </w:r>
      <w:r>
        <w:rPr/>
        <w:t>as it does on a substantive. This would discourage a director from resigning simply to take advantage of</w:t>
      </w:r>
      <w:r>
        <w:rPr>
          <w:spacing w:val="-3"/>
        </w:rPr>
        <w:t> </w:t>
      </w:r>
      <w:r>
        <w:rPr/>
        <w:t>what was offered. The CAMA provision does not contemplate such a situation, perhaps because of</w:t>
      </w:r>
      <w:r>
        <w:rPr>
          <w:spacing w:val="-4"/>
        </w:rPr>
        <w:t> </w:t>
      </w:r>
      <w:r>
        <w:rPr/>
        <w:t>the difficulty</w:t>
      </w:r>
      <w:r>
        <w:rPr>
          <w:spacing w:val="-1"/>
        </w:rPr>
        <w:t> </w:t>
      </w:r>
      <w:r>
        <w:rPr/>
        <w:t>a company might encounter regarding proof. However, it is submitted that, if the company can—and it is possible that in clear, obvious</w:t>
      </w:r>
      <w:r>
        <w:rPr>
          <w:spacing w:val="-3"/>
        </w:rPr>
        <w:t> </w:t>
      </w:r>
      <w:r>
        <w:rPr/>
        <w:t>cases,</w:t>
      </w:r>
      <w:r>
        <w:rPr>
          <w:spacing w:val="5"/>
        </w:rPr>
        <w:t> </w:t>
      </w:r>
      <w:r>
        <w:rPr/>
        <w:t>this</w:t>
      </w:r>
      <w:r>
        <w:rPr>
          <w:spacing w:val="-1"/>
        </w:rPr>
        <w:t> </w:t>
      </w:r>
      <w:r>
        <w:rPr/>
        <w:t>would</w:t>
      </w:r>
      <w:r>
        <w:rPr>
          <w:spacing w:val="7"/>
        </w:rPr>
        <w:t> </w:t>
      </w:r>
      <w:r>
        <w:rPr/>
        <w:t>be</w:t>
      </w:r>
      <w:r>
        <w:rPr>
          <w:spacing w:val="1"/>
        </w:rPr>
        <w:t> </w:t>
      </w:r>
      <w:r>
        <w:rPr/>
        <w:t>easy—it</w:t>
      </w:r>
      <w:r>
        <w:rPr>
          <w:spacing w:val="8"/>
        </w:rPr>
        <w:t> </w:t>
      </w:r>
      <w:r>
        <w:rPr/>
        <w:t>should</w:t>
      </w:r>
      <w:r>
        <w:rPr>
          <w:spacing w:val="6"/>
        </w:rPr>
        <w:t> </w:t>
      </w:r>
      <w:r>
        <w:rPr/>
        <w:t>have</w:t>
      </w:r>
      <w:r>
        <w:rPr>
          <w:spacing w:val="5"/>
        </w:rPr>
        <w:t> </w:t>
      </w:r>
      <w:r>
        <w:rPr/>
        <w:t>the</w:t>
      </w:r>
      <w:r>
        <w:rPr>
          <w:spacing w:val="2"/>
        </w:rPr>
        <w:t> </w:t>
      </w:r>
      <w:r>
        <w:rPr/>
        <w:t>right</w:t>
      </w:r>
      <w:r>
        <w:rPr>
          <w:spacing w:val="7"/>
        </w:rPr>
        <w:t> </w:t>
      </w:r>
      <w:r>
        <w:rPr/>
        <w:t>to</w:t>
      </w:r>
      <w:r>
        <w:rPr>
          <w:spacing w:val="3"/>
        </w:rPr>
        <w:t> </w:t>
      </w:r>
      <w:r>
        <w:rPr/>
        <w:t>go</w:t>
      </w:r>
      <w:r>
        <w:rPr>
          <w:spacing w:val="6"/>
        </w:rPr>
        <w:t> </w:t>
      </w:r>
      <w:r>
        <w:rPr/>
        <w:t>after</w:t>
      </w:r>
      <w:r>
        <w:rPr>
          <w:spacing w:val="3"/>
        </w:rPr>
        <w:t> </w:t>
      </w:r>
      <w:r>
        <w:rPr/>
        <w:t>a</w:t>
      </w:r>
      <w:r>
        <w:rPr>
          <w:spacing w:val="2"/>
        </w:rPr>
        <w:t> </w:t>
      </w:r>
      <w:r>
        <w:rPr/>
        <w:t>former</w:t>
      </w:r>
      <w:r>
        <w:rPr>
          <w:spacing w:val="4"/>
        </w:rPr>
        <w:t> </w:t>
      </w:r>
      <w:r>
        <w:rPr>
          <w:spacing w:val="-2"/>
        </w:rPr>
        <w:t>director</w:t>
      </w:r>
    </w:p>
    <w:p>
      <w:pPr>
        <w:spacing w:after="0" w:line="480" w:lineRule="auto"/>
        <w:jc w:val="both"/>
        <w:sectPr>
          <w:pgSz w:w="11910" w:h="16840"/>
          <w:pgMar w:header="0" w:footer="1003" w:top="1320" w:bottom="1200" w:left="1680" w:right="1180"/>
        </w:sectPr>
      </w:pPr>
    </w:p>
    <w:p>
      <w:pPr>
        <w:pStyle w:val="BodyText"/>
        <w:spacing w:line="480" w:lineRule="auto" w:before="70"/>
        <w:ind w:right="243"/>
        <w:jc w:val="both"/>
      </w:pPr>
      <w:r>
        <w:rPr/>
        <w:t>for any such benefits he receives in contravention of that duty. After all, this is an extension of the duty to avoid conflict of interests, for which a similar rule applies.</w:t>
      </w:r>
    </w:p>
    <w:p>
      <w:pPr>
        <w:pStyle w:val="BodyText"/>
        <w:spacing w:line="480" w:lineRule="auto"/>
        <w:ind w:right="236" w:firstLine="720"/>
        <w:jc w:val="both"/>
      </w:pPr>
      <w:r>
        <w:rPr/>
        <w:t>It is pertinent to note also that, by virtue of s.176(5) CA, the rule therein also covers conflict of interest and duty and conflict of duties situations. Thus, a multiple director is bound by the duty as regards any benefit he may gain for one company that would be in breach of the duty he owes another company under s.176 CA.</w:t>
      </w:r>
    </w:p>
    <w:p>
      <w:pPr>
        <w:pStyle w:val="BodyText"/>
        <w:spacing w:line="480" w:lineRule="auto" w:before="1"/>
        <w:ind w:right="242" w:firstLine="720"/>
        <w:jc w:val="both"/>
      </w:pPr>
      <w:r>
        <w:rPr/>
        <w:t>The exception recognized in the case of</w:t>
      </w:r>
      <w:r>
        <w:rPr>
          <w:spacing w:val="-1"/>
        </w:rPr>
        <w:t> </w:t>
      </w:r>
      <w:r>
        <w:rPr/>
        <w:t>unsolicited gift under the CAMA needs further consideration. It has the potential to lead to abuse of opportunity by a director, where he connives with the third party so that it appears that the gift was offered after the transaction and was unsolicited. Short of a confession from the third party, a company would have no way of ascertaining that this was in fact the case.</w:t>
      </w:r>
    </w:p>
    <w:p>
      <w:pPr>
        <w:pStyle w:val="BodyText"/>
        <w:spacing w:line="480" w:lineRule="auto" w:before="1"/>
        <w:ind w:right="225" w:firstLine="720"/>
        <w:jc w:val="both"/>
      </w:pPr>
      <w:r>
        <w:rPr/>
        <w:t>With</w:t>
      </w:r>
      <w:r>
        <w:rPr>
          <w:spacing w:val="-7"/>
        </w:rPr>
        <w:t> </w:t>
      </w:r>
      <w:r>
        <w:rPr/>
        <w:t>respect to</w:t>
      </w:r>
      <w:r>
        <w:rPr>
          <w:spacing w:val="-1"/>
        </w:rPr>
        <w:t> </w:t>
      </w:r>
      <w:r>
        <w:rPr/>
        <w:t>the</w:t>
      </w:r>
      <w:r>
        <w:rPr>
          <w:spacing w:val="-4"/>
        </w:rPr>
        <w:t> </w:t>
      </w:r>
      <w:r>
        <w:rPr/>
        <w:t>use</w:t>
      </w:r>
      <w:r>
        <w:rPr>
          <w:spacing w:val="-4"/>
        </w:rPr>
        <w:t> </w:t>
      </w:r>
      <w:r>
        <w:rPr/>
        <w:t>of</w:t>
      </w:r>
      <w:r>
        <w:rPr>
          <w:spacing w:val="-10"/>
        </w:rPr>
        <w:t> </w:t>
      </w:r>
      <w:r>
        <w:rPr/>
        <w:t>the</w:t>
      </w:r>
      <w:r>
        <w:rPr>
          <w:spacing w:val="-4"/>
        </w:rPr>
        <w:t> </w:t>
      </w:r>
      <w:r>
        <w:rPr/>
        <w:t>term</w:t>
      </w:r>
      <w:r>
        <w:rPr>
          <w:spacing w:val="-7"/>
        </w:rPr>
        <w:t> </w:t>
      </w:r>
      <w:r>
        <w:rPr/>
        <w:t>―benefit‖</w:t>
      </w:r>
      <w:r>
        <w:rPr>
          <w:spacing w:val="-4"/>
        </w:rPr>
        <w:t> </w:t>
      </w:r>
      <w:r>
        <w:rPr/>
        <w:t>and ―third</w:t>
      </w:r>
      <w:r>
        <w:rPr>
          <w:spacing w:val="-3"/>
        </w:rPr>
        <w:t> </w:t>
      </w:r>
      <w:r>
        <w:rPr/>
        <w:t>party‖</w:t>
      </w:r>
      <w:r>
        <w:rPr>
          <w:spacing w:val="-4"/>
        </w:rPr>
        <w:t> </w:t>
      </w:r>
      <w:r>
        <w:rPr/>
        <w:t>as defined,</w:t>
      </w:r>
      <w:r>
        <w:rPr>
          <w:spacing w:val="-2"/>
        </w:rPr>
        <w:t> </w:t>
      </w:r>
      <w:r>
        <w:rPr/>
        <w:t>s.176 CA is clearer. Also, the concept of reasonability introduced under subsection (4) is helpful in properly determining liability and lending practical tone to the provision, so that it would not be unduly harsh or impossible. For example, in the course of negotiating a contract with a third party on behalf of the company, a director who accepts</w:t>
      </w:r>
      <w:r>
        <w:rPr>
          <w:spacing w:val="-2"/>
        </w:rPr>
        <w:t> </w:t>
      </w:r>
      <w:r>
        <w:rPr/>
        <w:t>a</w:t>
      </w:r>
      <w:r>
        <w:rPr>
          <w:spacing w:val="-1"/>
        </w:rPr>
        <w:t> </w:t>
      </w:r>
      <w:r>
        <w:rPr/>
        <w:t>pen from</w:t>
      </w:r>
      <w:r>
        <w:rPr>
          <w:spacing w:val="-8"/>
        </w:rPr>
        <w:t> </w:t>
      </w:r>
      <w:r>
        <w:rPr/>
        <w:t>the</w:t>
      </w:r>
      <w:r>
        <w:rPr>
          <w:spacing w:val="-1"/>
        </w:rPr>
        <w:t> </w:t>
      </w:r>
      <w:r>
        <w:rPr/>
        <w:t>third party, with</w:t>
      </w:r>
      <w:r>
        <w:rPr>
          <w:spacing w:val="-5"/>
        </w:rPr>
        <w:t> </w:t>
      </w:r>
      <w:r>
        <w:rPr/>
        <w:t>which he signs</w:t>
      </w:r>
      <w:r>
        <w:rPr>
          <w:spacing w:val="-2"/>
        </w:rPr>
        <w:t> </w:t>
      </w:r>
      <w:r>
        <w:rPr/>
        <w:t>the</w:t>
      </w:r>
      <w:r>
        <w:rPr>
          <w:spacing w:val="-1"/>
        </w:rPr>
        <w:t> </w:t>
      </w:r>
      <w:r>
        <w:rPr/>
        <w:t>document, cannot reasonably be said to have breached the duty not to accept benefit from a third party. Most importantly, the main head of the duty as provided under subsection (1) has been cleverly drafted to leave hardly any escape route for a dubious director. However, with respect to the rule regarding nominee directors and their nominators under the CA, the law may have been too accommodating in that case. The point is, every director‘s duty</w:t>
      </w:r>
      <w:r>
        <w:rPr>
          <w:spacing w:val="40"/>
        </w:rPr>
        <w:t> </w:t>
      </w:r>
      <w:r>
        <w:rPr/>
        <w:t>is first and foremost to the company, not his nominator. Otherwise, if his nominator were to use benefits and favours in order to be so controlling over him, the nominator could</w:t>
      </w:r>
      <w:r>
        <w:rPr>
          <w:spacing w:val="60"/>
        </w:rPr>
        <w:t> </w:t>
      </w:r>
      <w:r>
        <w:rPr/>
        <w:t>qualify</w:t>
      </w:r>
      <w:r>
        <w:rPr>
          <w:spacing w:val="58"/>
        </w:rPr>
        <w:t> </w:t>
      </w:r>
      <w:r>
        <w:rPr/>
        <w:t>as</w:t>
      </w:r>
      <w:r>
        <w:rPr>
          <w:spacing w:val="60"/>
        </w:rPr>
        <w:t> </w:t>
      </w:r>
      <w:r>
        <w:rPr/>
        <w:t>a</w:t>
      </w:r>
      <w:r>
        <w:rPr>
          <w:spacing w:val="67"/>
        </w:rPr>
        <w:t> </w:t>
      </w:r>
      <w:r>
        <w:rPr/>
        <w:t>shadow</w:t>
      </w:r>
      <w:r>
        <w:rPr>
          <w:spacing w:val="62"/>
        </w:rPr>
        <w:t> </w:t>
      </w:r>
      <w:r>
        <w:rPr/>
        <w:t>director.</w:t>
      </w:r>
      <w:r>
        <w:rPr>
          <w:spacing w:val="71"/>
        </w:rPr>
        <w:t> </w:t>
      </w:r>
      <w:r>
        <w:rPr/>
        <w:t>Besides,</w:t>
      </w:r>
      <w:r>
        <w:rPr>
          <w:spacing w:val="69"/>
        </w:rPr>
        <w:t> </w:t>
      </w:r>
      <w:r>
        <w:rPr/>
        <w:t>if</w:t>
      </w:r>
      <w:r>
        <w:rPr>
          <w:spacing w:val="66"/>
        </w:rPr>
        <w:t> </w:t>
      </w:r>
      <w:r>
        <w:rPr/>
        <w:t>the</w:t>
      </w:r>
      <w:r>
        <w:rPr>
          <w:spacing w:val="62"/>
        </w:rPr>
        <w:t> </w:t>
      </w:r>
      <w:r>
        <w:rPr/>
        <w:t>nominee</w:t>
      </w:r>
      <w:r>
        <w:rPr>
          <w:spacing w:val="63"/>
        </w:rPr>
        <w:t> </w:t>
      </w:r>
      <w:r>
        <w:rPr/>
        <w:t>does</w:t>
      </w:r>
      <w:r>
        <w:rPr>
          <w:spacing w:val="66"/>
        </w:rPr>
        <w:t> </w:t>
      </w:r>
      <w:r>
        <w:rPr/>
        <w:t>his</w:t>
      </w:r>
      <w:r>
        <w:rPr>
          <w:spacing w:val="60"/>
        </w:rPr>
        <w:t> </w:t>
      </w:r>
      <w:r>
        <w:rPr/>
        <w:t>duty</w:t>
      </w:r>
      <w:r>
        <w:rPr>
          <w:spacing w:val="53"/>
        </w:rPr>
        <w:t> </w:t>
      </w:r>
      <w:r>
        <w:rPr/>
        <w:t>to</w:t>
      </w:r>
      <w:r>
        <w:rPr>
          <w:spacing w:val="63"/>
        </w:rPr>
        <w:t> </w:t>
      </w:r>
      <w:r>
        <w:rPr>
          <w:spacing w:val="-5"/>
        </w:rPr>
        <w:t>the</w:t>
      </w:r>
    </w:p>
    <w:p>
      <w:pPr>
        <w:spacing w:after="0" w:line="480" w:lineRule="auto"/>
        <w:jc w:val="both"/>
        <w:sectPr>
          <w:pgSz w:w="11910" w:h="16840"/>
          <w:pgMar w:header="0" w:footer="1003" w:top="1320" w:bottom="1200" w:left="1680" w:right="1180"/>
        </w:sectPr>
      </w:pPr>
    </w:p>
    <w:p>
      <w:pPr>
        <w:pStyle w:val="BodyText"/>
        <w:spacing w:line="480" w:lineRule="auto" w:before="70"/>
        <w:ind w:right="235"/>
        <w:jc w:val="both"/>
      </w:pPr>
      <w:r>
        <w:rPr/>
        <w:t>company, any success the company achieves would eventually rub off on the</w:t>
      </w:r>
      <w:r>
        <w:rPr>
          <w:spacing w:val="80"/>
        </w:rPr>
        <w:t> </w:t>
      </w:r>
      <w:r>
        <w:rPr/>
        <w:t>nominator. Thus, allowing conflicts in this case may</w:t>
      </w:r>
      <w:r>
        <w:rPr>
          <w:spacing w:val="-4"/>
        </w:rPr>
        <w:t> </w:t>
      </w:r>
      <w:r>
        <w:rPr/>
        <w:t>potentially lead to abuse of</w:t>
      </w:r>
      <w:r>
        <w:rPr>
          <w:spacing w:val="-4"/>
        </w:rPr>
        <w:t> </w:t>
      </w:r>
      <w:r>
        <w:rPr/>
        <w:t>power.</w:t>
      </w:r>
    </w:p>
    <w:p>
      <w:pPr>
        <w:pStyle w:val="Heading2"/>
        <w:numPr>
          <w:ilvl w:val="2"/>
          <w:numId w:val="20"/>
        </w:numPr>
        <w:tabs>
          <w:tab w:pos="1027" w:val="left" w:leader="none"/>
        </w:tabs>
        <w:spacing w:line="360" w:lineRule="auto" w:before="207" w:after="0"/>
        <w:ind w:left="308" w:right="238" w:firstLine="0"/>
        <w:jc w:val="both"/>
      </w:pPr>
      <w:r>
        <w:rPr/>
        <w:t>Duty to Declare Interest in Proposed or Existing Transaction or </w:t>
      </w:r>
      <w:r>
        <w:rPr>
          <w:spacing w:val="-2"/>
        </w:rPr>
        <w:t>Arrangement</w:t>
      </w:r>
    </w:p>
    <w:p>
      <w:pPr>
        <w:pStyle w:val="BodyText"/>
        <w:spacing w:line="480" w:lineRule="auto"/>
        <w:ind w:right="225"/>
        <w:jc w:val="both"/>
      </w:pPr>
      <w:r>
        <w:rPr/>
        <w:t>Company law does not prohibitconflicts of interest arising from the fact of a director having any form</w:t>
      </w:r>
      <w:r>
        <w:rPr>
          <w:spacing w:val="-8"/>
        </w:rPr>
        <w:t> </w:t>
      </w:r>
      <w:r>
        <w:rPr/>
        <w:t>of</w:t>
      </w:r>
      <w:r>
        <w:rPr>
          <w:spacing w:val="-7"/>
        </w:rPr>
        <w:t> </w:t>
      </w:r>
      <w:r>
        <w:rPr/>
        <w:t>transactions</w:t>
      </w:r>
      <w:r>
        <w:rPr>
          <w:spacing w:val="-1"/>
        </w:rPr>
        <w:t> </w:t>
      </w:r>
      <w:r>
        <w:rPr/>
        <w:t>or arrangements</w:t>
      </w:r>
      <w:r>
        <w:rPr>
          <w:spacing w:val="-1"/>
        </w:rPr>
        <w:t> </w:t>
      </w:r>
      <w:r>
        <w:rPr/>
        <w:t>with</w:t>
      </w:r>
      <w:r>
        <w:rPr>
          <w:spacing w:val="-4"/>
        </w:rPr>
        <w:t> </w:t>
      </w:r>
      <w:r>
        <w:rPr/>
        <w:t>the company. Recall</w:t>
      </w:r>
      <w:r>
        <w:rPr>
          <w:spacing w:val="-4"/>
        </w:rPr>
        <w:t> </w:t>
      </w:r>
      <w:r>
        <w:rPr/>
        <w:t>that though</w:t>
      </w:r>
      <w:r>
        <w:rPr>
          <w:spacing w:val="-4"/>
        </w:rPr>
        <w:t> </w:t>
      </w:r>
      <w:r>
        <w:rPr/>
        <w:t>a director is a fiduciary, his fiduciary status has been described as </w:t>
      </w:r>
      <w:r>
        <w:rPr>
          <w:i/>
        </w:rPr>
        <w:t>sui generis </w:t>
      </w:r>
      <w:r>
        <w:rPr/>
        <w:t>especially because the characteristics typically attributable to the offices of trustee and agent do</w:t>
      </w:r>
      <w:r>
        <w:rPr>
          <w:spacing w:val="40"/>
        </w:rPr>
        <w:t> </w:t>
      </w:r>
      <w:r>
        <w:rPr/>
        <w:t>not normally apply to him.</w:t>
      </w:r>
      <w:r>
        <w:rPr>
          <w:vertAlign w:val="superscript"/>
        </w:rPr>
        <w:t>114</w:t>
      </w:r>
      <w:r>
        <w:rPr>
          <w:vertAlign w:val="baseline"/>
        </w:rPr>
        <w:t> For instance, though a trustee of the company‘s powers and assets, the company director may still transact with the company, thereby temporarily keeping his ―good faith‖ for the company aside. Consequently, the law allows him to occasionally wear two hats, unlike the typical trustee.</w:t>
      </w:r>
    </w:p>
    <w:p>
      <w:pPr>
        <w:pStyle w:val="BodyText"/>
        <w:spacing w:line="480" w:lineRule="auto"/>
        <w:ind w:right="227" w:firstLine="720"/>
        <w:jc w:val="both"/>
      </w:pPr>
      <w:r>
        <w:rPr/>
        <w:t>Under common law, the director was for some time, completely precluded from transacting with the company.</w:t>
      </w:r>
      <w:r>
        <w:rPr>
          <w:vertAlign w:val="superscript"/>
        </w:rPr>
        <w:t>115</w:t>
      </w:r>
      <w:r>
        <w:rPr>
          <w:vertAlign w:val="baseline"/>
        </w:rPr>
        <w:t> But it was realized that an outright ban may not be good for business in certain situations. Thus eventually, the critical issue came to be identifying</w:t>
      </w:r>
      <w:r>
        <w:rPr>
          <w:spacing w:val="-1"/>
          <w:vertAlign w:val="baseline"/>
        </w:rPr>
        <w:t> </w:t>
      </w:r>
      <w:r>
        <w:rPr>
          <w:vertAlign w:val="baseline"/>
        </w:rPr>
        <w:t>the</w:t>
      </w:r>
      <w:r>
        <w:rPr>
          <w:spacing w:val="-2"/>
          <w:vertAlign w:val="baseline"/>
        </w:rPr>
        <w:t> </w:t>
      </w:r>
      <w:r>
        <w:rPr>
          <w:vertAlign w:val="baseline"/>
        </w:rPr>
        <w:t>proper procedure</w:t>
      </w:r>
      <w:r>
        <w:rPr>
          <w:spacing w:val="-6"/>
          <w:vertAlign w:val="baseline"/>
        </w:rPr>
        <w:t> </w:t>
      </w:r>
      <w:r>
        <w:rPr>
          <w:vertAlign w:val="baseline"/>
        </w:rPr>
        <w:t>to be</w:t>
      </w:r>
      <w:r>
        <w:rPr>
          <w:spacing w:val="-2"/>
          <w:vertAlign w:val="baseline"/>
        </w:rPr>
        <w:t> </w:t>
      </w:r>
      <w:r>
        <w:rPr>
          <w:vertAlign w:val="baseline"/>
        </w:rPr>
        <w:t>observed in order</w:t>
      </w:r>
      <w:r>
        <w:rPr>
          <w:spacing w:val="-4"/>
          <w:vertAlign w:val="baseline"/>
        </w:rPr>
        <w:t> </w:t>
      </w:r>
      <w:r>
        <w:rPr>
          <w:vertAlign w:val="baseline"/>
        </w:rPr>
        <w:t>to rid</w:t>
      </w:r>
      <w:r>
        <w:rPr>
          <w:spacing w:val="-1"/>
          <w:vertAlign w:val="baseline"/>
        </w:rPr>
        <w:t> </w:t>
      </w:r>
      <w:r>
        <w:rPr>
          <w:vertAlign w:val="baseline"/>
        </w:rPr>
        <w:t>the</w:t>
      </w:r>
      <w:r>
        <w:rPr>
          <w:spacing w:val="-2"/>
          <w:vertAlign w:val="baseline"/>
        </w:rPr>
        <w:t> </w:t>
      </w:r>
      <w:r>
        <w:rPr>
          <w:vertAlign w:val="baseline"/>
        </w:rPr>
        <w:t>director</w:t>
      </w:r>
      <w:r>
        <w:rPr>
          <w:spacing w:val="-4"/>
          <w:vertAlign w:val="baseline"/>
        </w:rPr>
        <w:t> </w:t>
      </w:r>
      <w:r>
        <w:rPr>
          <w:vertAlign w:val="baseline"/>
        </w:rPr>
        <w:t>of</w:t>
      </w:r>
      <w:r>
        <w:rPr>
          <w:spacing w:val="-8"/>
          <w:vertAlign w:val="baseline"/>
        </w:rPr>
        <w:t> </w:t>
      </w:r>
      <w:r>
        <w:rPr>
          <w:vertAlign w:val="baseline"/>
        </w:rPr>
        <w:t>the</w:t>
      </w:r>
      <w:r>
        <w:rPr>
          <w:spacing w:val="-2"/>
          <w:vertAlign w:val="baseline"/>
        </w:rPr>
        <w:t> </w:t>
      </w:r>
      <w:r>
        <w:rPr>
          <w:vertAlign w:val="baseline"/>
        </w:rPr>
        <w:t>taint of conflicted contracting while allowing him to so contract, rather than an outright prohibition. Thus in time, the rule came to be that the director could escape liability</w:t>
      </w:r>
      <w:r>
        <w:rPr>
          <w:spacing w:val="80"/>
          <w:vertAlign w:val="baseline"/>
        </w:rPr>
        <w:t> </w:t>
      </w:r>
      <w:r>
        <w:rPr>
          <w:vertAlign w:val="baseline"/>
        </w:rPr>
        <w:t>only by disclosing the conflict in advance to, and obtaining the approval of, the </w:t>
      </w:r>
      <w:r>
        <w:rPr>
          <w:spacing w:val="-2"/>
          <w:vertAlign w:val="baseline"/>
        </w:rPr>
        <w:t>members.</w:t>
      </w:r>
      <w:r>
        <w:rPr>
          <w:spacing w:val="-2"/>
          <w:vertAlign w:val="superscript"/>
        </w:rPr>
        <w:t>116</w:t>
      </w:r>
    </w:p>
    <w:p>
      <w:pPr>
        <w:pStyle w:val="BodyText"/>
        <w:spacing w:line="480" w:lineRule="auto"/>
        <w:ind w:right="231" w:firstLine="720"/>
        <w:jc w:val="both"/>
      </w:pPr>
      <w:r>
        <w:rPr/>
        <w:t>The CA has substantially clarified the law in this area, first, by distinguishing</w:t>
      </w:r>
      <w:r>
        <w:rPr>
          <w:spacing w:val="40"/>
        </w:rPr>
        <w:t> </w:t>
      </w:r>
      <w:r>
        <w:rPr/>
        <w:t>the rule on ―proposed‖</w:t>
      </w:r>
      <w:r>
        <w:rPr>
          <w:spacing w:val="-3"/>
        </w:rPr>
        <w:t> </w:t>
      </w:r>
      <w:r>
        <w:rPr/>
        <w:t>transactions from</w:t>
      </w:r>
      <w:r>
        <w:rPr>
          <w:spacing w:val="-5"/>
        </w:rPr>
        <w:t> </w:t>
      </w:r>
      <w:r>
        <w:rPr/>
        <w:t>that on</w:t>
      </w:r>
      <w:r>
        <w:rPr>
          <w:spacing w:val="-2"/>
        </w:rPr>
        <w:t> </w:t>
      </w:r>
      <w:r>
        <w:rPr/>
        <w:t>―existing‖ transactions. For proposed transactions</w:t>
      </w:r>
      <w:r>
        <w:rPr>
          <w:spacing w:val="52"/>
        </w:rPr>
        <w:t> </w:t>
      </w:r>
      <w:r>
        <w:rPr/>
        <w:t>or</w:t>
      </w:r>
      <w:r>
        <w:rPr>
          <w:spacing w:val="57"/>
        </w:rPr>
        <w:t> </w:t>
      </w:r>
      <w:r>
        <w:rPr/>
        <w:t>arrangements,</w:t>
      </w:r>
      <w:r>
        <w:rPr>
          <w:spacing w:val="58"/>
        </w:rPr>
        <w:t> </w:t>
      </w:r>
      <w:r>
        <w:rPr/>
        <w:t>s.177</w:t>
      </w:r>
      <w:r>
        <w:rPr>
          <w:spacing w:val="56"/>
        </w:rPr>
        <w:t> </w:t>
      </w:r>
      <w:r>
        <w:rPr/>
        <w:t>CA</w:t>
      </w:r>
      <w:r>
        <w:rPr>
          <w:spacing w:val="56"/>
        </w:rPr>
        <w:t> </w:t>
      </w:r>
      <w:r>
        <w:rPr/>
        <w:t>mandates</w:t>
      </w:r>
      <w:r>
        <w:rPr>
          <w:spacing w:val="54"/>
        </w:rPr>
        <w:t> </w:t>
      </w:r>
      <w:r>
        <w:rPr/>
        <w:t>thatthe</w:t>
      </w:r>
      <w:r>
        <w:rPr>
          <w:spacing w:val="55"/>
        </w:rPr>
        <w:t> </w:t>
      </w:r>
      <w:r>
        <w:rPr/>
        <w:t>director</w:t>
      </w:r>
      <w:r>
        <w:rPr>
          <w:spacing w:val="68"/>
        </w:rPr>
        <w:t> </w:t>
      </w:r>
      <w:r>
        <w:rPr/>
        <w:t>must</w:t>
      </w:r>
      <w:r>
        <w:rPr>
          <w:spacing w:val="61"/>
        </w:rPr>
        <w:t> </w:t>
      </w:r>
      <w:r>
        <w:rPr/>
        <w:t>declare</w:t>
      </w:r>
      <w:r>
        <w:rPr>
          <w:spacing w:val="55"/>
        </w:rPr>
        <w:t> </w:t>
      </w:r>
      <w:r>
        <w:rPr>
          <w:spacing w:val="-5"/>
        </w:rPr>
        <w:t>the</w:t>
      </w:r>
    </w:p>
    <w:p>
      <w:pPr>
        <w:pStyle w:val="BodyText"/>
        <w:spacing w:before="39"/>
        <w:ind w:left="0"/>
        <w:rPr>
          <w:sz w:val="20"/>
        </w:rPr>
      </w:pPr>
      <w:r>
        <w:rPr/>
        <mc:AlternateContent>
          <mc:Choice Requires="wps">
            <w:drawing>
              <wp:anchor distT="0" distB="0" distL="0" distR="0" allowOverlap="1" layoutInCell="1" locked="0" behindDoc="1" simplePos="0" relativeHeight="487728640">
                <wp:simplePos x="0" y="0"/>
                <wp:positionH relativeFrom="page">
                  <wp:posOffset>1262481</wp:posOffset>
                </wp:positionH>
                <wp:positionV relativeFrom="paragraph">
                  <wp:posOffset>186216</wp:posOffset>
                </wp:positionV>
                <wp:extent cx="1829435" cy="9525"/>
                <wp:effectExtent l="0" t="0" r="0" b="0"/>
                <wp:wrapTopAndBottom/>
                <wp:docPr id="302" name="Graphic 302"/>
                <wp:cNvGraphicFramePr>
                  <a:graphicFrameLocks/>
                </wp:cNvGraphicFramePr>
                <a:graphic>
                  <a:graphicData uri="http://schemas.microsoft.com/office/word/2010/wordprocessingShape">
                    <wps:wsp>
                      <wps:cNvPr id="302" name="Graphic 302"/>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4.662704pt;width:144.050pt;height:.72003pt;mso-position-horizontal-relative:page;mso-position-vertical-relative:paragraph;z-index:-15587840;mso-wrap-distance-left:0;mso-wrap-distance-right:0" id="docshape257"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114</w:t>
      </w:r>
      <w:r>
        <w:rPr>
          <w:rFonts w:ascii="Calibri"/>
          <w:sz w:val="20"/>
          <w:vertAlign w:val="baseline"/>
        </w:rPr>
        <w:t> Refer</w:t>
      </w:r>
      <w:r>
        <w:rPr>
          <w:rFonts w:ascii="Calibri"/>
          <w:spacing w:val="-3"/>
          <w:sz w:val="20"/>
          <w:vertAlign w:val="baseline"/>
        </w:rPr>
        <w:t> </w:t>
      </w:r>
      <w:r>
        <w:rPr>
          <w:rFonts w:ascii="Calibri"/>
          <w:sz w:val="20"/>
          <w:vertAlign w:val="baseline"/>
        </w:rPr>
        <w:t>generally</w:t>
      </w:r>
      <w:r>
        <w:rPr>
          <w:rFonts w:ascii="Calibri"/>
          <w:spacing w:val="-6"/>
          <w:sz w:val="20"/>
          <w:vertAlign w:val="baseline"/>
        </w:rPr>
        <w:t> </w:t>
      </w:r>
      <w:r>
        <w:rPr>
          <w:rFonts w:ascii="Calibri"/>
          <w:sz w:val="20"/>
          <w:vertAlign w:val="baseline"/>
        </w:rPr>
        <w:t>to</w:t>
      </w:r>
      <w:r>
        <w:rPr>
          <w:rFonts w:ascii="Calibri"/>
          <w:spacing w:val="-5"/>
          <w:sz w:val="20"/>
          <w:vertAlign w:val="baseline"/>
        </w:rPr>
        <w:t> </w:t>
      </w:r>
      <w:r>
        <w:rPr>
          <w:rFonts w:ascii="Calibri"/>
          <w:b/>
          <w:sz w:val="20"/>
          <w:vertAlign w:val="baseline"/>
        </w:rPr>
        <w:t>2.6</w:t>
      </w:r>
      <w:r>
        <w:rPr>
          <w:rFonts w:ascii="Calibri"/>
          <w:b/>
          <w:spacing w:val="-2"/>
          <w:sz w:val="20"/>
          <w:vertAlign w:val="baseline"/>
        </w:rPr>
        <w:t> </w:t>
      </w:r>
      <w:r>
        <w:rPr>
          <w:rFonts w:ascii="Calibri"/>
          <w:sz w:val="20"/>
          <w:vertAlign w:val="baseline"/>
        </w:rPr>
        <w:t>supra</w:t>
      </w:r>
      <w:r>
        <w:rPr>
          <w:rFonts w:ascii="Calibri"/>
          <w:spacing w:val="-5"/>
          <w:sz w:val="20"/>
          <w:vertAlign w:val="baseline"/>
        </w:rPr>
        <w:t> </w:t>
      </w:r>
      <w:r>
        <w:rPr>
          <w:rFonts w:ascii="Calibri"/>
          <w:sz w:val="20"/>
          <w:vertAlign w:val="baseline"/>
        </w:rPr>
        <w:t>on</w:t>
      </w:r>
      <w:r>
        <w:rPr>
          <w:rFonts w:ascii="Calibri"/>
          <w:spacing w:val="-6"/>
          <w:sz w:val="20"/>
          <w:vertAlign w:val="baseline"/>
        </w:rPr>
        <w:t> </w:t>
      </w:r>
      <w:r>
        <w:rPr>
          <w:rFonts w:ascii="Calibri"/>
          <w:sz w:val="20"/>
          <w:vertAlign w:val="baseline"/>
        </w:rPr>
        <w:t>Status</w:t>
      </w:r>
      <w:r>
        <w:rPr>
          <w:rFonts w:ascii="Calibri"/>
          <w:spacing w:val="-4"/>
          <w:sz w:val="20"/>
          <w:vertAlign w:val="baseline"/>
        </w:rPr>
        <w:t> </w:t>
      </w:r>
      <w:r>
        <w:rPr>
          <w:rFonts w:ascii="Calibri"/>
          <w:sz w:val="20"/>
          <w:vertAlign w:val="baseline"/>
        </w:rPr>
        <w:t>of</w:t>
      </w:r>
      <w:r>
        <w:rPr>
          <w:rFonts w:ascii="Calibri"/>
          <w:spacing w:val="-4"/>
          <w:sz w:val="20"/>
          <w:vertAlign w:val="baseline"/>
        </w:rPr>
        <w:t> </w:t>
      </w:r>
      <w:r>
        <w:rPr>
          <w:rFonts w:ascii="Calibri"/>
          <w:spacing w:val="-2"/>
          <w:sz w:val="20"/>
          <w:vertAlign w:val="baseline"/>
        </w:rPr>
        <w:t>Directors.</w:t>
      </w:r>
    </w:p>
    <w:p>
      <w:pPr>
        <w:spacing w:before="1"/>
        <w:ind w:left="308" w:right="0" w:firstLine="0"/>
        <w:jc w:val="left"/>
        <w:rPr>
          <w:rFonts w:ascii="Calibri"/>
          <w:sz w:val="20"/>
        </w:rPr>
      </w:pPr>
      <w:r>
        <w:rPr>
          <w:rFonts w:ascii="Calibri"/>
          <w:sz w:val="20"/>
          <w:vertAlign w:val="superscript"/>
        </w:rPr>
        <w:t>115</w:t>
      </w:r>
      <w:r>
        <w:rPr>
          <w:rFonts w:ascii="Calibri"/>
          <w:i/>
          <w:sz w:val="20"/>
          <w:vertAlign w:val="baseline"/>
        </w:rPr>
        <w:t>Aberdeen</w:t>
      </w:r>
      <w:r>
        <w:rPr>
          <w:rFonts w:ascii="Calibri"/>
          <w:i/>
          <w:spacing w:val="-6"/>
          <w:sz w:val="20"/>
          <w:vertAlign w:val="baseline"/>
        </w:rPr>
        <w:t> </w:t>
      </w:r>
      <w:r>
        <w:rPr>
          <w:rFonts w:ascii="Calibri"/>
          <w:i/>
          <w:sz w:val="20"/>
          <w:vertAlign w:val="baseline"/>
        </w:rPr>
        <w:t>Railway</w:t>
      </w:r>
      <w:r>
        <w:rPr>
          <w:rFonts w:ascii="Calibri"/>
          <w:i/>
          <w:spacing w:val="-6"/>
          <w:sz w:val="20"/>
          <w:vertAlign w:val="baseline"/>
        </w:rPr>
        <w:t> </w:t>
      </w:r>
      <w:r>
        <w:rPr>
          <w:rFonts w:ascii="Calibri"/>
          <w:i/>
          <w:sz w:val="20"/>
          <w:vertAlign w:val="baseline"/>
        </w:rPr>
        <w:t>Co.</w:t>
      </w:r>
      <w:r>
        <w:rPr>
          <w:rFonts w:ascii="Calibri"/>
          <w:i/>
          <w:spacing w:val="-5"/>
          <w:sz w:val="20"/>
          <w:vertAlign w:val="baseline"/>
        </w:rPr>
        <w:t> </w:t>
      </w:r>
      <w:r>
        <w:rPr>
          <w:rFonts w:ascii="Calibri"/>
          <w:i/>
          <w:sz w:val="20"/>
          <w:vertAlign w:val="baseline"/>
        </w:rPr>
        <w:t>vs.</w:t>
      </w:r>
      <w:r>
        <w:rPr>
          <w:rFonts w:ascii="Calibri"/>
          <w:i/>
          <w:spacing w:val="-6"/>
          <w:sz w:val="20"/>
          <w:vertAlign w:val="baseline"/>
        </w:rPr>
        <w:t> </w:t>
      </w:r>
      <w:r>
        <w:rPr>
          <w:rFonts w:ascii="Calibri"/>
          <w:i/>
          <w:sz w:val="20"/>
          <w:vertAlign w:val="baseline"/>
        </w:rPr>
        <w:t>Blaikie</w:t>
      </w:r>
      <w:r>
        <w:rPr>
          <w:rFonts w:ascii="Calibri"/>
          <w:i/>
          <w:spacing w:val="-7"/>
          <w:sz w:val="20"/>
          <w:vertAlign w:val="baseline"/>
        </w:rPr>
        <w:t> </w:t>
      </w:r>
      <w:r>
        <w:rPr>
          <w:rFonts w:ascii="Calibri"/>
          <w:i/>
          <w:sz w:val="20"/>
          <w:vertAlign w:val="baseline"/>
        </w:rPr>
        <w:t>Bros</w:t>
      </w:r>
      <w:r>
        <w:rPr>
          <w:rFonts w:ascii="Calibri"/>
          <w:i/>
          <w:spacing w:val="-1"/>
          <w:sz w:val="20"/>
          <w:vertAlign w:val="baseline"/>
        </w:rPr>
        <w:t> </w:t>
      </w:r>
      <w:r>
        <w:rPr>
          <w:rFonts w:ascii="Calibri"/>
          <w:sz w:val="20"/>
          <w:vertAlign w:val="baseline"/>
        </w:rPr>
        <w:t>(1854)</w:t>
      </w:r>
      <w:r>
        <w:rPr>
          <w:rFonts w:ascii="Calibri"/>
          <w:spacing w:val="-6"/>
          <w:sz w:val="20"/>
          <w:vertAlign w:val="baseline"/>
        </w:rPr>
        <w:t> </w:t>
      </w:r>
      <w:r>
        <w:rPr>
          <w:rFonts w:ascii="Calibri"/>
          <w:sz w:val="20"/>
          <w:vertAlign w:val="baseline"/>
        </w:rPr>
        <w:t>23</w:t>
      </w:r>
      <w:r>
        <w:rPr>
          <w:rFonts w:ascii="Calibri"/>
          <w:spacing w:val="-8"/>
          <w:sz w:val="20"/>
          <w:vertAlign w:val="baseline"/>
        </w:rPr>
        <w:t> </w:t>
      </w:r>
      <w:r>
        <w:rPr>
          <w:rFonts w:ascii="Calibri"/>
          <w:sz w:val="20"/>
          <w:vertAlign w:val="baseline"/>
        </w:rPr>
        <w:t>LTR</w:t>
      </w:r>
      <w:r>
        <w:rPr>
          <w:rFonts w:ascii="Calibri"/>
          <w:spacing w:val="-1"/>
          <w:sz w:val="20"/>
          <w:vertAlign w:val="baseline"/>
        </w:rPr>
        <w:t> </w:t>
      </w:r>
      <w:r>
        <w:rPr>
          <w:rFonts w:ascii="Calibri"/>
          <w:spacing w:val="-4"/>
          <w:sz w:val="20"/>
          <w:vertAlign w:val="baseline"/>
        </w:rPr>
        <w:t>315.</w:t>
      </w:r>
    </w:p>
    <w:p>
      <w:pPr>
        <w:spacing w:before="0"/>
        <w:ind w:left="308" w:right="0" w:firstLine="0"/>
        <w:jc w:val="left"/>
        <w:rPr>
          <w:rFonts w:ascii="Calibri"/>
          <w:sz w:val="20"/>
        </w:rPr>
      </w:pPr>
      <w:r>
        <w:rPr>
          <w:rFonts w:ascii="Calibri"/>
          <w:sz w:val="20"/>
          <w:vertAlign w:val="superscript"/>
        </w:rPr>
        <w:t>116</w:t>
      </w:r>
      <w:r>
        <w:rPr>
          <w:rFonts w:ascii="Calibri"/>
          <w:i/>
          <w:sz w:val="20"/>
          <w:vertAlign w:val="baseline"/>
        </w:rPr>
        <w:t>North-West Trans. Co. vs. Beatty </w:t>
      </w:r>
      <w:r>
        <w:rPr>
          <w:rFonts w:ascii="Calibri"/>
          <w:sz w:val="20"/>
          <w:vertAlign w:val="baseline"/>
        </w:rPr>
        <w:t>(1887) 12 App. Cas. 589. See further Davies, L.P. and Worthington, S.op.cit. at p. 562 andCorkery, F.J. op.cit., at p.79.</w:t>
      </w:r>
    </w:p>
    <w:p>
      <w:pPr>
        <w:spacing w:after="0"/>
        <w:jc w:val="left"/>
        <w:rPr>
          <w:rFonts w:ascii="Calibri"/>
          <w:sz w:val="20"/>
        </w:rPr>
        <w:sectPr>
          <w:pgSz w:w="11910" w:h="16840"/>
          <w:pgMar w:header="0" w:footer="1003" w:top="1320" w:bottom="1200" w:left="1680" w:right="1180"/>
        </w:sectPr>
      </w:pPr>
    </w:p>
    <w:p>
      <w:pPr>
        <w:pStyle w:val="BodyText"/>
        <w:spacing w:before="70"/>
        <w:jc w:val="both"/>
      </w:pPr>
      <w:r>
        <w:rPr/>
        <w:t>nature</w:t>
      </w:r>
      <w:r>
        <w:rPr>
          <w:spacing w:val="20"/>
        </w:rPr>
        <w:t> </w:t>
      </w:r>
      <w:r>
        <w:rPr/>
        <w:t>and</w:t>
      </w:r>
      <w:r>
        <w:rPr>
          <w:spacing w:val="28"/>
        </w:rPr>
        <w:t> </w:t>
      </w:r>
      <w:r>
        <w:rPr/>
        <w:t>extent</w:t>
      </w:r>
      <w:r>
        <w:rPr>
          <w:spacing w:val="28"/>
        </w:rPr>
        <w:t> </w:t>
      </w:r>
      <w:r>
        <w:rPr/>
        <w:t>of</w:t>
      </w:r>
      <w:r>
        <w:rPr>
          <w:spacing w:val="22"/>
        </w:rPr>
        <w:t> </w:t>
      </w:r>
      <w:r>
        <w:rPr/>
        <w:t>his</w:t>
      </w:r>
      <w:r>
        <w:rPr>
          <w:spacing w:val="31"/>
        </w:rPr>
        <w:t> </w:t>
      </w:r>
      <w:r>
        <w:rPr/>
        <w:t>interest</w:t>
      </w:r>
      <w:r>
        <w:rPr>
          <w:spacing w:val="29"/>
        </w:rPr>
        <w:t> </w:t>
      </w:r>
      <w:r>
        <w:rPr/>
        <w:t>to</w:t>
      </w:r>
      <w:r>
        <w:rPr>
          <w:spacing w:val="28"/>
        </w:rPr>
        <w:t> </w:t>
      </w:r>
      <w:r>
        <w:rPr/>
        <w:t>the</w:t>
      </w:r>
      <w:r>
        <w:rPr>
          <w:spacing w:val="23"/>
        </w:rPr>
        <w:t> </w:t>
      </w:r>
      <w:r>
        <w:rPr/>
        <w:t>other</w:t>
      </w:r>
      <w:r>
        <w:rPr>
          <w:spacing w:val="24"/>
        </w:rPr>
        <w:t> </w:t>
      </w:r>
      <w:r>
        <w:rPr/>
        <w:t>directors.</w:t>
      </w:r>
      <w:r>
        <w:rPr>
          <w:spacing w:val="26"/>
        </w:rPr>
        <w:t> </w:t>
      </w:r>
      <w:r>
        <w:rPr/>
        <w:t>Further,</w:t>
      </w:r>
      <w:r>
        <w:rPr>
          <w:spacing w:val="25"/>
        </w:rPr>
        <w:t> </w:t>
      </w:r>
      <w:r>
        <w:rPr/>
        <w:t>the</w:t>
      </w:r>
      <w:r>
        <w:rPr>
          <w:spacing w:val="28"/>
        </w:rPr>
        <w:t> </w:t>
      </w:r>
      <w:r>
        <w:rPr/>
        <w:t>law</w:t>
      </w:r>
      <w:r>
        <w:rPr>
          <w:spacing w:val="23"/>
        </w:rPr>
        <w:t> </w:t>
      </w:r>
      <w:r>
        <w:rPr>
          <w:spacing w:val="-2"/>
        </w:rPr>
        <w:t>acknowledges</w:t>
      </w:r>
    </w:p>
    <w:p>
      <w:pPr>
        <w:pStyle w:val="BodyText"/>
        <w:spacing w:line="480" w:lineRule="auto" w:before="276"/>
        <w:ind w:right="233"/>
        <w:jc w:val="both"/>
      </w:pPr>
      <w:r>
        <w:rPr/>
        <w:t>―indirect‖ interests as coming within the rule in order to discourage a director from effectively</w:t>
      </w:r>
      <w:r>
        <w:rPr>
          <w:spacing w:val="64"/>
        </w:rPr>
        <w:t> </w:t>
      </w:r>
      <w:r>
        <w:rPr/>
        <w:t>breaching</w:t>
      </w:r>
      <w:r>
        <w:rPr>
          <w:spacing w:val="66"/>
        </w:rPr>
        <w:t> </w:t>
      </w:r>
      <w:r>
        <w:rPr/>
        <w:t>the</w:t>
      </w:r>
      <w:r>
        <w:rPr>
          <w:spacing w:val="65"/>
        </w:rPr>
        <w:t> </w:t>
      </w:r>
      <w:r>
        <w:rPr/>
        <w:t>rule</w:t>
      </w:r>
      <w:r>
        <w:rPr>
          <w:spacing w:val="65"/>
        </w:rPr>
        <w:t> </w:t>
      </w:r>
      <w:r>
        <w:rPr/>
        <w:t>through</w:t>
      </w:r>
      <w:r>
        <w:rPr>
          <w:spacing w:val="61"/>
        </w:rPr>
        <w:t> </w:t>
      </w:r>
      <w:r>
        <w:rPr/>
        <w:t>his</w:t>
      </w:r>
      <w:r>
        <w:rPr>
          <w:spacing w:val="73"/>
        </w:rPr>
        <w:t> </w:t>
      </w:r>
      <w:r>
        <w:rPr/>
        <w:t>family</w:t>
      </w:r>
      <w:r>
        <w:rPr>
          <w:spacing w:val="66"/>
        </w:rPr>
        <w:t> </w:t>
      </w:r>
      <w:r>
        <w:rPr/>
        <w:t>members</w:t>
      </w:r>
      <w:r>
        <w:rPr>
          <w:spacing w:val="64"/>
        </w:rPr>
        <w:t> </w:t>
      </w:r>
      <w:r>
        <w:rPr/>
        <w:t>or</w:t>
      </w:r>
      <w:r>
        <w:rPr>
          <w:spacing w:val="67"/>
        </w:rPr>
        <w:t> </w:t>
      </w:r>
      <w:r>
        <w:rPr/>
        <w:t>business</w:t>
      </w:r>
      <w:r>
        <w:rPr>
          <w:spacing w:val="69"/>
        </w:rPr>
        <w:t> </w:t>
      </w:r>
      <w:r>
        <w:rPr>
          <w:spacing w:val="-2"/>
        </w:rPr>
        <w:t>associates.</w:t>
      </w:r>
    </w:p>
    <w:p>
      <w:pPr>
        <w:pStyle w:val="BodyText"/>
        <w:spacing w:line="480" w:lineRule="auto"/>
        <w:ind w:right="242"/>
        <w:jc w:val="both"/>
      </w:pPr>
      <w:r>
        <w:rPr/>
        <w:t>―Interest‖ has not been defined, though the transaction must reasonably be regarded as one likely to give rise to a conflict of interest and not a mere possibility of conflict, as earlier contemplated under the common law.</w:t>
      </w:r>
      <w:r>
        <w:rPr>
          <w:vertAlign w:val="superscript"/>
        </w:rPr>
        <w:t>117</w:t>
      </w:r>
    </w:p>
    <w:p>
      <w:pPr>
        <w:pStyle w:val="BodyText"/>
        <w:spacing w:line="480" w:lineRule="auto" w:before="1"/>
        <w:ind w:right="229" w:firstLine="720"/>
        <w:jc w:val="both"/>
      </w:pPr>
      <w:r>
        <w:rPr/>
        <w:t>The</w:t>
      </w:r>
      <w:r>
        <w:rPr>
          <w:spacing w:val="-6"/>
        </w:rPr>
        <w:t> </w:t>
      </w:r>
      <w:r>
        <w:rPr/>
        <w:t>kind</w:t>
      </w:r>
      <w:r>
        <w:rPr>
          <w:spacing w:val="-6"/>
        </w:rPr>
        <w:t> </w:t>
      </w:r>
      <w:r>
        <w:rPr/>
        <w:t>of</w:t>
      </w:r>
      <w:r>
        <w:rPr>
          <w:spacing w:val="-12"/>
        </w:rPr>
        <w:t> </w:t>
      </w:r>
      <w:r>
        <w:rPr/>
        <w:t>dealing</w:t>
      </w:r>
      <w:r>
        <w:rPr>
          <w:spacing w:val="-2"/>
        </w:rPr>
        <w:t> </w:t>
      </w:r>
      <w:r>
        <w:rPr/>
        <w:t>contemplated</w:t>
      </w:r>
      <w:r>
        <w:rPr>
          <w:spacing w:val="-2"/>
        </w:rPr>
        <w:t> </w:t>
      </w:r>
      <w:r>
        <w:rPr/>
        <w:t>is</w:t>
      </w:r>
      <w:r>
        <w:rPr>
          <w:spacing w:val="-3"/>
        </w:rPr>
        <w:t> </w:t>
      </w:r>
      <w:r>
        <w:rPr/>
        <w:t>―any</w:t>
      </w:r>
      <w:r>
        <w:rPr>
          <w:spacing w:val="-9"/>
        </w:rPr>
        <w:t> </w:t>
      </w:r>
      <w:r>
        <w:rPr/>
        <w:t>proposed</w:t>
      </w:r>
      <w:r>
        <w:rPr>
          <w:spacing w:val="-6"/>
        </w:rPr>
        <w:t> </w:t>
      </w:r>
      <w:r>
        <w:rPr/>
        <w:t>transaction</w:t>
      </w:r>
      <w:r>
        <w:rPr>
          <w:spacing w:val="-9"/>
        </w:rPr>
        <w:t> </w:t>
      </w:r>
      <w:r>
        <w:rPr/>
        <w:t>or</w:t>
      </w:r>
      <w:r>
        <w:rPr>
          <w:spacing w:val="-4"/>
        </w:rPr>
        <w:t> </w:t>
      </w:r>
      <w:r>
        <w:rPr/>
        <w:t>arrangement.‖ Thus, every kind of contract, from the simplest to the most complex, is here accommodated, although ―proposed‖ indicates that the transaction/arrangement is merely being contemplated and not yet concluded: disclosure here is required pre- and not post-contract. The law also requires the disclosure of both the nature as well as extent of the director‘s interest.</w:t>
      </w:r>
    </w:p>
    <w:p>
      <w:pPr>
        <w:pStyle w:val="BodyText"/>
        <w:spacing w:before="1"/>
        <w:ind w:left="1028"/>
        <w:jc w:val="both"/>
      </w:pPr>
      <w:r>
        <w:rPr/>
        <w:t>Significantly,</w:t>
      </w:r>
      <w:r>
        <w:rPr>
          <w:spacing w:val="3"/>
        </w:rPr>
        <w:t> </w:t>
      </w:r>
      <w:r>
        <w:rPr/>
        <w:t>the</w:t>
      </w:r>
      <w:r>
        <w:rPr>
          <w:spacing w:val="1"/>
        </w:rPr>
        <w:t> </w:t>
      </w:r>
      <w:r>
        <w:rPr/>
        <w:t>disclosure</w:t>
      </w:r>
      <w:r>
        <w:rPr>
          <w:spacing w:val="1"/>
        </w:rPr>
        <w:t> </w:t>
      </w:r>
      <w:r>
        <w:rPr/>
        <w:t>regime</w:t>
      </w:r>
      <w:r>
        <w:rPr>
          <w:spacing w:val="1"/>
        </w:rPr>
        <w:t> </w:t>
      </w:r>
      <w:r>
        <w:rPr/>
        <w:t>under</w:t>
      </w:r>
      <w:r>
        <w:rPr>
          <w:spacing w:val="3"/>
        </w:rPr>
        <w:t> </w:t>
      </w:r>
      <w:r>
        <w:rPr/>
        <w:t>the</w:t>
      </w:r>
      <w:r>
        <w:rPr>
          <w:spacing w:val="1"/>
        </w:rPr>
        <w:t> </w:t>
      </w:r>
      <w:r>
        <w:rPr/>
        <w:t>common law</w:t>
      </w:r>
      <w:r>
        <w:rPr>
          <w:spacing w:val="6"/>
        </w:rPr>
        <w:t> </w:t>
      </w:r>
      <w:r>
        <w:rPr/>
        <w:t>no</w:t>
      </w:r>
      <w:r>
        <w:rPr>
          <w:spacing w:val="10"/>
        </w:rPr>
        <w:t> </w:t>
      </w:r>
      <w:r>
        <w:rPr/>
        <w:t>longer</w:t>
      </w:r>
      <w:r>
        <w:rPr>
          <w:spacing w:val="3"/>
        </w:rPr>
        <w:t> </w:t>
      </w:r>
      <w:r>
        <w:rPr/>
        <w:t>applies,</w:t>
      </w:r>
      <w:r>
        <w:rPr>
          <w:spacing w:val="4"/>
        </w:rPr>
        <w:t> </w:t>
      </w:r>
      <w:r>
        <w:rPr>
          <w:spacing w:val="-5"/>
        </w:rPr>
        <w:t>as</w:t>
      </w:r>
    </w:p>
    <w:p>
      <w:pPr>
        <w:pStyle w:val="BodyText"/>
        <w:ind w:left="0"/>
      </w:pPr>
    </w:p>
    <w:p>
      <w:pPr>
        <w:pStyle w:val="BodyText"/>
        <w:spacing w:line="480" w:lineRule="auto"/>
        <w:ind w:right="231"/>
        <w:jc w:val="both"/>
      </w:pPr>
      <w:r>
        <w:rPr/>
        <w:t>s.177 CA requires disclosure simply to ―the other directors,‖ even though the articles may impose additional requirements, such as additional disclosure to, or approval of,</w:t>
      </w:r>
      <w:r>
        <w:rPr>
          <w:spacing w:val="40"/>
        </w:rPr>
        <w:t> </w:t>
      </w:r>
      <w:r>
        <w:rPr/>
        <w:t>the</w:t>
      </w:r>
      <w:r>
        <w:rPr>
          <w:spacing w:val="-2"/>
        </w:rPr>
        <w:t> </w:t>
      </w:r>
      <w:r>
        <w:rPr/>
        <w:t>general</w:t>
      </w:r>
      <w:r>
        <w:rPr>
          <w:spacing w:val="-1"/>
        </w:rPr>
        <w:t> </w:t>
      </w:r>
      <w:r>
        <w:rPr/>
        <w:t>meeting. Here, the</w:t>
      </w:r>
      <w:r>
        <w:rPr>
          <w:spacing w:val="-2"/>
        </w:rPr>
        <w:t> </w:t>
      </w:r>
      <w:r>
        <w:rPr/>
        <w:t>board</w:t>
      </w:r>
      <w:r>
        <w:rPr>
          <w:spacing w:val="-1"/>
        </w:rPr>
        <w:t> </w:t>
      </w:r>
      <w:r>
        <w:rPr/>
        <w:t>to which</w:t>
      </w:r>
      <w:r>
        <w:rPr>
          <w:spacing w:val="-6"/>
        </w:rPr>
        <w:t> </w:t>
      </w:r>
      <w:r>
        <w:rPr/>
        <w:t>disclosure is to be made is not required</w:t>
      </w:r>
      <w:r>
        <w:rPr>
          <w:spacing w:val="-1"/>
        </w:rPr>
        <w:t> </w:t>
      </w:r>
      <w:r>
        <w:rPr/>
        <w:t>to be ―disinterested‖</w:t>
      </w:r>
      <w:r>
        <w:rPr>
          <w:spacing w:val="-3"/>
        </w:rPr>
        <w:t> </w:t>
      </w:r>
      <w:r>
        <w:rPr/>
        <w:t>as is</w:t>
      </w:r>
      <w:r>
        <w:rPr>
          <w:spacing w:val="-5"/>
        </w:rPr>
        <w:t> </w:t>
      </w:r>
      <w:r>
        <w:rPr/>
        <w:t>the case</w:t>
      </w:r>
      <w:r>
        <w:rPr>
          <w:spacing w:val="-3"/>
        </w:rPr>
        <w:t> </w:t>
      </w:r>
      <w:r>
        <w:rPr/>
        <w:t>under s.175.</w:t>
      </w:r>
      <w:r>
        <w:rPr>
          <w:spacing w:val="-1"/>
        </w:rPr>
        <w:t> </w:t>
      </w:r>
      <w:r>
        <w:rPr/>
        <w:t>Again,</w:t>
      </w:r>
      <w:r>
        <w:rPr>
          <w:spacing w:val="-1"/>
        </w:rPr>
        <w:t> </w:t>
      </w:r>
      <w:r>
        <w:rPr/>
        <w:t>one</w:t>
      </w:r>
      <w:r>
        <w:rPr>
          <w:spacing w:val="-3"/>
        </w:rPr>
        <w:t> </w:t>
      </w:r>
      <w:r>
        <w:rPr/>
        <w:t>obvious</w:t>
      </w:r>
      <w:r>
        <w:rPr>
          <w:spacing w:val="-5"/>
        </w:rPr>
        <w:t> </w:t>
      </w:r>
      <w:r>
        <w:rPr/>
        <w:t>conclusion from</w:t>
      </w:r>
      <w:r>
        <w:rPr>
          <w:spacing w:val="-7"/>
        </w:rPr>
        <w:t> </w:t>
      </w:r>
      <w:r>
        <w:rPr/>
        <w:t>s.177 is that it does not contemplate disclosure where there happens to be only one director,</w:t>
      </w:r>
      <w:r>
        <w:rPr>
          <w:vertAlign w:val="superscript"/>
        </w:rPr>
        <w:t>118</w:t>
      </w:r>
      <w:r>
        <w:rPr>
          <w:vertAlign w:val="baseline"/>
        </w:rPr>
        <w:t>since there would be no ―other‖ in that case, to whom to disclose. Conclusively, the sole director of a private limited company is not bound by the duty under s.177.</w:t>
      </w:r>
      <w:r>
        <w:rPr>
          <w:vertAlign w:val="superscript"/>
        </w:rPr>
        <w:t>119</w:t>
      </w:r>
    </w:p>
    <w:p>
      <w:pPr>
        <w:pStyle w:val="BodyText"/>
        <w:spacing w:before="73"/>
        <w:ind w:left="0"/>
        <w:rPr>
          <w:sz w:val="20"/>
        </w:rPr>
      </w:pPr>
      <w:r>
        <w:rPr/>
        <mc:AlternateContent>
          <mc:Choice Requires="wps">
            <w:drawing>
              <wp:anchor distT="0" distB="0" distL="0" distR="0" allowOverlap="1" layoutInCell="1" locked="0" behindDoc="1" simplePos="0" relativeHeight="487729152">
                <wp:simplePos x="0" y="0"/>
                <wp:positionH relativeFrom="page">
                  <wp:posOffset>1262481</wp:posOffset>
                </wp:positionH>
                <wp:positionV relativeFrom="paragraph">
                  <wp:posOffset>207747</wp:posOffset>
                </wp:positionV>
                <wp:extent cx="1829435" cy="9525"/>
                <wp:effectExtent l="0" t="0" r="0" b="0"/>
                <wp:wrapTopAndBottom/>
                <wp:docPr id="303" name="Graphic 303"/>
                <wp:cNvGraphicFramePr>
                  <a:graphicFrameLocks/>
                </wp:cNvGraphicFramePr>
                <a:graphic>
                  <a:graphicData uri="http://schemas.microsoft.com/office/word/2010/wordprocessingShape">
                    <wps:wsp>
                      <wps:cNvPr id="303" name="Graphic 303"/>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6.358076pt;width:144.050pt;height:.71997pt;mso-position-horizontal-relative:page;mso-position-vertical-relative:paragraph;z-index:-15587328;mso-wrap-distance-left:0;mso-wrap-distance-right:0" id="docshape258" filled="true" fillcolor="#000000" stroked="false">
                <v:fill type="solid"/>
                <w10:wrap type="topAndBottom"/>
              </v:rect>
            </w:pict>
          </mc:Fallback>
        </mc:AlternateContent>
      </w:r>
    </w:p>
    <w:p>
      <w:pPr>
        <w:spacing w:line="237" w:lineRule="auto" w:before="104"/>
        <w:ind w:left="308" w:right="225" w:firstLine="0"/>
        <w:jc w:val="both"/>
        <w:rPr>
          <w:rFonts w:ascii="Calibri"/>
          <w:sz w:val="20"/>
        </w:rPr>
      </w:pPr>
      <w:r>
        <w:rPr>
          <w:rFonts w:ascii="Calibri"/>
          <w:sz w:val="20"/>
          <w:vertAlign w:val="superscript"/>
        </w:rPr>
        <w:t>117</w:t>
      </w:r>
      <w:r>
        <w:rPr>
          <w:rFonts w:ascii="Calibri"/>
          <w:sz w:val="20"/>
          <w:vertAlign w:val="baseline"/>
        </w:rPr>
        <w:t>See the statements by Lord Cranworth L.C. in </w:t>
      </w:r>
      <w:r>
        <w:rPr>
          <w:rFonts w:ascii="Calibri"/>
          <w:i/>
          <w:sz w:val="20"/>
          <w:vertAlign w:val="baseline"/>
        </w:rPr>
        <w:t>Aberdeen Rly. Co. vs. Blaikie Bros </w:t>
      </w:r>
      <w:r>
        <w:rPr>
          <w:rFonts w:ascii="Calibri"/>
          <w:sz w:val="20"/>
          <w:vertAlign w:val="baseline"/>
        </w:rPr>
        <w:t>(1854) 23 LTR 315 at 325 and Sir Richard</w:t>
      </w:r>
      <w:r>
        <w:rPr>
          <w:rFonts w:ascii="Calibri"/>
          <w:spacing w:val="-4"/>
          <w:sz w:val="20"/>
          <w:vertAlign w:val="baseline"/>
        </w:rPr>
        <w:t> </w:t>
      </w:r>
      <w:r>
        <w:rPr>
          <w:rFonts w:ascii="Calibri"/>
          <w:sz w:val="20"/>
          <w:vertAlign w:val="baseline"/>
        </w:rPr>
        <w:t>Bagallay</w:t>
      </w:r>
      <w:r>
        <w:rPr>
          <w:rFonts w:ascii="Calibri"/>
          <w:spacing w:val="-4"/>
          <w:sz w:val="20"/>
          <w:vertAlign w:val="baseline"/>
        </w:rPr>
        <w:t> </w:t>
      </w:r>
      <w:r>
        <w:rPr>
          <w:rFonts w:ascii="Calibri"/>
          <w:sz w:val="20"/>
          <w:vertAlign w:val="baseline"/>
        </w:rPr>
        <w:t>in </w:t>
      </w:r>
      <w:r>
        <w:rPr>
          <w:rFonts w:ascii="Calibri"/>
          <w:i/>
          <w:sz w:val="20"/>
          <w:vertAlign w:val="baseline"/>
        </w:rPr>
        <w:t>North-West Trans Co. vs.</w:t>
      </w:r>
      <w:r>
        <w:rPr>
          <w:rFonts w:ascii="Calibri"/>
          <w:i/>
          <w:spacing w:val="-2"/>
          <w:sz w:val="20"/>
          <w:vertAlign w:val="baseline"/>
        </w:rPr>
        <w:t> </w:t>
      </w:r>
      <w:r>
        <w:rPr>
          <w:rFonts w:ascii="Calibri"/>
          <w:i/>
          <w:sz w:val="20"/>
          <w:vertAlign w:val="baseline"/>
        </w:rPr>
        <w:t>Beatty </w:t>
      </w:r>
      <w:r>
        <w:rPr>
          <w:rFonts w:ascii="Calibri"/>
          <w:sz w:val="20"/>
          <w:vertAlign w:val="baseline"/>
        </w:rPr>
        <w:t>(1887) 12 App. Cas. 589 at 593,</w:t>
      </w:r>
      <w:r>
        <w:rPr>
          <w:rFonts w:ascii="Calibri"/>
          <w:spacing w:val="-1"/>
          <w:sz w:val="20"/>
          <w:vertAlign w:val="baseline"/>
        </w:rPr>
        <w:t> </w:t>
      </w:r>
      <w:r>
        <w:rPr>
          <w:rFonts w:ascii="Calibri"/>
          <w:sz w:val="20"/>
          <w:vertAlign w:val="baseline"/>
        </w:rPr>
        <w:t>from the earliest</w:t>
      </w:r>
      <w:r>
        <w:rPr>
          <w:rFonts w:ascii="Calibri"/>
          <w:spacing w:val="-1"/>
          <w:sz w:val="20"/>
          <w:vertAlign w:val="baseline"/>
        </w:rPr>
        <w:t> </w:t>
      </w:r>
      <w:r>
        <w:rPr>
          <w:rFonts w:ascii="Calibri"/>
          <w:sz w:val="20"/>
          <w:vertAlign w:val="baseline"/>
        </w:rPr>
        <w:t>cases.</w:t>
      </w:r>
    </w:p>
    <w:p>
      <w:pPr>
        <w:spacing w:before="3"/>
        <w:ind w:left="308" w:right="231" w:firstLine="0"/>
        <w:jc w:val="both"/>
        <w:rPr>
          <w:rFonts w:ascii="Calibri"/>
          <w:sz w:val="20"/>
        </w:rPr>
      </w:pPr>
      <w:r>
        <w:rPr>
          <w:rFonts w:ascii="Calibri"/>
          <w:sz w:val="20"/>
          <w:vertAlign w:val="superscript"/>
        </w:rPr>
        <w:t>118</w:t>
      </w:r>
      <w:r>
        <w:rPr>
          <w:rFonts w:ascii="Calibri"/>
          <w:sz w:val="20"/>
          <w:vertAlign w:val="baseline"/>
        </w:rPr>
        <w:t> Under the new Companies Act, a private company need not have more than one director. See s.154(1) CA.</w:t>
      </w:r>
    </w:p>
    <w:p>
      <w:pPr>
        <w:spacing w:line="242" w:lineRule="auto" w:before="21"/>
        <w:ind w:left="308" w:right="233" w:firstLine="0"/>
        <w:jc w:val="both"/>
        <w:rPr>
          <w:rFonts w:ascii="Calibri" w:hAnsi="Calibri"/>
          <w:sz w:val="20"/>
        </w:rPr>
      </w:pPr>
      <w:r>
        <w:rPr>
          <w:rFonts w:ascii="Calibri" w:hAnsi="Calibri"/>
          <w:sz w:val="20"/>
          <w:vertAlign w:val="superscript"/>
        </w:rPr>
        <w:t>119</w:t>
      </w:r>
      <w:r>
        <w:rPr>
          <w:rFonts w:ascii="Calibri" w:hAnsi="Calibri"/>
          <w:sz w:val="20"/>
          <w:vertAlign w:val="baseline"/>
        </w:rPr>
        <w:t>However, s.231 CA requires the sole director to set down the terms of any contract in writing or record them in the minutes of directors’ meeting, where he happens to contract with the company</w:t>
      </w:r>
      <w:r>
        <w:rPr>
          <w:rFonts w:ascii="Calibri" w:hAnsi="Calibri"/>
          <w:spacing w:val="40"/>
          <w:sz w:val="20"/>
          <w:vertAlign w:val="baseline"/>
        </w:rPr>
        <w:t> </w:t>
      </w:r>
      <w:r>
        <w:rPr>
          <w:rFonts w:ascii="Calibri" w:hAnsi="Calibri"/>
          <w:sz w:val="20"/>
          <w:vertAlign w:val="baseline"/>
        </w:rPr>
        <w:t>while being its only member.</w:t>
      </w:r>
    </w:p>
    <w:p>
      <w:pPr>
        <w:spacing w:after="0" w:line="242" w:lineRule="auto"/>
        <w:jc w:val="both"/>
        <w:rPr>
          <w:rFonts w:ascii="Calibri" w:hAnsi="Calibri"/>
          <w:sz w:val="20"/>
        </w:rPr>
        <w:sectPr>
          <w:pgSz w:w="11910" w:h="16840"/>
          <w:pgMar w:header="0" w:footer="1003" w:top="1320" w:bottom="1200" w:left="1680" w:right="1180"/>
        </w:sectPr>
      </w:pPr>
    </w:p>
    <w:p>
      <w:pPr>
        <w:pStyle w:val="BodyText"/>
        <w:spacing w:line="480" w:lineRule="auto" w:before="70"/>
        <w:ind w:right="237" w:firstLine="720"/>
        <w:jc w:val="both"/>
      </w:pPr>
      <w:r>
        <w:rPr/>
        <w:t>Further, s.177 has not only suggested a choice of means for disclosure, but has also identified circumstances where disclosure would not be required. Thus, the directors are treated as aware of everything they ought reasonably to be aware of, in connection with the conflicting director‘s interests. On the part of the conflicting director, the law effectively rules out ignorance as a defence to a breach of the duty under s.177, by</w:t>
      </w:r>
      <w:r>
        <w:rPr>
          <w:spacing w:val="-10"/>
        </w:rPr>
        <w:t> </w:t>
      </w:r>
      <w:r>
        <w:rPr/>
        <w:t>treating the</w:t>
      </w:r>
      <w:r>
        <w:rPr>
          <w:spacing w:val="-1"/>
        </w:rPr>
        <w:t> </w:t>
      </w:r>
      <w:r>
        <w:rPr/>
        <w:t>director as</w:t>
      </w:r>
      <w:r>
        <w:rPr>
          <w:spacing w:val="-2"/>
        </w:rPr>
        <w:t> </w:t>
      </w:r>
      <w:r>
        <w:rPr/>
        <w:t>aware</w:t>
      </w:r>
      <w:r>
        <w:rPr>
          <w:spacing w:val="-6"/>
        </w:rPr>
        <w:t> </w:t>
      </w:r>
      <w:r>
        <w:rPr/>
        <w:t>of</w:t>
      </w:r>
      <w:r>
        <w:rPr>
          <w:spacing w:val="-3"/>
        </w:rPr>
        <w:t> </w:t>
      </w:r>
      <w:r>
        <w:rPr/>
        <w:t>matters</w:t>
      </w:r>
      <w:r>
        <w:rPr>
          <w:spacing w:val="-7"/>
        </w:rPr>
        <w:t> </w:t>
      </w:r>
      <w:r>
        <w:rPr/>
        <w:t>of</w:t>
      </w:r>
      <w:r>
        <w:rPr>
          <w:spacing w:val="-8"/>
        </w:rPr>
        <w:t> </w:t>
      </w:r>
      <w:r>
        <w:rPr/>
        <w:t>which he</w:t>
      </w:r>
      <w:r>
        <w:rPr>
          <w:spacing w:val="-1"/>
        </w:rPr>
        <w:t> </w:t>
      </w:r>
      <w:r>
        <w:rPr/>
        <w:t>ought reasonably</w:t>
      </w:r>
      <w:r>
        <w:rPr>
          <w:spacing w:val="-9"/>
        </w:rPr>
        <w:t> </w:t>
      </w:r>
      <w:r>
        <w:rPr/>
        <w:t>to be aware</w:t>
      </w:r>
      <w:r>
        <w:rPr>
          <w:spacing w:val="-4"/>
        </w:rPr>
        <w:t> </w:t>
      </w:r>
      <w:r>
        <w:rPr/>
        <w:t>of.</w:t>
      </w:r>
      <w:r>
        <w:rPr>
          <w:spacing w:val="-1"/>
        </w:rPr>
        <w:t> </w:t>
      </w:r>
      <w:r>
        <w:rPr/>
        <w:t>Thus, he cannot be</w:t>
      </w:r>
      <w:r>
        <w:rPr>
          <w:spacing w:val="-4"/>
        </w:rPr>
        <w:t> </w:t>
      </w:r>
      <w:r>
        <w:rPr/>
        <w:t>‗unreasonably</w:t>
      </w:r>
      <w:r>
        <w:rPr>
          <w:spacing w:val="-8"/>
        </w:rPr>
        <w:t> </w:t>
      </w:r>
      <w:r>
        <w:rPr/>
        <w:t>unaware‘</w:t>
      </w:r>
      <w:r>
        <w:rPr>
          <w:spacing w:val="-6"/>
        </w:rPr>
        <w:t> </w:t>
      </w:r>
      <w:r>
        <w:rPr/>
        <w:t>of</w:t>
      </w:r>
      <w:r>
        <w:rPr>
          <w:spacing w:val="-6"/>
        </w:rPr>
        <w:t> </w:t>
      </w:r>
      <w:r>
        <w:rPr/>
        <w:t>his interests</w:t>
      </w:r>
      <w:r>
        <w:rPr>
          <w:spacing w:val="-6"/>
        </w:rPr>
        <w:t> </w:t>
      </w:r>
      <w:r>
        <w:rPr/>
        <w:t>and</w:t>
      </w:r>
      <w:r>
        <w:rPr>
          <w:spacing w:val="-3"/>
        </w:rPr>
        <w:t> </w:t>
      </w:r>
      <w:r>
        <w:rPr/>
        <w:t>thereby</w:t>
      </w:r>
      <w:r>
        <w:rPr>
          <w:spacing w:val="-3"/>
        </w:rPr>
        <w:t> </w:t>
      </w:r>
      <w:r>
        <w:rPr/>
        <w:t>fail to disclose them. A fortiori, when disclosurebecomes inadequate, after having been made, a further disclosure is required.</w:t>
      </w:r>
    </w:p>
    <w:p>
      <w:pPr>
        <w:pStyle w:val="BodyText"/>
        <w:spacing w:line="480" w:lineRule="auto" w:before="2"/>
        <w:ind w:right="226" w:firstLine="720"/>
        <w:jc w:val="both"/>
      </w:pPr>
      <w:r>
        <w:rPr/>
        <w:t>As for existing transactions, a director who is interested must disclose such interest in</w:t>
      </w:r>
      <w:r>
        <w:rPr>
          <w:spacing w:val="-1"/>
        </w:rPr>
        <w:t> </w:t>
      </w:r>
      <w:r>
        <w:rPr/>
        <w:t>the same manner as under s.177 CA, as soon</w:t>
      </w:r>
      <w:r>
        <w:rPr>
          <w:spacing w:val="-1"/>
        </w:rPr>
        <w:t> </w:t>
      </w:r>
      <w:r>
        <w:rPr/>
        <w:t>as the director discovers that he has such interests.</w:t>
      </w:r>
      <w:r>
        <w:rPr>
          <w:vertAlign w:val="superscript"/>
        </w:rPr>
        <w:t>120</w:t>
      </w:r>
      <w:r>
        <w:rPr>
          <w:vertAlign w:val="baseline"/>
        </w:rPr>
        <w:t> However there are two important differences in the rules relating</w:t>
      </w:r>
      <w:r>
        <w:rPr>
          <w:spacing w:val="40"/>
          <w:vertAlign w:val="baseline"/>
        </w:rPr>
        <w:t> </w:t>
      </w:r>
      <w:r>
        <w:rPr>
          <w:vertAlign w:val="baseline"/>
        </w:rPr>
        <w:t>to existing and proposed</w:t>
      </w:r>
      <w:r>
        <w:rPr>
          <w:spacing w:val="-1"/>
          <w:vertAlign w:val="baseline"/>
        </w:rPr>
        <w:t> </w:t>
      </w:r>
      <w:r>
        <w:rPr>
          <w:vertAlign w:val="baseline"/>
        </w:rPr>
        <w:t>transactions. Firstly, shadow directors are specifically</w:t>
      </w:r>
      <w:r>
        <w:rPr>
          <w:spacing w:val="-1"/>
          <w:vertAlign w:val="baseline"/>
        </w:rPr>
        <w:t> </w:t>
      </w:r>
      <w:r>
        <w:rPr>
          <w:vertAlign w:val="baseline"/>
        </w:rPr>
        <w:t>required to disclose interests in existing, though not proposed, transactions. Secondly, liability</w:t>
      </w:r>
      <w:r>
        <w:rPr>
          <w:spacing w:val="40"/>
          <w:vertAlign w:val="baseline"/>
        </w:rPr>
        <w:t> </w:t>
      </w:r>
      <w:r>
        <w:rPr>
          <w:vertAlign w:val="baseline"/>
        </w:rPr>
        <w:t>for breach in the case of existing transactions is criminal,</w:t>
      </w:r>
      <w:r>
        <w:rPr>
          <w:vertAlign w:val="superscript"/>
        </w:rPr>
        <w:t>121</w:t>
      </w:r>
      <w:r>
        <w:rPr>
          <w:vertAlign w:val="baseline"/>
        </w:rPr>
        <w:t> while that for proposed transactions is civil, as was previously the case under common law.</w:t>
      </w:r>
      <w:r>
        <w:rPr>
          <w:vertAlign w:val="superscript"/>
        </w:rPr>
        <w:t>122</w:t>
      </w:r>
    </w:p>
    <w:p>
      <w:pPr>
        <w:pStyle w:val="BodyText"/>
        <w:spacing w:line="480" w:lineRule="auto" w:before="1"/>
        <w:ind w:right="229" w:firstLine="720"/>
        <w:jc w:val="both"/>
      </w:pPr>
      <w:r>
        <w:rPr/>
        <w:t>Under the CAMA, s.277 combines the duties separately captured under ss. 177 and 182 of</w:t>
      </w:r>
      <w:r>
        <w:rPr>
          <w:spacing w:val="-7"/>
        </w:rPr>
        <w:t> </w:t>
      </w:r>
      <w:r>
        <w:rPr/>
        <w:t>the CA. The rules in both legislations</w:t>
      </w:r>
      <w:r>
        <w:rPr>
          <w:spacing w:val="-1"/>
        </w:rPr>
        <w:t> </w:t>
      </w:r>
      <w:r>
        <w:rPr/>
        <w:t>are the same to the extent that both</w:t>
      </w:r>
      <w:r>
        <w:rPr>
          <w:spacing w:val="-4"/>
        </w:rPr>
        <w:t> </w:t>
      </w:r>
      <w:r>
        <w:rPr/>
        <w:t>the CA and the CAMA address direct and indirect interests; require disclosure to the board and allow disclosure at the meeting of directors or by tendering general notice.</w:t>
      </w:r>
      <w:r>
        <w:rPr>
          <w:vertAlign w:val="superscript"/>
        </w:rPr>
        <w:t>123</w:t>
      </w:r>
      <w:r>
        <w:rPr>
          <w:vertAlign w:val="baseline"/>
        </w:rPr>
        <w:t> However,</w:t>
      </w:r>
      <w:r>
        <w:rPr>
          <w:spacing w:val="61"/>
          <w:w w:val="150"/>
          <w:vertAlign w:val="baseline"/>
        </w:rPr>
        <w:t> </w:t>
      </w:r>
      <w:r>
        <w:rPr>
          <w:vertAlign w:val="baseline"/>
        </w:rPr>
        <w:t>while</w:t>
      </w:r>
      <w:r>
        <w:rPr>
          <w:spacing w:val="63"/>
          <w:w w:val="150"/>
          <w:vertAlign w:val="baseline"/>
        </w:rPr>
        <w:t> </w:t>
      </w:r>
      <w:r>
        <w:rPr>
          <w:vertAlign w:val="baseline"/>
        </w:rPr>
        <w:t>CA</w:t>
      </w:r>
      <w:r>
        <w:rPr>
          <w:spacing w:val="54"/>
          <w:w w:val="150"/>
          <w:vertAlign w:val="baseline"/>
        </w:rPr>
        <w:t> </w:t>
      </w:r>
      <w:r>
        <w:rPr>
          <w:vertAlign w:val="baseline"/>
        </w:rPr>
        <w:t>talks</w:t>
      </w:r>
      <w:r>
        <w:rPr>
          <w:spacing w:val="57"/>
          <w:w w:val="150"/>
          <w:vertAlign w:val="baseline"/>
        </w:rPr>
        <w:t> </w:t>
      </w:r>
      <w:r>
        <w:rPr>
          <w:vertAlign w:val="baseline"/>
        </w:rPr>
        <w:t>of</w:t>
      </w:r>
      <w:r>
        <w:rPr>
          <w:spacing w:val="56"/>
          <w:w w:val="150"/>
          <w:vertAlign w:val="baseline"/>
        </w:rPr>
        <w:t> </w:t>
      </w:r>
      <w:r>
        <w:rPr>
          <w:vertAlign w:val="baseline"/>
        </w:rPr>
        <w:t>‗transaction</w:t>
      </w:r>
      <w:r>
        <w:rPr>
          <w:spacing w:val="55"/>
          <w:w w:val="150"/>
          <w:vertAlign w:val="baseline"/>
        </w:rPr>
        <w:t> </w:t>
      </w:r>
      <w:r>
        <w:rPr>
          <w:vertAlign w:val="baseline"/>
        </w:rPr>
        <w:t>or</w:t>
      </w:r>
      <w:r>
        <w:rPr>
          <w:spacing w:val="60"/>
          <w:w w:val="150"/>
          <w:vertAlign w:val="baseline"/>
        </w:rPr>
        <w:t> </w:t>
      </w:r>
      <w:r>
        <w:rPr>
          <w:vertAlign w:val="baseline"/>
        </w:rPr>
        <w:t>arrangement,‘</w:t>
      </w:r>
      <w:r>
        <w:rPr>
          <w:spacing w:val="56"/>
          <w:w w:val="150"/>
          <w:vertAlign w:val="baseline"/>
        </w:rPr>
        <w:t> </w:t>
      </w:r>
      <w:r>
        <w:rPr>
          <w:vertAlign w:val="baseline"/>
        </w:rPr>
        <w:t>the</w:t>
      </w:r>
      <w:r>
        <w:rPr>
          <w:spacing w:val="58"/>
          <w:w w:val="150"/>
          <w:vertAlign w:val="baseline"/>
        </w:rPr>
        <w:t> </w:t>
      </w:r>
      <w:r>
        <w:rPr>
          <w:vertAlign w:val="baseline"/>
        </w:rPr>
        <w:t>CAMA</w:t>
      </w:r>
      <w:r>
        <w:rPr>
          <w:spacing w:val="55"/>
          <w:w w:val="150"/>
          <w:vertAlign w:val="baseline"/>
        </w:rPr>
        <w:t> </w:t>
      </w:r>
      <w:r>
        <w:rPr>
          <w:vertAlign w:val="baseline"/>
        </w:rPr>
        <w:t>talks</w:t>
      </w:r>
      <w:r>
        <w:rPr>
          <w:spacing w:val="61"/>
          <w:w w:val="150"/>
          <w:vertAlign w:val="baseline"/>
        </w:rPr>
        <w:t> </w:t>
      </w:r>
      <w:r>
        <w:rPr>
          <w:spacing w:val="-5"/>
          <w:vertAlign w:val="baseline"/>
        </w:rPr>
        <w:t>of</w:t>
      </w:r>
    </w:p>
    <w:p>
      <w:pPr>
        <w:pStyle w:val="BodyText"/>
        <w:spacing w:before="1"/>
        <w:jc w:val="both"/>
      </w:pPr>
      <w:r>
        <w:rPr/>
        <w:t>‗contract.‘</w:t>
      </w:r>
      <w:r>
        <w:rPr>
          <w:spacing w:val="56"/>
        </w:rPr>
        <w:t> </w:t>
      </w:r>
      <w:r>
        <w:rPr/>
        <w:t>There</w:t>
      </w:r>
      <w:r>
        <w:rPr>
          <w:spacing w:val="57"/>
        </w:rPr>
        <w:t> </w:t>
      </w:r>
      <w:r>
        <w:rPr/>
        <w:t>appears</w:t>
      </w:r>
      <w:r>
        <w:rPr>
          <w:spacing w:val="57"/>
        </w:rPr>
        <w:t> </w:t>
      </w:r>
      <w:r>
        <w:rPr/>
        <w:t>to</w:t>
      </w:r>
      <w:r>
        <w:rPr>
          <w:spacing w:val="64"/>
        </w:rPr>
        <w:t> </w:t>
      </w:r>
      <w:r>
        <w:rPr/>
        <w:t>be</w:t>
      </w:r>
      <w:r>
        <w:rPr>
          <w:spacing w:val="63"/>
        </w:rPr>
        <w:t> </w:t>
      </w:r>
      <w:r>
        <w:rPr/>
        <w:t>hardly</w:t>
      </w:r>
      <w:r>
        <w:rPr>
          <w:spacing w:val="55"/>
        </w:rPr>
        <w:t> </w:t>
      </w:r>
      <w:r>
        <w:rPr/>
        <w:t>any</w:t>
      </w:r>
      <w:r>
        <w:rPr>
          <w:spacing w:val="59"/>
        </w:rPr>
        <w:t> </w:t>
      </w:r>
      <w:r>
        <w:rPr/>
        <w:t>substantial</w:t>
      </w:r>
      <w:r>
        <w:rPr>
          <w:spacing w:val="59"/>
        </w:rPr>
        <w:t> </w:t>
      </w:r>
      <w:r>
        <w:rPr/>
        <w:t>difference</w:t>
      </w:r>
      <w:r>
        <w:rPr>
          <w:spacing w:val="68"/>
        </w:rPr>
        <w:t> </w:t>
      </w:r>
      <w:r>
        <w:rPr/>
        <w:t>between</w:t>
      </w:r>
      <w:r>
        <w:rPr>
          <w:spacing w:val="59"/>
        </w:rPr>
        <w:t> </w:t>
      </w:r>
      <w:r>
        <w:rPr/>
        <w:t>the</w:t>
      </w:r>
      <w:r>
        <w:rPr>
          <w:spacing w:val="58"/>
        </w:rPr>
        <w:t> </w:t>
      </w:r>
      <w:r>
        <w:rPr>
          <w:spacing w:val="-5"/>
        </w:rPr>
        <w:t>two</w:t>
      </w:r>
    </w:p>
    <w:p>
      <w:pPr>
        <w:pStyle w:val="BodyText"/>
        <w:ind w:left="0"/>
        <w:rPr>
          <w:sz w:val="20"/>
        </w:rPr>
      </w:pPr>
    </w:p>
    <w:p>
      <w:pPr>
        <w:pStyle w:val="BodyText"/>
        <w:ind w:left="0"/>
        <w:rPr>
          <w:sz w:val="20"/>
        </w:rPr>
      </w:pPr>
    </w:p>
    <w:p>
      <w:pPr>
        <w:pStyle w:val="BodyText"/>
        <w:ind w:left="0"/>
        <w:rPr>
          <w:sz w:val="20"/>
        </w:rPr>
      </w:pPr>
    </w:p>
    <w:p>
      <w:pPr>
        <w:pStyle w:val="BodyText"/>
        <w:spacing w:before="104"/>
        <w:ind w:left="0"/>
        <w:rPr>
          <w:sz w:val="20"/>
        </w:rPr>
      </w:pPr>
      <w:r>
        <w:rPr/>
        <mc:AlternateContent>
          <mc:Choice Requires="wps">
            <w:drawing>
              <wp:anchor distT="0" distB="0" distL="0" distR="0" allowOverlap="1" layoutInCell="1" locked="0" behindDoc="1" simplePos="0" relativeHeight="487729664">
                <wp:simplePos x="0" y="0"/>
                <wp:positionH relativeFrom="page">
                  <wp:posOffset>1262481</wp:posOffset>
                </wp:positionH>
                <wp:positionV relativeFrom="paragraph">
                  <wp:posOffset>227498</wp:posOffset>
                </wp:positionV>
                <wp:extent cx="1829435" cy="9525"/>
                <wp:effectExtent l="0" t="0" r="0" b="0"/>
                <wp:wrapTopAndBottom/>
                <wp:docPr id="304" name="Graphic 304"/>
                <wp:cNvGraphicFramePr>
                  <a:graphicFrameLocks/>
                </wp:cNvGraphicFramePr>
                <a:graphic>
                  <a:graphicData uri="http://schemas.microsoft.com/office/word/2010/wordprocessingShape">
                    <wps:wsp>
                      <wps:cNvPr id="304" name="Graphic 304"/>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91329pt;width:144.050pt;height:.72003pt;mso-position-horizontal-relative:page;mso-position-vertical-relative:paragraph;z-index:-15586816;mso-wrap-distance-left:0;mso-wrap-distance-right:0" id="docshape259"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120</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s.182</w:t>
      </w:r>
      <w:r>
        <w:rPr>
          <w:rFonts w:ascii="Calibri"/>
          <w:spacing w:val="-1"/>
          <w:sz w:val="20"/>
          <w:vertAlign w:val="baseline"/>
        </w:rPr>
        <w:t> </w:t>
      </w:r>
      <w:r>
        <w:rPr>
          <w:rFonts w:ascii="Calibri"/>
          <w:spacing w:val="-5"/>
          <w:sz w:val="20"/>
          <w:vertAlign w:val="baseline"/>
        </w:rPr>
        <w:t>CA.</w:t>
      </w:r>
    </w:p>
    <w:p>
      <w:pPr>
        <w:spacing w:before="1"/>
        <w:ind w:left="308" w:right="0" w:firstLine="0"/>
        <w:jc w:val="left"/>
        <w:rPr>
          <w:rFonts w:ascii="Calibri"/>
          <w:sz w:val="20"/>
        </w:rPr>
      </w:pPr>
      <w:r>
        <w:rPr>
          <w:rFonts w:ascii="Calibri"/>
          <w:sz w:val="20"/>
          <w:vertAlign w:val="superscript"/>
        </w:rPr>
        <w:t>121</w:t>
      </w:r>
      <w:r>
        <w:rPr>
          <w:rFonts w:ascii="Calibri"/>
          <w:spacing w:val="1"/>
          <w:sz w:val="20"/>
          <w:vertAlign w:val="baseline"/>
        </w:rPr>
        <w:t> </w:t>
      </w:r>
      <w:r>
        <w:rPr>
          <w:rFonts w:ascii="Calibri"/>
          <w:sz w:val="20"/>
          <w:vertAlign w:val="baseline"/>
        </w:rPr>
        <w:t>See</w:t>
      </w:r>
      <w:r>
        <w:rPr>
          <w:rFonts w:ascii="Calibri"/>
          <w:spacing w:val="-5"/>
          <w:sz w:val="20"/>
          <w:vertAlign w:val="baseline"/>
        </w:rPr>
        <w:t> </w:t>
      </w:r>
      <w:r>
        <w:rPr>
          <w:rFonts w:ascii="Calibri"/>
          <w:sz w:val="20"/>
          <w:vertAlign w:val="baseline"/>
        </w:rPr>
        <w:t>s.183</w:t>
      </w:r>
      <w:r>
        <w:rPr>
          <w:rFonts w:ascii="Calibri"/>
          <w:spacing w:val="-1"/>
          <w:sz w:val="20"/>
          <w:vertAlign w:val="baseline"/>
        </w:rPr>
        <w:t> </w:t>
      </w:r>
      <w:r>
        <w:rPr>
          <w:rFonts w:ascii="Calibri"/>
          <w:spacing w:val="-5"/>
          <w:sz w:val="20"/>
          <w:vertAlign w:val="baseline"/>
        </w:rPr>
        <w:t>CA.</w:t>
      </w:r>
    </w:p>
    <w:p>
      <w:pPr>
        <w:spacing w:before="0"/>
        <w:ind w:left="308" w:right="0" w:firstLine="0"/>
        <w:jc w:val="left"/>
        <w:rPr>
          <w:rFonts w:ascii="Calibri"/>
          <w:sz w:val="20"/>
        </w:rPr>
      </w:pPr>
      <w:r>
        <w:rPr>
          <w:rFonts w:ascii="Calibri"/>
          <w:sz w:val="20"/>
          <w:vertAlign w:val="superscript"/>
        </w:rPr>
        <w:t>122</w:t>
      </w:r>
      <w:r>
        <w:rPr>
          <w:rFonts w:ascii="Calibri"/>
          <w:sz w:val="20"/>
          <w:vertAlign w:val="baseline"/>
        </w:rPr>
        <w:t> See</w:t>
      </w:r>
      <w:r>
        <w:rPr>
          <w:rFonts w:ascii="Calibri"/>
          <w:spacing w:val="-6"/>
          <w:sz w:val="20"/>
          <w:vertAlign w:val="baseline"/>
        </w:rPr>
        <w:t> </w:t>
      </w:r>
      <w:r>
        <w:rPr>
          <w:rFonts w:ascii="Calibri"/>
          <w:sz w:val="20"/>
          <w:vertAlign w:val="baseline"/>
        </w:rPr>
        <w:t>s.178(1)</w:t>
      </w:r>
      <w:r>
        <w:rPr>
          <w:rFonts w:ascii="Calibri"/>
          <w:spacing w:val="-4"/>
          <w:sz w:val="20"/>
          <w:vertAlign w:val="baseline"/>
        </w:rPr>
        <w:t> </w:t>
      </w:r>
      <w:r>
        <w:rPr>
          <w:rFonts w:ascii="Calibri"/>
          <w:spacing w:val="-5"/>
          <w:sz w:val="20"/>
          <w:vertAlign w:val="baseline"/>
        </w:rPr>
        <w:t>CA.</w:t>
      </w:r>
    </w:p>
    <w:p>
      <w:pPr>
        <w:spacing w:before="1"/>
        <w:ind w:left="308" w:right="0" w:firstLine="0"/>
        <w:jc w:val="left"/>
        <w:rPr>
          <w:rFonts w:ascii="Calibri"/>
          <w:sz w:val="20"/>
        </w:rPr>
      </w:pPr>
      <w:r>
        <w:rPr>
          <w:rFonts w:ascii="Calibri"/>
          <w:sz w:val="20"/>
          <w:vertAlign w:val="superscript"/>
        </w:rPr>
        <w:t>123</w:t>
      </w:r>
      <w:r>
        <w:rPr>
          <w:rFonts w:ascii="Calibri"/>
          <w:sz w:val="20"/>
          <w:vertAlign w:val="baseline"/>
        </w:rPr>
        <w:t> See</w:t>
      </w:r>
      <w:r>
        <w:rPr>
          <w:rFonts w:ascii="Calibri"/>
          <w:spacing w:val="-5"/>
          <w:sz w:val="20"/>
          <w:vertAlign w:val="baseline"/>
        </w:rPr>
        <w:t> </w:t>
      </w:r>
      <w:r>
        <w:rPr>
          <w:rFonts w:ascii="Calibri"/>
          <w:sz w:val="20"/>
          <w:vertAlign w:val="baseline"/>
        </w:rPr>
        <w:t>s.177(1)</w:t>
      </w:r>
      <w:r>
        <w:rPr>
          <w:rFonts w:ascii="Calibri"/>
          <w:spacing w:val="-4"/>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(2)</w:t>
      </w:r>
      <w:r>
        <w:rPr>
          <w:rFonts w:ascii="Calibri"/>
          <w:spacing w:val="-4"/>
          <w:sz w:val="20"/>
          <w:vertAlign w:val="baseline"/>
        </w:rPr>
        <w:t> </w:t>
      </w:r>
      <w:r>
        <w:rPr>
          <w:rFonts w:ascii="Calibri"/>
          <w:sz w:val="20"/>
          <w:vertAlign w:val="baseline"/>
        </w:rPr>
        <w:t>CA</w:t>
      </w:r>
      <w:r>
        <w:rPr>
          <w:rFonts w:ascii="Calibri"/>
          <w:spacing w:val="-2"/>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s.277(1)</w:t>
      </w:r>
      <w:r>
        <w:rPr>
          <w:rFonts w:ascii="Calibri"/>
          <w:spacing w:val="-4"/>
          <w:sz w:val="20"/>
          <w:vertAlign w:val="baseline"/>
        </w:rPr>
        <w:t> </w:t>
      </w:r>
      <w:r>
        <w:rPr>
          <w:rFonts w:ascii="Calibri"/>
          <w:sz w:val="20"/>
          <w:vertAlign w:val="baseline"/>
        </w:rPr>
        <w:t>and</w:t>
      </w:r>
      <w:r>
        <w:rPr>
          <w:rFonts w:ascii="Calibri"/>
          <w:spacing w:val="-5"/>
          <w:sz w:val="20"/>
          <w:vertAlign w:val="baseline"/>
        </w:rPr>
        <w:t> </w:t>
      </w:r>
      <w:r>
        <w:rPr>
          <w:rFonts w:ascii="Calibri"/>
          <w:sz w:val="20"/>
          <w:vertAlign w:val="baseline"/>
        </w:rPr>
        <w:t>(3)</w:t>
      </w:r>
      <w:r>
        <w:rPr>
          <w:rFonts w:ascii="Calibri"/>
          <w:spacing w:val="-4"/>
          <w:sz w:val="20"/>
          <w:vertAlign w:val="baseline"/>
        </w:rPr>
        <w:t> CAMA</w:t>
      </w:r>
    </w:p>
    <w:p>
      <w:pPr>
        <w:spacing w:after="0"/>
        <w:jc w:val="left"/>
        <w:rPr>
          <w:rFonts w:ascii="Calibri"/>
          <w:sz w:val="20"/>
        </w:rPr>
        <w:sectPr>
          <w:pgSz w:w="11910" w:h="16840"/>
          <w:pgMar w:header="0" w:footer="1003" w:top="1320" w:bottom="1200" w:left="1680" w:right="1180"/>
        </w:sectPr>
      </w:pPr>
    </w:p>
    <w:p>
      <w:pPr>
        <w:pStyle w:val="BodyText"/>
        <w:spacing w:line="480" w:lineRule="auto" w:before="70"/>
        <w:ind w:right="241"/>
        <w:jc w:val="both"/>
      </w:pPr>
      <w:r>
        <w:rPr/>
        <w:t>terminologies. Indeed, it is hard to fathom a transaction or arrangement between a company and another, which would not, in some way, fit the description of</w:t>
      </w:r>
      <w:r>
        <w:rPr>
          <w:spacing w:val="-1"/>
        </w:rPr>
        <w:t> </w:t>
      </w:r>
      <w:r>
        <w:rPr/>
        <w:t>‗contract.‘</w:t>
      </w:r>
    </w:p>
    <w:p>
      <w:pPr>
        <w:pStyle w:val="BodyText"/>
        <w:spacing w:line="480" w:lineRule="auto"/>
        <w:ind w:right="227" w:firstLine="720"/>
        <w:jc w:val="both"/>
      </w:pPr>
      <w:r>
        <w:rPr/>
        <w:t>However, there are considerable differences discernible from both legislations. First, s.177(1) CA</w:t>
      </w:r>
      <w:r>
        <w:rPr>
          <w:spacing w:val="-4"/>
        </w:rPr>
        <w:t> </w:t>
      </w:r>
      <w:r>
        <w:rPr/>
        <w:t>requires the declaration</w:t>
      </w:r>
      <w:r>
        <w:rPr>
          <w:spacing w:val="-3"/>
        </w:rPr>
        <w:t> </w:t>
      </w:r>
      <w:r>
        <w:rPr/>
        <w:t>of</w:t>
      </w:r>
      <w:r>
        <w:rPr>
          <w:spacing w:val="-1"/>
        </w:rPr>
        <w:t> </w:t>
      </w:r>
      <w:r>
        <w:rPr/>
        <w:t>both</w:t>
      </w:r>
      <w:r>
        <w:rPr>
          <w:spacing w:val="-3"/>
        </w:rPr>
        <w:t> </w:t>
      </w:r>
      <w:r>
        <w:rPr/>
        <w:t>nature and extent of</w:t>
      </w:r>
      <w:r>
        <w:rPr>
          <w:spacing w:val="-1"/>
        </w:rPr>
        <w:t> </w:t>
      </w:r>
      <w:r>
        <w:rPr/>
        <w:t>interest, whereas s.277(1) CAMA requires simply the declaration of nature of interest. Thus, under the CAMA,</w:t>
      </w:r>
      <w:r>
        <w:rPr>
          <w:spacing w:val="-15"/>
        </w:rPr>
        <w:t> </w:t>
      </w:r>
      <w:r>
        <w:rPr/>
        <w:t>it</w:t>
      </w:r>
      <w:r>
        <w:rPr>
          <w:spacing w:val="-15"/>
        </w:rPr>
        <w:t> </w:t>
      </w:r>
      <w:r>
        <w:rPr/>
        <w:t>would</w:t>
      </w:r>
      <w:r>
        <w:rPr>
          <w:spacing w:val="-15"/>
        </w:rPr>
        <w:t> </w:t>
      </w:r>
      <w:r>
        <w:rPr/>
        <w:t>be</w:t>
      </w:r>
      <w:r>
        <w:rPr>
          <w:spacing w:val="-15"/>
        </w:rPr>
        <w:t> </w:t>
      </w:r>
      <w:r>
        <w:rPr/>
        <w:t>enough</w:t>
      </w:r>
      <w:r>
        <w:rPr>
          <w:spacing w:val="-15"/>
        </w:rPr>
        <w:t> </w:t>
      </w:r>
      <w:r>
        <w:rPr/>
        <w:t>to</w:t>
      </w:r>
      <w:r>
        <w:rPr>
          <w:spacing w:val="-15"/>
        </w:rPr>
        <w:t> </w:t>
      </w:r>
      <w:r>
        <w:rPr/>
        <w:t>simply</w:t>
      </w:r>
      <w:r>
        <w:rPr>
          <w:spacing w:val="-15"/>
        </w:rPr>
        <w:t> </w:t>
      </w:r>
      <w:r>
        <w:rPr/>
        <w:t>state,</w:t>
      </w:r>
      <w:r>
        <w:rPr>
          <w:spacing w:val="-15"/>
        </w:rPr>
        <w:t> </w:t>
      </w:r>
      <w:r>
        <w:rPr/>
        <w:t>―I</w:t>
      </w:r>
      <w:r>
        <w:rPr>
          <w:spacing w:val="-15"/>
        </w:rPr>
        <w:t> </w:t>
      </w:r>
      <w:r>
        <w:rPr/>
        <w:t>am</w:t>
      </w:r>
      <w:r>
        <w:rPr>
          <w:spacing w:val="-15"/>
        </w:rPr>
        <w:t> </w:t>
      </w:r>
      <w:r>
        <w:rPr/>
        <w:t>a</w:t>
      </w:r>
      <w:r>
        <w:rPr>
          <w:spacing w:val="-15"/>
        </w:rPr>
        <w:t> </w:t>
      </w:r>
      <w:r>
        <w:rPr/>
        <w:t>shareholder</w:t>
      </w:r>
      <w:r>
        <w:rPr>
          <w:spacing w:val="-15"/>
        </w:rPr>
        <w:t> </w:t>
      </w:r>
      <w:r>
        <w:rPr/>
        <w:t>in</w:t>
      </w:r>
      <w:r>
        <w:rPr>
          <w:spacing w:val="-15"/>
        </w:rPr>
        <w:t> </w:t>
      </w:r>
      <w:r>
        <w:rPr/>
        <w:t>ZT</w:t>
      </w:r>
      <w:r>
        <w:rPr>
          <w:spacing w:val="-13"/>
        </w:rPr>
        <w:t> </w:t>
      </w:r>
      <w:r>
        <w:rPr/>
        <w:t>Ltd‖</w:t>
      </w:r>
      <w:r>
        <w:rPr>
          <w:spacing w:val="-15"/>
        </w:rPr>
        <w:t> </w:t>
      </w:r>
      <w:r>
        <w:rPr/>
        <w:t>or</w:t>
      </w:r>
      <w:r>
        <w:rPr>
          <w:spacing w:val="-14"/>
        </w:rPr>
        <w:t> </w:t>
      </w:r>
      <w:r>
        <w:rPr/>
        <w:t>―My</w:t>
      </w:r>
      <w:r>
        <w:rPr>
          <w:spacing w:val="-15"/>
        </w:rPr>
        <w:t> </w:t>
      </w:r>
      <w:r>
        <w:rPr/>
        <w:t>wife is associated with No. 54, Kaduna street, Sabon-Gari, Zaria,‖ not necessarily, ―I own 1% of</w:t>
      </w:r>
      <w:r>
        <w:rPr>
          <w:spacing w:val="-3"/>
        </w:rPr>
        <w:t> </w:t>
      </w:r>
      <w:r>
        <w:rPr/>
        <w:t>the shares in ZT Ltd.‖ or ―My wife‘s family owns No.54 Kaduna Street, Sabon- Gari, Zaria.‖ Clearly, there is a world of difference between the first set of statements and the second. The latter would allow the board to easily reach a more informed decision about the issue.</w:t>
      </w:r>
    </w:p>
    <w:p>
      <w:pPr>
        <w:pStyle w:val="BodyText"/>
        <w:spacing w:line="480" w:lineRule="auto" w:before="2"/>
        <w:ind w:right="230" w:firstLine="720"/>
        <w:jc w:val="both"/>
      </w:pPr>
      <w:r>
        <w:rPr/>
        <w:t>Second, under s.177(2) CA, declaration need not be via the mentioned means (i.e., at a meeting of directors, by notice in writing or general notice). It can be through any other means that can effectively bring the fact of the director‘s interests to the</w:t>
      </w:r>
      <w:r>
        <w:rPr>
          <w:spacing w:val="80"/>
        </w:rPr>
        <w:t> </w:t>
      </w:r>
      <w:r>
        <w:rPr/>
        <w:t>notice of the others. While it is hard to think of any other means apart from the aforementioned through</w:t>
      </w:r>
      <w:r>
        <w:rPr>
          <w:spacing w:val="-2"/>
        </w:rPr>
        <w:t> </w:t>
      </w:r>
      <w:r>
        <w:rPr/>
        <w:t>which</w:t>
      </w:r>
      <w:r>
        <w:rPr>
          <w:spacing w:val="-2"/>
        </w:rPr>
        <w:t> </w:t>
      </w:r>
      <w:r>
        <w:rPr/>
        <w:t>the director can</w:t>
      </w:r>
      <w:r>
        <w:rPr>
          <w:spacing w:val="-2"/>
        </w:rPr>
        <w:t> </w:t>
      </w:r>
      <w:r>
        <w:rPr/>
        <w:t>effectively</w:t>
      </w:r>
      <w:r>
        <w:rPr>
          <w:spacing w:val="-2"/>
        </w:rPr>
        <w:t> </w:t>
      </w:r>
      <w:r>
        <w:rPr/>
        <w:t>deliver the message, it is still submitted that leaving it open to the director to seek any means easy to him is commendable because this would have the potential to deny the director any excuse to say that he could not declare through the aforementioned means. He could call them up on</w:t>
      </w:r>
      <w:r>
        <w:rPr>
          <w:spacing w:val="-3"/>
        </w:rPr>
        <w:t> </w:t>
      </w:r>
      <w:r>
        <w:rPr/>
        <w:t>phone, for example, especially where there are not many ―other‖ directors. Thus, he would have no excuse.</w:t>
      </w:r>
    </w:p>
    <w:p>
      <w:pPr>
        <w:pStyle w:val="BodyText"/>
        <w:spacing w:line="480" w:lineRule="auto" w:before="2"/>
        <w:ind w:right="230" w:firstLine="720"/>
        <w:jc w:val="both"/>
      </w:pPr>
      <w:r>
        <w:rPr/>
        <w:t>Under s.277(2) and (3) CAMA on the other hand, declaration for proposed transactions or contracts, is either through notice given at the directors meeting or general notice. Considering the fact that information technology has improved considerably,</w:t>
      </w:r>
      <w:r>
        <w:rPr>
          <w:spacing w:val="34"/>
        </w:rPr>
        <w:t> </w:t>
      </w:r>
      <w:r>
        <w:rPr/>
        <w:t>notices</w:t>
      </w:r>
      <w:r>
        <w:rPr>
          <w:spacing w:val="31"/>
        </w:rPr>
        <w:t> </w:t>
      </w:r>
      <w:r>
        <w:rPr/>
        <w:t>via</w:t>
      </w:r>
      <w:r>
        <w:rPr>
          <w:spacing w:val="32"/>
        </w:rPr>
        <w:t> </w:t>
      </w:r>
      <w:r>
        <w:rPr/>
        <w:t>phone</w:t>
      </w:r>
      <w:r>
        <w:rPr>
          <w:spacing w:val="32"/>
        </w:rPr>
        <w:t> </w:t>
      </w:r>
      <w:r>
        <w:rPr/>
        <w:t>and</w:t>
      </w:r>
      <w:r>
        <w:rPr>
          <w:spacing w:val="28"/>
        </w:rPr>
        <w:t> </w:t>
      </w:r>
      <w:r>
        <w:rPr/>
        <w:t>emails</w:t>
      </w:r>
      <w:r>
        <w:rPr>
          <w:spacing w:val="31"/>
        </w:rPr>
        <w:t> </w:t>
      </w:r>
      <w:r>
        <w:rPr/>
        <w:t>should</w:t>
      </w:r>
      <w:r>
        <w:rPr>
          <w:spacing w:val="28"/>
        </w:rPr>
        <w:t> </w:t>
      </w:r>
      <w:r>
        <w:rPr/>
        <w:t>also</w:t>
      </w:r>
      <w:r>
        <w:rPr>
          <w:spacing w:val="33"/>
        </w:rPr>
        <w:t> </w:t>
      </w:r>
      <w:r>
        <w:rPr/>
        <w:t>be</w:t>
      </w:r>
      <w:r>
        <w:rPr>
          <w:spacing w:val="28"/>
        </w:rPr>
        <w:t> </w:t>
      </w:r>
      <w:r>
        <w:rPr/>
        <w:t>recognized</w:t>
      </w:r>
      <w:r>
        <w:rPr>
          <w:spacing w:val="33"/>
        </w:rPr>
        <w:t> </w:t>
      </w:r>
      <w:r>
        <w:rPr/>
        <w:t>or</w:t>
      </w:r>
      <w:r>
        <w:rPr>
          <w:spacing w:val="30"/>
        </w:rPr>
        <w:t> </w:t>
      </w:r>
      <w:r>
        <w:rPr/>
        <w:t>at</w:t>
      </w:r>
      <w:r>
        <w:rPr>
          <w:spacing w:val="34"/>
        </w:rPr>
        <w:t> </w:t>
      </w:r>
      <w:r>
        <w:rPr/>
        <w:t>least,</w:t>
      </w:r>
      <w:r>
        <w:rPr>
          <w:spacing w:val="31"/>
        </w:rPr>
        <w:t> </w:t>
      </w:r>
      <w:r>
        <w:rPr>
          <w:spacing w:val="-5"/>
        </w:rPr>
        <w:t>the</w:t>
      </w:r>
    </w:p>
    <w:p>
      <w:pPr>
        <w:spacing w:after="0" w:line="480" w:lineRule="auto"/>
        <w:jc w:val="both"/>
        <w:sectPr>
          <w:pgSz w:w="11910" w:h="16840"/>
          <w:pgMar w:header="0" w:footer="1003" w:top="1320" w:bottom="1200" w:left="1680" w:right="1180"/>
        </w:sectPr>
      </w:pPr>
    </w:p>
    <w:p>
      <w:pPr>
        <w:pStyle w:val="BodyText"/>
        <w:spacing w:line="480" w:lineRule="auto" w:before="70"/>
        <w:ind w:right="242"/>
        <w:jc w:val="both"/>
      </w:pPr>
      <w:r>
        <w:rPr/>
        <w:t>provision</w:t>
      </w:r>
      <w:r>
        <w:rPr>
          <w:spacing w:val="-13"/>
        </w:rPr>
        <w:t> </w:t>
      </w:r>
      <w:r>
        <w:rPr/>
        <w:t>can</w:t>
      </w:r>
      <w:r>
        <w:rPr>
          <w:spacing w:val="-6"/>
        </w:rPr>
        <w:t> </w:t>
      </w:r>
      <w:r>
        <w:rPr/>
        <w:t>be</w:t>
      </w:r>
      <w:r>
        <w:rPr>
          <w:spacing w:val="-6"/>
        </w:rPr>
        <w:t> </w:t>
      </w:r>
      <w:r>
        <w:rPr/>
        <w:t>left</w:t>
      </w:r>
      <w:r>
        <w:rPr>
          <w:spacing w:val="-5"/>
        </w:rPr>
        <w:t> </w:t>
      </w:r>
      <w:r>
        <w:rPr/>
        <w:t>open,</w:t>
      </w:r>
      <w:r>
        <w:rPr>
          <w:spacing w:val="-7"/>
        </w:rPr>
        <w:t> </w:t>
      </w:r>
      <w:r>
        <w:rPr/>
        <w:t>as</w:t>
      </w:r>
      <w:r>
        <w:rPr>
          <w:spacing w:val="-3"/>
        </w:rPr>
        <w:t> </w:t>
      </w:r>
      <w:r>
        <w:rPr/>
        <w:t>is</w:t>
      </w:r>
      <w:r>
        <w:rPr>
          <w:spacing w:val="-12"/>
        </w:rPr>
        <w:t> </w:t>
      </w:r>
      <w:r>
        <w:rPr/>
        <w:t>the</w:t>
      </w:r>
      <w:r>
        <w:rPr>
          <w:spacing w:val="-7"/>
        </w:rPr>
        <w:t> </w:t>
      </w:r>
      <w:r>
        <w:rPr/>
        <w:t>case</w:t>
      </w:r>
      <w:r>
        <w:rPr>
          <w:spacing w:val="-10"/>
        </w:rPr>
        <w:t> </w:t>
      </w:r>
      <w:r>
        <w:rPr/>
        <w:t>under</w:t>
      </w:r>
      <w:r>
        <w:rPr>
          <w:spacing w:val="-8"/>
        </w:rPr>
        <w:t> </w:t>
      </w:r>
      <w:r>
        <w:rPr/>
        <w:t>s.177</w:t>
      </w:r>
      <w:r>
        <w:rPr>
          <w:spacing w:val="-9"/>
        </w:rPr>
        <w:t> </w:t>
      </w:r>
      <w:r>
        <w:rPr/>
        <w:t>CA,</w:t>
      </w:r>
      <w:r>
        <w:rPr>
          <w:spacing w:val="-7"/>
        </w:rPr>
        <w:t> </w:t>
      </w:r>
      <w:r>
        <w:rPr/>
        <w:t>using</w:t>
      </w:r>
      <w:r>
        <w:rPr>
          <w:spacing w:val="-9"/>
        </w:rPr>
        <w:t> </w:t>
      </w:r>
      <w:r>
        <w:rPr/>
        <w:t>the</w:t>
      </w:r>
      <w:r>
        <w:rPr>
          <w:spacing w:val="-10"/>
        </w:rPr>
        <w:t> </w:t>
      </w:r>
      <w:r>
        <w:rPr/>
        <w:t>phrase,</w:t>
      </w:r>
      <w:r>
        <w:rPr>
          <w:spacing w:val="-3"/>
        </w:rPr>
        <w:t> </w:t>
      </w:r>
      <w:r>
        <w:rPr/>
        <w:t>―need</w:t>
      </w:r>
      <w:r>
        <w:rPr>
          <w:spacing w:val="-6"/>
        </w:rPr>
        <w:t> </w:t>
      </w:r>
      <w:r>
        <w:rPr/>
        <w:t>not</w:t>
      </w:r>
      <w:r>
        <w:rPr>
          <w:spacing w:val="-5"/>
        </w:rPr>
        <w:t> </w:t>
      </w:r>
      <w:r>
        <w:rPr/>
        <w:t>be made,‖ so that any other means not necessarily mentioned, but which could effectively transmit the notice, can be accommodated.</w:t>
      </w:r>
    </w:p>
    <w:p>
      <w:pPr>
        <w:pStyle w:val="BodyText"/>
        <w:spacing w:line="480" w:lineRule="auto"/>
        <w:ind w:right="236" w:firstLine="720"/>
        <w:jc w:val="both"/>
      </w:pPr>
      <w:r>
        <w:rPr/>
        <w:t>Third, under s.177(3) CA, the law requires a further declaration</w:t>
      </w:r>
      <w:r>
        <w:rPr>
          <w:spacing w:val="-2"/>
        </w:rPr>
        <w:t> </w:t>
      </w:r>
      <w:r>
        <w:rPr/>
        <w:t>or update</w:t>
      </w:r>
      <w:r>
        <w:rPr>
          <w:spacing w:val="-3"/>
        </w:rPr>
        <w:t> </w:t>
      </w:r>
      <w:r>
        <w:rPr/>
        <w:t>on</w:t>
      </w:r>
      <w:r>
        <w:rPr>
          <w:spacing w:val="-7"/>
        </w:rPr>
        <w:t> </w:t>
      </w:r>
      <w:r>
        <w:rPr/>
        <w:t>the information</w:t>
      </w:r>
      <w:r>
        <w:rPr>
          <w:spacing w:val="-2"/>
        </w:rPr>
        <w:t> </w:t>
      </w:r>
      <w:r>
        <w:rPr/>
        <w:t>earlier given, whenever the director</w:t>
      </w:r>
      <w:r>
        <w:rPr>
          <w:spacing w:val="-1"/>
        </w:rPr>
        <w:t> </w:t>
      </w:r>
      <w:r>
        <w:rPr/>
        <w:t>involved discovers that the information given</w:t>
      </w:r>
      <w:r>
        <w:rPr>
          <w:spacing w:val="-2"/>
        </w:rPr>
        <w:t> </w:t>
      </w:r>
      <w:r>
        <w:rPr/>
        <w:t>earlier has become inadequate or was at the time incomplete. This situation is not within the contemplation of s.277 CAMA. Thus, under the latter law, if the director declares the first time, he is not statutorily required to make a further declaration. This has the potential to allow dubious directors to make inadequate declaration in order to claim later that they had declared what, at the time, was known to them, or that they discovered the inadequacy (or the inadequacy occurred) much later, after the first declaration, and they were not obliged, thereafter, to make a further declaration.</w:t>
      </w:r>
    </w:p>
    <w:p>
      <w:pPr>
        <w:pStyle w:val="BodyText"/>
        <w:spacing w:line="480" w:lineRule="auto" w:before="2"/>
        <w:ind w:right="235" w:firstLine="720"/>
        <w:jc w:val="both"/>
      </w:pPr>
      <w:r>
        <w:rPr/>
        <w:t>Fourth, s. 177(5) and (6) CA have delineated instances where a declaration of interest would not be required,</w:t>
      </w:r>
      <w:r>
        <w:rPr>
          <w:vertAlign w:val="superscript"/>
        </w:rPr>
        <w:t>124</w:t>
      </w:r>
      <w:r>
        <w:rPr>
          <w:vertAlign w:val="baseline"/>
        </w:rPr>
        <w:t> which is not the case with the CAMA. The latter seems to admit of no exceptions to the rule. Therefore, under the CAMA, it would not be</w:t>
      </w:r>
      <w:r>
        <w:rPr>
          <w:spacing w:val="-2"/>
          <w:vertAlign w:val="baseline"/>
        </w:rPr>
        <w:t> </w:t>
      </w:r>
      <w:r>
        <w:rPr>
          <w:vertAlign w:val="baseline"/>
        </w:rPr>
        <w:t>a</w:t>
      </w:r>
      <w:r>
        <w:rPr>
          <w:spacing w:val="-2"/>
          <w:vertAlign w:val="baseline"/>
        </w:rPr>
        <w:t> </w:t>
      </w:r>
      <w:r>
        <w:rPr>
          <w:vertAlign w:val="baseline"/>
        </w:rPr>
        <w:t>defence for</w:t>
      </w:r>
      <w:r>
        <w:rPr>
          <w:spacing w:val="-4"/>
          <w:vertAlign w:val="baseline"/>
        </w:rPr>
        <w:t> </w:t>
      </w:r>
      <w:r>
        <w:rPr>
          <w:vertAlign w:val="baseline"/>
        </w:rPr>
        <w:t>the</w:t>
      </w:r>
      <w:r>
        <w:rPr>
          <w:spacing w:val="-2"/>
          <w:vertAlign w:val="baseline"/>
        </w:rPr>
        <w:t> </w:t>
      </w:r>
      <w:r>
        <w:rPr>
          <w:vertAlign w:val="baseline"/>
        </w:rPr>
        <w:t>director</w:t>
      </w:r>
      <w:r>
        <w:rPr>
          <w:spacing w:val="-4"/>
          <w:vertAlign w:val="baseline"/>
        </w:rPr>
        <w:t> </w:t>
      </w:r>
      <w:r>
        <w:rPr>
          <w:vertAlign w:val="baseline"/>
        </w:rPr>
        <w:t>to state</w:t>
      </w:r>
      <w:r>
        <w:rPr>
          <w:spacing w:val="-7"/>
          <w:vertAlign w:val="baseline"/>
        </w:rPr>
        <w:t> </w:t>
      </w:r>
      <w:r>
        <w:rPr>
          <w:vertAlign w:val="baseline"/>
        </w:rPr>
        <w:t>that</w:t>
      </w:r>
      <w:r>
        <w:rPr>
          <w:spacing w:val="-1"/>
          <w:vertAlign w:val="baseline"/>
        </w:rPr>
        <w:t> </w:t>
      </w:r>
      <w:r>
        <w:rPr>
          <w:vertAlign w:val="baseline"/>
        </w:rPr>
        <w:t>he</w:t>
      </w:r>
      <w:r>
        <w:rPr>
          <w:spacing w:val="-2"/>
          <w:vertAlign w:val="baseline"/>
        </w:rPr>
        <w:t> </w:t>
      </w:r>
      <w:r>
        <w:rPr>
          <w:vertAlign w:val="baseline"/>
        </w:rPr>
        <w:t>was</w:t>
      </w:r>
      <w:r>
        <w:rPr>
          <w:spacing w:val="-3"/>
          <w:vertAlign w:val="baseline"/>
        </w:rPr>
        <w:t> </w:t>
      </w:r>
      <w:r>
        <w:rPr>
          <w:vertAlign w:val="baseline"/>
        </w:rPr>
        <w:t>not, at</w:t>
      </w:r>
      <w:r>
        <w:rPr>
          <w:spacing w:val="-1"/>
          <w:vertAlign w:val="baseline"/>
        </w:rPr>
        <w:t> </w:t>
      </w:r>
      <w:r>
        <w:rPr>
          <w:vertAlign w:val="baseline"/>
        </w:rPr>
        <w:t>the</w:t>
      </w:r>
      <w:r>
        <w:rPr>
          <w:spacing w:val="-7"/>
          <w:vertAlign w:val="baseline"/>
        </w:rPr>
        <w:t> </w:t>
      </w:r>
      <w:r>
        <w:rPr>
          <w:vertAlign w:val="baseline"/>
        </w:rPr>
        <w:t>time, aware</w:t>
      </w:r>
      <w:r>
        <w:rPr>
          <w:spacing w:val="-2"/>
          <w:vertAlign w:val="baseline"/>
        </w:rPr>
        <w:t> </w:t>
      </w:r>
      <w:r>
        <w:rPr>
          <w:vertAlign w:val="baseline"/>
        </w:rPr>
        <w:t>of</w:t>
      </w:r>
      <w:r>
        <w:rPr>
          <w:spacing w:val="-9"/>
          <w:vertAlign w:val="baseline"/>
        </w:rPr>
        <w:t> </w:t>
      </w:r>
      <w:r>
        <w:rPr>
          <w:vertAlign w:val="baseline"/>
        </w:rPr>
        <w:t>the interests</w:t>
      </w:r>
      <w:r>
        <w:rPr>
          <w:spacing w:val="-3"/>
          <w:vertAlign w:val="baseline"/>
        </w:rPr>
        <w:t> </w:t>
      </w:r>
      <w:r>
        <w:rPr>
          <w:vertAlign w:val="baseline"/>
        </w:rPr>
        <w:t>in question or the particular contract; or that the interest cannot reasonably be regarded as likely to give rise to a conflict of interest; or that the interest is so notorious that the other directors are already aware of it; or that the interest concerns terms of his contract of service that has been, or is being considered by the company. It is submitted that</w:t>
      </w:r>
      <w:r>
        <w:rPr>
          <w:spacing w:val="40"/>
          <w:vertAlign w:val="baseline"/>
        </w:rPr>
        <w:t> </w:t>
      </w:r>
      <w:r>
        <w:rPr>
          <w:vertAlign w:val="baseline"/>
        </w:rPr>
        <w:t>these are valid defences, especially when the concept of reasonability is adopted in considering cases when the requirement for declaration is warranted. Therefore, a commendable feature</w:t>
      </w:r>
      <w:r>
        <w:rPr>
          <w:spacing w:val="-1"/>
          <w:vertAlign w:val="baseline"/>
        </w:rPr>
        <w:t> </w:t>
      </w:r>
      <w:r>
        <w:rPr>
          <w:vertAlign w:val="baseline"/>
        </w:rPr>
        <w:t>of</w:t>
      </w:r>
      <w:r>
        <w:rPr>
          <w:spacing w:val="-8"/>
          <w:vertAlign w:val="baseline"/>
        </w:rPr>
        <w:t> </w:t>
      </w:r>
      <w:r>
        <w:rPr>
          <w:vertAlign w:val="baseline"/>
        </w:rPr>
        <w:t>s.177 CA</w:t>
      </w:r>
      <w:r>
        <w:rPr>
          <w:spacing w:val="-6"/>
          <w:vertAlign w:val="baseline"/>
        </w:rPr>
        <w:t> </w:t>
      </w:r>
      <w:r>
        <w:rPr>
          <w:vertAlign w:val="baseline"/>
        </w:rPr>
        <w:t>over s.277 CAMA</w:t>
      </w:r>
      <w:r>
        <w:rPr>
          <w:spacing w:val="-1"/>
          <w:vertAlign w:val="baseline"/>
        </w:rPr>
        <w:t> </w:t>
      </w:r>
      <w:r>
        <w:rPr>
          <w:vertAlign w:val="baseline"/>
        </w:rPr>
        <w:t>is</w:t>
      </w:r>
      <w:r>
        <w:rPr>
          <w:spacing w:val="-2"/>
          <w:vertAlign w:val="baseline"/>
        </w:rPr>
        <w:t> </w:t>
      </w:r>
      <w:r>
        <w:rPr>
          <w:vertAlign w:val="baseline"/>
        </w:rPr>
        <w:t>the</w:t>
      </w:r>
      <w:r>
        <w:rPr>
          <w:spacing w:val="-1"/>
          <w:vertAlign w:val="baseline"/>
        </w:rPr>
        <w:t> </w:t>
      </w:r>
      <w:r>
        <w:rPr>
          <w:vertAlign w:val="baseline"/>
        </w:rPr>
        <w:t>recognition</w:t>
      </w:r>
      <w:r>
        <w:rPr>
          <w:spacing w:val="-5"/>
          <w:vertAlign w:val="baseline"/>
        </w:rPr>
        <w:t> </w:t>
      </w:r>
      <w:r>
        <w:rPr>
          <w:vertAlign w:val="baseline"/>
        </w:rPr>
        <w:t>that a</w:t>
      </w:r>
      <w:r>
        <w:rPr>
          <w:spacing w:val="-1"/>
          <w:vertAlign w:val="baseline"/>
        </w:rPr>
        <w:t> </w:t>
      </w:r>
      <w:r>
        <w:rPr>
          <w:vertAlign w:val="baseline"/>
        </w:rPr>
        <w:t>director is</w:t>
      </w:r>
    </w:p>
    <w:p>
      <w:pPr>
        <w:pStyle w:val="BodyText"/>
        <w:spacing w:before="2"/>
        <w:ind w:left="0"/>
        <w:rPr>
          <w:sz w:val="17"/>
        </w:rPr>
      </w:pPr>
      <w:r>
        <w:rPr/>
        <mc:AlternateContent>
          <mc:Choice Requires="wps">
            <w:drawing>
              <wp:anchor distT="0" distB="0" distL="0" distR="0" allowOverlap="1" layoutInCell="1" locked="0" behindDoc="1" simplePos="0" relativeHeight="487730176">
                <wp:simplePos x="0" y="0"/>
                <wp:positionH relativeFrom="page">
                  <wp:posOffset>1262481</wp:posOffset>
                </wp:positionH>
                <wp:positionV relativeFrom="paragraph">
                  <wp:posOffset>141146</wp:posOffset>
                </wp:positionV>
                <wp:extent cx="1829435" cy="9525"/>
                <wp:effectExtent l="0" t="0" r="0" b="0"/>
                <wp:wrapTopAndBottom/>
                <wp:docPr id="305" name="Graphic 305"/>
                <wp:cNvGraphicFramePr>
                  <a:graphicFrameLocks/>
                </wp:cNvGraphicFramePr>
                <a:graphic>
                  <a:graphicData uri="http://schemas.microsoft.com/office/word/2010/wordprocessingShape">
                    <wps:wsp>
                      <wps:cNvPr id="305" name="Graphic 305"/>
                      <wps:cNvSpPr/>
                      <wps:spPr>
                        <a:xfrm>
                          <a:off x="0" y="0"/>
                          <a:ext cx="1829435" cy="9525"/>
                        </a:xfrm>
                        <a:custGeom>
                          <a:avLst/>
                          <a:gdLst/>
                          <a:ahLst/>
                          <a:cxnLst/>
                          <a:rect l="l" t="t" r="r" b="b"/>
                          <a:pathLst>
                            <a:path w="1829435" h="9525">
                              <a:moveTo>
                                <a:pt x="1829435" y="0"/>
                              </a:moveTo>
                              <a:lnTo>
                                <a:pt x="0" y="0"/>
                              </a:lnTo>
                              <a:lnTo>
                                <a:pt x="0" y="9144"/>
                              </a:lnTo>
                              <a:lnTo>
                                <a:pt x="1829435" y="9144"/>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1.113876pt;width:144.050pt;height:.72003pt;mso-position-horizontal-relative:page;mso-position-vertical-relative:paragraph;z-index:-15586304;mso-wrap-distance-left:0;mso-wrap-distance-right:0" id="docshape260" filled="true" fillcolor="#000000" stroked="false">
                <v:fill type="solid"/>
                <w10:wrap type="topAndBottom"/>
              </v:rect>
            </w:pict>
          </mc:Fallback>
        </mc:AlternateContent>
      </w:r>
    </w:p>
    <w:p>
      <w:pPr>
        <w:spacing w:before="102"/>
        <w:ind w:left="308" w:right="224" w:firstLine="0"/>
        <w:jc w:val="both"/>
        <w:rPr>
          <w:rFonts w:ascii="Calibri"/>
          <w:sz w:val="20"/>
        </w:rPr>
      </w:pPr>
      <w:r>
        <w:rPr>
          <w:rFonts w:ascii="Calibri"/>
          <w:sz w:val="20"/>
          <w:vertAlign w:val="superscript"/>
        </w:rPr>
        <w:t>124</w:t>
      </w:r>
      <w:r>
        <w:rPr>
          <w:rFonts w:ascii="Calibri"/>
          <w:sz w:val="20"/>
          <w:vertAlign w:val="baseline"/>
        </w:rPr>
        <w:t> Which exceptions</w:t>
      </w:r>
      <w:r>
        <w:rPr>
          <w:rFonts w:ascii="Calibri"/>
          <w:spacing w:val="-1"/>
          <w:sz w:val="20"/>
          <w:vertAlign w:val="baseline"/>
        </w:rPr>
        <w:t> </w:t>
      </w:r>
      <w:r>
        <w:rPr>
          <w:rFonts w:ascii="Calibri"/>
          <w:sz w:val="20"/>
          <w:vertAlign w:val="baseline"/>
        </w:rPr>
        <w:t>are supported by common law. See</w:t>
      </w:r>
      <w:r>
        <w:rPr>
          <w:rFonts w:ascii="Calibri"/>
          <w:spacing w:val="-3"/>
          <w:sz w:val="20"/>
          <w:vertAlign w:val="baseline"/>
        </w:rPr>
        <w:t> </w:t>
      </w:r>
      <w:r>
        <w:rPr>
          <w:rFonts w:ascii="Calibri"/>
          <w:sz w:val="20"/>
          <w:vertAlign w:val="baseline"/>
        </w:rPr>
        <w:t>for</w:t>
      </w:r>
      <w:r>
        <w:rPr>
          <w:rFonts w:ascii="Calibri"/>
          <w:spacing w:val="-2"/>
          <w:sz w:val="20"/>
          <w:vertAlign w:val="baseline"/>
        </w:rPr>
        <w:t> </w:t>
      </w:r>
      <w:r>
        <w:rPr>
          <w:rFonts w:ascii="Calibri"/>
          <w:sz w:val="20"/>
          <w:vertAlign w:val="baseline"/>
        </w:rPr>
        <w:t>example </w:t>
      </w:r>
      <w:r>
        <w:rPr>
          <w:rFonts w:ascii="Calibri"/>
          <w:i/>
          <w:sz w:val="20"/>
          <w:vertAlign w:val="baseline"/>
        </w:rPr>
        <w:t>Cowan de Groot</w:t>
      </w:r>
      <w:r>
        <w:rPr>
          <w:rFonts w:ascii="Calibri"/>
          <w:i/>
          <w:spacing w:val="-4"/>
          <w:sz w:val="20"/>
          <w:vertAlign w:val="baseline"/>
        </w:rPr>
        <w:t> </w:t>
      </w:r>
      <w:r>
        <w:rPr>
          <w:rFonts w:ascii="Calibri"/>
          <w:i/>
          <w:sz w:val="20"/>
          <w:vertAlign w:val="baseline"/>
        </w:rPr>
        <w:t>Properties</w:t>
      </w:r>
      <w:r>
        <w:rPr>
          <w:rFonts w:ascii="Calibri"/>
          <w:i/>
          <w:spacing w:val="-6"/>
          <w:sz w:val="20"/>
          <w:vertAlign w:val="baseline"/>
        </w:rPr>
        <w:t> </w:t>
      </w:r>
      <w:r>
        <w:rPr>
          <w:rFonts w:ascii="Calibri"/>
          <w:i/>
          <w:sz w:val="20"/>
          <w:vertAlign w:val="baseline"/>
        </w:rPr>
        <w:t>Ltd. vs. Eagle Trust Plc </w:t>
      </w:r>
      <w:r>
        <w:rPr>
          <w:rFonts w:ascii="Calibri"/>
          <w:sz w:val="20"/>
          <w:vertAlign w:val="baseline"/>
        </w:rPr>
        <w:t>(1991) BCLC 1045 on reasonable likelihood of conflict, and </w:t>
      </w:r>
      <w:r>
        <w:rPr>
          <w:rFonts w:ascii="Calibri"/>
          <w:i/>
          <w:sz w:val="20"/>
          <w:vertAlign w:val="baseline"/>
        </w:rPr>
        <w:t>Runciman vs. Walter</w:t>
      </w:r>
      <w:r>
        <w:rPr>
          <w:rFonts w:ascii="Calibri"/>
          <w:i/>
          <w:spacing w:val="40"/>
          <w:sz w:val="20"/>
          <w:vertAlign w:val="baseline"/>
        </w:rPr>
        <w:t> </w:t>
      </w:r>
      <w:r>
        <w:rPr>
          <w:rFonts w:ascii="Calibri"/>
          <w:i/>
          <w:sz w:val="20"/>
          <w:vertAlign w:val="baseline"/>
        </w:rPr>
        <w:t>Runciman Plc</w:t>
      </w:r>
      <w:r>
        <w:rPr>
          <w:rFonts w:ascii="Calibri"/>
          <w:sz w:val="20"/>
          <w:vertAlign w:val="baseline"/>
        </w:rPr>
        <w:t>. (1992) BCLC</w:t>
      </w:r>
      <w:r>
        <w:rPr>
          <w:rFonts w:ascii="Calibri"/>
          <w:spacing w:val="-1"/>
          <w:sz w:val="20"/>
          <w:vertAlign w:val="baseline"/>
        </w:rPr>
        <w:t> </w:t>
      </w:r>
      <w:r>
        <w:rPr>
          <w:rFonts w:ascii="Calibri"/>
          <w:sz w:val="20"/>
          <w:vertAlign w:val="baseline"/>
        </w:rPr>
        <w:t>1084 on interest concerning service contracts</w:t>
      </w:r>
      <w:r>
        <w:rPr>
          <w:rFonts w:ascii="Calibri"/>
          <w:spacing w:val="-1"/>
          <w:sz w:val="20"/>
          <w:vertAlign w:val="baseline"/>
        </w:rPr>
        <w:t> </w:t>
      </w:r>
      <w:r>
        <w:rPr>
          <w:rFonts w:ascii="Calibri"/>
          <w:sz w:val="20"/>
          <w:vertAlign w:val="baseline"/>
        </w:rPr>
        <w:t>which have been, or are to be, considered by a meeting of directors or by a remuneration committee.</w:t>
      </w:r>
    </w:p>
    <w:p>
      <w:pPr>
        <w:spacing w:after="0"/>
        <w:jc w:val="both"/>
        <w:rPr>
          <w:rFonts w:ascii="Calibri"/>
          <w:sz w:val="20"/>
        </w:rPr>
        <w:sectPr>
          <w:pgSz w:w="11910" w:h="16840"/>
          <w:pgMar w:header="0" w:footer="1003" w:top="1320" w:bottom="1200" w:left="1680" w:right="1180"/>
        </w:sectPr>
      </w:pPr>
    </w:p>
    <w:p>
      <w:pPr>
        <w:pStyle w:val="BodyText"/>
        <w:spacing w:line="480" w:lineRule="auto" w:before="70"/>
        <w:ind w:right="240"/>
        <w:jc w:val="both"/>
      </w:pPr>
      <w:r>
        <w:rPr/>
        <w:t>treated as being aware of matters of which he ought reasonably to be aware, so that where it would be unreasonable to suppose that the director is aware of a particular interest or transaction, the law would not ‗unreasonably‘ find him in breach for not declaring. Again, where a transaction cannot reasonably be regarded as likely to give rise to a conflict of interest, such a declaration is not mandatory.</w:t>
      </w:r>
    </w:p>
    <w:p>
      <w:pPr>
        <w:pStyle w:val="BodyText"/>
        <w:spacing w:line="480" w:lineRule="auto" w:before="1"/>
        <w:ind w:right="242" w:firstLine="720"/>
        <w:jc w:val="both"/>
      </w:pPr>
      <w:r>
        <w:rPr/>
        <w:t>Finally, with respect to liability,the same criminal liability applies in both cases of</w:t>
      </w:r>
      <w:r>
        <w:rPr>
          <w:spacing w:val="-3"/>
        </w:rPr>
        <w:t> </w:t>
      </w:r>
      <w:r>
        <w:rPr/>
        <w:t>proposed as well as existing contracts in the case of</w:t>
      </w:r>
      <w:r>
        <w:rPr>
          <w:spacing w:val="-3"/>
        </w:rPr>
        <w:t> </w:t>
      </w:r>
      <w:r>
        <w:rPr/>
        <w:t>the CAMA, while under the CA, liability is civil in the case of proposed, and criminal in the case of existing transactions.It is not clear why this is the case. Perhaps it is because the option to</w:t>
      </w:r>
      <w:r>
        <w:rPr>
          <w:spacing w:val="40"/>
        </w:rPr>
        <w:t> </w:t>
      </w:r>
      <w:r>
        <w:rPr/>
        <w:t>rescind or avoid the contract would be less readily available to the company in the case of existing transactions. Thus, the fine imposed constitutes punishment. If this is the case, then the same rule should apply to proposed transactions as well because where a hefty fine is imposed, it would better discourage a director from</w:t>
      </w:r>
      <w:r>
        <w:rPr>
          <w:spacing w:val="-7"/>
        </w:rPr>
        <w:t> </w:t>
      </w:r>
      <w:r>
        <w:rPr/>
        <w:t>keeping his interests in such cases secret. It is thus submitted that the approach of the CAMA on this point is better, although the fine imposed, N100, is utterly ridiculous today.</w:t>
      </w:r>
    </w:p>
    <w:p>
      <w:pPr>
        <w:pStyle w:val="BodyText"/>
        <w:spacing w:line="480" w:lineRule="auto" w:before="2"/>
        <w:ind w:right="231" w:firstLine="720"/>
        <w:jc w:val="both"/>
      </w:pPr>
      <w:r>
        <w:rPr/>
        <w:t>Obviously from the foregoing, apart from the matter of liability, s.177 CA is clearer and more practical in approach, in comparison with s.277 CAMA. However, with respect to disclosure, it is submitted that both laws are inadequate and need reviewing to prevent or discourage abuse of power and office by devious directors. Granted, disclosure whether or not to a disinterested board, would not make any difference, since it is</w:t>
      </w:r>
      <w:r>
        <w:rPr>
          <w:spacing w:val="-3"/>
        </w:rPr>
        <w:t> </w:t>
      </w:r>
      <w:r>
        <w:rPr/>
        <w:t>simply</w:t>
      </w:r>
      <w:r>
        <w:rPr>
          <w:spacing w:val="-6"/>
        </w:rPr>
        <w:t> </w:t>
      </w:r>
      <w:r>
        <w:rPr/>
        <w:t>a matter</w:t>
      </w:r>
      <w:r>
        <w:rPr>
          <w:spacing w:val="-4"/>
        </w:rPr>
        <w:t> </w:t>
      </w:r>
      <w:r>
        <w:rPr/>
        <w:t>of</w:t>
      </w:r>
      <w:r>
        <w:rPr>
          <w:spacing w:val="-9"/>
        </w:rPr>
        <w:t> </w:t>
      </w:r>
      <w:r>
        <w:rPr/>
        <w:t>receiving information</w:t>
      </w:r>
      <w:r>
        <w:rPr>
          <w:spacing w:val="-6"/>
        </w:rPr>
        <w:t> </w:t>
      </w:r>
      <w:r>
        <w:rPr/>
        <w:t>to be</w:t>
      </w:r>
      <w:r>
        <w:rPr>
          <w:spacing w:val="-2"/>
        </w:rPr>
        <w:t> </w:t>
      </w:r>
      <w:r>
        <w:rPr/>
        <w:t>used later. But what about the decision to be made following that disclosure? Both laws do not require the matter to be considered by a ‗disinterested‘ board, especially with respect to proposed transactions. Hence, the interested director, together with his cronies and any persons connected</w:t>
      </w:r>
      <w:r>
        <w:rPr>
          <w:spacing w:val="23"/>
        </w:rPr>
        <w:t> </w:t>
      </w:r>
      <w:r>
        <w:rPr/>
        <w:t>with</w:t>
      </w:r>
      <w:r>
        <w:rPr>
          <w:spacing w:val="24"/>
        </w:rPr>
        <w:t> </w:t>
      </w:r>
      <w:r>
        <w:rPr/>
        <w:t>him,</w:t>
      </w:r>
      <w:r>
        <w:rPr>
          <w:spacing w:val="30"/>
        </w:rPr>
        <w:t> </w:t>
      </w:r>
      <w:r>
        <w:rPr/>
        <w:t>can</w:t>
      </w:r>
      <w:r>
        <w:rPr>
          <w:spacing w:val="19"/>
        </w:rPr>
        <w:t> </w:t>
      </w:r>
      <w:r>
        <w:rPr/>
        <w:t>sit</w:t>
      </w:r>
      <w:r>
        <w:rPr>
          <w:spacing w:val="29"/>
        </w:rPr>
        <w:t> </w:t>
      </w:r>
      <w:r>
        <w:rPr/>
        <w:t>to</w:t>
      </w:r>
      <w:r>
        <w:rPr>
          <w:spacing w:val="28"/>
        </w:rPr>
        <w:t> </w:t>
      </w:r>
      <w:r>
        <w:rPr/>
        <w:t>decide</w:t>
      </w:r>
      <w:r>
        <w:rPr>
          <w:spacing w:val="23"/>
        </w:rPr>
        <w:t> </w:t>
      </w:r>
      <w:r>
        <w:rPr/>
        <w:t>that</w:t>
      </w:r>
      <w:r>
        <w:rPr>
          <w:spacing w:val="24"/>
        </w:rPr>
        <w:t> </w:t>
      </w:r>
      <w:r>
        <w:rPr/>
        <w:t>the</w:t>
      </w:r>
      <w:r>
        <w:rPr>
          <w:spacing w:val="22"/>
        </w:rPr>
        <w:t> </w:t>
      </w:r>
      <w:r>
        <w:rPr/>
        <w:t>company</w:t>
      </w:r>
      <w:r>
        <w:rPr>
          <w:spacing w:val="19"/>
        </w:rPr>
        <w:t> </w:t>
      </w:r>
      <w:r>
        <w:rPr/>
        <w:t>would</w:t>
      </w:r>
      <w:r>
        <w:rPr>
          <w:spacing w:val="24"/>
        </w:rPr>
        <w:t> </w:t>
      </w:r>
      <w:r>
        <w:rPr/>
        <w:t>still</w:t>
      </w:r>
      <w:r>
        <w:rPr>
          <w:spacing w:val="19"/>
        </w:rPr>
        <w:t> </w:t>
      </w:r>
      <w:r>
        <w:rPr/>
        <w:t>go</w:t>
      </w:r>
      <w:r>
        <w:rPr>
          <w:spacing w:val="28"/>
        </w:rPr>
        <w:t> </w:t>
      </w:r>
      <w:r>
        <w:rPr/>
        <w:t>ahead</w:t>
      </w:r>
      <w:r>
        <w:rPr>
          <w:spacing w:val="24"/>
        </w:rPr>
        <w:t> </w:t>
      </w:r>
      <w:r>
        <w:rPr/>
        <w:t>with</w:t>
      </w:r>
      <w:r>
        <w:rPr>
          <w:spacing w:val="19"/>
        </w:rPr>
        <w:t> </w:t>
      </w:r>
      <w:r>
        <w:rPr>
          <w:spacing w:val="-5"/>
        </w:rPr>
        <w:t>the</w:t>
      </w:r>
    </w:p>
    <w:p>
      <w:pPr>
        <w:spacing w:after="0" w:line="480" w:lineRule="auto"/>
        <w:jc w:val="both"/>
        <w:sectPr>
          <w:pgSz w:w="11910" w:h="16840"/>
          <w:pgMar w:header="0" w:footer="1003" w:top="1320" w:bottom="1200" w:left="1680" w:right="1180"/>
        </w:sectPr>
      </w:pPr>
    </w:p>
    <w:p>
      <w:pPr>
        <w:pStyle w:val="BodyText"/>
        <w:spacing w:line="480" w:lineRule="auto" w:before="70"/>
        <w:ind w:right="240"/>
        <w:jc w:val="both"/>
      </w:pPr>
      <w:r>
        <w:rPr/>
        <w:t>contract, in spite of the nature and extent of the directors‘ interests. It is thus submittedthat there</w:t>
      </w:r>
      <w:r>
        <w:rPr>
          <w:spacing w:val="-1"/>
        </w:rPr>
        <w:t> </w:t>
      </w:r>
      <w:r>
        <w:rPr/>
        <w:t>ought to be included in the</w:t>
      </w:r>
      <w:r>
        <w:rPr>
          <w:spacing w:val="-1"/>
        </w:rPr>
        <w:t> </w:t>
      </w:r>
      <w:r>
        <w:rPr/>
        <w:t>provisions</w:t>
      </w:r>
      <w:r>
        <w:rPr>
          <w:spacing w:val="-2"/>
        </w:rPr>
        <w:t> </w:t>
      </w:r>
      <w:r>
        <w:rPr/>
        <w:t>of</w:t>
      </w:r>
      <w:r>
        <w:rPr>
          <w:spacing w:val="-8"/>
        </w:rPr>
        <w:t> </w:t>
      </w:r>
      <w:r>
        <w:rPr/>
        <w:t>s.177CA</w:t>
      </w:r>
      <w:r>
        <w:rPr>
          <w:spacing w:val="-6"/>
        </w:rPr>
        <w:t> </w:t>
      </w:r>
      <w:r>
        <w:rPr/>
        <w:t>and s.277 CAMA a statement to the effect that, although disclosure is to be made to the other directors,</w:t>
      </w:r>
      <w:r>
        <w:rPr>
          <w:spacing w:val="40"/>
        </w:rPr>
        <w:t> </w:t>
      </w:r>
      <w:r>
        <w:rPr/>
        <w:t>the board considering the transaction</w:t>
      </w:r>
      <w:r>
        <w:rPr>
          <w:spacing w:val="-2"/>
        </w:rPr>
        <w:t> </w:t>
      </w:r>
      <w:r>
        <w:rPr/>
        <w:t>ought to be a disinterested one, and in</w:t>
      </w:r>
      <w:r>
        <w:rPr>
          <w:spacing w:val="-2"/>
        </w:rPr>
        <w:t> </w:t>
      </w:r>
      <w:r>
        <w:rPr/>
        <w:t>the absence of</w:t>
      </w:r>
      <w:r>
        <w:rPr>
          <w:spacing w:val="-9"/>
        </w:rPr>
        <w:t> </w:t>
      </w:r>
      <w:r>
        <w:rPr/>
        <w:t>such</w:t>
      </w:r>
      <w:r>
        <w:rPr>
          <w:spacing w:val="-6"/>
        </w:rPr>
        <w:t> </w:t>
      </w:r>
      <w:r>
        <w:rPr/>
        <w:t>a</w:t>
      </w:r>
      <w:r>
        <w:rPr>
          <w:spacing w:val="-2"/>
        </w:rPr>
        <w:t> </w:t>
      </w:r>
      <w:r>
        <w:rPr/>
        <w:t>disinterested</w:t>
      </w:r>
      <w:r>
        <w:rPr>
          <w:spacing w:val="-1"/>
        </w:rPr>
        <w:t> </w:t>
      </w:r>
      <w:r>
        <w:rPr/>
        <w:t>board,</w:t>
      </w:r>
      <w:r>
        <w:rPr>
          <w:spacing w:val="-8"/>
        </w:rPr>
        <w:t> </w:t>
      </w:r>
      <w:r>
        <w:rPr/>
        <w:t>the matter</w:t>
      </w:r>
      <w:r>
        <w:rPr>
          <w:spacing w:val="-4"/>
        </w:rPr>
        <w:t> </w:t>
      </w:r>
      <w:r>
        <w:rPr/>
        <w:t>be</w:t>
      </w:r>
      <w:r>
        <w:rPr>
          <w:spacing w:val="-2"/>
        </w:rPr>
        <w:t> </w:t>
      </w:r>
      <w:r>
        <w:rPr/>
        <w:t>referred</w:t>
      </w:r>
      <w:r>
        <w:rPr>
          <w:spacing w:val="-6"/>
        </w:rPr>
        <w:t> </w:t>
      </w:r>
      <w:r>
        <w:rPr/>
        <w:t>to an</w:t>
      </w:r>
      <w:r>
        <w:rPr>
          <w:spacing w:val="-1"/>
        </w:rPr>
        <w:t> </w:t>
      </w:r>
      <w:r>
        <w:rPr/>
        <w:t>informed</w:t>
      </w:r>
      <w:r>
        <w:rPr>
          <w:spacing w:val="-1"/>
        </w:rPr>
        <w:t> </w:t>
      </w:r>
      <w:r>
        <w:rPr/>
        <w:t>general</w:t>
      </w:r>
      <w:r>
        <w:rPr>
          <w:spacing w:val="-6"/>
        </w:rPr>
        <w:t> </w:t>
      </w:r>
      <w:r>
        <w:rPr/>
        <w:t>meeting.This will more effectively nip in the bud the undesirable practice which this particular principle of law seeks to address.</w:t>
      </w:r>
    </w:p>
    <w:p>
      <w:pPr>
        <w:pStyle w:val="BodyText"/>
        <w:spacing w:line="480" w:lineRule="auto" w:before="1"/>
        <w:ind w:right="230" w:firstLine="720"/>
        <w:jc w:val="both"/>
      </w:pPr>
      <w:r>
        <w:rPr/>
        <w:t>As for the related principle on substantial property transactions between a director and the company, both laws are similar.</w:t>
      </w:r>
      <w:r>
        <w:rPr>
          <w:vertAlign w:val="superscript"/>
        </w:rPr>
        <w:t>125</w:t>
      </w:r>
      <w:r>
        <w:rPr>
          <w:vertAlign w:val="baseline"/>
        </w:rPr>
        <w:t> The disclosure to, and approval of, the general meeting is required in such cases. Both laws also specifically include</w:t>
      </w:r>
      <w:r>
        <w:rPr>
          <w:spacing w:val="40"/>
          <w:vertAlign w:val="baseline"/>
        </w:rPr>
        <w:t> </w:t>
      </w:r>
      <w:r>
        <w:rPr>
          <w:vertAlign w:val="baseline"/>
        </w:rPr>
        <w:t>shadow</w:t>
      </w:r>
      <w:r>
        <w:rPr>
          <w:spacing w:val="66"/>
          <w:w w:val="150"/>
          <w:vertAlign w:val="baseline"/>
        </w:rPr>
        <w:t>   </w:t>
      </w:r>
      <w:r>
        <w:rPr>
          <w:vertAlign w:val="baseline"/>
        </w:rPr>
        <w:t>directors</w:t>
      </w:r>
      <w:r>
        <w:rPr>
          <w:spacing w:val="65"/>
          <w:w w:val="150"/>
          <w:vertAlign w:val="baseline"/>
        </w:rPr>
        <w:t>   </w:t>
      </w:r>
      <w:r>
        <w:rPr>
          <w:vertAlign w:val="baseline"/>
        </w:rPr>
        <w:t>and</w:t>
      </w:r>
      <w:r>
        <w:rPr>
          <w:spacing w:val="67"/>
          <w:w w:val="150"/>
          <w:vertAlign w:val="baseline"/>
        </w:rPr>
        <w:t>   </w:t>
      </w:r>
      <w:r>
        <w:rPr>
          <w:vertAlign w:val="baseline"/>
        </w:rPr>
        <w:t>connected</w:t>
      </w:r>
      <w:r>
        <w:rPr>
          <w:spacing w:val="66"/>
          <w:w w:val="150"/>
          <w:vertAlign w:val="baseline"/>
        </w:rPr>
        <w:t>   </w:t>
      </w:r>
      <w:r>
        <w:rPr>
          <w:vertAlign w:val="baseline"/>
        </w:rPr>
        <w:t>persons</w:t>
      </w:r>
      <w:r>
        <w:rPr>
          <w:spacing w:val="66"/>
          <w:w w:val="150"/>
          <w:vertAlign w:val="baseline"/>
        </w:rPr>
        <w:t>   </w:t>
      </w:r>
      <w:r>
        <w:rPr>
          <w:vertAlign w:val="baseline"/>
        </w:rPr>
        <w:t>within</w:t>
      </w:r>
      <w:r>
        <w:rPr>
          <w:spacing w:val="66"/>
          <w:w w:val="150"/>
          <w:vertAlign w:val="baseline"/>
        </w:rPr>
        <w:t>   </w:t>
      </w:r>
      <w:r>
        <w:rPr>
          <w:vertAlign w:val="baseline"/>
        </w:rPr>
        <w:t>the</w:t>
      </w:r>
      <w:r>
        <w:rPr>
          <w:spacing w:val="68"/>
          <w:w w:val="150"/>
          <w:vertAlign w:val="baseline"/>
        </w:rPr>
        <w:t>   </w:t>
      </w:r>
      <w:r>
        <w:rPr>
          <w:spacing w:val="-2"/>
          <w:vertAlign w:val="baseline"/>
        </w:rPr>
        <w:t>rule.</w:t>
      </w:r>
      <w:r>
        <w:rPr>
          <w:spacing w:val="-2"/>
          <w:vertAlign w:val="superscript"/>
        </w:rPr>
        <w:t>126</w:t>
      </w: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ind w:left="0"/>
        <w:rPr>
          <w:sz w:val="20"/>
        </w:rPr>
      </w:pPr>
    </w:p>
    <w:p>
      <w:pPr>
        <w:pStyle w:val="BodyText"/>
        <w:spacing w:before="182"/>
        <w:ind w:left="0"/>
        <w:rPr>
          <w:sz w:val="20"/>
        </w:rPr>
      </w:pPr>
      <w:r>
        <w:rPr/>
        <mc:AlternateContent>
          <mc:Choice Requires="wps">
            <w:drawing>
              <wp:anchor distT="0" distB="0" distL="0" distR="0" allowOverlap="1" layoutInCell="1" locked="0" behindDoc="1" simplePos="0" relativeHeight="487730688">
                <wp:simplePos x="0" y="0"/>
                <wp:positionH relativeFrom="page">
                  <wp:posOffset>1262481</wp:posOffset>
                </wp:positionH>
                <wp:positionV relativeFrom="paragraph">
                  <wp:posOffset>277432</wp:posOffset>
                </wp:positionV>
                <wp:extent cx="1829435" cy="9525"/>
                <wp:effectExtent l="0" t="0" r="0" b="0"/>
                <wp:wrapTopAndBottom/>
                <wp:docPr id="306" name="Graphic 306"/>
                <wp:cNvGraphicFramePr>
                  <a:graphicFrameLocks/>
                </wp:cNvGraphicFramePr>
                <a:graphic>
                  <a:graphicData uri="http://schemas.microsoft.com/office/word/2010/wordprocessingShape">
                    <wps:wsp>
                      <wps:cNvPr id="306" name="Graphic 306"/>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845108pt;width:144.050pt;height:.71997pt;mso-position-horizontal-relative:page;mso-position-vertical-relative:paragraph;z-index:-15585792;mso-wrap-distance-left:0;mso-wrap-distance-right:0" id="docshape261"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125</w:t>
      </w:r>
      <w:r>
        <w:rPr>
          <w:rFonts w:ascii="Calibri"/>
          <w:spacing w:val="-2"/>
          <w:sz w:val="20"/>
          <w:vertAlign w:val="baseline"/>
        </w:rPr>
        <w:t> </w:t>
      </w:r>
      <w:r>
        <w:rPr>
          <w:rFonts w:ascii="Calibri"/>
          <w:sz w:val="20"/>
          <w:vertAlign w:val="baseline"/>
        </w:rPr>
        <w:t>See</w:t>
      </w:r>
      <w:r>
        <w:rPr>
          <w:rFonts w:ascii="Calibri"/>
          <w:spacing w:val="-7"/>
          <w:sz w:val="20"/>
          <w:vertAlign w:val="baseline"/>
        </w:rPr>
        <w:t> </w:t>
      </w:r>
      <w:r>
        <w:rPr>
          <w:rFonts w:ascii="Calibri"/>
          <w:sz w:val="20"/>
          <w:vertAlign w:val="baseline"/>
        </w:rPr>
        <w:t>ss.190-199</w:t>
      </w:r>
      <w:r>
        <w:rPr>
          <w:rFonts w:ascii="Calibri"/>
          <w:spacing w:val="-5"/>
          <w:sz w:val="20"/>
          <w:vertAlign w:val="baseline"/>
        </w:rPr>
        <w:t> </w:t>
      </w:r>
      <w:r>
        <w:rPr>
          <w:rFonts w:ascii="Calibri"/>
          <w:sz w:val="20"/>
          <w:vertAlign w:val="baseline"/>
        </w:rPr>
        <w:t>CA</w:t>
      </w:r>
      <w:r>
        <w:rPr>
          <w:rFonts w:ascii="Calibri"/>
          <w:spacing w:val="-4"/>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ss.284-286</w:t>
      </w:r>
      <w:r>
        <w:rPr>
          <w:rFonts w:ascii="Calibri"/>
          <w:spacing w:val="-4"/>
          <w:sz w:val="20"/>
          <w:vertAlign w:val="baseline"/>
        </w:rPr>
        <w:t> CAMA.</w:t>
      </w:r>
    </w:p>
    <w:p>
      <w:pPr>
        <w:spacing w:before="1"/>
        <w:ind w:left="308" w:right="0" w:firstLine="0"/>
        <w:jc w:val="left"/>
        <w:rPr>
          <w:rFonts w:ascii="Calibri"/>
          <w:sz w:val="20"/>
        </w:rPr>
      </w:pPr>
      <w:r>
        <w:rPr>
          <w:rFonts w:ascii="Calibri"/>
          <w:sz w:val="20"/>
          <w:vertAlign w:val="superscript"/>
        </w:rPr>
        <w:t>126</w:t>
      </w:r>
      <w:r>
        <w:rPr>
          <w:rFonts w:ascii="Calibri"/>
          <w:spacing w:val="-1"/>
          <w:sz w:val="20"/>
          <w:vertAlign w:val="baseline"/>
        </w:rPr>
        <w:t> </w:t>
      </w:r>
      <w:r>
        <w:rPr>
          <w:rFonts w:ascii="Calibri"/>
          <w:sz w:val="20"/>
          <w:vertAlign w:val="baseline"/>
        </w:rPr>
        <w:t>See</w:t>
      </w:r>
      <w:r>
        <w:rPr>
          <w:rFonts w:ascii="Calibri"/>
          <w:spacing w:val="-6"/>
          <w:sz w:val="20"/>
          <w:vertAlign w:val="baseline"/>
        </w:rPr>
        <w:t> </w:t>
      </w:r>
      <w:r>
        <w:rPr>
          <w:rFonts w:ascii="Calibri"/>
          <w:sz w:val="20"/>
          <w:vertAlign w:val="baseline"/>
        </w:rPr>
        <w:t>ss.190(1)</w:t>
      </w:r>
      <w:r>
        <w:rPr>
          <w:rFonts w:ascii="Calibri"/>
          <w:spacing w:val="-1"/>
          <w:sz w:val="20"/>
          <w:vertAlign w:val="baseline"/>
        </w:rPr>
        <w:t> </w:t>
      </w:r>
      <w:r>
        <w:rPr>
          <w:rFonts w:ascii="Calibri"/>
          <w:sz w:val="20"/>
          <w:vertAlign w:val="baseline"/>
        </w:rPr>
        <w:t>and</w:t>
      </w:r>
      <w:r>
        <w:rPr>
          <w:rFonts w:ascii="Calibri"/>
          <w:spacing w:val="-3"/>
          <w:sz w:val="20"/>
          <w:vertAlign w:val="baseline"/>
        </w:rPr>
        <w:t> </w:t>
      </w:r>
      <w:r>
        <w:rPr>
          <w:rFonts w:ascii="Calibri"/>
          <w:sz w:val="20"/>
          <w:vertAlign w:val="baseline"/>
        </w:rPr>
        <w:t>187</w:t>
      </w:r>
      <w:r>
        <w:rPr>
          <w:rFonts w:ascii="Calibri"/>
          <w:spacing w:val="-3"/>
          <w:sz w:val="20"/>
          <w:vertAlign w:val="baseline"/>
        </w:rPr>
        <w:t> </w:t>
      </w:r>
      <w:r>
        <w:rPr>
          <w:rFonts w:ascii="Calibri"/>
          <w:sz w:val="20"/>
          <w:vertAlign w:val="baseline"/>
        </w:rPr>
        <w:t>CA</w:t>
      </w:r>
      <w:r>
        <w:rPr>
          <w:rFonts w:ascii="Calibri"/>
          <w:spacing w:val="-8"/>
          <w:sz w:val="20"/>
          <w:vertAlign w:val="baseline"/>
        </w:rPr>
        <w:t> </w:t>
      </w:r>
      <w:r>
        <w:rPr>
          <w:rFonts w:ascii="Calibri"/>
          <w:sz w:val="20"/>
          <w:vertAlign w:val="baseline"/>
        </w:rPr>
        <w:t>and</w:t>
      </w:r>
      <w:r>
        <w:rPr>
          <w:rFonts w:ascii="Calibri"/>
          <w:spacing w:val="-7"/>
          <w:sz w:val="20"/>
          <w:vertAlign w:val="baseline"/>
        </w:rPr>
        <w:t> </w:t>
      </w:r>
      <w:r>
        <w:rPr>
          <w:rFonts w:ascii="Calibri"/>
          <w:sz w:val="20"/>
          <w:vertAlign w:val="baseline"/>
        </w:rPr>
        <w:t>s.284(1)</w:t>
      </w:r>
      <w:r>
        <w:rPr>
          <w:rFonts w:ascii="Calibri"/>
          <w:spacing w:val="-5"/>
          <w:sz w:val="20"/>
          <w:vertAlign w:val="baseline"/>
        </w:rPr>
        <w:t> </w:t>
      </w:r>
      <w:r>
        <w:rPr>
          <w:rFonts w:ascii="Calibri"/>
          <w:sz w:val="20"/>
          <w:vertAlign w:val="baseline"/>
        </w:rPr>
        <w:t>and</w:t>
      </w:r>
      <w:r>
        <w:rPr>
          <w:rFonts w:ascii="Calibri"/>
          <w:spacing w:val="-6"/>
          <w:sz w:val="20"/>
          <w:vertAlign w:val="baseline"/>
        </w:rPr>
        <w:t> </w:t>
      </w:r>
      <w:r>
        <w:rPr>
          <w:rFonts w:ascii="Calibri"/>
          <w:sz w:val="20"/>
          <w:vertAlign w:val="baseline"/>
        </w:rPr>
        <w:t>(3)</w:t>
      </w:r>
      <w:r>
        <w:rPr>
          <w:rFonts w:ascii="Calibri"/>
          <w:spacing w:val="-5"/>
          <w:sz w:val="20"/>
          <w:vertAlign w:val="baseline"/>
        </w:rPr>
        <w:t> </w:t>
      </w:r>
      <w:r>
        <w:rPr>
          <w:rFonts w:ascii="Calibri"/>
          <w:spacing w:val="-4"/>
          <w:sz w:val="20"/>
          <w:vertAlign w:val="baseline"/>
        </w:rPr>
        <w:t>CAMA.</w:t>
      </w:r>
    </w:p>
    <w:p>
      <w:pPr>
        <w:spacing w:after="0"/>
        <w:jc w:val="left"/>
        <w:rPr>
          <w:rFonts w:ascii="Calibri"/>
          <w:sz w:val="20"/>
        </w:rPr>
        <w:sectPr>
          <w:pgSz w:w="11910" w:h="16840"/>
          <w:pgMar w:header="0" w:footer="1003" w:top="1320" w:bottom="1200" w:left="1680" w:right="1180"/>
        </w:sectPr>
      </w:pPr>
    </w:p>
    <w:p>
      <w:pPr>
        <w:pStyle w:val="Heading1"/>
        <w:ind w:left="71"/>
      </w:pPr>
      <w:bookmarkStart w:name="_TOC_250004" w:id="48"/>
      <w:r>
        <w:rPr/>
        <w:t>CHAPTER</w:t>
      </w:r>
      <w:r>
        <w:rPr>
          <w:spacing w:val="-11"/>
        </w:rPr>
        <w:t> </w:t>
      </w:r>
      <w:bookmarkEnd w:id="48"/>
      <w:r>
        <w:rPr>
          <w:spacing w:val="-5"/>
        </w:rPr>
        <w:t>SIX</w:t>
      </w:r>
    </w:p>
    <w:p>
      <w:pPr>
        <w:pStyle w:val="BodyText"/>
        <w:spacing w:before="271"/>
        <w:ind w:left="339" w:right="274"/>
        <w:jc w:val="center"/>
        <w:rPr>
          <w:rFonts w:ascii="Arial Black"/>
        </w:rPr>
      </w:pPr>
      <w:r>
        <w:rPr>
          <w:rFonts w:ascii="Arial Black"/>
        </w:rPr>
        <w:t>CONCLUSION,</w:t>
      </w:r>
      <w:r>
        <w:rPr>
          <w:rFonts w:ascii="Arial Black"/>
          <w:spacing w:val="-7"/>
        </w:rPr>
        <w:t> </w:t>
      </w:r>
      <w:r>
        <w:rPr>
          <w:rFonts w:ascii="Arial Black"/>
        </w:rPr>
        <w:t>FINDINGS</w:t>
      </w:r>
      <w:r>
        <w:rPr>
          <w:rFonts w:ascii="Arial Black"/>
          <w:spacing w:val="-3"/>
        </w:rPr>
        <w:t> </w:t>
      </w:r>
      <w:r>
        <w:rPr>
          <w:rFonts w:ascii="Arial Black"/>
        </w:rPr>
        <w:t>AND</w:t>
      </w:r>
      <w:r>
        <w:rPr>
          <w:rFonts w:ascii="Arial Black"/>
          <w:spacing w:val="-2"/>
        </w:rPr>
        <w:t> RECOMMENDATIONS</w:t>
      </w:r>
    </w:p>
    <w:p>
      <w:pPr>
        <w:pStyle w:val="Heading2"/>
        <w:numPr>
          <w:ilvl w:val="1"/>
          <w:numId w:val="23"/>
        </w:numPr>
        <w:tabs>
          <w:tab w:pos="1027" w:val="left" w:leader="none"/>
        </w:tabs>
        <w:spacing w:line="240" w:lineRule="auto" w:before="254" w:after="0"/>
        <w:ind w:left="1027" w:right="0" w:hanging="719"/>
        <w:jc w:val="both"/>
      </w:pPr>
      <w:bookmarkStart w:name="_TOC_250003" w:id="49"/>
      <w:bookmarkEnd w:id="49"/>
      <w:r>
        <w:rPr>
          <w:spacing w:val="-2"/>
        </w:rPr>
        <w:t>Summary</w:t>
      </w:r>
    </w:p>
    <w:p>
      <w:pPr>
        <w:pStyle w:val="BodyText"/>
        <w:spacing w:line="480" w:lineRule="auto" w:before="36"/>
        <w:ind w:right="234"/>
        <w:jc w:val="both"/>
      </w:pPr>
      <w:r>
        <w:rPr/>
        <w:t>This work proceeded upon the premise that the Companies and Allied Matters Act</w:t>
      </w:r>
      <w:r>
        <w:rPr>
          <w:spacing w:val="40"/>
        </w:rPr>
        <w:t> </w:t>
      </w:r>
      <w:r>
        <w:rPr/>
        <w:t>1990</w:t>
      </w:r>
      <w:r>
        <w:rPr>
          <w:vertAlign w:val="superscript"/>
        </w:rPr>
        <w:t>1</w:t>
      </w:r>
      <w:r>
        <w:rPr>
          <w:vertAlign w:val="baseline"/>
        </w:rPr>
        <w:t> (CAMA) is overdue for review and the UK Companies Act 2006 (CA) is a relatively up-to-date legislation which has codified more recent developments in case law and corporate practice. Nigeria having looked to the United Kingdom in drafting</w:t>
      </w:r>
      <w:r>
        <w:rPr>
          <w:spacing w:val="80"/>
          <w:vertAlign w:val="baseline"/>
        </w:rPr>
        <w:t> </w:t>
      </w:r>
      <w:r>
        <w:rPr>
          <w:vertAlign w:val="baseline"/>
        </w:rPr>
        <w:t>the CAMA</w:t>
      </w:r>
      <w:r>
        <w:rPr>
          <w:spacing w:val="-2"/>
          <w:vertAlign w:val="baseline"/>
        </w:rPr>
        <w:t> </w:t>
      </w:r>
      <w:r>
        <w:rPr>
          <w:vertAlign w:val="baseline"/>
        </w:rPr>
        <w:t>and other laws previously, any</w:t>
      </w:r>
      <w:r>
        <w:rPr>
          <w:spacing w:val="-1"/>
          <w:vertAlign w:val="baseline"/>
        </w:rPr>
        <w:t> </w:t>
      </w:r>
      <w:r>
        <w:rPr>
          <w:vertAlign w:val="baseline"/>
        </w:rPr>
        <w:t>attempt at reviewing the CAMA</w:t>
      </w:r>
      <w:r>
        <w:rPr>
          <w:spacing w:val="-2"/>
          <w:vertAlign w:val="baseline"/>
        </w:rPr>
        <w:t> </w:t>
      </w:r>
      <w:r>
        <w:rPr>
          <w:vertAlign w:val="baseline"/>
        </w:rPr>
        <w:t>would most likely consider the CA as a foremost reference point.</w:t>
      </w:r>
    </w:p>
    <w:p>
      <w:pPr>
        <w:pStyle w:val="BodyText"/>
        <w:spacing w:line="480" w:lineRule="auto" w:before="1"/>
        <w:ind w:right="226" w:firstLine="720"/>
        <w:jc w:val="both"/>
      </w:pPr>
      <w:r>
        <w:rPr/>
        <w:t>Directors‘ duties of care and skill and fiduciary duties of loyalty and good faith as</w:t>
      </w:r>
      <w:r>
        <w:rPr>
          <w:spacing w:val="-2"/>
        </w:rPr>
        <w:t> </w:t>
      </w:r>
      <w:r>
        <w:rPr/>
        <w:t>codified under the</w:t>
      </w:r>
      <w:r>
        <w:rPr>
          <w:spacing w:val="-1"/>
        </w:rPr>
        <w:t> </w:t>
      </w:r>
      <w:r>
        <w:rPr/>
        <w:t>CAMA</w:t>
      </w:r>
      <w:r>
        <w:rPr>
          <w:spacing w:val="-6"/>
        </w:rPr>
        <w:t> </w:t>
      </w:r>
      <w:r>
        <w:rPr/>
        <w:t>and the CA</w:t>
      </w:r>
      <w:r>
        <w:rPr>
          <w:spacing w:val="-6"/>
        </w:rPr>
        <w:t> </w:t>
      </w:r>
      <w:r>
        <w:rPr/>
        <w:t>were</w:t>
      </w:r>
      <w:r>
        <w:rPr>
          <w:spacing w:val="-1"/>
        </w:rPr>
        <w:t> </w:t>
      </w:r>
      <w:r>
        <w:rPr/>
        <w:t>each</w:t>
      </w:r>
      <w:r>
        <w:rPr>
          <w:spacing w:val="-5"/>
        </w:rPr>
        <w:t> </w:t>
      </w:r>
      <w:r>
        <w:rPr/>
        <w:t>examined. The provisions</w:t>
      </w:r>
      <w:r>
        <w:rPr>
          <w:spacing w:val="-2"/>
        </w:rPr>
        <w:t> </w:t>
      </w:r>
      <w:r>
        <w:rPr/>
        <w:t>under the CA stood out in that theyappeared more in tune with the latest court decisions and corporate practice. With respect to the provisions in the CAMA, apart from the grammatical errors observed, the law appeared not up to current standards with respect to the director‘s duty of care and skill, and absurd in its statement of the nature of the relationship between the director and the company. Interests of the company and members were not aligned. s.279 (2) and (4) appeared to imply that individual shareholders and employees are owed fiduciary</w:t>
      </w:r>
      <w:r>
        <w:rPr>
          <w:spacing w:val="-5"/>
        </w:rPr>
        <w:t> </w:t>
      </w:r>
      <w:r>
        <w:rPr/>
        <w:t>duties whereas clearly, s.279(9) CAMA allows only the company to enforce these duties.</w:t>
      </w:r>
      <w:r>
        <w:rPr>
          <w:spacing w:val="27"/>
        </w:rPr>
        <w:t> </w:t>
      </w:r>
      <w:r>
        <w:rPr/>
        <w:t>On conflicts of interests and the rule on secret benefits, the CAMA had the common law principles poorly codified.</w:t>
      </w:r>
    </w:p>
    <w:p>
      <w:pPr>
        <w:pStyle w:val="BodyText"/>
        <w:spacing w:line="480" w:lineRule="auto" w:before="2"/>
        <w:ind w:right="234" w:firstLine="720"/>
        <w:jc w:val="both"/>
      </w:pPr>
      <w:r>
        <w:rPr/>
        <w:t>Under the CA, however, the main heads of duties were clearly spelt out and exceptions to the general</w:t>
      </w:r>
      <w:r>
        <w:rPr>
          <w:spacing w:val="-1"/>
        </w:rPr>
        <w:t> </w:t>
      </w:r>
      <w:r>
        <w:rPr/>
        <w:t>rules were specified in each case so as to leave the director in no doubt</w:t>
      </w:r>
      <w:r>
        <w:rPr>
          <w:spacing w:val="-2"/>
        </w:rPr>
        <w:t> </w:t>
      </w:r>
      <w:r>
        <w:rPr/>
        <w:t>as</w:t>
      </w:r>
      <w:r>
        <w:rPr>
          <w:spacing w:val="-4"/>
        </w:rPr>
        <w:t> </w:t>
      </w:r>
      <w:r>
        <w:rPr/>
        <w:t>to</w:t>
      </w:r>
      <w:r>
        <w:rPr>
          <w:spacing w:val="-2"/>
        </w:rPr>
        <w:t> </w:t>
      </w:r>
      <w:r>
        <w:rPr/>
        <w:t>circumstances in</w:t>
      </w:r>
      <w:r>
        <w:rPr>
          <w:spacing w:val="-6"/>
        </w:rPr>
        <w:t> </w:t>
      </w:r>
      <w:r>
        <w:rPr/>
        <w:t>which</w:t>
      </w:r>
      <w:r>
        <w:rPr>
          <w:spacing w:val="-2"/>
        </w:rPr>
        <w:t> </w:t>
      </w:r>
      <w:r>
        <w:rPr/>
        <w:t>he</w:t>
      </w:r>
      <w:r>
        <w:rPr>
          <w:spacing w:val="-3"/>
        </w:rPr>
        <w:t> </w:t>
      </w:r>
      <w:r>
        <w:rPr/>
        <w:t>will</w:t>
      </w:r>
      <w:r>
        <w:rPr>
          <w:spacing w:val="-6"/>
        </w:rPr>
        <w:t> </w:t>
      </w:r>
      <w:r>
        <w:rPr/>
        <w:t>not</w:t>
      </w:r>
      <w:r>
        <w:rPr>
          <w:spacing w:val="-2"/>
        </w:rPr>
        <w:t> </w:t>
      </w:r>
      <w:r>
        <w:rPr/>
        <w:t>be</w:t>
      </w:r>
      <w:r>
        <w:rPr>
          <w:spacing w:val="-3"/>
        </w:rPr>
        <w:t> </w:t>
      </w:r>
      <w:r>
        <w:rPr/>
        <w:t>unreasonably</w:t>
      </w:r>
      <w:r>
        <w:rPr>
          <w:spacing w:val="-2"/>
        </w:rPr>
        <w:t> </w:t>
      </w:r>
      <w:r>
        <w:rPr/>
        <w:t>held liable for</w:t>
      </w:r>
      <w:r>
        <w:rPr>
          <w:spacing w:val="-1"/>
        </w:rPr>
        <w:t> </w:t>
      </w:r>
      <w:r>
        <w:rPr/>
        <w:t>breach of</w:t>
      </w:r>
      <w:r>
        <w:rPr>
          <w:spacing w:val="-5"/>
        </w:rPr>
        <w:t> </w:t>
      </w:r>
      <w:r>
        <w:rPr/>
        <w:t>a</w:t>
      </w:r>
      <w:r>
        <w:rPr>
          <w:spacing w:val="4"/>
        </w:rPr>
        <w:t> </w:t>
      </w:r>
      <w:r>
        <w:rPr/>
        <w:t>duty</w:t>
      </w:r>
      <w:r>
        <w:rPr>
          <w:spacing w:val="-4"/>
        </w:rPr>
        <w:t> </w:t>
      </w:r>
      <w:r>
        <w:rPr/>
        <w:t>under</w:t>
      </w:r>
      <w:r>
        <w:rPr>
          <w:spacing w:val="6"/>
        </w:rPr>
        <w:t> </w:t>
      </w:r>
      <w:r>
        <w:rPr/>
        <w:t>the</w:t>
      </w:r>
      <w:r>
        <w:rPr>
          <w:spacing w:val="5"/>
        </w:rPr>
        <w:t> </w:t>
      </w:r>
      <w:r>
        <w:rPr/>
        <w:t>law.</w:t>
      </w:r>
      <w:r>
        <w:rPr>
          <w:spacing w:val="7"/>
        </w:rPr>
        <w:t> </w:t>
      </w:r>
      <w:r>
        <w:rPr/>
        <w:t>Instances</w:t>
      </w:r>
      <w:r>
        <w:rPr>
          <w:spacing w:val="3"/>
        </w:rPr>
        <w:t> </w:t>
      </w:r>
      <w:r>
        <w:rPr/>
        <w:t>have</w:t>
      </w:r>
      <w:r>
        <w:rPr>
          <w:spacing w:val="4"/>
        </w:rPr>
        <w:t> </w:t>
      </w:r>
      <w:r>
        <w:rPr/>
        <w:t>been provided</w:t>
      </w:r>
      <w:r>
        <w:rPr>
          <w:spacing w:val="5"/>
        </w:rPr>
        <w:t> </w:t>
      </w:r>
      <w:r>
        <w:rPr/>
        <w:t>where</w:t>
      </w:r>
      <w:r>
        <w:rPr>
          <w:spacing w:val="4"/>
        </w:rPr>
        <w:t> </w:t>
      </w:r>
      <w:r>
        <w:rPr/>
        <w:t>the</w:t>
      </w:r>
      <w:r>
        <w:rPr>
          <w:spacing w:val="5"/>
        </w:rPr>
        <w:t> </w:t>
      </w:r>
      <w:r>
        <w:rPr/>
        <w:t>company‘s</w:t>
      </w:r>
      <w:r>
        <w:rPr>
          <w:spacing w:val="2"/>
        </w:rPr>
        <w:t> </w:t>
      </w:r>
      <w:r>
        <w:rPr/>
        <w:t>articles</w:t>
      </w:r>
      <w:r>
        <w:rPr>
          <w:spacing w:val="3"/>
        </w:rPr>
        <w:t> </w:t>
      </w:r>
      <w:r>
        <w:rPr>
          <w:spacing w:val="-5"/>
        </w:rPr>
        <w:t>can</w:t>
      </w:r>
    </w:p>
    <w:p>
      <w:pPr>
        <w:pStyle w:val="BodyText"/>
        <w:spacing w:before="177"/>
        <w:ind w:left="0"/>
        <w:rPr>
          <w:sz w:val="20"/>
        </w:rPr>
      </w:pPr>
      <w:r>
        <w:rPr/>
        <mc:AlternateContent>
          <mc:Choice Requires="wps">
            <w:drawing>
              <wp:anchor distT="0" distB="0" distL="0" distR="0" allowOverlap="1" layoutInCell="1" locked="0" behindDoc="1" simplePos="0" relativeHeight="487731200">
                <wp:simplePos x="0" y="0"/>
                <wp:positionH relativeFrom="page">
                  <wp:posOffset>1262481</wp:posOffset>
                </wp:positionH>
                <wp:positionV relativeFrom="paragraph">
                  <wp:posOffset>274218</wp:posOffset>
                </wp:positionV>
                <wp:extent cx="1829435" cy="9525"/>
                <wp:effectExtent l="0" t="0" r="0" b="0"/>
                <wp:wrapTopAndBottom/>
                <wp:docPr id="307" name="Graphic 307"/>
                <wp:cNvGraphicFramePr>
                  <a:graphicFrameLocks/>
                </wp:cNvGraphicFramePr>
                <a:graphic>
                  <a:graphicData uri="http://schemas.microsoft.com/office/word/2010/wordprocessingShape">
                    <wps:wsp>
                      <wps:cNvPr id="307" name="Graphic 307"/>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21.592045pt;width:144.050pt;height:.71997pt;mso-position-horizontal-relative:page;mso-position-vertical-relative:paragraph;z-index:-15585280;mso-wrap-distance-left:0;mso-wrap-distance-right:0" id="docshape262" filled="true" fillcolor="#000000" stroked="false">
                <v:fill type="solid"/>
                <w10:wrap type="topAndBottom"/>
              </v:rect>
            </w:pict>
          </mc:Fallback>
        </mc:AlternateContent>
      </w:r>
    </w:p>
    <w:p>
      <w:pPr>
        <w:spacing w:before="102"/>
        <w:ind w:left="308" w:right="0" w:firstLine="0"/>
        <w:jc w:val="left"/>
        <w:rPr>
          <w:rFonts w:ascii="Calibri"/>
          <w:sz w:val="20"/>
        </w:rPr>
      </w:pPr>
      <w:r>
        <w:rPr>
          <w:rFonts w:ascii="Calibri"/>
          <w:sz w:val="20"/>
          <w:vertAlign w:val="superscript"/>
        </w:rPr>
        <w:t>1</w:t>
      </w:r>
      <w:r>
        <w:rPr>
          <w:rFonts w:ascii="Calibri"/>
          <w:spacing w:val="-1"/>
          <w:sz w:val="20"/>
          <w:vertAlign w:val="baseline"/>
        </w:rPr>
        <w:t> </w:t>
      </w:r>
      <w:r>
        <w:rPr>
          <w:rFonts w:ascii="Calibri"/>
          <w:sz w:val="20"/>
          <w:vertAlign w:val="baseline"/>
        </w:rPr>
        <w:t>Cap</w:t>
      </w:r>
      <w:r>
        <w:rPr>
          <w:rFonts w:ascii="Calibri"/>
          <w:spacing w:val="-2"/>
          <w:sz w:val="20"/>
          <w:vertAlign w:val="baseline"/>
        </w:rPr>
        <w:t> </w:t>
      </w:r>
      <w:r>
        <w:rPr>
          <w:rFonts w:ascii="Calibri"/>
          <w:sz w:val="20"/>
          <w:vertAlign w:val="baseline"/>
        </w:rPr>
        <w:t>C20,</w:t>
      </w:r>
      <w:r>
        <w:rPr>
          <w:rFonts w:ascii="Calibri"/>
          <w:spacing w:val="-4"/>
          <w:sz w:val="20"/>
          <w:vertAlign w:val="baseline"/>
        </w:rPr>
        <w:t> </w:t>
      </w:r>
      <w:r>
        <w:rPr>
          <w:rFonts w:ascii="Calibri"/>
          <w:sz w:val="20"/>
          <w:vertAlign w:val="baseline"/>
        </w:rPr>
        <w:t>Laws</w:t>
      </w:r>
      <w:r>
        <w:rPr>
          <w:rFonts w:ascii="Calibri"/>
          <w:spacing w:val="-4"/>
          <w:sz w:val="20"/>
          <w:vertAlign w:val="baseline"/>
        </w:rPr>
        <w:t> </w:t>
      </w:r>
      <w:r>
        <w:rPr>
          <w:rFonts w:ascii="Calibri"/>
          <w:sz w:val="20"/>
          <w:vertAlign w:val="baseline"/>
        </w:rPr>
        <w:t>of</w:t>
      </w:r>
      <w:r>
        <w:rPr>
          <w:rFonts w:ascii="Calibri"/>
          <w:spacing w:val="-5"/>
          <w:sz w:val="20"/>
          <w:vertAlign w:val="baseline"/>
        </w:rPr>
        <w:t> </w:t>
      </w:r>
      <w:r>
        <w:rPr>
          <w:rFonts w:ascii="Calibri"/>
          <w:sz w:val="20"/>
          <w:vertAlign w:val="baseline"/>
        </w:rPr>
        <w:t>the</w:t>
      </w:r>
      <w:r>
        <w:rPr>
          <w:rFonts w:ascii="Calibri"/>
          <w:spacing w:val="-7"/>
          <w:sz w:val="20"/>
          <w:vertAlign w:val="baseline"/>
        </w:rPr>
        <w:t> </w:t>
      </w:r>
      <w:r>
        <w:rPr>
          <w:rFonts w:ascii="Calibri"/>
          <w:sz w:val="20"/>
          <w:vertAlign w:val="baseline"/>
        </w:rPr>
        <w:t>Federation</w:t>
      </w:r>
      <w:r>
        <w:rPr>
          <w:rFonts w:ascii="Calibri"/>
          <w:spacing w:val="-6"/>
          <w:sz w:val="20"/>
          <w:vertAlign w:val="baseline"/>
        </w:rPr>
        <w:t> </w:t>
      </w:r>
      <w:r>
        <w:rPr>
          <w:rFonts w:ascii="Calibri"/>
          <w:sz w:val="20"/>
          <w:vertAlign w:val="baseline"/>
        </w:rPr>
        <w:t>of</w:t>
      </w:r>
      <w:r>
        <w:rPr>
          <w:rFonts w:ascii="Calibri"/>
          <w:spacing w:val="-6"/>
          <w:sz w:val="20"/>
          <w:vertAlign w:val="baseline"/>
        </w:rPr>
        <w:t> </w:t>
      </w:r>
      <w:r>
        <w:rPr>
          <w:rFonts w:ascii="Calibri"/>
          <w:sz w:val="20"/>
          <w:vertAlign w:val="baseline"/>
        </w:rPr>
        <w:t>Nigeria</w:t>
      </w:r>
      <w:r>
        <w:rPr>
          <w:rFonts w:ascii="Calibri"/>
          <w:spacing w:val="-6"/>
          <w:sz w:val="20"/>
          <w:vertAlign w:val="baseline"/>
        </w:rPr>
        <w:t> </w:t>
      </w:r>
      <w:r>
        <w:rPr>
          <w:rFonts w:ascii="Calibri"/>
          <w:spacing w:val="-2"/>
          <w:sz w:val="20"/>
          <w:vertAlign w:val="baseline"/>
        </w:rPr>
        <w:t>2004.</w:t>
      </w:r>
    </w:p>
    <w:p>
      <w:pPr>
        <w:spacing w:after="0"/>
        <w:jc w:val="left"/>
        <w:rPr>
          <w:rFonts w:ascii="Calibri"/>
          <w:sz w:val="20"/>
        </w:rPr>
        <w:sectPr>
          <w:pgSz w:w="11910" w:h="16840"/>
          <w:pgMar w:header="0" w:footer="1003" w:top="1300" w:bottom="1200" w:left="1680" w:right="1180"/>
        </w:sectPr>
      </w:pPr>
    </w:p>
    <w:p>
      <w:pPr>
        <w:pStyle w:val="BodyText"/>
        <w:spacing w:line="480" w:lineRule="auto" w:before="70"/>
        <w:ind w:right="235"/>
        <w:jc w:val="both"/>
      </w:pPr>
      <w:r>
        <w:rPr/>
        <w:t>modify some of the duties expected of its directors to observe.</w:t>
      </w:r>
      <w:r>
        <w:rPr>
          <w:spacing w:val="31"/>
        </w:rPr>
        <w:t> </w:t>
      </w:r>
      <w:r>
        <w:rPr/>
        <w:t>With respect, however,</w:t>
      </w:r>
      <w:r>
        <w:rPr>
          <w:spacing w:val="40"/>
        </w:rPr>
        <w:t> </w:t>
      </w:r>
      <w:r>
        <w:rPr/>
        <w:t>to decision making, it was found that the director‘s subjective judgment had been</w:t>
      </w:r>
      <w:r>
        <w:rPr>
          <w:spacing w:val="40"/>
        </w:rPr>
        <w:t> </w:t>
      </w:r>
      <w:r>
        <w:rPr/>
        <w:t>greatly</w:t>
      </w:r>
      <w:r>
        <w:rPr>
          <w:spacing w:val="-6"/>
        </w:rPr>
        <w:t> </w:t>
      </w:r>
      <w:r>
        <w:rPr/>
        <w:t>encroached</w:t>
      </w:r>
      <w:r>
        <w:rPr>
          <w:spacing w:val="-1"/>
        </w:rPr>
        <w:t> </w:t>
      </w:r>
      <w:r>
        <w:rPr/>
        <w:t>upon by</w:t>
      </w:r>
      <w:r>
        <w:rPr>
          <w:spacing w:val="-11"/>
        </w:rPr>
        <w:t> </w:t>
      </w:r>
      <w:r>
        <w:rPr/>
        <w:t>the law, so</w:t>
      </w:r>
      <w:r>
        <w:rPr>
          <w:spacing w:val="-1"/>
        </w:rPr>
        <w:t> </w:t>
      </w:r>
      <w:r>
        <w:rPr/>
        <w:t>that it appears</w:t>
      </w:r>
      <w:r>
        <w:rPr>
          <w:spacing w:val="-3"/>
        </w:rPr>
        <w:t> </w:t>
      </w:r>
      <w:r>
        <w:rPr/>
        <w:t>he has</w:t>
      </w:r>
      <w:r>
        <w:rPr>
          <w:spacing w:val="-3"/>
        </w:rPr>
        <w:t> </w:t>
      </w:r>
      <w:r>
        <w:rPr/>
        <w:t>a</w:t>
      </w:r>
      <w:r>
        <w:rPr>
          <w:spacing w:val="-2"/>
        </w:rPr>
        <w:t> </w:t>
      </w:r>
      <w:r>
        <w:rPr/>
        <w:t>duty</w:t>
      </w:r>
      <w:r>
        <w:rPr>
          <w:spacing w:val="-11"/>
        </w:rPr>
        <w:t> </w:t>
      </w:r>
      <w:r>
        <w:rPr/>
        <w:t>to</w:t>
      </w:r>
      <w:r>
        <w:rPr>
          <w:spacing w:val="-1"/>
        </w:rPr>
        <w:t> </w:t>
      </w:r>
      <w:r>
        <w:rPr/>
        <w:t>consider a</w:t>
      </w:r>
      <w:r>
        <w:rPr>
          <w:spacing w:val="-2"/>
        </w:rPr>
        <w:t> </w:t>
      </w:r>
      <w:r>
        <w:rPr/>
        <w:t>host</w:t>
      </w:r>
      <w:r>
        <w:rPr>
          <w:spacing w:val="-1"/>
        </w:rPr>
        <w:t> </w:t>
      </w:r>
      <w:r>
        <w:rPr/>
        <w:t>of factors,</w:t>
      </w:r>
      <w:r>
        <w:rPr>
          <w:spacing w:val="-8"/>
        </w:rPr>
        <w:t> </w:t>
      </w:r>
      <w:r>
        <w:rPr/>
        <w:t>which</w:t>
      </w:r>
      <w:r>
        <w:rPr>
          <w:spacing w:val="-5"/>
        </w:rPr>
        <w:t> </w:t>
      </w:r>
      <w:r>
        <w:rPr/>
        <w:t>consideration</w:t>
      </w:r>
      <w:r>
        <w:rPr>
          <w:spacing w:val="-8"/>
        </w:rPr>
        <w:t> </w:t>
      </w:r>
      <w:r>
        <w:rPr/>
        <w:t>would</w:t>
      </w:r>
      <w:r>
        <w:rPr>
          <w:spacing w:val="1"/>
        </w:rPr>
        <w:t> </w:t>
      </w:r>
      <w:r>
        <w:rPr/>
        <w:t>bepractically</w:t>
      </w:r>
      <w:r>
        <w:rPr>
          <w:spacing w:val="-7"/>
        </w:rPr>
        <w:t> </w:t>
      </w:r>
      <w:r>
        <w:rPr/>
        <w:t>difficult</w:t>
      </w:r>
      <w:r>
        <w:rPr>
          <w:spacing w:val="2"/>
        </w:rPr>
        <w:t> </w:t>
      </w:r>
      <w:r>
        <w:rPr/>
        <w:t>to</w:t>
      </w:r>
      <w:r>
        <w:rPr>
          <w:spacing w:val="2"/>
        </w:rPr>
        <w:t> </w:t>
      </w:r>
      <w:r>
        <w:rPr/>
        <w:t>enforce</w:t>
      </w:r>
      <w:r>
        <w:rPr>
          <w:spacing w:val="-4"/>
        </w:rPr>
        <w:t> </w:t>
      </w:r>
      <w:r>
        <w:rPr/>
        <w:t>against</w:t>
      </w:r>
      <w:r>
        <w:rPr>
          <w:spacing w:val="-3"/>
        </w:rPr>
        <w:t> </w:t>
      </w:r>
      <w:r>
        <w:rPr/>
        <w:t>the</w:t>
      </w:r>
      <w:r>
        <w:rPr>
          <w:spacing w:val="-3"/>
        </w:rPr>
        <w:t> </w:t>
      </w:r>
      <w:r>
        <w:rPr>
          <w:spacing w:val="-2"/>
        </w:rPr>
        <w:t>director.</w:t>
      </w:r>
    </w:p>
    <w:p>
      <w:pPr>
        <w:pStyle w:val="Heading2"/>
        <w:numPr>
          <w:ilvl w:val="1"/>
          <w:numId w:val="23"/>
        </w:numPr>
        <w:tabs>
          <w:tab w:pos="1027" w:val="left" w:leader="none"/>
        </w:tabs>
        <w:spacing w:line="240" w:lineRule="auto" w:before="5" w:after="0"/>
        <w:ind w:left="1027" w:right="0" w:hanging="719"/>
        <w:jc w:val="both"/>
      </w:pPr>
      <w:bookmarkStart w:name="_TOC_250002" w:id="50"/>
      <w:bookmarkEnd w:id="50"/>
      <w:r>
        <w:rPr>
          <w:spacing w:val="-2"/>
        </w:rPr>
        <w:t>Conclusion</w:t>
      </w:r>
    </w:p>
    <w:p>
      <w:pPr>
        <w:pStyle w:val="BodyText"/>
        <w:spacing w:line="480" w:lineRule="auto" w:before="36"/>
        <w:ind w:right="229"/>
        <w:jc w:val="both"/>
      </w:pPr>
      <w:r>
        <w:rPr/>
        <w:t>The provisions on directors‘ duties under the CAMA</w:t>
      </w:r>
      <w:r>
        <w:rPr>
          <w:spacing w:val="-1"/>
        </w:rPr>
        <w:t> </w:t>
      </w:r>
      <w:r>
        <w:rPr/>
        <w:t>are not absolutely clear. Company law ought to be clear on such important matters, which go to the heart of corporate governance. The duties must therefore be clarified and simplified for corporate stakeholders and also reviewed from</w:t>
      </w:r>
      <w:r>
        <w:rPr>
          <w:spacing w:val="-4"/>
        </w:rPr>
        <w:t> </w:t>
      </w:r>
      <w:r>
        <w:rPr/>
        <w:t>time to time, in tune with developments from</w:t>
      </w:r>
      <w:r>
        <w:rPr>
          <w:spacing w:val="-4"/>
        </w:rPr>
        <w:t> </w:t>
      </w:r>
      <w:r>
        <w:rPr/>
        <w:t>case law and practice. A comprehensive amendment is required, preferably according to the UK CA, which appears to be a very good model. If the duties are made clearer, prospective company directors would better understand beforehand what they are up against and therefore, either decline positions they know they are incompetent to</w:t>
      </w:r>
      <w:r>
        <w:rPr>
          <w:spacing w:val="80"/>
        </w:rPr>
        <w:t> </w:t>
      </w:r>
      <w:r>
        <w:rPr/>
        <w:t>handle, or at the very least, resolve from the onset to put in their best.It may alsorevive corporate litigation which is currently almost non-existent in that area. A review in this area will substantially be in aid of, and promote, the culture of good corporate governance, which various regulatory agencies of corporate Nigeria are struggling to </w:t>
      </w:r>
      <w:r>
        <w:rPr>
          <w:spacing w:val="-2"/>
        </w:rPr>
        <w:t>entrench.</w:t>
      </w:r>
    </w:p>
    <w:p>
      <w:pPr>
        <w:pStyle w:val="Heading2"/>
        <w:numPr>
          <w:ilvl w:val="1"/>
          <w:numId w:val="23"/>
        </w:numPr>
        <w:tabs>
          <w:tab w:pos="1027" w:val="left" w:leader="none"/>
        </w:tabs>
        <w:spacing w:line="240" w:lineRule="auto" w:before="210" w:after="0"/>
        <w:ind w:left="1027" w:right="0" w:hanging="719"/>
        <w:jc w:val="both"/>
      </w:pPr>
      <w:bookmarkStart w:name="_TOC_250001" w:id="51"/>
      <w:bookmarkEnd w:id="51"/>
      <w:r>
        <w:rPr>
          <w:spacing w:val="-2"/>
        </w:rPr>
        <w:t>Findings</w:t>
      </w:r>
    </w:p>
    <w:p>
      <w:pPr>
        <w:pStyle w:val="BodyText"/>
        <w:spacing w:line="480" w:lineRule="auto" w:before="36"/>
        <w:ind w:right="238" w:firstLine="720"/>
        <w:jc w:val="both"/>
      </w:pPr>
      <w:r>
        <w:rPr/>
        <w:t>After comparing</w:t>
      </w:r>
      <w:r>
        <w:rPr>
          <w:spacing w:val="-1"/>
        </w:rPr>
        <w:t> </w:t>
      </w:r>
      <w:r>
        <w:rPr/>
        <w:t>the two laws</w:t>
      </w:r>
      <w:r>
        <w:rPr>
          <w:spacing w:val="-4"/>
        </w:rPr>
        <w:t> </w:t>
      </w:r>
      <w:r>
        <w:rPr/>
        <w:t>under the</w:t>
      </w:r>
      <w:r>
        <w:rPr>
          <w:spacing w:val="-2"/>
        </w:rPr>
        <w:t> </w:t>
      </w:r>
      <w:r>
        <w:rPr/>
        <w:t>particular heads</w:t>
      </w:r>
      <w:r>
        <w:rPr>
          <w:spacing w:val="-3"/>
        </w:rPr>
        <w:t> </w:t>
      </w:r>
      <w:r>
        <w:rPr/>
        <w:t>of</w:t>
      </w:r>
      <w:r>
        <w:rPr>
          <w:spacing w:val="-9"/>
        </w:rPr>
        <w:t> </w:t>
      </w:r>
      <w:r>
        <w:rPr/>
        <w:t>duties separately, the following findings were made:</w:t>
      </w:r>
    </w:p>
    <w:p>
      <w:pPr>
        <w:pStyle w:val="Heading2"/>
        <w:numPr>
          <w:ilvl w:val="2"/>
          <w:numId w:val="23"/>
        </w:numPr>
        <w:tabs>
          <w:tab w:pos="951" w:val="left" w:leader="none"/>
        </w:tabs>
        <w:spacing w:line="240" w:lineRule="auto" w:before="5" w:after="0"/>
        <w:ind w:left="951" w:right="0" w:hanging="360"/>
        <w:jc w:val="both"/>
      </w:pPr>
      <w:r>
        <w:rPr/>
        <w:t>On the</w:t>
      </w:r>
      <w:r>
        <w:rPr>
          <w:spacing w:val="-5"/>
        </w:rPr>
        <w:t> </w:t>
      </w:r>
      <w:r>
        <w:rPr/>
        <w:t>duty</w:t>
      </w:r>
      <w:r>
        <w:rPr>
          <w:spacing w:val="-4"/>
        </w:rPr>
        <w:t> </w:t>
      </w:r>
      <w:r>
        <w:rPr/>
        <w:t>of</w:t>
      </w:r>
      <w:r>
        <w:rPr>
          <w:spacing w:val="-2"/>
        </w:rPr>
        <w:t> </w:t>
      </w:r>
      <w:r>
        <w:rPr/>
        <w:t>care and</w:t>
      </w:r>
      <w:r>
        <w:rPr>
          <w:spacing w:val="2"/>
        </w:rPr>
        <w:t> </w:t>
      </w:r>
      <w:r>
        <w:rPr>
          <w:spacing w:val="-2"/>
        </w:rPr>
        <w:t>skill</w:t>
      </w:r>
    </w:p>
    <w:p>
      <w:pPr>
        <w:pStyle w:val="BodyText"/>
        <w:spacing w:line="480" w:lineRule="auto" w:before="36"/>
        <w:ind w:right="233"/>
        <w:jc w:val="both"/>
      </w:pPr>
      <w:r>
        <w:rPr/>
        <w:t>The standard described under s.282 CAMA</w:t>
      </w:r>
      <w:r>
        <w:rPr>
          <w:spacing w:val="-1"/>
        </w:rPr>
        <w:t> </w:t>
      </w:r>
      <w:r>
        <w:rPr/>
        <w:t>greatly improves from</w:t>
      </w:r>
      <w:r>
        <w:rPr>
          <w:spacing w:val="-4"/>
        </w:rPr>
        <w:t> </w:t>
      </w:r>
      <w:r>
        <w:rPr/>
        <w:t>those required under the previous common law. But it can be better. It is not the best suited for today‘s business climate whereby directing comes with varieties of companies and positions within</w:t>
      </w:r>
      <w:r>
        <w:rPr>
          <w:spacing w:val="30"/>
        </w:rPr>
        <w:t> </w:t>
      </w:r>
      <w:r>
        <w:rPr/>
        <w:t>companies.</w:t>
      </w:r>
      <w:r>
        <w:rPr>
          <w:spacing w:val="39"/>
        </w:rPr>
        <w:t> </w:t>
      </w:r>
      <w:r>
        <w:rPr/>
        <w:t>Furthermore,</w:t>
      </w:r>
      <w:r>
        <w:rPr>
          <w:spacing w:val="34"/>
        </w:rPr>
        <w:t> </w:t>
      </w:r>
      <w:r>
        <w:rPr/>
        <w:t>directors</w:t>
      </w:r>
      <w:r>
        <w:rPr>
          <w:spacing w:val="31"/>
        </w:rPr>
        <w:t> </w:t>
      </w:r>
      <w:r>
        <w:rPr/>
        <w:t>today,</w:t>
      </w:r>
      <w:r>
        <w:rPr>
          <w:spacing w:val="39"/>
        </w:rPr>
        <w:t> </w:t>
      </w:r>
      <w:r>
        <w:rPr/>
        <w:t>whether</w:t>
      </w:r>
      <w:r>
        <w:rPr>
          <w:spacing w:val="39"/>
        </w:rPr>
        <w:t> </w:t>
      </w:r>
      <w:r>
        <w:rPr/>
        <w:t>executive</w:t>
      </w:r>
      <w:r>
        <w:rPr>
          <w:spacing w:val="32"/>
        </w:rPr>
        <w:t> </w:t>
      </w:r>
      <w:r>
        <w:rPr/>
        <w:t>or</w:t>
      </w:r>
      <w:r>
        <w:rPr>
          <w:spacing w:val="34"/>
        </w:rPr>
        <w:t> </w:t>
      </w:r>
      <w:r>
        <w:rPr/>
        <w:t>non</w:t>
      </w:r>
      <w:r>
        <w:rPr>
          <w:spacing w:val="33"/>
        </w:rPr>
        <w:t> </w:t>
      </w:r>
      <w:r>
        <w:rPr>
          <w:spacing w:val="-2"/>
        </w:rPr>
        <w:t>executive,</w:t>
      </w:r>
    </w:p>
    <w:p>
      <w:pPr>
        <w:spacing w:after="0" w:line="480" w:lineRule="auto"/>
        <w:jc w:val="both"/>
        <w:sectPr>
          <w:pgSz w:w="11910" w:h="16840"/>
          <w:pgMar w:header="0" w:footer="1003" w:top="1320" w:bottom="1200" w:left="1680" w:right="1180"/>
        </w:sectPr>
      </w:pPr>
    </w:p>
    <w:p>
      <w:pPr>
        <w:pStyle w:val="BodyText"/>
        <w:spacing w:line="480" w:lineRule="auto" w:before="70"/>
        <w:ind w:right="233"/>
        <w:jc w:val="both"/>
      </w:pPr>
      <w:r>
        <w:rPr/>
        <w:t>present impressive resumes to their companies.</w:t>
      </w:r>
      <w:r>
        <w:rPr>
          <w:spacing w:val="40"/>
        </w:rPr>
        <w:t> </w:t>
      </w:r>
      <w:r>
        <w:rPr/>
        <w:t>Although the standard set by s.282 CAMA would require the incompetent director to perform up to the level of a notional director in the same situation, the provision has the potential to allow a director who is actually more competent than the notional director, to escape liability, unless there is a service contract between him and the company which requires him to exercise higher standards of skill and care. Non executive directors do not usually have service contracts. The dual objective/subjective liability threshold provided under s.174 CA, apart from considering ‗reasonability‘ based on function and company type, has the further advantage</w:t>
      </w:r>
      <w:r>
        <w:rPr>
          <w:spacing w:val="-1"/>
        </w:rPr>
        <w:t> </w:t>
      </w:r>
      <w:r>
        <w:rPr/>
        <w:t>of</w:t>
      </w:r>
      <w:r>
        <w:rPr>
          <w:spacing w:val="-3"/>
        </w:rPr>
        <w:t> </w:t>
      </w:r>
      <w:r>
        <w:rPr/>
        <w:t>taking such</w:t>
      </w:r>
      <w:r>
        <w:rPr>
          <w:spacing w:val="-5"/>
        </w:rPr>
        <w:t> </w:t>
      </w:r>
      <w:r>
        <w:rPr/>
        <w:t>situations into consideration, and is</w:t>
      </w:r>
      <w:r>
        <w:rPr>
          <w:spacing w:val="-2"/>
        </w:rPr>
        <w:t> </w:t>
      </w:r>
      <w:r>
        <w:rPr/>
        <w:t>therefore, the more suited to the realities of the office of company director today.</w:t>
      </w:r>
    </w:p>
    <w:p>
      <w:pPr>
        <w:pStyle w:val="Heading2"/>
        <w:numPr>
          <w:ilvl w:val="2"/>
          <w:numId w:val="23"/>
        </w:numPr>
        <w:tabs>
          <w:tab w:pos="951" w:val="left" w:leader="none"/>
        </w:tabs>
        <w:spacing w:line="240" w:lineRule="auto" w:before="7" w:after="0"/>
        <w:ind w:left="951" w:right="0" w:hanging="360"/>
        <w:jc w:val="both"/>
      </w:pPr>
      <w:r>
        <w:rPr/>
        <w:t>On</w:t>
      </w:r>
      <w:r>
        <w:rPr>
          <w:spacing w:val="2"/>
        </w:rPr>
        <w:t> </w:t>
      </w:r>
      <w:r>
        <w:rPr/>
        <w:t>the</w:t>
      </w:r>
      <w:r>
        <w:rPr>
          <w:spacing w:val="-5"/>
        </w:rPr>
        <w:t> </w:t>
      </w:r>
      <w:r>
        <w:rPr/>
        <w:t>duty</w:t>
      </w:r>
      <w:r>
        <w:rPr>
          <w:spacing w:val="-2"/>
        </w:rPr>
        <w:t> </w:t>
      </w:r>
      <w:r>
        <w:rPr/>
        <w:t>to</w:t>
      </w:r>
      <w:r>
        <w:rPr>
          <w:spacing w:val="-3"/>
        </w:rPr>
        <w:t> </w:t>
      </w:r>
      <w:r>
        <w:rPr/>
        <w:t>act</w:t>
      </w:r>
      <w:r>
        <w:rPr>
          <w:spacing w:val="-2"/>
        </w:rPr>
        <w:t> </w:t>
      </w:r>
      <w:r>
        <w:rPr/>
        <w:t>in</w:t>
      </w:r>
      <w:r>
        <w:rPr>
          <w:spacing w:val="-3"/>
        </w:rPr>
        <w:t> </w:t>
      </w:r>
      <w:r>
        <w:rPr/>
        <w:t>the best</w:t>
      </w:r>
      <w:r>
        <w:rPr>
          <w:spacing w:val="-1"/>
        </w:rPr>
        <w:t> </w:t>
      </w:r>
      <w:r>
        <w:rPr/>
        <w:t>interests</w:t>
      </w:r>
      <w:r>
        <w:rPr>
          <w:spacing w:val="-1"/>
        </w:rPr>
        <w:t> </w:t>
      </w:r>
      <w:r>
        <w:rPr/>
        <w:t>of</w:t>
      </w:r>
      <w:r>
        <w:rPr>
          <w:spacing w:val="-2"/>
        </w:rPr>
        <w:t> </w:t>
      </w:r>
      <w:r>
        <w:rPr/>
        <w:t>the</w:t>
      </w:r>
      <w:r>
        <w:rPr>
          <w:spacing w:val="1"/>
        </w:rPr>
        <w:t> </w:t>
      </w:r>
      <w:r>
        <w:rPr>
          <w:spacing w:val="-2"/>
        </w:rPr>
        <w:t>company</w:t>
      </w:r>
    </w:p>
    <w:p>
      <w:pPr>
        <w:pStyle w:val="BodyText"/>
        <w:spacing w:line="480" w:lineRule="auto" w:before="36"/>
        <w:ind w:right="236"/>
        <w:jc w:val="both"/>
      </w:pPr>
      <w:r>
        <w:rPr/>
        <w:t>s.279(3) and (4) CAMA does not recognise the interests of the company as being inseparable from the interest of members. This has the potential to allow the director proceed on the erroneous belief that the two are distinguishable when in fact the courts have consistently held otherwise and the director will be left alone to decide the best interests of the company on his own terms, without</w:t>
      </w:r>
      <w:r>
        <w:rPr>
          <w:spacing w:val="35"/>
        </w:rPr>
        <w:t> </w:t>
      </w:r>
      <w:r>
        <w:rPr/>
        <w:t>any leverage on such a decision. The tenor of the law fails to recognise the fact that the corporation, though a legal personality, is in fact artificial and without any factual existence, so that its achievements, success or profits are ultimately for the use of natural persons who have set it up for profit. S. 172(1) is comparatively more in tune with reality in that it considers the success of</w:t>
      </w:r>
      <w:r>
        <w:rPr>
          <w:spacing w:val="-2"/>
        </w:rPr>
        <w:t> </w:t>
      </w:r>
      <w:r>
        <w:rPr/>
        <w:t>the company to be achieved for the benefit of its members as a whole. As for matters to which the director may have regard, by mentioning employee interests, s.279(4) CAMA appears to impose upon the director a duty to employees which</w:t>
      </w:r>
      <w:r>
        <w:rPr>
          <w:spacing w:val="-4"/>
        </w:rPr>
        <w:t> </w:t>
      </w:r>
      <w:r>
        <w:rPr/>
        <w:t>s.279(9) clearly</w:t>
      </w:r>
      <w:r>
        <w:rPr>
          <w:spacing w:val="-4"/>
        </w:rPr>
        <w:t> </w:t>
      </w:r>
      <w:r>
        <w:rPr/>
        <w:t>ousts</w:t>
      </w:r>
      <w:r>
        <w:rPr>
          <w:spacing w:val="-6"/>
        </w:rPr>
        <w:t> </w:t>
      </w:r>
      <w:r>
        <w:rPr/>
        <w:t>them</w:t>
      </w:r>
      <w:r>
        <w:rPr>
          <w:spacing w:val="-4"/>
        </w:rPr>
        <w:t> </w:t>
      </w:r>
      <w:r>
        <w:rPr/>
        <w:t>from</w:t>
      </w:r>
      <w:r>
        <w:rPr>
          <w:spacing w:val="-8"/>
        </w:rPr>
        <w:t> </w:t>
      </w:r>
      <w:r>
        <w:rPr/>
        <w:t>enforcing. Furthermore,</w:t>
      </w:r>
      <w:r>
        <w:rPr>
          <w:spacing w:val="-2"/>
        </w:rPr>
        <w:t> </w:t>
      </w:r>
      <w:r>
        <w:rPr/>
        <w:t>the mere mention</w:t>
      </w:r>
      <w:r>
        <w:rPr>
          <w:spacing w:val="-4"/>
        </w:rPr>
        <w:t> </w:t>
      </w:r>
      <w:r>
        <w:rPr/>
        <w:t>of</w:t>
      </w:r>
      <w:r>
        <w:rPr>
          <w:spacing w:val="-7"/>
        </w:rPr>
        <w:t> </w:t>
      </w:r>
      <w:r>
        <w:rPr/>
        <w:t>the matters</w:t>
      </w:r>
      <w:r>
        <w:rPr>
          <w:spacing w:val="-3"/>
        </w:rPr>
        <w:t> </w:t>
      </w:r>
      <w:r>
        <w:rPr/>
        <w:t>to which</w:t>
      </w:r>
      <w:r>
        <w:rPr>
          <w:spacing w:val="-1"/>
        </w:rPr>
        <w:t> </w:t>
      </w:r>
      <w:r>
        <w:rPr/>
        <w:t>the director may have regard encroaches upon</w:t>
      </w:r>
      <w:r>
        <w:rPr>
          <w:spacing w:val="-1"/>
        </w:rPr>
        <w:t> </w:t>
      </w:r>
      <w:r>
        <w:rPr/>
        <w:t>his subjective judgment</w:t>
      </w:r>
    </w:p>
    <w:p>
      <w:pPr>
        <w:spacing w:after="0" w:line="480" w:lineRule="auto"/>
        <w:jc w:val="both"/>
        <w:sectPr>
          <w:pgSz w:w="11910" w:h="16840"/>
          <w:pgMar w:header="0" w:footer="1003" w:top="1320" w:bottom="1200" w:left="1680" w:right="1180"/>
        </w:sectPr>
      </w:pPr>
    </w:p>
    <w:p>
      <w:pPr>
        <w:pStyle w:val="BodyText"/>
        <w:spacing w:line="480" w:lineRule="auto" w:before="70"/>
        <w:ind w:right="233"/>
        <w:jc w:val="both"/>
      </w:pPr>
      <w:r>
        <w:rPr/>
        <w:t>regarding what is the best interests of the company at all times. S.172(1)(a-(e) CA is faulty for the same reason.</w:t>
      </w:r>
    </w:p>
    <w:p>
      <w:pPr>
        <w:pStyle w:val="Heading2"/>
        <w:numPr>
          <w:ilvl w:val="2"/>
          <w:numId w:val="23"/>
        </w:numPr>
        <w:tabs>
          <w:tab w:pos="951" w:val="left" w:leader="none"/>
        </w:tabs>
        <w:spacing w:line="240" w:lineRule="auto" w:before="5" w:after="0"/>
        <w:ind w:left="951" w:right="0" w:hanging="360"/>
        <w:jc w:val="both"/>
      </w:pPr>
      <w:r>
        <w:rPr/>
        <w:t>On</w:t>
      </w:r>
      <w:r>
        <w:rPr>
          <w:spacing w:val="2"/>
        </w:rPr>
        <w:t> </w:t>
      </w:r>
      <w:r>
        <w:rPr/>
        <w:t>the</w:t>
      </w:r>
      <w:r>
        <w:rPr>
          <w:spacing w:val="-4"/>
        </w:rPr>
        <w:t> </w:t>
      </w:r>
      <w:r>
        <w:rPr/>
        <w:t>duty</w:t>
      </w:r>
      <w:r>
        <w:rPr>
          <w:spacing w:val="-3"/>
        </w:rPr>
        <w:t> </w:t>
      </w:r>
      <w:r>
        <w:rPr/>
        <w:t>to</w:t>
      </w:r>
      <w:r>
        <w:rPr>
          <w:spacing w:val="-4"/>
        </w:rPr>
        <w:t> </w:t>
      </w:r>
      <w:r>
        <w:rPr/>
        <w:t>act</w:t>
      </w:r>
      <w:r>
        <w:rPr>
          <w:spacing w:val="3"/>
        </w:rPr>
        <w:t> </w:t>
      </w:r>
      <w:r>
        <w:rPr/>
        <w:t>within</w:t>
      </w:r>
      <w:r>
        <w:rPr>
          <w:spacing w:val="-2"/>
        </w:rPr>
        <w:t> powers</w:t>
      </w:r>
    </w:p>
    <w:p>
      <w:pPr>
        <w:pStyle w:val="BodyText"/>
        <w:spacing w:line="480" w:lineRule="auto" w:before="41"/>
        <w:ind w:right="235"/>
        <w:jc w:val="both"/>
      </w:pPr>
      <w:r>
        <w:rPr/>
        <w:t>s.279(5) CAMA is replete with grammatical errors and set in vague terms. It does not adequately inform the director of the powers referred to. For example, are they powers under the Act or stated in his contract or provided in the articles? A novice director seeking to be informed here is unlikely to clearly comprehend the purport of the provision without the help of professional interpretation. In stark contrast, s.171 CA makes adequate and clear reference to the powers of the director alluded to.</w:t>
      </w:r>
    </w:p>
    <w:p>
      <w:pPr>
        <w:pStyle w:val="Heading2"/>
        <w:numPr>
          <w:ilvl w:val="2"/>
          <w:numId w:val="23"/>
        </w:numPr>
        <w:tabs>
          <w:tab w:pos="951" w:val="left" w:leader="none"/>
        </w:tabs>
        <w:spacing w:line="240" w:lineRule="auto" w:before="1" w:after="0"/>
        <w:ind w:left="951" w:right="0" w:hanging="360"/>
        <w:jc w:val="both"/>
      </w:pPr>
      <w:r>
        <w:rPr/>
        <w:t>On</w:t>
      </w:r>
      <w:r>
        <w:rPr>
          <w:spacing w:val="1"/>
        </w:rPr>
        <w:t> </w:t>
      </w:r>
      <w:r>
        <w:rPr/>
        <w:t>the</w:t>
      </w:r>
      <w:r>
        <w:rPr>
          <w:spacing w:val="-5"/>
        </w:rPr>
        <w:t> </w:t>
      </w:r>
      <w:r>
        <w:rPr/>
        <w:t>duty</w:t>
      </w:r>
      <w:r>
        <w:rPr>
          <w:spacing w:val="-3"/>
        </w:rPr>
        <w:t> </w:t>
      </w:r>
      <w:r>
        <w:rPr/>
        <w:t>to</w:t>
      </w:r>
      <w:r>
        <w:rPr>
          <w:spacing w:val="-4"/>
        </w:rPr>
        <w:t> </w:t>
      </w:r>
      <w:r>
        <w:rPr/>
        <w:t>exercise </w:t>
      </w:r>
      <w:r>
        <w:rPr>
          <w:spacing w:val="-2"/>
        </w:rPr>
        <w:t>independence</w:t>
      </w:r>
    </w:p>
    <w:p>
      <w:pPr>
        <w:pStyle w:val="BodyText"/>
        <w:spacing w:line="480" w:lineRule="auto" w:before="41"/>
        <w:ind w:right="230"/>
        <w:jc w:val="both"/>
      </w:pPr>
      <w:r>
        <w:rPr/>
        <w:t>The provision in s.279(6) CAMA on this duty is clearly outdated in that it restricts the principle to voting situations and does not take cognizance of current practice whereby directors of</w:t>
      </w:r>
      <w:r>
        <w:rPr>
          <w:spacing w:val="-2"/>
        </w:rPr>
        <w:t> </w:t>
      </w:r>
      <w:r>
        <w:rPr/>
        <w:t>companies may be required to bind themselves to act or vote in a particular way in the future in order to properly discharge the company‘s contractual obligations with third parties. Further, s.279(8) CAMA does not allow the articles to permit directors to act thus. This has the potential of making companies unreliable contracting partners. Case law from England has shown that the courts are amenable to such situations, given the exigencies of business practice, particularly with respect to agreements with creditors. S.173 CA commendably reflects this modern view.</w:t>
      </w:r>
    </w:p>
    <w:p>
      <w:pPr>
        <w:pStyle w:val="Heading2"/>
        <w:numPr>
          <w:ilvl w:val="2"/>
          <w:numId w:val="23"/>
        </w:numPr>
        <w:tabs>
          <w:tab w:pos="951" w:val="left" w:leader="none"/>
        </w:tabs>
        <w:spacing w:line="240" w:lineRule="auto" w:before="2" w:after="0"/>
        <w:ind w:left="951" w:right="0" w:hanging="360"/>
        <w:jc w:val="both"/>
      </w:pPr>
      <w:r>
        <w:rPr/>
        <w:t>On</w:t>
      </w:r>
      <w:r>
        <w:rPr>
          <w:spacing w:val="1"/>
        </w:rPr>
        <w:t> </w:t>
      </w:r>
      <w:r>
        <w:rPr/>
        <w:t>conflicts</w:t>
      </w:r>
      <w:r>
        <w:rPr>
          <w:spacing w:val="-2"/>
        </w:rPr>
        <w:t> </w:t>
      </w:r>
      <w:r>
        <w:rPr/>
        <w:t>of</w:t>
      </w:r>
      <w:r>
        <w:rPr>
          <w:spacing w:val="-3"/>
        </w:rPr>
        <w:t> </w:t>
      </w:r>
      <w:r>
        <w:rPr/>
        <w:t>duties</w:t>
      </w:r>
      <w:r>
        <w:rPr>
          <w:spacing w:val="-3"/>
        </w:rPr>
        <w:t> </w:t>
      </w:r>
      <w:r>
        <w:rPr/>
        <w:t>and</w:t>
      </w:r>
      <w:r>
        <w:rPr>
          <w:spacing w:val="1"/>
        </w:rPr>
        <w:t> </w:t>
      </w:r>
      <w:r>
        <w:rPr>
          <w:spacing w:val="-2"/>
        </w:rPr>
        <w:t>interests</w:t>
      </w:r>
    </w:p>
    <w:p>
      <w:pPr>
        <w:pStyle w:val="BodyText"/>
        <w:spacing w:line="480" w:lineRule="auto" w:before="41"/>
        <w:ind w:right="230"/>
        <w:jc w:val="both"/>
      </w:pPr>
      <w:r>
        <w:rPr/>
        <w:t>S.280(1) CAMA on the duty above, is stated in general terms and neglects to clearly identify the well-known interests of the company often referred to, i.e. property, information and opportunity as identified in s.281 CAMA. Furthermore, it does not recognize the exception in situations of transactions or contracts with the company, which are already admitted by s.277 CAMA. S. 280(2) and (3) CAMA also use the vague and nebulous term ―unnecessary benefit‖ which does not adequately describe to the</w:t>
      </w:r>
      <w:r>
        <w:rPr>
          <w:spacing w:val="2"/>
        </w:rPr>
        <w:t> </w:t>
      </w:r>
      <w:r>
        <w:rPr/>
        <w:t>director the</w:t>
      </w:r>
      <w:r>
        <w:rPr>
          <w:spacing w:val="3"/>
        </w:rPr>
        <w:t> </w:t>
      </w:r>
      <w:r>
        <w:rPr/>
        <w:t>kind</w:t>
      </w:r>
      <w:r>
        <w:rPr>
          <w:spacing w:val="3"/>
        </w:rPr>
        <w:t> </w:t>
      </w:r>
      <w:r>
        <w:rPr/>
        <w:t>of</w:t>
      </w:r>
      <w:r>
        <w:rPr>
          <w:spacing w:val="-4"/>
        </w:rPr>
        <w:t> </w:t>
      </w:r>
      <w:r>
        <w:rPr/>
        <w:t>gain</w:t>
      </w:r>
      <w:r>
        <w:rPr>
          <w:spacing w:val="-1"/>
        </w:rPr>
        <w:t> </w:t>
      </w:r>
      <w:r>
        <w:rPr/>
        <w:t>or</w:t>
      </w:r>
      <w:r>
        <w:rPr>
          <w:spacing w:val="5"/>
        </w:rPr>
        <w:t> </w:t>
      </w:r>
      <w:r>
        <w:rPr/>
        <w:t>profit</w:t>
      </w:r>
      <w:r>
        <w:rPr>
          <w:spacing w:val="8"/>
        </w:rPr>
        <w:t> </w:t>
      </w:r>
      <w:r>
        <w:rPr/>
        <w:t>which</w:t>
      </w:r>
      <w:r>
        <w:rPr>
          <w:spacing w:val="-1"/>
        </w:rPr>
        <w:t> </w:t>
      </w:r>
      <w:r>
        <w:rPr/>
        <w:t>he</w:t>
      </w:r>
      <w:r>
        <w:rPr>
          <w:spacing w:val="7"/>
        </w:rPr>
        <w:t> </w:t>
      </w:r>
      <w:r>
        <w:rPr/>
        <w:t>must</w:t>
      </w:r>
      <w:r>
        <w:rPr>
          <w:spacing w:val="8"/>
        </w:rPr>
        <w:t> </w:t>
      </w:r>
      <w:r>
        <w:rPr/>
        <w:t>resist</w:t>
      </w:r>
      <w:r>
        <w:rPr>
          <w:spacing w:val="9"/>
        </w:rPr>
        <w:t> </w:t>
      </w:r>
      <w:r>
        <w:rPr/>
        <w:t>but</w:t>
      </w:r>
      <w:r>
        <w:rPr>
          <w:spacing w:val="8"/>
        </w:rPr>
        <w:t> </w:t>
      </w:r>
      <w:r>
        <w:rPr/>
        <w:t>even appears to</w:t>
      </w:r>
      <w:r>
        <w:rPr>
          <w:spacing w:val="9"/>
        </w:rPr>
        <w:t> </w:t>
      </w:r>
      <w:r>
        <w:rPr/>
        <w:t>allow</w:t>
      </w:r>
      <w:r>
        <w:rPr>
          <w:spacing w:val="8"/>
        </w:rPr>
        <w:t> </w:t>
      </w:r>
      <w:r>
        <w:rPr>
          <w:spacing w:val="-5"/>
        </w:rPr>
        <w:t>his</w:t>
      </w:r>
    </w:p>
    <w:p>
      <w:pPr>
        <w:spacing w:after="0" w:line="480" w:lineRule="auto"/>
        <w:jc w:val="both"/>
        <w:sectPr>
          <w:pgSz w:w="11910" w:h="16840"/>
          <w:pgMar w:header="0" w:footer="1003" w:top="1320" w:bottom="1200" w:left="1680" w:right="1180"/>
        </w:sectPr>
      </w:pPr>
    </w:p>
    <w:p>
      <w:pPr>
        <w:pStyle w:val="BodyText"/>
        <w:spacing w:line="480" w:lineRule="auto" w:before="70"/>
        <w:ind w:right="232"/>
        <w:jc w:val="both"/>
      </w:pPr>
      <w:r>
        <w:rPr/>
        <w:t>subjective</w:t>
      </w:r>
      <w:r>
        <w:rPr>
          <w:spacing w:val="-1"/>
        </w:rPr>
        <w:t> </w:t>
      </w:r>
      <w:r>
        <w:rPr/>
        <w:t>judgment on</w:t>
      </w:r>
      <w:r>
        <w:rPr>
          <w:spacing w:val="-4"/>
        </w:rPr>
        <w:t> </w:t>
      </w:r>
      <w:r>
        <w:rPr/>
        <w:t>it.</w:t>
      </w:r>
      <w:r>
        <w:rPr>
          <w:spacing w:val="-3"/>
        </w:rPr>
        <w:t> </w:t>
      </w:r>
      <w:r>
        <w:rPr/>
        <w:t>Further,</w:t>
      </w:r>
      <w:r>
        <w:rPr>
          <w:spacing w:val="-3"/>
        </w:rPr>
        <w:t> </w:t>
      </w:r>
      <w:r>
        <w:rPr/>
        <w:t>subsections</w:t>
      </w:r>
      <w:r>
        <w:rPr>
          <w:spacing w:val="-6"/>
        </w:rPr>
        <w:t> </w:t>
      </w:r>
      <w:r>
        <w:rPr/>
        <w:t>280(5)</w:t>
      </w:r>
      <w:r>
        <w:rPr>
          <w:spacing w:val="-3"/>
        </w:rPr>
        <w:t> </w:t>
      </w:r>
      <w:r>
        <w:rPr/>
        <w:t>and</w:t>
      </w:r>
      <w:r>
        <w:rPr>
          <w:spacing w:val="-4"/>
        </w:rPr>
        <w:t> </w:t>
      </w:r>
      <w:r>
        <w:rPr/>
        <w:t>(6)</w:t>
      </w:r>
      <w:r>
        <w:rPr>
          <w:spacing w:val="-3"/>
        </w:rPr>
        <w:t> </w:t>
      </w:r>
      <w:r>
        <w:rPr/>
        <w:t>respectively</w:t>
      </w:r>
      <w:r>
        <w:rPr>
          <w:spacing w:val="-11"/>
        </w:rPr>
        <w:t> </w:t>
      </w:r>
      <w:r>
        <w:rPr/>
        <w:t>refer</w:t>
      </w:r>
      <w:r>
        <w:rPr>
          <w:spacing w:val="-3"/>
        </w:rPr>
        <w:t> </w:t>
      </w:r>
      <w:r>
        <w:rPr/>
        <w:t>to ―the duty</w:t>
      </w:r>
      <w:r>
        <w:rPr>
          <w:spacing w:val="-4"/>
        </w:rPr>
        <w:t> </w:t>
      </w:r>
      <w:r>
        <w:rPr/>
        <w:t>not to misuse corporate</w:t>
      </w:r>
      <w:r>
        <w:rPr>
          <w:spacing w:val="-1"/>
        </w:rPr>
        <w:t> </w:t>
      </w:r>
      <w:r>
        <w:rPr/>
        <w:t>information‖</w:t>
      </w:r>
      <w:r>
        <w:rPr>
          <w:spacing w:val="-1"/>
        </w:rPr>
        <w:t> </w:t>
      </w:r>
      <w:r>
        <w:rPr/>
        <w:t>and ―the</w:t>
      </w:r>
      <w:r>
        <w:rPr>
          <w:spacing w:val="-1"/>
        </w:rPr>
        <w:t> </w:t>
      </w:r>
      <w:r>
        <w:rPr/>
        <w:t>transaction‖, neither of</w:t>
      </w:r>
      <w:r>
        <w:rPr>
          <w:spacing w:val="-3"/>
        </w:rPr>
        <w:t> </w:t>
      </w:r>
      <w:r>
        <w:rPr/>
        <w:t>which</w:t>
      </w:r>
      <w:r>
        <w:rPr>
          <w:spacing w:val="-4"/>
        </w:rPr>
        <w:t> </w:t>
      </w:r>
      <w:r>
        <w:rPr/>
        <w:t>terms has been</w:t>
      </w:r>
      <w:r>
        <w:rPr>
          <w:spacing w:val="-4"/>
        </w:rPr>
        <w:t> </w:t>
      </w:r>
      <w:r>
        <w:rPr/>
        <w:t>previously</w:t>
      </w:r>
      <w:r>
        <w:rPr>
          <w:spacing w:val="-4"/>
        </w:rPr>
        <w:t> </w:t>
      </w:r>
      <w:r>
        <w:rPr/>
        <w:t>discussed earlier in the section, so that the use of</w:t>
      </w:r>
      <w:r>
        <w:rPr>
          <w:spacing w:val="-2"/>
        </w:rPr>
        <w:t> </w:t>
      </w:r>
      <w:r>
        <w:rPr/>
        <w:t>the definite article</w:t>
      </w:r>
    </w:p>
    <w:p>
      <w:pPr>
        <w:pStyle w:val="BodyText"/>
        <w:spacing w:line="480" w:lineRule="auto"/>
        <w:ind w:right="227"/>
        <w:jc w:val="both"/>
      </w:pPr>
      <w:r>
        <w:rPr/>
        <w:t>―the‖</w:t>
      </w:r>
      <w:r>
        <w:rPr>
          <w:spacing w:val="-2"/>
        </w:rPr>
        <w:t> </w:t>
      </w:r>
      <w:r>
        <w:rPr/>
        <w:t>is</w:t>
      </w:r>
      <w:r>
        <w:rPr>
          <w:spacing w:val="-3"/>
        </w:rPr>
        <w:t> </w:t>
      </w:r>
      <w:r>
        <w:rPr/>
        <w:t>misguided.</w:t>
      </w:r>
      <w:r>
        <w:rPr>
          <w:spacing w:val="-3"/>
        </w:rPr>
        <w:t> </w:t>
      </w:r>
      <w:r>
        <w:rPr/>
        <w:t>Finally,</w:t>
      </w:r>
      <w:r>
        <w:rPr>
          <w:spacing w:val="-3"/>
        </w:rPr>
        <w:t> </w:t>
      </w:r>
      <w:r>
        <w:rPr/>
        <w:t>with</w:t>
      </w:r>
      <w:r>
        <w:rPr>
          <w:spacing w:val="-9"/>
        </w:rPr>
        <w:t> </w:t>
      </w:r>
      <w:r>
        <w:rPr/>
        <w:t>respect to a</w:t>
      </w:r>
      <w:r>
        <w:rPr>
          <w:spacing w:val="-9"/>
        </w:rPr>
        <w:t> </w:t>
      </w:r>
      <w:r>
        <w:rPr/>
        <w:t>former</w:t>
      </w:r>
      <w:r>
        <w:rPr>
          <w:spacing w:val="-4"/>
        </w:rPr>
        <w:t> </w:t>
      </w:r>
      <w:r>
        <w:rPr/>
        <w:t>director,</w:t>
      </w:r>
      <w:r>
        <w:rPr>
          <w:spacing w:val="-1"/>
        </w:rPr>
        <w:t> </w:t>
      </w:r>
      <w:r>
        <w:rPr/>
        <w:t>S.280(5)</w:t>
      </w:r>
      <w:r>
        <w:rPr>
          <w:spacing w:val="-8"/>
        </w:rPr>
        <w:t> </w:t>
      </w:r>
      <w:r>
        <w:rPr/>
        <w:t>CAMA</w:t>
      </w:r>
      <w:r>
        <w:rPr>
          <w:spacing w:val="-9"/>
        </w:rPr>
        <w:t> </w:t>
      </w:r>
      <w:r>
        <w:rPr/>
        <w:t>seems</w:t>
      </w:r>
      <w:r>
        <w:rPr>
          <w:spacing w:val="-7"/>
        </w:rPr>
        <w:t> </w:t>
      </w:r>
      <w:r>
        <w:rPr/>
        <w:t>to suggest that only corporate information is off limits to him, so that he is free to use corporate property and opportunity. On these points, s.175 CA appears to be comprehensive and clear, more so because it clearly informs the director of exceptions to the rule as well as situations which would not amount to breach.</w:t>
      </w:r>
    </w:p>
    <w:p>
      <w:pPr>
        <w:pStyle w:val="Heading2"/>
        <w:numPr>
          <w:ilvl w:val="2"/>
          <w:numId w:val="23"/>
        </w:numPr>
        <w:tabs>
          <w:tab w:pos="951" w:val="left" w:leader="none"/>
        </w:tabs>
        <w:spacing w:line="240" w:lineRule="auto" w:before="6" w:after="0"/>
        <w:ind w:left="951" w:right="0" w:hanging="360"/>
        <w:jc w:val="both"/>
      </w:pPr>
      <w:r>
        <w:rPr/>
        <w:t>On</w:t>
      </w:r>
      <w:r>
        <w:rPr>
          <w:spacing w:val="-1"/>
        </w:rPr>
        <w:t> </w:t>
      </w:r>
      <w:r>
        <w:rPr/>
        <w:t>the</w:t>
      </w:r>
      <w:r>
        <w:rPr>
          <w:spacing w:val="-6"/>
        </w:rPr>
        <w:t> </w:t>
      </w:r>
      <w:r>
        <w:rPr/>
        <w:t>prohibition of</w:t>
      </w:r>
      <w:r>
        <w:rPr>
          <w:spacing w:val="-4"/>
        </w:rPr>
        <w:t> </w:t>
      </w:r>
      <w:r>
        <w:rPr/>
        <w:t>secret </w:t>
      </w:r>
      <w:r>
        <w:rPr>
          <w:spacing w:val="-2"/>
        </w:rPr>
        <w:t>benefits</w:t>
      </w:r>
    </w:p>
    <w:p>
      <w:pPr>
        <w:pStyle w:val="BodyText"/>
        <w:spacing w:line="480" w:lineRule="auto" w:before="36"/>
        <w:ind w:right="235"/>
        <w:jc w:val="both"/>
      </w:pPr>
      <w:r>
        <w:rPr/>
        <w:t>On this duty, the tenor of s.287(1) CAMA appears to restrict the application of the rule to the motive of inducement, i.e. cases where the director accepted the bribe, gift or commission in</w:t>
      </w:r>
      <w:r>
        <w:rPr>
          <w:spacing w:val="-1"/>
        </w:rPr>
        <w:t> </w:t>
      </w:r>
      <w:r>
        <w:rPr/>
        <w:t>order to induce his company</w:t>
      </w:r>
      <w:r>
        <w:rPr>
          <w:spacing w:val="-6"/>
        </w:rPr>
        <w:t> </w:t>
      </w:r>
      <w:r>
        <w:rPr/>
        <w:t>to deal</w:t>
      </w:r>
      <w:r>
        <w:rPr>
          <w:spacing w:val="-1"/>
        </w:rPr>
        <w:t> </w:t>
      </w:r>
      <w:r>
        <w:rPr/>
        <w:t>with such</w:t>
      </w:r>
      <w:r>
        <w:rPr>
          <w:spacing w:val="-1"/>
        </w:rPr>
        <w:t> </w:t>
      </w:r>
      <w:r>
        <w:rPr/>
        <w:t>a person. Thus, where the gift or commission</w:t>
      </w:r>
      <w:r>
        <w:rPr>
          <w:spacing w:val="-1"/>
        </w:rPr>
        <w:t> </w:t>
      </w:r>
      <w:r>
        <w:rPr/>
        <w:t>is received by</w:t>
      </w:r>
      <w:r>
        <w:rPr>
          <w:spacing w:val="-6"/>
        </w:rPr>
        <w:t> </w:t>
      </w:r>
      <w:r>
        <w:rPr/>
        <w:t>the</w:t>
      </w:r>
      <w:r>
        <w:rPr>
          <w:spacing w:val="-2"/>
        </w:rPr>
        <w:t> </w:t>
      </w:r>
      <w:r>
        <w:rPr/>
        <w:t>director without any</w:t>
      </w:r>
      <w:r>
        <w:rPr>
          <w:spacing w:val="-11"/>
        </w:rPr>
        <w:t> </w:t>
      </w:r>
      <w:r>
        <w:rPr/>
        <w:t>evidence</w:t>
      </w:r>
      <w:r>
        <w:rPr>
          <w:spacing w:val="-2"/>
        </w:rPr>
        <w:t> </w:t>
      </w:r>
      <w:r>
        <w:rPr/>
        <w:t>of</w:t>
      </w:r>
      <w:r>
        <w:rPr>
          <w:spacing w:val="-9"/>
        </w:rPr>
        <w:t> </w:t>
      </w:r>
      <w:r>
        <w:rPr/>
        <w:t>corrupt motive</w:t>
      </w:r>
      <w:r>
        <w:rPr>
          <w:spacing w:val="-2"/>
        </w:rPr>
        <w:t> </w:t>
      </w:r>
      <w:r>
        <w:rPr/>
        <w:t>or where it is apparent that the director was actually unaffected, the rule under the section would not apply. It is submitted that this allows the director more room for dubious dealings. After all, most of such ―gifts‖ are unlikely to be received with a ―corrupt‖ motive,</w:t>
      </w:r>
      <w:r>
        <w:rPr>
          <w:spacing w:val="34"/>
        </w:rPr>
        <w:t> </w:t>
      </w:r>
      <w:r>
        <w:rPr/>
        <w:t>especially</w:t>
      </w:r>
      <w:r>
        <w:rPr>
          <w:spacing w:val="27"/>
        </w:rPr>
        <w:t> </w:t>
      </w:r>
      <w:r>
        <w:rPr/>
        <w:t>where</w:t>
      </w:r>
      <w:r>
        <w:rPr>
          <w:spacing w:val="36"/>
        </w:rPr>
        <w:t> </w:t>
      </w:r>
      <w:r>
        <w:rPr/>
        <w:t>it</w:t>
      </w:r>
      <w:r>
        <w:rPr>
          <w:spacing w:val="40"/>
        </w:rPr>
        <w:t> </w:t>
      </w:r>
      <w:r>
        <w:rPr/>
        <w:t>is</w:t>
      </w:r>
      <w:r>
        <w:rPr>
          <w:spacing w:val="30"/>
        </w:rPr>
        <w:t> </w:t>
      </w:r>
      <w:r>
        <w:rPr/>
        <w:t>considered</w:t>
      </w:r>
      <w:r>
        <w:rPr>
          <w:spacing w:val="32"/>
        </w:rPr>
        <w:t> </w:t>
      </w:r>
      <w:r>
        <w:rPr/>
        <w:t>customary.</w:t>
      </w:r>
      <w:r>
        <w:rPr>
          <w:spacing w:val="39"/>
        </w:rPr>
        <w:t> </w:t>
      </w:r>
      <w:r>
        <w:rPr/>
        <w:t>A</w:t>
      </w:r>
      <w:r>
        <w:rPr>
          <w:spacing w:val="27"/>
        </w:rPr>
        <w:t> </w:t>
      </w:r>
      <w:r>
        <w:rPr/>
        <w:t>director</w:t>
      </w:r>
      <w:r>
        <w:rPr>
          <w:spacing w:val="34"/>
        </w:rPr>
        <w:t> </w:t>
      </w:r>
      <w:r>
        <w:rPr/>
        <w:t>can</w:t>
      </w:r>
      <w:r>
        <w:rPr>
          <w:spacing w:val="27"/>
        </w:rPr>
        <w:t> </w:t>
      </w:r>
      <w:r>
        <w:rPr/>
        <w:t>also</w:t>
      </w:r>
      <w:r>
        <w:rPr>
          <w:spacing w:val="37"/>
        </w:rPr>
        <w:t> </w:t>
      </w:r>
      <w:r>
        <w:rPr/>
        <w:t>claim</w:t>
      </w:r>
      <w:r>
        <w:rPr>
          <w:spacing w:val="28"/>
        </w:rPr>
        <w:t> </w:t>
      </w:r>
      <w:r>
        <w:rPr/>
        <w:t>to</w:t>
      </w:r>
      <w:r>
        <w:rPr>
          <w:spacing w:val="37"/>
        </w:rPr>
        <w:t> </w:t>
      </w:r>
      <w:r>
        <w:rPr/>
        <w:t>be</w:t>
      </w:r>
    </w:p>
    <w:p>
      <w:pPr>
        <w:pStyle w:val="BodyText"/>
        <w:spacing w:line="480" w:lineRule="auto" w:before="2"/>
        <w:ind w:right="235"/>
        <w:jc w:val="both"/>
      </w:pPr>
      <w:r>
        <w:rPr/>
        <w:t>―unaffected‖ yet this should not allow him to unlawfully profit from his position. The same goes for the requirement that the gift be ―unsolicited‖ if he is to be allowed to keep it. Again, the law does not hold a former director bound by the duty, so that a director</w:t>
      </w:r>
      <w:r>
        <w:rPr>
          <w:spacing w:val="33"/>
        </w:rPr>
        <w:t> </w:t>
      </w:r>
      <w:r>
        <w:rPr/>
        <w:t>may</w:t>
      </w:r>
      <w:r>
        <w:rPr>
          <w:spacing w:val="22"/>
        </w:rPr>
        <w:t> </w:t>
      </w:r>
      <w:r>
        <w:rPr/>
        <w:t>resign</w:t>
      </w:r>
      <w:r>
        <w:rPr>
          <w:spacing w:val="22"/>
        </w:rPr>
        <w:t> </w:t>
      </w:r>
      <w:r>
        <w:rPr/>
        <w:t>and</w:t>
      </w:r>
      <w:r>
        <w:rPr>
          <w:spacing w:val="32"/>
        </w:rPr>
        <w:t> </w:t>
      </w:r>
      <w:r>
        <w:rPr/>
        <w:t>then</w:t>
      </w:r>
      <w:r>
        <w:rPr>
          <w:spacing w:val="22"/>
        </w:rPr>
        <w:t> </w:t>
      </w:r>
      <w:r>
        <w:rPr/>
        <w:t>accept</w:t>
      </w:r>
      <w:r>
        <w:rPr>
          <w:spacing w:val="32"/>
        </w:rPr>
        <w:t> </w:t>
      </w:r>
      <w:r>
        <w:rPr/>
        <w:t>the</w:t>
      </w:r>
      <w:r>
        <w:rPr>
          <w:spacing w:val="30"/>
        </w:rPr>
        <w:t> </w:t>
      </w:r>
      <w:r>
        <w:rPr/>
        <w:t>―gift‖.</w:t>
      </w:r>
      <w:r>
        <w:rPr>
          <w:spacing w:val="34"/>
        </w:rPr>
        <w:t> </w:t>
      </w:r>
      <w:r>
        <w:rPr/>
        <w:t>These</w:t>
      </w:r>
      <w:r>
        <w:rPr>
          <w:spacing w:val="30"/>
        </w:rPr>
        <w:t> </w:t>
      </w:r>
      <w:r>
        <w:rPr/>
        <w:t>defects</w:t>
      </w:r>
      <w:r>
        <w:rPr>
          <w:spacing w:val="25"/>
        </w:rPr>
        <w:t> </w:t>
      </w:r>
      <w:r>
        <w:rPr/>
        <w:t>are</w:t>
      </w:r>
      <w:r>
        <w:rPr>
          <w:spacing w:val="31"/>
        </w:rPr>
        <w:t> </w:t>
      </w:r>
      <w:r>
        <w:rPr/>
        <w:t>not</w:t>
      </w:r>
      <w:r>
        <w:rPr>
          <w:spacing w:val="31"/>
        </w:rPr>
        <w:t> </w:t>
      </w:r>
      <w:r>
        <w:rPr/>
        <w:t>to</w:t>
      </w:r>
      <w:r>
        <w:rPr>
          <w:spacing w:val="32"/>
        </w:rPr>
        <w:t> </w:t>
      </w:r>
      <w:r>
        <w:rPr/>
        <w:t>be</w:t>
      </w:r>
      <w:r>
        <w:rPr>
          <w:spacing w:val="30"/>
        </w:rPr>
        <w:t> </w:t>
      </w:r>
      <w:r>
        <w:rPr/>
        <w:t>found</w:t>
      </w:r>
      <w:r>
        <w:rPr>
          <w:spacing w:val="36"/>
        </w:rPr>
        <w:t> </w:t>
      </w:r>
      <w:r>
        <w:rPr>
          <w:spacing w:val="-5"/>
        </w:rPr>
        <w:t>in</w:t>
      </w:r>
    </w:p>
    <w:p>
      <w:pPr>
        <w:pStyle w:val="BodyText"/>
        <w:spacing w:line="480" w:lineRule="auto" w:before="1"/>
        <w:ind w:right="242"/>
        <w:jc w:val="both"/>
      </w:pPr>
      <w:r>
        <w:rPr/>
        <w:t>s.176</w:t>
      </w:r>
      <w:r>
        <w:rPr>
          <w:spacing w:val="-3"/>
        </w:rPr>
        <w:t> </w:t>
      </w:r>
      <w:r>
        <w:rPr/>
        <w:t>CA,</w:t>
      </w:r>
      <w:r>
        <w:rPr>
          <w:spacing w:val="-2"/>
        </w:rPr>
        <w:t> </w:t>
      </w:r>
      <w:r>
        <w:rPr/>
        <w:t>where</w:t>
      </w:r>
      <w:r>
        <w:rPr>
          <w:spacing w:val="-4"/>
        </w:rPr>
        <w:t> </w:t>
      </w:r>
      <w:r>
        <w:rPr/>
        <w:t>the law is</w:t>
      </w:r>
      <w:r>
        <w:rPr>
          <w:spacing w:val="-6"/>
        </w:rPr>
        <w:t> </w:t>
      </w:r>
      <w:r>
        <w:rPr/>
        <w:t>clear, leaving no room</w:t>
      </w:r>
      <w:r>
        <w:rPr>
          <w:spacing w:val="-8"/>
        </w:rPr>
        <w:t> </w:t>
      </w:r>
      <w:r>
        <w:rPr/>
        <w:t>for</w:t>
      </w:r>
      <w:r>
        <w:rPr>
          <w:spacing w:val="-2"/>
        </w:rPr>
        <w:t> </w:t>
      </w:r>
      <w:r>
        <w:rPr/>
        <w:t>the</w:t>
      </w:r>
      <w:r>
        <w:rPr>
          <w:spacing w:val="-4"/>
        </w:rPr>
        <w:t> </w:t>
      </w:r>
      <w:r>
        <w:rPr/>
        <w:t>director‘s</w:t>
      </w:r>
      <w:r>
        <w:rPr>
          <w:spacing w:val="-6"/>
        </w:rPr>
        <w:t> </w:t>
      </w:r>
      <w:r>
        <w:rPr/>
        <w:t>subjective judgment as to instances in the matter of accepting benefits. The provision is also clear on what constitutes third party, admits the reasonability doctrine in determining liability and rightly expects the duty from a former director.</w:t>
      </w:r>
    </w:p>
    <w:p>
      <w:pPr>
        <w:spacing w:after="0" w:line="480" w:lineRule="auto"/>
        <w:jc w:val="both"/>
        <w:sectPr>
          <w:pgSz w:w="11910" w:h="16840"/>
          <w:pgMar w:header="0" w:footer="1003" w:top="1320" w:bottom="1200" w:left="1680" w:right="1180"/>
        </w:sectPr>
      </w:pPr>
    </w:p>
    <w:p>
      <w:pPr>
        <w:pStyle w:val="Heading2"/>
        <w:numPr>
          <w:ilvl w:val="2"/>
          <w:numId w:val="23"/>
        </w:numPr>
        <w:tabs>
          <w:tab w:pos="951" w:val="left" w:leader="none"/>
        </w:tabs>
        <w:spacing w:line="240" w:lineRule="auto" w:before="74" w:after="0"/>
        <w:ind w:left="951" w:right="0" w:hanging="360"/>
        <w:jc w:val="both"/>
      </w:pPr>
      <w:r>
        <w:rPr/>
        <w:t>on</w:t>
      </w:r>
      <w:r>
        <w:rPr>
          <w:spacing w:val="-4"/>
        </w:rPr>
        <w:t> </w:t>
      </w:r>
      <w:r>
        <w:rPr/>
        <w:t>declaring</w:t>
      </w:r>
      <w:r>
        <w:rPr>
          <w:spacing w:val="-1"/>
        </w:rPr>
        <w:t> </w:t>
      </w:r>
      <w:r>
        <w:rPr/>
        <w:t>interests</w:t>
      </w:r>
      <w:r>
        <w:rPr>
          <w:spacing w:val="-4"/>
        </w:rPr>
        <w:t> </w:t>
      </w:r>
      <w:r>
        <w:rPr/>
        <w:t>in proposed</w:t>
      </w:r>
      <w:r>
        <w:rPr>
          <w:spacing w:val="-2"/>
        </w:rPr>
        <w:t> </w:t>
      </w:r>
      <w:r>
        <w:rPr/>
        <w:t>or</w:t>
      </w:r>
      <w:r>
        <w:rPr>
          <w:spacing w:val="-1"/>
        </w:rPr>
        <w:t> </w:t>
      </w:r>
      <w:r>
        <w:rPr/>
        <w:t>existing</w:t>
      </w:r>
      <w:r>
        <w:rPr>
          <w:spacing w:val="-1"/>
        </w:rPr>
        <w:t> </w:t>
      </w:r>
      <w:r>
        <w:rPr>
          <w:spacing w:val="-2"/>
        </w:rPr>
        <w:t>transactions</w:t>
      </w:r>
    </w:p>
    <w:p>
      <w:pPr>
        <w:pStyle w:val="BodyText"/>
        <w:spacing w:before="41"/>
        <w:jc w:val="both"/>
      </w:pPr>
      <w:r>
        <w:rPr/>
        <w:t>S.277</w:t>
      </w:r>
      <w:r>
        <w:rPr>
          <w:spacing w:val="27"/>
        </w:rPr>
        <w:t> </w:t>
      </w:r>
      <w:r>
        <w:rPr/>
        <w:t>CAMA</w:t>
      </w:r>
      <w:r>
        <w:rPr>
          <w:spacing w:val="25"/>
        </w:rPr>
        <w:t> </w:t>
      </w:r>
      <w:r>
        <w:rPr/>
        <w:t>only</w:t>
      </w:r>
      <w:r>
        <w:rPr>
          <w:spacing w:val="25"/>
        </w:rPr>
        <w:t> </w:t>
      </w:r>
      <w:r>
        <w:rPr/>
        <w:t>requires</w:t>
      </w:r>
      <w:r>
        <w:rPr>
          <w:spacing w:val="28"/>
        </w:rPr>
        <w:t> </w:t>
      </w:r>
      <w:r>
        <w:rPr/>
        <w:t>a</w:t>
      </w:r>
      <w:r>
        <w:rPr>
          <w:spacing w:val="30"/>
        </w:rPr>
        <w:t> </w:t>
      </w:r>
      <w:r>
        <w:rPr/>
        <w:t>declaration</w:t>
      </w:r>
      <w:r>
        <w:rPr>
          <w:spacing w:val="25"/>
        </w:rPr>
        <w:t> </w:t>
      </w:r>
      <w:r>
        <w:rPr/>
        <w:t>of</w:t>
      </w:r>
      <w:r>
        <w:rPr>
          <w:spacing w:val="23"/>
        </w:rPr>
        <w:t> </w:t>
      </w:r>
      <w:r>
        <w:rPr/>
        <w:t>the</w:t>
      </w:r>
      <w:r>
        <w:rPr>
          <w:spacing w:val="34"/>
        </w:rPr>
        <w:t> </w:t>
      </w:r>
      <w:r>
        <w:rPr/>
        <w:t>nature</w:t>
      </w:r>
      <w:r>
        <w:rPr>
          <w:spacing w:val="29"/>
        </w:rPr>
        <w:t> </w:t>
      </w:r>
      <w:r>
        <w:rPr/>
        <w:t>and</w:t>
      </w:r>
      <w:r>
        <w:rPr>
          <w:spacing w:val="35"/>
        </w:rPr>
        <w:t> </w:t>
      </w:r>
      <w:r>
        <w:rPr/>
        <w:t>not</w:t>
      </w:r>
      <w:r>
        <w:rPr>
          <w:spacing w:val="26"/>
        </w:rPr>
        <w:t> </w:t>
      </w:r>
      <w:r>
        <w:rPr/>
        <w:t>the</w:t>
      </w:r>
      <w:r>
        <w:rPr>
          <w:spacing w:val="29"/>
        </w:rPr>
        <w:t> </w:t>
      </w:r>
      <w:r>
        <w:rPr/>
        <w:t>extent</w:t>
      </w:r>
      <w:r>
        <w:rPr>
          <w:spacing w:val="31"/>
        </w:rPr>
        <w:t> </w:t>
      </w:r>
      <w:r>
        <w:rPr/>
        <w:t>of</w:t>
      </w:r>
      <w:r>
        <w:rPr>
          <w:spacing w:val="27"/>
        </w:rPr>
        <w:t> </w:t>
      </w:r>
      <w:r>
        <w:rPr>
          <w:spacing w:val="-2"/>
        </w:rPr>
        <w:t>interest.</w:t>
      </w:r>
    </w:p>
    <w:p>
      <w:pPr>
        <w:pStyle w:val="BodyText"/>
        <w:spacing w:before="1"/>
        <w:ind w:left="0"/>
      </w:pPr>
    </w:p>
    <w:p>
      <w:pPr>
        <w:pStyle w:val="BodyText"/>
        <w:spacing w:line="480" w:lineRule="auto"/>
        <w:ind w:right="230"/>
        <w:jc w:val="both"/>
      </w:pPr>
      <w:r>
        <w:rPr/>
        <w:t>This will not allow for a better informed decision on the matter. The section does not contemplate a situation whereby a further declaration be made when the director‘s interest changes or is discovered to have been inadequate in the first place. This canallow dubious directors to make inadequate declaration in order to claim later that they had declared what, at the time, was known to them S. 277 CAMA also seems to admit of</w:t>
      </w:r>
      <w:r>
        <w:rPr>
          <w:spacing w:val="-4"/>
        </w:rPr>
        <w:t> </w:t>
      </w:r>
      <w:r>
        <w:rPr/>
        <w:t>no exceptions</w:t>
      </w:r>
      <w:r>
        <w:rPr>
          <w:spacing w:val="-3"/>
        </w:rPr>
        <w:t> </w:t>
      </w:r>
      <w:r>
        <w:rPr/>
        <w:t>to</w:t>
      </w:r>
      <w:r>
        <w:rPr>
          <w:spacing w:val="-1"/>
        </w:rPr>
        <w:t> </w:t>
      </w:r>
      <w:r>
        <w:rPr/>
        <w:t>the</w:t>
      </w:r>
      <w:r>
        <w:rPr>
          <w:spacing w:val="-2"/>
        </w:rPr>
        <w:t> </w:t>
      </w:r>
      <w:r>
        <w:rPr/>
        <w:t>rule</w:t>
      </w:r>
      <w:r>
        <w:rPr>
          <w:spacing w:val="-2"/>
        </w:rPr>
        <w:t> </w:t>
      </w:r>
      <w:r>
        <w:rPr/>
        <w:t>and</w:t>
      </w:r>
      <w:r>
        <w:rPr>
          <w:spacing w:val="-1"/>
        </w:rPr>
        <w:t> </w:t>
      </w:r>
      <w:r>
        <w:rPr/>
        <w:t>would</w:t>
      </w:r>
      <w:r>
        <w:rPr>
          <w:spacing w:val="-1"/>
        </w:rPr>
        <w:t> </w:t>
      </w:r>
      <w:r>
        <w:rPr/>
        <w:t>seem</w:t>
      </w:r>
      <w:r>
        <w:rPr>
          <w:spacing w:val="-1"/>
        </w:rPr>
        <w:t> </w:t>
      </w:r>
      <w:r>
        <w:rPr/>
        <w:t>to</w:t>
      </w:r>
      <w:r>
        <w:rPr>
          <w:spacing w:val="-1"/>
        </w:rPr>
        <w:t> </w:t>
      </w:r>
      <w:r>
        <w:rPr/>
        <w:t>require</w:t>
      </w:r>
      <w:r>
        <w:rPr>
          <w:spacing w:val="-2"/>
        </w:rPr>
        <w:t> </w:t>
      </w:r>
      <w:r>
        <w:rPr/>
        <w:t>declaration</w:t>
      </w:r>
      <w:r>
        <w:rPr>
          <w:spacing w:val="-6"/>
        </w:rPr>
        <w:t> </w:t>
      </w:r>
      <w:r>
        <w:rPr/>
        <w:t>of</w:t>
      </w:r>
      <w:r>
        <w:rPr>
          <w:spacing w:val="-9"/>
        </w:rPr>
        <w:t> </w:t>
      </w:r>
      <w:r>
        <w:rPr/>
        <w:t>even</w:t>
      </w:r>
      <w:r>
        <w:rPr>
          <w:spacing w:val="-1"/>
        </w:rPr>
        <w:t> </w:t>
      </w:r>
      <w:r>
        <w:rPr/>
        <w:t>matters which the director may not be aware of, or which is already known to the other</w:t>
      </w:r>
      <w:r>
        <w:rPr>
          <w:spacing w:val="40"/>
        </w:rPr>
        <w:t> </w:t>
      </w:r>
      <w:r>
        <w:rPr/>
        <w:t>directors. The fine of</w:t>
      </w:r>
      <w:r>
        <w:rPr>
          <w:spacing w:val="-3"/>
        </w:rPr>
        <w:t> </w:t>
      </w:r>
      <w:r>
        <w:rPr/>
        <w:t>N100 is also ridiculously small, considering the value of</w:t>
      </w:r>
      <w:r>
        <w:rPr>
          <w:spacing w:val="-3"/>
        </w:rPr>
        <w:t> </w:t>
      </w:r>
      <w:r>
        <w:rPr/>
        <w:t>the naira today. The duty is clearer under s. 177 CA which requires a declaration of both the nature and extent of interest, clearly allowing for a more informed decision on the matter. The law requires a further declaration to update information earlier given and clearly delineates instances where a declaration will not be unreasonably required. Neither law requires the matter to be considered by a ‗disinterested‘ board, especially with respect to proposed transactions. Hence, the interested director, together with his cronies and any persons connected with him, can sit to decide that the company would still go ahead with the contract, in spite of the nature and extent of the directors‘ </w:t>
      </w:r>
      <w:r>
        <w:rPr>
          <w:spacing w:val="-2"/>
        </w:rPr>
        <w:t>interests.</w:t>
      </w:r>
    </w:p>
    <w:p>
      <w:pPr>
        <w:pStyle w:val="Heading2"/>
        <w:numPr>
          <w:ilvl w:val="1"/>
          <w:numId w:val="23"/>
        </w:numPr>
        <w:tabs>
          <w:tab w:pos="1027" w:val="left" w:leader="none"/>
        </w:tabs>
        <w:spacing w:line="240" w:lineRule="auto" w:before="205" w:after="0"/>
        <w:ind w:left="1027" w:right="0" w:hanging="719"/>
        <w:jc w:val="both"/>
      </w:pPr>
      <w:bookmarkStart w:name="_TOC_250000" w:id="52"/>
      <w:bookmarkEnd w:id="52"/>
      <w:r>
        <w:rPr>
          <w:spacing w:val="-2"/>
        </w:rPr>
        <w:t>Recommendations</w:t>
      </w:r>
    </w:p>
    <w:p>
      <w:pPr>
        <w:pStyle w:val="BodyText"/>
        <w:spacing w:before="36"/>
        <w:jc w:val="both"/>
      </w:pPr>
      <w:r>
        <w:rPr/>
        <w:t>In</w:t>
      </w:r>
      <w:r>
        <w:rPr>
          <w:spacing w:val="-8"/>
        </w:rPr>
        <w:t> </w:t>
      </w:r>
      <w:r>
        <w:rPr/>
        <w:t>view</w:t>
      </w:r>
      <w:r>
        <w:rPr>
          <w:spacing w:val="-2"/>
        </w:rPr>
        <w:t> </w:t>
      </w:r>
      <w:r>
        <w:rPr/>
        <w:t>of</w:t>
      </w:r>
      <w:r>
        <w:rPr>
          <w:spacing w:val="-9"/>
        </w:rPr>
        <w:t> </w:t>
      </w:r>
      <w:r>
        <w:rPr/>
        <w:t>the</w:t>
      </w:r>
      <w:r>
        <w:rPr>
          <w:spacing w:val="2"/>
        </w:rPr>
        <w:t> </w:t>
      </w:r>
      <w:r>
        <w:rPr/>
        <w:t>findings</w:t>
      </w:r>
      <w:r>
        <w:rPr>
          <w:spacing w:val="-3"/>
        </w:rPr>
        <w:t> </w:t>
      </w:r>
      <w:r>
        <w:rPr/>
        <w:t>outlined</w:t>
      </w:r>
      <w:r>
        <w:rPr>
          <w:spacing w:val="3"/>
        </w:rPr>
        <w:t> </w:t>
      </w:r>
      <w:r>
        <w:rPr/>
        <w:t>above,</w:t>
      </w:r>
      <w:r>
        <w:rPr>
          <w:spacing w:val="-4"/>
        </w:rPr>
        <w:t> </w:t>
      </w:r>
      <w:r>
        <w:rPr/>
        <w:t>the</w:t>
      </w:r>
      <w:r>
        <w:rPr>
          <w:spacing w:val="3"/>
        </w:rPr>
        <w:t> </w:t>
      </w:r>
      <w:r>
        <w:rPr/>
        <w:t>following</w:t>
      </w:r>
      <w:r>
        <w:rPr>
          <w:spacing w:val="-1"/>
        </w:rPr>
        <w:t> </w:t>
      </w:r>
      <w:r>
        <w:rPr/>
        <w:t>recommendations</w:t>
      </w:r>
      <w:r>
        <w:rPr>
          <w:spacing w:val="-3"/>
        </w:rPr>
        <w:t> </w:t>
      </w:r>
      <w:r>
        <w:rPr/>
        <w:t>are</w:t>
      </w:r>
      <w:r>
        <w:rPr>
          <w:spacing w:val="-2"/>
        </w:rPr>
        <w:t> proffered:</w:t>
      </w:r>
      <w:r>
        <w:rPr>
          <w:spacing w:val="-2"/>
          <w:vertAlign w:val="superscript"/>
        </w:rPr>
        <w:t>2</w:t>
      </w:r>
    </w:p>
    <w:p>
      <w:pPr>
        <w:pStyle w:val="BodyText"/>
        <w:spacing w:before="5"/>
        <w:ind w:left="0"/>
      </w:pPr>
    </w:p>
    <w:p>
      <w:pPr>
        <w:pStyle w:val="Heading2"/>
        <w:numPr>
          <w:ilvl w:val="2"/>
          <w:numId w:val="23"/>
        </w:numPr>
        <w:tabs>
          <w:tab w:pos="951" w:val="left" w:leader="none"/>
        </w:tabs>
        <w:spacing w:line="240" w:lineRule="auto" w:before="0" w:after="0"/>
        <w:ind w:left="951" w:right="0" w:hanging="360"/>
        <w:jc w:val="both"/>
      </w:pPr>
      <w:r>
        <w:rPr/>
        <w:t>On the</w:t>
      </w:r>
      <w:r>
        <w:rPr>
          <w:spacing w:val="-5"/>
        </w:rPr>
        <w:t> </w:t>
      </w:r>
      <w:r>
        <w:rPr/>
        <w:t>duty</w:t>
      </w:r>
      <w:r>
        <w:rPr>
          <w:spacing w:val="-4"/>
        </w:rPr>
        <w:t> </w:t>
      </w:r>
      <w:r>
        <w:rPr/>
        <w:t>of</w:t>
      </w:r>
      <w:r>
        <w:rPr>
          <w:spacing w:val="-2"/>
        </w:rPr>
        <w:t> </w:t>
      </w:r>
      <w:r>
        <w:rPr/>
        <w:t>care and</w:t>
      </w:r>
      <w:r>
        <w:rPr>
          <w:spacing w:val="2"/>
        </w:rPr>
        <w:t> </w:t>
      </w:r>
      <w:r>
        <w:rPr>
          <w:spacing w:val="-2"/>
        </w:rPr>
        <w:t>skill</w:t>
      </w:r>
    </w:p>
    <w:p>
      <w:pPr>
        <w:pStyle w:val="BodyText"/>
        <w:spacing w:line="480" w:lineRule="auto" w:before="36"/>
        <w:ind w:right="236"/>
        <w:jc w:val="both"/>
      </w:pPr>
      <w:r>
        <w:rPr/>
        <w:t>Considering the fact that society</w:t>
      </w:r>
      <w:r>
        <w:rPr>
          <w:spacing w:val="-6"/>
        </w:rPr>
        <w:t> </w:t>
      </w:r>
      <w:r>
        <w:rPr/>
        <w:t>expects much more from</w:t>
      </w:r>
      <w:r>
        <w:rPr>
          <w:spacing w:val="-6"/>
        </w:rPr>
        <w:t> </w:t>
      </w:r>
      <w:r>
        <w:rPr/>
        <w:t>the director today</w:t>
      </w:r>
      <w:r>
        <w:rPr>
          <w:spacing w:val="-6"/>
        </w:rPr>
        <w:t> </w:t>
      </w:r>
      <w:r>
        <w:rPr/>
        <w:t>and also in view</w:t>
      </w:r>
      <w:r>
        <w:rPr>
          <w:spacing w:val="-2"/>
        </w:rPr>
        <w:t> </w:t>
      </w:r>
      <w:r>
        <w:rPr/>
        <w:t>of</w:t>
      </w:r>
      <w:r>
        <w:rPr>
          <w:spacing w:val="-9"/>
        </w:rPr>
        <w:t> </w:t>
      </w:r>
      <w:r>
        <w:rPr/>
        <w:t>the fact that</w:t>
      </w:r>
      <w:r>
        <w:rPr>
          <w:spacing w:val="-1"/>
        </w:rPr>
        <w:t> </w:t>
      </w:r>
      <w:r>
        <w:rPr/>
        <w:t>directors</w:t>
      </w:r>
      <w:r>
        <w:rPr>
          <w:spacing w:val="-8"/>
        </w:rPr>
        <w:t> </w:t>
      </w:r>
      <w:r>
        <w:rPr/>
        <w:t>today</w:t>
      </w:r>
      <w:r>
        <w:rPr>
          <w:spacing w:val="-1"/>
        </w:rPr>
        <w:t> </w:t>
      </w:r>
      <w:r>
        <w:rPr/>
        <w:t>more</w:t>
      </w:r>
      <w:r>
        <w:rPr>
          <w:spacing w:val="-2"/>
        </w:rPr>
        <w:t> </w:t>
      </w:r>
      <w:r>
        <w:rPr/>
        <w:t>often have</w:t>
      </w:r>
      <w:r>
        <w:rPr>
          <w:spacing w:val="-2"/>
        </w:rPr>
        <w:t> </w:t>
      </w:r>
      <w:r>
        <w:rPr/>
        <w:t>several</w:t>
      </w:r>
      <w:r>
        <w:rPr>
          <w:spacing w:val="-10"/>
        </w:rPr>
        <w:t> </w:t>
      </w:r>
      <w:r>
        <w:rPr/>
        <w:t>qualifications, the</w:t>
      </w:r>
      <w:r>
        <w:rPr>
          <w:spacing w:val="-2"/>
        </w:rPr>
        <w:t> </w:t>
      </w:r>
      <w:r>
        <w:rPr/>
        <w:t>company should</w:t>
      </w:r>
      <w:r>
        <w:rPr>
          <w:spacing w:val="21"/>
        </w:rPr>
        <w:t> </w:t>
      </w:r>
      <w:r>
        <w:rPr/>
        <w:t>be</w:t>
      </w:r>
      <w:r>
        <w:rPr>
          <w:spacing w:val="17"/>
        </w:rPr>
        <w:t> </w:t>
      </w:r>
      <w:r>
        <w:rPr/>
        <w:t>entitled</w:t>
      </w:r>
      <w:r>
        <w:rPr>
          <w:spacing w:val="18"/>
        </w:rPr>
        <w:t> </w:t>
      </w:r>
      <w:r>
        <w:rPr/>
        <w:t>to</w:t>
      </w:r>
      <w:r>
        <w:rPr>
          <w:spacing w:val="18"/>
        </w:rPr>
        <w:t> </w:t>
      </w:r>
      <w:r>
        <w:rPr/>
        <w:t>expect</w:t>
      </w:r>
      <w:r>
        <w:rPr>
          <w:spacing w:val="22"/>
        </w:rPr>
        <w:t> </w:t>
      </w:r>
      <w:r>
        <w:rPr/>
        <w:t>more</w:t>
      </w:r>
      <w:r>
        <w:rPr>
          <w:spacing w:val="17"/>
        </w:rPr>
        <w:t> </w:t>
      </w:r>
      <w:r>
        <w:rPr/>
        <w:t>from the person</w:t>
      </w:r>
      <w:r>
        <w:rPr>
          <w:spacing w:val="13"/>
        </w:rPr>
        <w:t> </w:t>
      </w:r>
      <w:r>
        <w:rPr/>
        <w:t>who</w:t>
      </w:r>
      <w:r>
        <w:rPr>
          <w:spacing w:val="18"/>
        </w:rPr>
        <w:t> </w:t>
      </w:r>
      <w:r>
        <w:rPr/>
        <w:t>presents</w:t>
      </w:r>
      <w:r>
        <w:rPr>
          <w:spacing w:val="16"/>
        </w:rPr>
        <w:t> </w:t>
      </w:r>
      <w:r>
        <w:rPr/>
        <w:t>himself</w:t>
      </w:r>
      <w:r>
        <w:rPr>
          <w:spacing w:val="15"/>
        </w:rPr>
        <w:t> </w:t>
      </w:r>
      <w:r>
        <w:rPr/>
        <w:t>as</w:t>
      </w:r>
      <w:r>
        <w:rPr>
          <w:spacing w:val="15"/>
        </w:rPr>
        <w:t> </w:t>
      </w:r>
      <w:r>
        <w:rPr/>
        <w:t>skilful</w:t>
      </w:r>
      <w:r>
        <w:rPr>
          <w:spacing w:val="14"/>
        </w:rPr>
        <w:t> </w:t>
      </w:r>
      <w:r>
        <w:rPr/>
        <w:t>in</w:t>
      </w:r>
      <w:r>
        <w:rPr>
          <w:spacing w:val="18"/>
        </w:rPr>
        <w:t> </w:t>
      </w:r>
      <w:r>
        <w:rPr/>
        <w:t>a</w:t>
      </w:r>
    </w:p>
    <w:p>
      <w:pPr>
        <w:pStyle w:val="BodyText"/>
        <w:spacing w:before="100"/>
        <w:ind w:left="0"/>
        <w:rPr>
          <w:sz w:val="20"/>
        </w:rPr>
      </w:pPr>
      <w:r>
        <w:rPr/>
        <mc:AlternateContent>
          <mc:Choice Requires="wps">
            <w:drawing>
              <wp:anchor distT="0" distB="0" distL="0" distR="0" allowOverlap="1" layoutInCell="1" locked="0" behindDoc="1" simplePos="0" relativeHeight="487731712">
                <wp:simplePos x="0" y="0"/>
                <wp:positionH relativeFrom="page">
                  <wp:posOffset>1262481</wp:posOffset>
                </wp:positionH>
                <wp:positionV relativeFrom="paragraph">
                  <wp:posOffset>225185</wp:posOffset>
                </wp:positionV>
                <wp:extent cx="1829435" cy="9525"/>
                <wp:effectExtent l="0" t="0" r="0" b="0"/>
                <wp:wrapTopAndBottom/>
                <wp:docPr id="308" name="Graphic 308"/>
                <wp:cNvGraphicFramePr>
                  <a:graphicFrameLocks/>
                </wp:cNvGraphicFramePr>
                <a:graphic>
                  <a:graphicData uri="http://schemas.microsoft.com/office/word/2010/wordprocessingShape">
                    <wps:wsp>
                      <wps:cNvPr id="308" name="Graphic 308"/>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17.731108pt;width:144.050pt;height:.71997pt;mso-position-horizontal-relative:page;mso-position-vertical-relative:paragraph;z-index:-15584768;mso-wrap-distance-left:0;mso-wrap-distance-right:0" id="docshape263" filled="true" fillcolor="#000000" stroked="false">
                <v:fill type="solid"/>
                <w10:wrap type="topAndBottom"/>
              </v:rect>
            </w:pict>
          </mc:Fallback>
        </mc:AlternateContent>
      </w:r>
    </w:p>
    <w:p>
      <w:pPr>
        <w:spacing w:before="102"/>
        <w:ind w:left="308" w:right="0" w:firstLine="0"/>
        <w:jc w:val="left"/>
        <w:rPr>
          <w:rFonts w:ascii="Calibri" w:hAnsi="Calibri"/>
          <w:sz w:val="20"/>
        </w:rPr>
      </w:pPr>
      <w:r>
        <w:rPr>
          <w:rFonts w:ascii="Calibri" w:hAnsi="Calibri"/>
          <w:sz w:val="20"/>
          <w:vertAlign w:val="superscript"/>
        </w:rPr>
        <w:t>2</w:t>
      </w:r>
      <w:r>
        <w:rPr>
          <w:rFonts w:ascii="Calibri" w:hAnsi="Calibri"/>
          <w:spacing w:val="-3"/>
          <w:sz w:val="20"/>
          <w:vertAlign w:val="baseline"/>
        </w:rPr>
        <w:t> </w:t>
      </w:r>
      <w:r>
        <w:rPr>
          <w:rFonts w:ascii="Calibri" w:hAnsi="Calibri"/>
          <w:sz w:val="20"/>
          <w:vertAlign w:val="baseline"/>
        </w:rPr>
        <w:t>See</w:t>
      </w:r>
      <w:r>
        <w:rPr>
          <w:rFonts w:ascii="Calibri" w:hAnsi="Calibri"/>
          <w:spacing w:val="-6"/>
          <w:sz w:val="20"/>
          <w:vertAlign w:val="baseline"/>
        </w:rPr>
        <w:t> </w:t>
      </w:r>
      <w:r>
        <w:rPr>
          <w:rFonts w:ascii="Calibri" w:hAnsi="Calibri"/>
          <w:sz w:val="20"/>
          <w:vertAlign w:val="baseline"/>
        </w:rPr>
        <w:t>Appendix</w:t>
      </w:r>
      <w:r>
        <w:rPr>
          <w:rFonts w:ascii="Calibri" w:hAnsi="Calibri"/>
          <w:spacing w:val="-4"/>
          <w:sz w:val="20"/>
          <w:vertAlign w:val="baseline"/>
        </w:rPr>
        <w:t> </w:t>
      </w:r>
      <w:r>
        <w:rPr>
          <w:rFonts w:ascii="Calibri" w:hAnsi="Calibri"/>
          <w:sz w:val="20"/>
          <w:vertAlign w:val="baseline"/>
        </w:rPr>
        <w:t>B</w:t>
      </w:r>
      <w:r>
        <w:rPr>
          <w:rFonts w:ascii="Calibri" w:hAnsi="Calibri"/>
          <w:spacing w:val="-7"/>
          <w:sz w:val="20"/>
          <w:vertAlign w:val="baseline"/>
        </w:rPr>
        <w:t> </w:t>
      </w:r>
      <w:r>
        <w:rPr>
          <w:rFonts w:ascii="Calibri" w:hAnsi="Calibri"/>
          <w:sz w:val="20"/>
          <w:vertAlign w:val="baseline"/>
        </w:rPr>
        <w:t>for</w:t>
      </w:r>
      <w:r>
        <w:rPr>
          <w:rFonts w:ascii="Calibri" w:hAnsi="Calibri"/>
          <w:spacing w:val="-1"/>
          <w:sz w:val="20"/>
          <w:vertAlign w:val="baseline"/>
        </w:rPr>
        <w:t> </w:t>
      </w:r>
      <w:r>
        <w:rPr>
          <w:rFonts w:ascii="Calibri" w:hAnsi="Calibri"/>
          <w:sz w:val="20"/>
          <w:vertAlign w:val="baseline"/>
        </w:rPr>
        <w:t>a</w:t>
      </w:r>
      <w:r>
        <w:rPr>
          <w:rFonts w:ascii="Calibri" w:hAnsi="Calibri"/>
          <w:spacing w:val="-12"/>
          <w:sz w:val="20"/>
          <w:vertAlign w:val="baseline"/>
        </w:rPr>
        <w:t> </w:t>
      </w:r>
      <w:r>
        <w:rPr>
          <w:rFonts w:ascii="Calibri" w:hAnsi="Calibri"/>
          <w:sz w:val="20"/>
          <w:vertAlign w:val="baseline"/>
        </w:rPr>
        <w:t>more</w:t>
      </w:r>
      <w:r>
        <w:rPr>
          <w:rFonts w:ascii="Calibri" w:hAnsi="Calibri"/>
          <w:spacing w:val="-7"/>
          <w:sz w:val="20"/>
          <w:vertAlign w:val="baseline"/>
        </w:rPr>
        <w:t> </w:t>
      </w:r>
      <w:r>
        <w:rPr>
          <w:rFonts w:ascii="Calibri" w:hAnsi="Calibri"/>
          <w:sz w:val="20"/>
          <w:vertAlign w:val="baseline"/>
        </w:rPr>
        <w:t>comprehensive</w:t>
      </w:r>
      <w:r>
        <w:rPr>
          <w:rFonts w:ascii="Calibri" w:hAnsi="Calibri"/>
          <w:spacing w:val="-6"/>
          <w:sz w:val="20"/>
          <w:vertAlign w:val="baseline"/>
        </w:rPr>
        <w:t> </w:t>
      </w:r>
      <w:r>
        <w:rPr>
          <w:rFonts w:ascii="Calibri" w:hAnsi="Calibri"/>
          <w:sz w:val="20"/>
          <w:vertAlign w:val="baseline"/>
        </w:rPr>
        <w:t>draft</w:t>
      </w:r>
      <w:r>
        <w:rPr>
          <w:rFonts w:ascii="Calibri" w:hAnsi="Calibri"/>
          <w:spacing w:val="-3"/>
          <w:sz w:val="20"/>
          <w:vertAlign w:val="baseline"/>
        </w:rPr>
        <w:t> </w:t>
      </w:r>
      <w:r>
        <w:rPr>
          <w:rFonts w:ascii="Calibri" w:hAnsi="Calibri"/>
          <w:sz w:val="20"/>
          <w:vertAlign w:val="baseline"/>
        </w:rPr>
        <w:t>proposal</w:t>
      </w:r>
      <w:r>
        <w:rPr>
          <w:rFonts w:ascii="Calibri" w:hAnsi="Calibri"/>
          <w:spacing w:val="-7"/>
          <w:sz w:val="20"/>
          <w:vertAlign w:val="baseline"/>
        </w:rPr>
        <w:t> </w:t>
      </w:r>
      <w:r>
        <w:rPr>
          <w:rFonts w:ascii="Calibri" w:hAnsi="Calibri"/>
          <w:sz w:val="20"/>
          <w:vertAlign w:val="baseline"/>
        </w:rPr>
        <w:t>of</w:t>
      </w:r>
      <w:r>
        <w:rPr>
          <w:rFonts w:ascii="Calibri" w:hAnsi="Calibri"/>
          <w:spacing w:val="-7"/>
          <w:sz w:val="20"/>
          <w:vertAlign w:val="baseline"/>
        </w:rPr>
        <w:t> </w:t>
      </w:r>
      <w:r>
        <w:rPr>
          <w:rFonts w:ascii="Calibri" w:hAnsi="Calibri"/>
          <w:sz w:val="20"/>
          <w:vertAlign w:val="baseline"/>
        </w:rPr>
        <w:t>a</w:t>
      </w:r>
      <w:r>
        <w:rPr>
          <w:rFonts w:ascii="Calibri" w:hAnsi="Calibri"/>
          <w:spacing w:val="-4"/>
          <w:sz w:val="20"/>
          <w:vertAlign w:val="baseline"/>
        </w:rPr>
        <w:t> </w:t>
      </w:r>
      <w:r>
        <w:rPr>
          <w:rFonts w:ascii="Calibri" w:hAnsi="Calibri"/>
          <w:sz w:val="20"/>
          <w:vertAlign w:val="baseline"/>
        </w:rPr>
        <w:t>statement</w:t>
      </w:r>
      <w:r>
        <w:rPr>
          <w:rFonts w:ascii="Calibri" w:hAnsi="Calibri"/>
          <w:spacing w:val="-7"/>
          <w:sz w:val="20"/>
          <w:vertAlign w:val="baseline"/>
        </w:rPr>
        <w:t> </w:t>
      </w:r>
      <w:r>
        <w:rPr>
          <w:rFonts w:ascii="Calibri" w:hAnsi="Calibri"/>
          <w:sz w:val="20"/>
          <w:vertAlign w:val="baseline"/>
        </w:rPr>
        <w:t>of</w:t>
      </w:r>
      <w:r>
        <w:rPr>
          <w:rFonts w:ascii="Calibri" w:hAnsi="Calibri"/>
          <w:spacing w:val="-7"/>
          <w:sz w:val="20"/>
          <w:vertAlign w:val="baseline"/>
        </w:rPr>
        <w:t> </w:t>
      </w:r>
      <w:r>
        <w:rPr>
          <w:rFonts w:ascii="Calibri" w:hAnsi="Calibri"/>
          <w:sz w:val="20"/>
          <w:vertAlign w:val="baseline"/>
        </w:rPr>
        <w:t>directors’</w:t>
      </w:r>
      <w:r>
        <w:rPr>
          <w:rFonts w:ascii="Calibri" w:hAnsi="Calibri"/>
          <w:spacing w:val="-5"/>
          <w:sz w:val="20"/>
          <w:vertAlign w:val="baseline"/>
        </w:rPr>
        <w:t> </w:t>
      </w:r>
      <w:r>
        <w:rPr>
          <w:rFonts w:ascii="Calibri" w:hAnsi="Calibri"/>
          <w:spacing w:val="-2"/>
          <w:sz w:val="20"/>
          <w:vertAlign w:val="baseline"/>
        </w:rPr>
        <w:t>duties.</w:t>
      </w:r>
    </w:p>
    <w:p>
      <w:pPr>
        <w:spacing w:after="0"/>
        <w:jc w:val="left"/>
        <w:rPr>
          <w:rFonts w:ascii="Calibri" w:hAnsi="Calibri"/>
          <w:sz w:val="20"/>
        </w:rPr>
        <w:sectPr>
          <w:pgSz w:w="11910" w:h="16840"/>
          <w:pgMar w:header="0" w:footer="1003" w:top="1320" w:bottom="1200" w:left="1680" w:right="1180"/>
        </w:sectPr>
      </w:pPr>
    </w:p>
    <w:p>
      <w:pPr>
        <w:pStyle w:val="BodyText"/>
        <w:spacing w:line="480" w:lineRule="auto" w:before="70"/>
        <w:ind w:right="229"/>
        <w:jc w:val="both"/>
      </w:pPr>
      <w:r>
        <w:rPr/>
        <w:t>particular field, even without a service contract with the company. Thus, even a non executive</w:t>
      </w:r>
      <w:r>
        <w:rPr>
          <w:spacing w:val="-2"/>
        </w:rPr>
        <w:t> </w:t>
      </w:r>
      <w:r>
        <w:rPr/>
        <w:t>director, where</w:t>
      </w:r>
      <w:r>
        <w:rPr>
          <w:spacing w:val="-2"/>
        </w:rPr>
        <w:t> </w:t>
      </w:r>
      <w:r>
        <w:rPr/>
        <w:t>he happens</w:t>
      </w:r>
      <w:r>
        <w:rPr>
          <w:spacing w:val="-3"/>
        </w:rPr>
        <w:t> </w:t>
      </w:r>
      <w:r>
        <w:rPr/>
        <w:t>to be knowledgeable or skilful</w:t>
      </w:r>
      <w:r>
        <w:rPr>
          <w:spacing w:val="-1"/>
        </w:rPr>
        <w:t> </w:t>
      </w:r>
      <w:r>
        <w:rPr/>
        <w:t>in a</w:t>
      </w:r>
      <w:r>
        <w:rPr>
          <w:spacing w:val="-2"/>
        </w:rPr>
        <w:t> </w:t>
      </w:r>
      <w:r>
        <w:rPr/>
        <w:t>particular area, should be held to those standards as a default rule, even in the absence of a service contract. Therefore, s.282 CAMA should be amended to reflect the model in s.174 CA by which directors are held to an added subjective standard. This will encourage better appointments and prospective directors would pay more attention to their capabilities and responsibilities more seriously. In the long run, companies and investors will</w:t>
      </w:r>
      <w:r>
        <w:rPr>
          <w:spacing w:val="40"/>
        </w:rPr>
        <w:t> </w:t>
      </w:r>
      <w:r>
        <w:rPr/>
        <w:t>benefit from better corporate governance.</w:t>
      </w:r>
    </w:p>
    <w:p>
      <w:pPr>
        <w:pStyle w:val="Heading2"/>
        <w:numPr>
          <w:ilvl w:val="2"/>
          <w:numId w:val="23"/>
        </w:numPr>
        <w:tabs>
          <w:tab w:pos="951" w:val="left" w:leader="none"/>
        </w:tabs>
        <w:spacing w:line="240" w:lineRule="auto" w:before="6" w:after="0"/>
        <w:ind w:left="951" w:right="0" w:hanging="360"/>
        <w:jc w:val="both"/>
      </w:pPr>
      <w:r>
        <w:rPr/>
        <w:t>On</w:t>
      </w:r>
      <w:r>
        <w:rPr>
          <w:spacing w:val="2"/>
        </w:rPr>
        <w:t> </w:t>
      </w:r>
      <w:r>
        <w:rPr/>
        <w:t>the</w:t>
      </w:r>
      <w:r>
        <w:rPr>
          <w:spacing w:val="-5"/>
        </w:rPr>
        <w:t> </w:t>
      </w:r>
      <w:r>
        <w:rPr/>
        <w:t>duty</w:t>
      </w:r>
      <w:r>
        <w:rPr>
          <w:spacing w:val="-4"/>
        </w:rPr>
        <w:t> </w:t>
      </w:r>
      <w:r>
        <w:rPr/>
        <w:t>to</w:t>
      </w:r>
      <w:r>
        <w:rPr>
          <w:spacing w:val="-3"/>
        </w:rPr>
        <w:t> </w:t>
      </w:r>
      <w:r>
        <w:rPr/>
        <w:t>act</w:t>
      </w:r>
      <w:r>
        <w:rPr>
          <w:spacing w:val="-2"/>
        </w:rPr>
        <w:t> </w:t>
      </w:r>
      <w:r>
        <w:rPr/>
        <w:t>in</w:t>
      </w:r>
      <w:r>
        <w:rPr>
          <w:spacing w:val="-3"/>
        </w:rPr>
        <w:t> </w:t>
      </w:r>
      <w:r>
        <w:rPr/>
        <w:t>the best</w:t>
      </w:r>
      <w:r>
        <w:rPr>
          <w:spacing w:val="-1"/>
        </w:rPr>
        <w:t> </w:t>
      </w:r>
      <w:r>
        <w:rPr/>
        <w:t>interests</w:t>
      </w:r>
      <w:r>
        <w:rPr>
          <w:spacing w:val="-1"/>
        </w:rPr>
        <w:t> </w:t>
      </w:r>
      <w:r>
        <w:rPr/>
        <w:t>of</w:t>
      </w:r>
      <w:r>
        <w:rPr>
          <w:spacing w:val="-2"/>
        </w:rPr>
        <w:t> </w:t>
      </w:r>
      <w:r>
        <w:rPr/>
        <w:t>the</w:t>
      </w:r>
      <w:r>
        <w:rPr>
          <w:spacing w:val="1"/>
        </w:rPr>
        <w:t> </w:t>
      </w:r>
      <w:r>
        <w:rPr>
          <w:spacing w:val="-2"/>
        </w:rPr>
        <w:t>company</w:t>
      </w:r>
    </w:p>
    <w:p>
      <w:pPr>
        <w:pStyle w:val="BodyText"/>
        <w:spacing w:line="480" w:lineRule="auto" w:before="36"/>
        <w:ind w:right="232"/>
        <w:jc w:val="both"/>
      </w:pPr>
      <w:r>
        <w:rPr/>
        <w:t>Particularly for limited liability</w:t>
      </w:r>
      <w:r>
        <w:rPr>
          <w:spacing w:val="-1"/>
        </w:rPr>
        <w:t> </w:t>
      </w:r>
      <w:r>
        <w:rPr/>
        <w:t>companies which are more prevalent—and therefore, in whose favour the default rule should be stated—the interests of the company cannot be distinguished from the interests of the members who stand to gain from it. Thus, s.279(3) CAMA should be amended to reflect this factual position in terms of s.172(1) CA, with</w:t>
      </w:r>
      <w:r>
        <w:rPr>
          <w:spacing w:val="-6"/>
        </w:rPr>
        <w:t> </w:t>
      </w:r>
      <w:r>
        <w:rPr/>
        <w:t>a</w:t>
      </w:r>
      <w:r>
        <w:rPr>
          <w:spacing w:val="-2"/>
        </w:rPr>
        <w:t> </w:t>
      </w:r>
      <w:r>
        <w:rPr/>
        <w:t>proviso with</w:t>
      </w:r>
      <w:r>
        <w:rPr>
          <w:spacing w:val="-6"/>
        </w:rPr>
        <w:t> </w:t>
      </w:r>
      <w:r>
        <w:rPr/>
        <w:t>respect to companies limited</w:t>
      </w:r>
      <w:r>
        <w:rPr>
          <w:spacing w:val="-1"/>
        </w:rPr>
        <w:t> </w:t>
      </w:r>
      <w:r>
        <w:rPr/>
        <w:t>by</w:t>
      </w:r>
      <w:r>
        <w:rPr>
          <w:spacing w:val="-10"/>
        </w:rPr>
        <w:t> </w:t>
      </w:r>
      <w:r>
        <w:rPr/>
        <w:t>guarantee</w:t>
      </w:r>
      <w:r>
        <w:rPr>
          <w:spacing w:val="-2"/>
        </w:rPr>
        <w:t> </w:t>
      </w:r>
      <w:r>
        <w:rPr/>
        <w:t>allowing</w:t>
      </w:r>
      <w:r>
        <w:rPr>
          <w:spacing w:val="-1"/>
        </w:rPr>
        <w:t> </w:t>
      </w:r>
      <w:r>
        <w:rPr/>
        <w:t>the</w:t>
      </w:r>
      <w:r>
        <w:rPr>
          <w:spacing w:val="-2"/>
        </w:rPr>
        <w:t> </w:t>
      </w:r>
      <w:r>
        <w:rPr/>
        <w:t>director to focus on achieving its stated objects as reflected in s.172(3) CA. S.279(4) should be completely abrogated as having no support under the law.</w:t>
      </w:r>
    </w:p>
    <w:p>
      <w:pPr>
        <w:pStyle w:val="Heading2"/>
        <w:numPr>
          <w:ilvl w:val="2"/>
          <w:numId w:val="23"/>
        </w:numPr>
        <w:tabs>
          <w:tab w:pos="951" w:val="left" w:leader="none"/>
        </w:tabs>
        <w:spacing w:line="240" w:lineRule="auto" w:before="6" w:after="0"/>
        <w:ind w:left="951" w:right="0" w:hanging="360"/>
        <w:jc w:val="both"/>
      </w:pPr>
      <w:r>
        <w:rPr/>
        <w:t>On</w:t>
      </w:r>
      <w:r>
        <w:rPr>
          <w:spacing w:val="2"/>
        </w:rPr>
        <w:t> </w:t>
      </w:r>
      <w:r>
        <w:rPr/>
        <w:t>the</w:t>
      </w:r>
      <w:r>
        <w:rPr>
          <w:spacing w:val="-4"/>
        </w:rPr>
        <w:t> </w:t>
      </w:r>
      <w:r>
        <w:rPr/>
        <w:t>duty</w:t>
      </w:r>
      <w:r>
        <w:rPr>
          <w:spacing w:val="-3"/>
        </w:rPr>
        <w:t> </w:t>
      </w:r>
      <w:r>
        <w:rPr/>
        <w:t>to</w:t>
      </w:r>
      <w:r>
        <w:rPr>
          <w:spacing w:val="-4"/>
        </w:rPr>
        <w:t> </w:t>
      </w:r>
      <w:r>
        <w:rPr/>
        <w:t>act</w:t>
      </w:r>
      <w:r>
        <w:rPr>
          <w:spacing w:val="3"/>
        </w:rPr>
        <w:t> </w:t>
      </w:r>
      <w:r>
        <w:rPr/>
        <w:t>within</w:t>
      </w:r>
      <w:r>
        <w:rPr>
          <w:spacing w:val="-2"/>
        </w:rPr>
        <w:t> powers</w:t>
      </w:r>
    </w:p>
    <w:p>
      <w:pPr>
        <w:pStyle w:val="BodyText"/>
        <w:spacing w:line="480" w:lineRule="auto" w:before="41"/>
        <w:ind w:right="231"/>
        <w:jc w:val="both"/>
      </w:pPr>
      <w:r>
        <w:rPr/>
        <w:t>There is a need to amend s.279(5) CAMA to properly refer to the articles as the source of</w:t>
      </w:r>
      <w:r>
        <w:rPr>
          <w:spacing w:val="-3"/>
        </w:rPr>
        <w:t> </w:t>
      </w:r>
      <w:r>
        <w:rPr/>
        <w:t>the powers referred to in order to better clarify to the director where he may acquaint himself with them. The style adopted in s.171 CA presents a simple and concise model and if adopted, will avoid the unnecessary verbosity and grammatical errors now contained in s.279(5) CAMA.</w:t>
      </w:r>
    </w:p>
    <w:p>
      <w:pPr>
        <w:pStyle w:val="Heading2"/>
        <w:numPr>
          <w:ilvl w:val="2"/>
          <w:numId w:val="23"/>
        </w:numPr>
        <w:tabs>
          <w:tab w:pos="951" w:val="left" w:leader="none"/>
        </w:tabs>
        <w:spacing w:line="240" w:lineRule="auto" w:before="1" w:after="0"/>
        <w:ind w:left="951" w:right="0" w:hanging="360"/>
        <w:jc w:val="both"/>
      </w:pPr>
      <w:r>
        <w:rPr/>
        <w:t>On</w:t>
      </w:r>
      <w:r>
        <w:rPr>
          <w:spacing w:val="1"/>
        </w:rPr>
        <w:t> </w:t>
      </w:r>
      <w:r>
        <w:rPr/>
        <w:t>the</w:t>
      </w:r>
      <w:r>
        <w:rPr>
          <w:spacing w:val="-5"/>
        </w:rPr>
        <w:t> </w:t>
      </w:r>
      <w:r>
        <w:rPr/>
        <w:t>duty</w:t>
      </w:r>
      <w:r>
        <w:rPr>
          <w:spacing w:val="-3"/>
        </w:rPr>
        <w:t> </w:t>
      </w:r>
      <w:r>
        <w:rPr/>
        <w:t>to</w:t>
      </w:r>
      <w:r>
        <w:rPr>
          <w:spacing w:val="-4"/>
        </w:rPr>
        <w:t> </w:t>
      </w:r>
      <w:r>
        <w:rPr/>
        <w:t>exercise </w:t>
      </w:r>
      <w:r>
        <w:rPr>
          <w:spacing w:val="-2"/>
        </w:rPr>
        <w:t>independence</w:t>
      </w:r>
    </w:p>
    <w:p>
      <w:pPr>
        <w:pStyle w:val="BodyText"/>
        <w:spacing w:line="480" w:lineRule="auto" w:before="41"/>
        <w:ind w:right="241"/>
        <w:jc w:val="both"/>
      </w:pPr>
      <w:r>
        <w:rPr/>
        <w:t>S.279(6)</w:t>
      </w:r>
      <w:r>
        <w:rPr>
          <w:spacing w:val="-1"/>
        </w:rPr>
        <w:t> </w:t>
      </w:r>
      <w:r>
        <w:rPr/>
        <w:t>CAMA must be amended to require independence in</w:t>
      </w:r>
      <w:r>
        <w:rPr>
          <w:spacing w:val="-2"/>
        </w:rPr>
        <w:t> </w:t>
      </w:r>
      <w:r>
        <w:rPr/>
        <w:t>all judgments not</w:t>
      </w:r>
      <w:r>
        <w:rPr>
          <w:spacing w:val="-2"/>
        </w:rPr>
        <w:t> </w:t>
      </w:r>
      <w:r>
        <w:rPr/>
        <w:t>only in voting situations. S.279(8) CAMA should also admit the modern exigency in business whereby directors may be required to fetter their discretion to vote in the interest of the company</w:t>
      </w:r>
      <w:r>
        <w:rPr>
          <w:spacing w:val="40"/>
        </w:rPr>
        <w:t> </w:t>
      </w:r>
      <w:r>
        <w:rPr/>
        <w:t>in</w:t>
      </w:r>
      <w:r>
        <w:rPr>
          <w:spacing w:val="38"/>
        </w:rPr>
        <w:t> </w:t>
      </w:r>
      <w:r>
        <w:rPr/>
        <w:t>order</w:t>
      </w:r>
      <w:r>
        <w:rPr>
          <w:spacing w:val="40"/>
        </w:rPr>
        <w:t> </w:t>
      </w:r>
      <w:r>
        <w:rPr/>
        <w:t>to</w:t>
      </w:r>
      <w:r>
        <w:rPr>
          <w:spacing w:val="40"/>
        </w:rPr>
        <w:t> </w:t>
      </w:r>
      <w:r>
        <w:rPr/>
        <w:t>fulfil</w:t>
      </w:r>
      <w:r>
        <w:rPr>
          <w:spacing w:val="34"/>
        </w:rPr>
        <w:t> </w:t>
      </w:r>
      <w:r>
        <w:rPr/>
        <w:t>obligations</w:t>
      </w:r>
      <w:r>
        <w:rPr>
          <w:spacing w:val="36"/>
        </w:rPr>
        <w:t> </w:t>
      </w:r>
      <w:r>
        <w:rPr/>
        <w:t>the</w:t>
      </w:r>
      <w:r>
        <w:rPr>
          <w:spacing w:val="40"/>
        </w:rPr>
        <w:t> </w:t>
      </w:r>
      <w:r>
        <w:rPr/>
        <w:t>company</w:t>
      </w:r>
      <w:r>
        <w:rPr>
          <w:spacing w:val="40"/>
        </w:rPr>
        <w:t> </w:t>
      </w:r>
      <w:r>
        <w:rPr/>
        <w:t>may</w:t>
      </w:r>
      <w:r>
        <w:rPr>
          <w:spacing w:val="38"/>
        </w:rPr>
        <w:t> </w:t>
      </w:r>
      <w:r>
        <w:rPr/>
        <w:t>have</w:t>
      </w:r>
      <w:r>
        <w:rPr>
          <w:spacing w:val="37"/>
        </w:rPr>
        <w:t> </w:t>
      </w:r>
      <w:r>
        <w:rPr/>
        <w:t>with</w:t>
      </w:r>
      <w:r>
        <w:rPr>
          <w:spacing w:val="33"/>
        </w:rPr>
        <w:t> </w:t>
      </w:r>
      <w:r>
        <w:rPr/>
        <w:t>third</w:t>
      </w:r>
      <w:r>
        <w:rPr>
          <w:spacing w:val="38"/>
        </w:rPr>
        <w:t> </w:t>
      </w:r>
      <w:r>
        <w:rPr/>
        <w:t>parties.</w:t>
      </w:r>
      <w:r>
        <w:rPr>
          <w:spacing w:val="40"/>
        </w:rPr>
        <w:t> </w:t>
      </w:r>
      <w:r>
        <w:rPr/>
        <w:t>At</w:t>
      </w:r>
    </w:p>
    <w:p>
      <w:pPr>
        <w:spacing w:after="0" w:line="480" w:lineRule="auto"/>
        <w:jc w:val="both"/>
        <w:sectPr>
          <w:pgSz w:w="11910" w:h="16840"/>
          <w:pgMar w:header="0" w:footer="1003" w:top="1320" w:bottom="1200" w:left="1680" w:right="1180"/>
        </w:sectPr>
      </w:pPr>
    </w:p>
    <w:p>
      <w:pPr>
        <w:pStyle w:val="BodyText"/>
        <w:spacing w:line="480" w:lineRule="auto" w:before="70"/>
        <w:ind w:right="240"/>
        <w:jc w:val="both"/>
      </w:pPr>
      <w:r>
        <w:rPr/>
        <w:t>least, the default rule should allow the articles to admit this as an exception to the general rule, as is the case with s.173 CA.</w:t>
      </w:r>
    </w:p>
    <w:p>
      <w:pPr>
        <w:pStyle w:val="Heading2"/>
        <w:numPr>
          <w:ilvl w:val="2"/>
          <w:numId w:val="23"/>
        </w:numPr>
        <w:tabs>
          <w:tab w:pos="951" w:val="left" w:leader="none"/>
        </w:tabs>
        <w:spacing w:line="240" w:lineRule="auto" w:before="5" w:after="0"/>
        <w:ind w:left="951" w:right="0" w:hanging="360"/>
        <w:jc w:val="both"/>
      </w:pPr>
      <w:r>
        <w:rPr/>
        <w:t>On</w:t>
      </w:r>
      <w:r>
        <w:rPr>
          <w:spacing w:val="1"/>
        </w:rPr>
        <w:t> </w:t>
      </w:r>
      <w:r>
        <w:rPr/>
        <w:t>conflicts</w:t>
      </w:r>
      <w:r>
        <w:rPr>
          <w:spacing w:val="-2"/>
        </w:rPr>
        <w:t> </w:t>
      </w:r>
      <w:r>
        <w:rPr/>
        <w:t>of</w:t>
      </w:r>
      <w:r>
        <w:rPr>
          <w:spacing w:val="-3"/>
        </w:rPr>
        <w:t> </w:t>
      </w:r>
      <w:r>
        <w:rPr/>
        <w:t>duties</w:t>
      </w:r>
      <w:r>
        <w:rPr>
          <w:spacing w:val="-3"/>
        </w:rPr>
        <w:t> </w:t>
      </w:r>
      <w:r>
        <w:rPr/>
        <w:t>and</w:t>
      </w:r>
      <w:r>
        <w:rPr>
          <w:spacing w:val="1"/>
        </w:rPr>
        <w:t> </w:t>
      </w:r>
      <w:r>
        <w:rPr>
          <w:spacing w:val="-2"/>
        </w:rPr>
        <w:t>interests</w:t>
      </w:r>
    </w:p>
    <w:p>
      <w:pPr>
        <w:pStyle w:val="BodyText"/>
        <w:spacing w:line="480" w:lineRule="auto" w:before="41"/>
        <w:ind w:right="237"/>
        <w:jc w:val="both"/>
      </w:pPr>
      <w:r>
        <w:rPr/>
        <w:t>There is a need to comprehensively amend s.280 CAMA in order to better clarify the situations</w:t>
      </w:r>
      <w:r>
        <w:rPr>
          <w:spacing w:val="-2"/>
        </w:rPr>
        <w:t> </w:t>
      </w:r>
      <w:r>
        <w:rPr/>
        <w:t>of</w:t>
      </w:r>
      <w:r>
        <w:rPr>
          <w:spacing w:val="-8"/>
        </w:rPr>
        <w:t> </w:t>
      </w:r>
      <w:r>
        <w:rPr/>
        <w:t>conflict, exceptions</w:t>
      </w:r>
      <w:r>
        <w:rPr>
          <w:spacing w:val="-2"/>
        </w:rPr>
        <w:t> </w:t>
      </w:r>
      <w:r>
        <w:rPr/>
        <w:t>to</w:t>
      </w:r>
      <w:r>
        <w:rPr>
          <w:spacing w:val="-5"/>
        </w:rPr>
        <w:t> </w:t>
      </w:r>
      <w:r>
        <w:rPr/>
        <w:t>the</w:t>
      </w:r>
      <w:r>
        <w:rPr>
          <w:spacing w:val="-1"/>
        </w:rPr>
        <w:t> </w:t>
      </w:r>
      <w:r>
        <w:rPr/>
        <w:t>rule</w:t>
      </w:r>
      <w:r>
        <w:rPr>
          <w:spacing w:val="-1"/>
        </w:rPr>
        <w:t> </w:t>
      </w:r>
      <w:r>
        <w:rPr/>
        <w:t>and instances</w:t>
      </w:r>
      <w:r>
        <w:rPr>
          <w:spacing w:val="-2"/>
        </w:rPr>
        <w:t> </w:t>
      </w:r>
      <w:r>
        <w:rPr/>
        <w:t>when</w:t>
      </w:r>
      <w:r>
        <w:rPr>
          <w:spacing w:val="-5"/>
        </w:rPr>
        <w:t> </w:t>
      </w:r>
      <w:r>
        <w:rPr/>
        <w:t>a breach</w:t>
      </w:r>
      <w:r>
        <w:rPr>
          <w:spacing w:val="-5"/>
        </w:rPr>
        <w:t> </w:t>
      </w:r>
      <w:r>
        <w:rPr/>
        <w:t>will not be</w:t>
      </w:r>
      <w:r>
        <w:rPr>
          <w:spacing w:val="-1"/>
        </w:rPr>
        <w:t> </w:t>
      </w:r>
      <w:r>
        <w:rPr/>
        <w:t>said to have occurred. This will help the director more easily determine when he is likely to breach</w:t>
      </w:r>
      <w:r>
        <w:rPr>
          <w:spacing w:val="-6"/>
        </w:rPr>
        <w:t> </w:t>
      </w:r>
      <w:r>
        <w:rPr/>
        <w:t>the</w:t>
      </w:r>
      <w:r>
        <w:rPr>
          <w:spacing w:val="-2"/>
        </w:rPr>
        <w:t> </w:t>
      </w:r>
      <w:r>
        <w:rPr/>
        <w:t>duty. The model</w:t>
      </w:r>
      <w:r>
        <w:rPr>
          <w:spacing w:val="-6"/>
        </w:rPr>
        <w:t> </w:t>
      </w:r>
      <w:r>
        <w:rPr/>
        <w:t>presented</w:t>
      </w:r>
      <w:r>
        <w:rPr>
          <w:spacing w:val="-1"/>
        </w:rPr>
        <w:t> </w:t>
      </w:r>
      <w:r>
        <w:rPr/>
        <w:t>by</w:t>
      </w:r>
      <w:r>
        <w:rPr>
          <w:spacing w:val="-1"/>
        </w:rPr>
        <w:t> </w:t>
      </w:r>
      <w:r>
        <w:rPr/>
        <w:t>s.175 CA</w:t>
      </w:r>
      <w:r>
        <w:rPr>
          <w:spacing w:val="-1"/>
        </w:rPr>
        <w:t> </w:t>
      </w:r>
      <w:r>
        <w:rPr/>
        <w:t>should be</w:t>
      </w:r>
      <w:r>
        <w:rPr>
          <w:spacing w:val="-2"/>
        </w:rPr>
        <w:t> </w:t>
      </w:r>
      <w:r>
        <w:rPr/>
        <w:t>adopted, while retaining s. 280(6) CAMA on the procedure for disclosure.</w:t>
      </w:r>
    </w:p>
    <w:p>
      <w:pPr>
        <w:pStyle w:val="Heading2"/>
        <w:numPr>
          <w:ilvl w:val="2"/>
          <w:numId w:val="23"/>
        </w:numPr>
        <w:tabs>
          <w:tab w:pos="951" w:val="left" w:leader="none"/>
        </w:tabs>
        <w:spacing w:line="240" w:lineRule="auto" w:before="1" w:after="0"/>
        <w:ind w:left="951" w:right="0" w:hanging="360"/>
        <w:jc w:val="both"/>
      </w:pPr>
      <w:r>
        <w:rPr/>
        <w:t>On</w:t>
      </w:r>
      <w:r>
        <w:rPr>
          <w:spacing w:val="-1"/>
        </w:rPr>
        <w:t> </w:t>
      </w:r>
      <w:r>
        <w:rPr/>
        <w:t>the</w:t>
      </w:r>
      <w:r>
        <w:rPr>
          <w:spacing w:val="-6"/>
        </w:rPr>
        <w:t> </w:t>
      </w:r>
      <w:r>
        <w:rPr/>
        <w:t>prohibition of</w:t>
      </w:r>
      <w:r>
        <w:rPr>
          <w:spacing w:val="-4"/>
        </w:rPr>
        <w:t> </w:t>
      </w:r>
      <w:r>
        <w:rPr/>
        <w:t>secret </w:t>
      </w:r>
      <w:r>
        <w:rPr>
          <w:spacing w:val="-2"/>
        </w:rPr>
        <w:t>benefits</w:t>
      </w:r>
    </w:p>
    <w:p>
      <w:pPr>
        <w:pStyle w:val="BodyText"/>
        <w:spacing w:line="480" w:lineRule="auto" w:before="41"/>
        <w:ind w:right="235"/>
        <w:jc w:val="both"/>
      </w:pPr>
      <w:r>
        <w:rPr/>
        <w:t>S. 287 CAMA needs to be amended in order to leave no room for the director to manipulate situations and make gains at the company‘s expense. The gift or benefit</w:t>
      </w:r>
      <w:r>
        <w:rPr>
          <w:spacing w:val="40"/>
        </w:rPr>
        <w:t> </w:t>
      </w:r>
      <w:r>
        <w:rPr/>
        <w:t>need not be received with the motive of inducement and need not be unsolicited to be prohibited. Also, the duty should be required of a former director. An amendment is suggested, preferably in line with s.176 CA which is more comprehensive and couched in clearer terms.</w:t>
      </w:r>
    </w:p>
    <w:p>
      <w:pPr>
        <w:pStyle w:val="Heading2"/>
        <w:numPr>
          <w:ilvl w:val="2"/>
          <w:numId w:val="23"/>
        </w:numPr>
        <w:tabs>
          <w:tab w:pos="951" w:val="left" w:leader="none"/>
        </w:tabs>
        <w:spacing w:line="240" w:lineRule="auto" w:before="6" w:after="0"/>
        <w:ind w:left="951" w:right="0" w:hanging="360"/>
        <w:jc w:val="both"/>
      </w:pPr>
      <w:r>
        <w:rPr/>
        <w:t>On</w:t>
      </w:r>
      <w:r>
        <w:rPr>
          <w:spacing w:val="-4"/>
        </w:rPr>
        <w:t> </w:t>
      </w:r>
      <w:r>
        <w:rPr/>
        <w:t>declaring interests</w:t>
      </w:r>
      <w:r>
        <w:rPr>
          <w:spacing w:val="-3"/>
        </w:rPr>
        <w:t> </w:t>
      </w:r>
      <w:r>
        <w:rPr/>
        <w:t>in</w:t>
      </w:r>
      <w:r>
        <w:rPr>
          <w:spacing w:val="-1"/>
        </w:rPr>
        <w:t> </w:t>
      </w:r>
      <w:r>
        <w:rPr/>
        <w:t>proposed</w:t>
      </w:r>
      <w:r>
        <w:rPr>
          <w:spacing w:val="-1"/>
        </w:rPr>
        <w:t> </w:t>
      </w:r>
      <w:r>
        <w:rPr/>
        <w:t>or</w:t>
      </w:r>
      <w:r>
        <w:rPr>
          <w:spacing w:val="-7"/>
        </w:rPr>
        <w:t> </w:t>
      </w:r>
      <w:r>
        <w:rPr/>
        <w:t>existing</w:t>
      </w:r>
      <w:r>
        <w:rPr>
          <w:spacing w:val="-1"/>
        </w:rPr>
        <w:t> </w:t>
      </w:r>
      <w:r>
        <w:rPr>
          <w:spacing w:val="-2"/>
        </w:rPr>
        <w:t>transactions</w:t>
      </w:r>
    </w:p>
    <w:p>
      <w:pPr>
        <w:pStyle w:val="BodyText"/>
        <w:spacing w:line="480" w:lineRule="auto" w:before="36"/>
        <w:ind w:right="227"/>
        <w:jc w:val="both"/>
      </w:pPr>
      <w:r>
        <w:rPr/>
        <w:t>s.277 CAMA should be amended to require the declaration of both nature and extent of interest involved and also a further declaration when the need arises. Exceptions to the rule should be reasonably recognised and outlined, especially where the director is unaware of the transaction or where the situation cannot reasonably be regarded as</w:t>
      </w:r>
      <w:r>
        <w:rPr>
          <w:spacing w:val="40"/>
        </w:rPr>
        <w:t> </w:t>
      </w:r>
      <w:r>
        <w:rPr/>
        <w:t>likely</w:t>
      </w:r>
      <w:r>
        <w:rPr>
          <w:spacing w:val="-5"/>
        </w:rPr>
        <w:t> </w:t>
      </w:r>
      <w:r>
        <w:rPr/>
        <w:t>to give rise to a conflict. S.177 CA is clear on these terms and should be adopted. The amendment should also require the consideration of the transaction by a disinterested board. With respect to fine, something within the range of N100,000 or more should be considered.</w:t>
      </w:r>
    </w:p>
    <w:p>
      <w:pPr>
        <w:spacing w:after="0" w:line="480" w:lineRule="auto"/>
        <w:jc w:val="both"/>
        <w:sectPr>
          <w:pgSz w:w="11910" w:h="16840"/>
          <w:pgMar w:header="0" w:footer="1003" w:top="1320" w:bottom="1200" w:left="1680" w:right="1180"/>
        </w:sectPr>
      </w:pPr>
    </w:p>
    <w:p>
      <w:pPr>
        <w:pStyle w:val="BodyText"/>
        <w:spacing w:before="78"/>
        <w:ind w:left="68"/>
        <w:jc w:val="center"/>
        <w:rPr>
          <w:rFonts w:ascii="Arial Black"/>
        </w:rPr>
      </w:pPr>
      <w:r>
        <w:rPr>
          <w:rFonts w:ascii="Arial Black"/>
          <w:spacing w:val="-2"/>
        </w:rPr>
        <w:t>BIBLIOGRAPHY</w:t>
      </w:r>
    </w:p>
    <w:p>
      <w:pPr>
        <w:pStyle w:val="Heading2"/>
        <w:spacing w:line="273" w:lineRule="exact" w:before="292"/>
        <w:ind w:left="308" w:firstLine="0"/>
        <w:jc w:val="left"/>
      </w:pPr>
      <w:r>
        <w:rPr>
          <w:spacing w:val="-2"/>
        </w:rPr>
        <w:t>Books</w:t>
      </w:r>
    </w:p>
    <w:p>
      <w:pPr>
        <w:spacing w:line="242" w:lineRule="auto" w:before="0"/>
        <w:ind w:left="308" w:right="255" w:firstLine="0"/>
        <w:jc w:val="left"/>
        <w:rPr>
          <w:sz w:val="24"/>
        </w:rPr>
      </w:pPr>
      <w:r>
        <w:rPr>
          <w:sz w:val="24"/>
        </w:rPr>
        <w:t>Berle,</w:t>
      </w:r>
      <w:r>
        <w:rPr>
          <w:spacing w:val="28"/>
          <w:sz w:val="24"/>
        </w:rPr>
        <w:t> </w:t>
      </w:r>
      <w:r>
        <w:rPr>
          <w:sz w:val="24"/>
        </w:rPr>
        <w:t>A.A., and Means C.G. (1932).</w:t>
      </w:r>
      <w:r>
        <w:rPr>
          <w:spacing w:val="28"/>
          <w:sz w:val="24"/>
        </w:rPr>
        <w:t> </w:t>
      </w:r>
      <w:r>
        <w:rPr>
          <w:i/>
          <w:sz w:val="24"/>
        </w:rPr>
        <w:t>The Modern Corporation and Private Property</w:t>
      </w:r>
      <w:r>
        <w:rPr>
          <w:sz w:val="24"/>
        </w:rPr>
        <w:t>. The Macmillan Company, New York.</w:t>
      </w:r>
    </w:p>
    <w:p>
      <w:pPr>
        <w:spacing w:before="269"/>
        <w:ind w:left="308" w:right="0" w:firstLine="0"/>
        <w:jc w:val="left"/>
        <w:rPr>
          <w:sz w:val="24"/>
        </w:rPr>
      </w:pPr>
      <w:r>
        <w:rPr>
          <w:sz w:val="24"/>
        </w:rPr>
        <w:t>Bhadmus,</w:t>
      </w:r>
      <w:r>
        <w:rPr>
          <w:spacing w:val="-2"/>
          <w:sz w:val="24"/>
        </w:rPr>
        <w:t> </w:t>
      </w:r>
      <w:r>
        <w:rPr>
          <w:sz w:val="24"/>
        </w:rPr>
        <w:t>Y.H.</w:t>
      </w:r>
      <w:r>
        <w:rPr>
          <w:spacing w:val="-5"/>
          <w:sz w:val="24"/>
        </w:rPr>
        <w:t> </w:t>
      </w:r>
      <w:r>
        <w:rPr>
          <w:sz w:val="24"/>
        </w:rPr>
        <w:t>(2009).</w:t>
      </w:r>
      <w:r>
        <w:rPr>
          <w:spacing w:val="-2"/>
          <w:sz w:val="24"/>
        </w:rPr>
        <w:t> </w:t>
      </w:r>
      <w:r>
        <w:rPr>
          <w:i/>
          <w:sz w:val="24"/>
        </w:rPr>
        <w:t>Bhadmus</w:t>
      </w:r>
      <w:r>
        <w:rPr>
          <w:i/>
          <w:spacing w:val="-4"/>
          <w:sz w:val="24"/>
        </w:rPr>
        <w:t> </w:t>
      </w:r>
      <w:r>
        <w:rPr>
          <w:i/>
          <w:sz w:val="24"/>
        </w:rPr>
        <w:t>on</w:t>
      </w:r>
      <w:r>
        <w:rPr>
          <w:i/>
          <w:spacing w:val="-2"/>
          <w:sz w:val="24"/>
        </w:rPr>
        <w:t> </w:t>
      </w:r>
      <w:r>
        <w:rPr>
          <w:i/>
          <w:sz w:val="24"/>
        </w:rPr>
        <w:t>Corporate</w:t>
      </w:r>
      <w:r>
        <w:rPr>
          <w:i/>
          <w:spacing w:val="-2"/>
          <w:sz w:val="24"/>
        </w:rPr>
        <w:t> </w:t>
      </w:r>
      <w:r>
        <w:rPr>
          <w:i/>
          <w:sz w:val="24"/>
        </w:rPr>
        <w:t>Law</w:t>
      </w:r>
      <w:r>
        <w:rPr>
          <w:i/>
          <w:spacing w:val="-9"/>
          <w:sz w:val="24"/>
        </w:rPr>
        <w:t> </w:t>
      </w:r>
      <w:r>
        <w:rPr>
          <w:i/>
          <w:sz w:val="24"/>
        </w:rPr>
        <w:t>Practice.</w:t>
      </w:r>
      <w:r>
        <w:rPr>
          <w:sz w:val="24"/>
        </w:rPr>
        <w:t>Chenglo</w:t>
      </w:r>
      <w:r>
        <w:rPr>
          <w:spacing w:val="2"/>
          <w:sz w:val="24"/>
        </w:rPr>
        <w:t> </w:t>
      </w:r>
      <w:r>
        <w:rPr>
          <w:sz w:val="24"/>
        </w:rPr>
        <w:t>Limited,</w:t>
      </w:r>
      <w:r>
        <w:rPr>
          <w:spacing w:val="1"/>
          <w:sz w:val="24"/>
        </w:rPr>
        <w:t> </w:t>
      </w:r>
      <w:r>
        <w:rPr>
          <w:spacing w:val="-2"/>
          <w:sz w:val="24"/>
        </w:rPr>
        <w:t>Enugu.</w:t>
      </w:r>
    </w:p>
    <w:p>
      <w:pPr>
        <w:pStyle w:val="BodyText"/>
        <w:ind w:left="0"/>
      </w:pPr>
    </w:p>
    <w:p>
      <w:pPr>
        <w:spacing w:before="0"/>
        <w:ind w:left="308" w:right="0" w:firstLine="0"/>
        <w:jc w:val="left"/>
        <w:rPr>
          <w:sz w:val="24"/>
        </w:rPr>
      </w:pPr>
      <w:r>
        <w:rPr>
          <w:sz w:val="24"/>
        </w:rPr>
        <w:t>Birds,</w:t>
      </w:r>
      <w:r>
        <w:rPr>
          <w:spacing w:val="34"/>
          <w:sz w:val="24"/>
        </w:rPr>
        <w:t> </w:t>
      </w:r>
      <w:r>
        <w:rPr>
          <w:sz w:val="24"/>
        </w:rPr>
        <w:t>J.,</w:t>
      </w:r>
      <w:r>
        <w:rPr>
          <w:spacing w:val="34"/>
          <w:sz w:val="24"/>
        </w:rPr>
        <w:t> </w:t>
      </w:r>
      <w:r>
        <w:rPr>
          <w:sz w:val="24"/>
        </w:rPr>
        <w:t>et</w:t>
      </w:r>
      <w:r>
        <w:rPr>
          <w:spacing w:val="37"/>
          <w:sz w:val="24"/>
        </w:rPr>
        <w:t> </w:t>
      </w:r>
      <w:r>
        <w:rPr>
          <w:sz w:val="24"/>
        </w:rPr>
        <w:t>al.</w:t>
      </w:r>
      <w:r>
        <w:rPr>
          <w:spacing w:val="34"/>
          <w:sz w:val="24"/>
        </w:rPr>
        <w:t> </w:t>
      </w:r>
      <w:r>
        <w:rPr>
          <w:sz w:val="24"/>
        </w:rPr>
        <w:t>(2011).</w:t>
      </w:r>
      <w:r>
        <w:rPr>
          <w:i/>
          <w:sz w:val="24"/>
        </w:rPr>
        <w:t>Boyle</w:t>
      </w:r>
      <w:r>
        <w:rPr>
          <w:i/>
          <w:spacing w:val="32"/>
          <w:sz w:val="24"/>
        </w:rPr>
        <w:t> </w:t>
      </w:r>
      <w:r>
        <w:rPr>
          <w:i/>
          <w:sz w:val="24"/>
        </w:rPr>
        <w:t>and</w:t>
      </w:r>
      <w:r>
        <w:rPr>
          <w:i/>
          <w:spacing w:val="32"/>
          <w:sz w:val="24"/>
        </w:rPr>
        <w:t> </w:t>
      </w:r>
      <w:r>
        <w:rPr>
          <w:i/>
          <w:sz w:val="24"/>
        </w:rPr>
        <w:t>Birds‘</w:t>
      </w:r>
      <w:r>
        <w:rPr>
          <w:i/>
          <w:spacing w:val="34"/>
          <w:sz w:val="24"/>
        </w:rPr>
        <w:t> </w:t>
      </w:r>
      <w:r>
        <w:rPr>
          <w:i/>
          <w:sz w:val="24"/>
        </w:rPr>
        <w:t>Company</w:t>
      </w:r>
      <w:r>
        <w:rPr>
          <w:i/>
          <w:spacing w:val="31"/>
          <w:sz w:val="24"/>
        </w:rPr>
        <w:t> </w:t>
      </w:r>
      <w:r>
        <w:rPr>
          <w:i/>
          <w:sz w:val="24"/>
        </w:rPr>
        <w:t>Law.</w:t>
      </w:r>
      <w:r>
        <w:rPr>
          <w:sz w:val="24"/>
        </w:rPr>
        <w:t>8</w:t>
      </w:r>
      <w:r>
        <w:rPr>
          <w:sz w:val="24"/>
          <w:vertAlign w:val="superscript"/>
        </w:rPr>
        <w:t>th</w:t>
      </w:r>
      <w:r>
        <w:rPr>
          <w:spacing w:val="30"/>
          <w:sz w:val="24"/>
          <w:vertAlign w:val="baseline"/>
        </w:rPr>
        <w:t> </w:t>
      </w:r>
      <w:r>
        <w:rPr>
          <w:sz w:val="24"/>
          <w:vertAlign w:val="baseline"/>
        </w:rPr>
        <w:t>edition,</w:t>
      </w:r>
      <w:r>
        <w:rPr>
          <w:spacing w:val="34"/>
          <w:sz w:val="24"/>
          <w:vertAlign w:val="baseline"/>
        </w:rPr>
        <w:t> </w:t>
      </w:r>
      <w:r>
        <w:rPr>
          <w:sz w:val="24"/>
          <w:vertAlign w:val="baseline"/>
        </w:rPr>
        <w:t>Jordan</w:t>
      </w:r>
      <w:r>
        <w:rPr>
          <w:spacing w:val="27"/>
          <w:sz w:val="24"/>
          <w:vertAlign w:val="baseline"/>
        </w:rPr>
        <w:t> </w:t>
      </w:r>
      <w:r>
        <w:rPr>
          <w:sz w:val="24"/>
          <w:vertAlign w:val="baseline"/>
        </w:rPr>
        <w:t>Publishing Limited, Bristol.</w:t>
      </w:r>
    </w:p>
    <w:p>
      <w:pPr>
        <w:spacing w:line="240" w:lineRule="auto" w:before="274"/>
        <w:ind w:left="308" w:right="232" w:firstLine="0"/>
        <w:jc w:val="both"/>
        <w:rPr>
          <w:sz w:val="24"/>
        </w:rPr>
      </w:pPr>
      <w:r>
        <w:rPr>
          <w:sz w:val="24"/>
        </w:rPr>
        <w:t>Buchholz, R.A. and Rosenthal, S.B. (2002).</w:t>
      </w:r>
      <w:r>
        <w:rPr>
          <w:i/>
          <w:sz w:val="24"/>
        </w:rPr>
        <w:t>Social Responsibility and Business Ethics</w:t>
      </w:r>
      <w:r>
        <w:rPr>
          <w:sz w:val="24"/>
        </w:rPr>
        <w:t>. In: Frederick, E.R. (Ed.) </w:t>
      </w:r>
      <w:r>
        <w:rPr>
          <w:sz w:val="24"/>
          <w:u w:val="single"/>
        </w:rPr>
        <w:t>A Companion to Business Ethics,</w:t>
      </w:r>
      <w:r>
        <w:rPr>
          <w:sz w:val="24"/>
        </w:rPr>
        <w:t> Blackwell Publishers, </w:t>
      </w:r>
      <w:r>
        <w:rPr>
          <w:spacing w:val="-2"/>
          <w:sz w:val="24"/>
        </w:rPr>
        <w:t>Massachusetts.</w:t>
      </w:r>
    </w:p>
    <w:p>
      <w:pPr>
        <w:pStyle w:val="BodyText"/>
        <w:spacing w:before="1"/>
        <w:ind w:left="0"/>
      </w:pPr>
    </w:p>
    <w:p>
      <w:pPr>
        <w:spacing w:before="0"/>
        <w:ind w:left="308" w:right="0" w:firstLine="0"/>
        <w:jc w:val="left"/>
        <w:rPr>
          <w:sz w:val="24"/>
        </w:rPr>
      </w:pPr>
      <w:r>
        <w:rPr>
          <w:sz w:val="24"/>
        </w:rPr>
        <w:t>Friedman, M.</w:t>
      </w:r>
      <w:r>
        <w:rPr>
          <w:spacing w:val="1"/>
          <w:sz w:val="24"/>
        </w:rPr>
        <w:t> </w:t>
      </w:r>
      <w:r>
        <w:rPr>
          <w:sz w:val="24"/>
        </w:rPr>
        <w:t>(1962).</w:t>
      </w:r>
      <w:r>
        <w:rPr>
          <w:i/>
          <w:sz w:val="24"/>
        </w:rPr>
        <w:t>Capitalism</w:t>
      </w:r>
      <w:r>
        <w:rPr>
          <w:i/>
          <w:spacing w:val="-2"/>
          <w:sz w:val="24"/>
        </w:rPr>
        <w:t> </w:t>
      </w:r>
      <w:r>
        <w:rPr>
          <w:i/>
          <w:sz w:val="24"/>
        </w:rPr>
        <w:t>and</w:t>
      </w:r>
      <w:r>
        <w:rPr>
          <w:i/>
          <w:spacing w:val="-6"/>
          <w:sz w:val="24"/>
        </w:rPr>
        <w:t> </w:t>
      </w:r>
      <w:r>
        <w:rPr>
          <w:i/>
          <w:sz w:val="24"/>
        </w:rPr>
        <w:t>Freedom.</w:t>
      </w:r>
      <w:r>
        <w:rPr>
          <w:sz w:val="24"/>
        </w:rPr>
        <w:t>University</w:t>
      </w:r>
      <w:r>
        <w:rPr>
          <w:spacing w:val="-6"/>
          <w:sz w:val="24"/>
        </w:rPr>
        <w:t> </w:t>
      </w:r>
      <w:r>
        <w:rPr>
          <w:sz w:val="24"/>
        </w:rPr>
        <w:t>of</w:t>
      </w:r>
      <w:r>
        <w:rPr>
          <w:spacing w:val="-9"/>
          <w:sz w:val="24"/>
        </w:rPr>
        <w:t> </w:t>
      </w:r>
      <w:r>
        <w:rPr>
          <w:sz w:val="24"/>
        </w:rPr>
        <w:t>Chicago</w:t>
      </w:r>
      <w:r>
        <w:rPr>
          <w:spacing w:val="3"/>
          <w:sz w:val="24"/>
        </w:rPr>
        <w:t> </w:t>
      </w:r>
      <w:r>
        <w:rPr>
          <w:spacing w:val="-2"/>
          <w:sz w:val="24"/>
        </w:rPr>
        <w:t>Press.</w:t>
      </w:r>
    </w:p>
    <w:p>
      <w:pPr>
        <w:pStyle w:val="BodyText"/>
        <w:ind w:left="0"/>
      </w:pPr>
    </w:p>
    <w:p>
      <w:pPr>
        <w:spacing w:line="242" w:lineRule="auto" w:before="0"/>
        <w:ind w:left="308" w:right="228" w:firstLine="0"/>
        <w:jc w:val="both"/>
        <w:rPr>
          <w:sz w:val="24"/>
        </w:rPr>
      </w:pPr>
      <w:r>
        <w:rPr>
          <w:sz w:val="24"/>
        </w:rPr>
        <w:t>Campbell, C. (2007). </w:t>
      </w:r>
      <w:r>
        <w:rPr>
          <w:i/>
          <w:sz w:val="24"/>
        </w:rPr>
        <w:t>International Liability of Corporate Directors</w:t>
      </w:r>
      <w:r>
        <w:rPr>
          <w:sz w:val="24"/>
        </w:rPr>
        <w:t>, vol. 2, Yorkhill Law Publishing, London.</w:t>
      </w:r>
    </w:p>
    <w:p>
      <w:pPr>
        <w:spacing w:before="273"/>
        <w:ind w:left="308" w:right="0" w:firstLine="0"/>
        <w:jc w:val="left"/>
        <w:rPr>
          <w:sz w:val="24"/>
        </w:rPr>
      </w:pPr>
      <w:r>
        <w:rPr>
          <w:sz w:val="24"/>
        </w:rPr>
        <w:t>Corkery,</w:t>
      </w:r>
      <w:r>
        <w:rPr>
          <w:spacing w:val="40"/>
          <w:sz w:val="24"/>
        </w:rPr>
        <w:t> </w:t>
      </w:r>
      <w:r>
        <w:rPr>
          <w:sz w:val="24"/>
        </w:rPr>
        <w:t>F.J.</w:t>
      </w:r>
      <w:r>
        <w:rPr>
          <w:spacing w:val="40"/>
          <w:sz w:val="24"/>
        </w:rPr>
        <w:t> </w:t>
      </w:r>
      <w:r>
        <w:rPr>
          <w:sz w:val="24"/>
        </w:rPr>
        <w:t>(1987).</w:t>
      </w:r>
      <w:r>
        <w:rPr>
          <w:i/>
          <w:sz w:val="24"/>
        </w:rPr>
        <w:t>Directors‘</w:t>
      </w:r>
      <w:r>
        <w:rPr>
          <w:i/>
          <w:spacing w:val="40"/>
          <w:sz w:val="24"/>
        </w:rPr>
        <w:t> </w:t>
      </w:r>
      <w:r>
        <w:rPr>
          <w:i/>
          <w:sz w:val="24"/>
        </w:rPr>
        <w:t>Powers</w:t>
      </w:r>
      <w:r>
        <w:rPr>
          <w:i/>
          <w:spacing w:val="40"/>
          <w:sz w:val="24"/>
        </w:rPr>
        <w:t> </w:t>
      </w:r>
      <w:r>
        <w:rPr>
          <w:i/>
          <w:sz w:val="24"/>
        </w:rPr>
        <w:t>and</w:t>
      </w:r>
      <w:r>
        <w:rPr>
          <w:i/>
          <w:spacing w:val="40"/>
          <w:sz w:val="24"/>
        </w:rPr>
        <w:t> </w:t>
      </w:r>
      <w:r>
        <w:rPr>
          <w:i/>
          <w:sz w:val="24"/>
        </w:rPr>
        <w:t>Duties</w:t>
      </w:r>
      <w:r>
        <w:rPr>
          <w:sz w:val="24"/>
        </w:rPr>
        <w:t>.</w:t>
      </w:r>
      <w:r>
        <w:rPr>
          <w:spacing w:val="40"/>
          <w:sz w:val="24"/>
        </w:rPr>
        <w:t> </w:t>
      </w:r>
      <w:r>
        <w:rPr>
          <w:sz w:val="24"/>
        </w:rPr>
        <w:t>Longman</w:t>
      </w:r>
      <w:r>
        <w:rPr>
          <w:spacing w:val="40"/>
          <w:sz w:val="24"/>
        </w:rPr>
        <w:t> </w:t>
      </w:r>
      <w:r>
        <w:rPr>
          <w:sz w:val="24"/>
        </w:rPr>
        <w:t>Cheshire,</w:t>
      </w:r>
      <w:r>
        <w:rPr>
          <w:spacing w:val="40"/>
          <w:sz w:val="24"/>
        </w:rPr>
        <w:t> </w:t>
      </w:r>
      <w:r>
        <w:rPr>
          <w:sz w:val="24"/>
        </w:rPr>
        <w:t>Melbourne </w:t>
      </w:r>
      <w:r>
        <w:rPr>
          <w:spacing w:val="-2"/>
          <w:sz w:val="24"/>
        </w:rPr>
        <w:t>Australia.</w:t>
      </w:r>
    </w:p>
    <w:p>
      <w:pPr>
        <w:spacing w:line="242" w:lineRule="auto" w:before="274"/>
        <w:ind w:left="308" w:right="232" w:firstLine="0"/>
        <w:jc w:val="both"/>
        <w:rPr>
          <w:sz w:val="24"/>
        </w:rPr>
      </w:pPr>
      <w:r>
        <w:rPr>
          <w:sz w:val="24"/>
        </w:rPr>
        <w:t>Cornelius, G., Van</w:t>
      </w:r>
      <w:r>
        <w:rPr>
          <w:spacing w:val="-1"/>
          <w:sz w:val="24"/>
        </w:rPr>
        <w:t> </w:t>
      </w:r>
      <w:r>
        <w:rPr>
          <w:sz w:val="24"/>
        </w:rPr>
        <w:t>der Merwe. (2004). </w:t>
      </w:r>
      <w:r>
        <w:rPr>
          <w:i/>
          <w:sz w:val="24"/>
        </w:rPr>
        <w:t>Introduction to the Law</w:t>
      </w:r>
      <w:r>
        <w:rPr>
          <w:i/>
          <w:spacing w:val="-8"/>
          <w:sz w:val="24"/>
        </w:rPr>
        <w:t> </w:t>
      </w:r>
      <w:r>
        <w:rPr>
          <w:i/>
          <w:sz w:val="24"/>
        </w:rPr>
        <w:t>of South</w:t>
      </w:r>
      <w:r>
        <w:rPr>
          <w:i/>
          <w:spacing w:val="-1"/>
          <w:sz w:val="24"/>
        </w:rPr>
        <w:t> </w:t>
      </w:r>
      <w:r>
        <w:rPr>
          <w:i/>
          <w:sz w:val="24"/>
        </w:rPr>
        <w:t>Africa</w:t>
      </w:r>
      <w:r>
        <w:rPr>
          <w:sz w:val="24"/>
        </w:rPr>
        <w:t>, Kluwer Law International, Netherlands.</w:t>
      </w:r>
    </w:p>
    <w:p>
      <w:pPr>
        <w:spacing w:before="273"/>
        <w:ind w:left="308" w:right="255" w:firstLine="0"/>
        <w:jc w:val="left"/>
        <w:rPr>
          <w:sz w:val="24"/>
        </w:rPr>
      </w:pPr>
      <w:r>
        <w:rPr>
          <w:sz w:val="24"/>
        </w:rPr>
        <w:t>Davies,</w:t>
      </w:r>
      <w:r>
        <w:rPr>
          <w:spacing w:val="40"/>
          <w:sz w:val="24"/>
        </w:rPr>
        <w:t> </w:t>
      </w:r>
      <w:r>
        <w:rPr>
          <w:sz w:val="24"/>
        </w:rPr>
        <w:t>L.P.</w:t>
      </w:r>
      <w:r>
        <w:rPr>
          <w:spacing w:val="40"/>
          <w:sz w:val="24"/>
        </w:rPr>
        <w:t> </w:t>
      </w:r>
      <w:r>
        <w:rPr>
          <w:sz w:val="24"/>
        </w:rPr>
        <w:t>and</w:t>
      </w:r>
      <w:r>
        <w:rPr>
          <w:spacing w:val="40"/>
          <w:sz w:val="24"/>
        </w:rPr>
        <w:t> </w:t>
      </w:r>
      <w:r>
        <w:rPr>
          <w:sz w:val="24"/>
        </w:rPr>
        <w:t>Worthington,</w:t>
      </w:r>
      <w:r>
        <w:rPr>
          <w:spacing w:val="40"/>
          <w:sz w:val="24"/>
        </w:rPr>
        <w:t> </w:t>
      </w:r>
      <w:r>
        <w:rPr>
          <w:sz w:val="24"/>
        </w:rPr>
        <w:t>S.</w:t>
      </w:r>
      <w:r>
        <w:rPr>
          <w:spacing w:val="37"/>
          <w:sz w:val="24"/>
        </w:rPr>
        <w:t> </w:t>
      </w:r>
      <w:r>
        <w:rPr>
          <w:sz w:val="24"/>
        </w:rPr>
        <w:t>(2012).</w:t>
      </w:r>
      <w:r>
        <w:rPr>
          <w:spacing w:val="40"/>
          <w:sz w:val="24"/>
        </w:rPr>
        <w:t> </w:t>
      </w:r>
      <w:r>
        <w:rPr>
          <w:i/>
          <w:sz w:val="24"/>
        </w:rPr>
        <w:t>Gower</w:t>
      </w:r>
      <w:r>
        <w:rPr>
          <w:i/>
          <w:spacing w:val="38"/>
          <w:sz w:val="24"/>
        </w:rPr>
        <w:t> </w:t>
      </w:r>
      <w:r>
        <w:rPr>
          <w:i/>
          <w:sz w:val="24"/>
        </w:rPr>
        <w:t>and</w:t>
      </w:r>
      <w:r>
        <w:rPr>
          <w:i/>
          <w:spacing w:val="40"/>
          <w:sz w:val="24"/>
        </w:rPr>
        <w:t> </w:t>
      </w:r>
      <w:r>
        <w:rPr>
          <w:i/>
          <w:sz w:val="24"/>
        </w:rPr>
        <w:t>Davies:</w:t>
      </w:r>
      <w:r>
        <w:rPr>
          <w:i/>
          <w:spacing w:val="40"/>
          <w:sz w:val="24"/>
        </w:rPr>
        <w:t> </w:t>
      </w:r>
      <w:r>
        <w:rPr>
          <w:i/>
          <w:sz w:val="24"/>
        </w:rPr>
        <w:t>Principles</w:t>
      </w:r>
      <w:r>
        <w:rPr>
          <w:i/>
          <w:spacing w:val="37"/>
          <w:sz w:val="24"/>
        </w:rPr>
        <w:t> </w:t>
      </w:r>
      <w:r>
        <w:rPr>
          <w:i/>
          <w:sz w:val="24"/>
        </w:rPr>
        <w:t>of</w:t>
      </w:r>
      <w:r>
        <w:rPr>
          <w:i/>
          <w:spacing w:val="40"/>
          <w:sz w:val="24"/>
        </w:rPr>
        <w:t> </w:t>
      </w:r>
      <w:r>
        <w:rPr>
          <w:i/>
          <w:sz w:val="24"/>
        </w:rPr>
        <w:t>Modern Company Law, </w:t>
      </w:r>
      <w:r>
        <w:rPr>
          <w:sz w:val="24"/>
        </w:rPr>
        <w:t>9</w:t>
      </w:r>
      <w:r>
        <w:rPr>
          <w:sz w:val="24"/>
          <w:vertAlign w:val="superscript"/>
        </w:rPr>
        <w:t>th</w:t>
      </w:r>
      <w:r>
        <w:rPr>
          <w:sz w:val="24"/>
          <w:vertAlign w:val="baseline"/>
        </w:rPr>
        <w:t> edition, Sweet and Maxwell, London.</w:t>
      </w:r>
    </w:p>
    <w:p>
      <w:pPr>
        <w:spacing w:line="242" w:lineRule="auto" w:before="274"/>
        <w:ind w:left="308" w:right="239" w:firstLine="0"/>
        <w:jc w:val="both"/>
        <w:rPr>
          <w:sz w:val="24"/>
        </w:rPr>
      </w:pPr>
      <w:r>
        <w:rPr>
          <w:sz w:val="24"/>
        </w:rPr>
        <w:t>Emiola, A. (2008). </w:t>
      </w:r>
      <w:r>
        <w:rPr>
          <w:i/>
          <w:sz w:val="24"/>
        </w:rPr>
        <w:t>Nigerian Company Law.</w:t>
      </w:r>
      <w:r>
        <w:rPr>
          <w:sz w:val="24"/>
        </w:rPr>
        <w:t>2</w:t>
      </w:r>
      <w:r>
        <w:rPr>
          <w:sz w:val="24"/>
          <w:vertAlign w:val="superscript"/>
        </w:rPr>
        <w:t>nd</w:t>
      </w:r>
      <w:r>
        <w:rPr>
          <w:sz w:val="24"/>
          <w:vertAlign w:val="baseline"/>
        </w:rPr>
        <w:t>editon, Emiola Publishers Limited, </w:t>
      </w:r>
      <w:r>
        <w:rPr>
          <w:spacing w:val="-2"/>
          <w:sz w:val="24"/>
          <w:vertAlign w:val="baseline"/>
        </w:rPr>
        <w:t>Ogbomosho.</w:t>
      </w:r>
    </w:p>
    <w:p>
      <w:pPr>
        <w:spacing w:line="237" w:lineRule="auto" w:before="275"/>
        <w:ind w:left="308" w:right="235" w:firstLine="0"/>
        <w:jc w:val="both"/>
        <w:rPr>
          <w:sz w:val="24"/>
        </w:rPr>
      </w:pPr>
      <w:r>
        <w:rPr>
          <w:sz w:val="24"/>
        </w:rPr>
        <w:t>Freeman, R.E. </w:t>
      </w:r>
      <w:r>
        <w:rPr>
          <w:i/>
          <w:sz w:val="24"/>
        </w:rPr>
        <w:t>et al. </w:t>
      </w:r>
      <w:r>
        <w:rPr>
          <w:sz w:val="24"/>
        </w:rPr>
        <w:t>(2010). </w:t>
      </w:r>
      <w:r>
        <w:rPr>
          <w:i/>
          <w:sz w:val="24"/>
        </w:rPr>
        <w:t>Stakeholder Theory: The State of the Art</w:t>
      </w:r>
      <w:r>
        <w:rPr>
          <w:sz w:val="24"/>
        </w:rPr>
        <w:t>.Cambridge University Press, New York.</w:t>
      </w:r>
    </w:p>
    <w:p>
      <w:pPr>
        <w:pStyle w:val="BodyText"/>
        <w:spacing w:before="2"/>
        <w:ind w:left="0"/>
      </w:pPr>
    </w:p>
    <w:p>
      <w:pPr>
        <w:spacing w:line="242" w:lineRule="auto" w:before="0"/>
        <w:ind w:left="308" w:right="232" w:firstLine="0"/>
        <w:jc w:val="both"/>
        <w:rPr>
          <w:sz w:val="24"/>
        </w:rPr>
      </w:pPr>
      <w:r>
        <w:rPr>
          <w:sz w:val="24"/>
        </w:rPr>
        <w:t>Garner, A.B. (ed.). (2004). </w:t>
      </w:r>
      <w:r>
        <w:rPr>
          <w:i/>
          <w:sz w:val="24"/>
        </w:rPr>
        <w:t>Black‘s Law Dictionary.</w:t>
      </w:r>
      <w:r>
        <w:rPr>
          <w:sz w:val="24"/>
        </w:rPr>
        <w:t>8th edition, West Publishing Co., United States.</w:t>
      </w:r>
    </w:p>
    <w:p>
      <w:pPr>
        <w:pStyle w:val="BodyText"/>
        <w:spacing w:before="273"/>
      </w:pPr>
      <w:r>
        <w:rPr/>
        <w:t>Gower,</w:t>
      </w:r>
      <w:r>
        <w:rPr>
          <w:spacing w:val="-4"/>
        </w:rPr>
        <w:t> </w:t>
      </w:r>
      <w:r>
        <w:rPr/>
        <w:t>L.C.B.</w:t>
      </w:r>
      <w:r>
        <w:rPr>
          <w:spacing w:val="-2"/>
        </w:rPr>
        <w:t> </w:t>
      </w:r>
      <w:r>
        <w:rPr/>
        <w:t>(1971).</w:t>
      </w:r>
      <w:r>
        <w:rPr>
          <w:spacing w:val="-2"/>
        </w:rPr>
        <w:t> </w:t>
      </w:r>
      <w:r>
        <w:rPr/>
        <w:t>Principles</w:t>
      </w:r>
      <w:r>
        <w:rPr>
          <w:spacing w:val="-1"/>
        </w:rPr>
        <w:t> </w:t>
      </w:r>
      <w:r>
        <w:rPr/>
        <w:t>of</w:t>
      </w:r>
      <w:r>
        <w:rPr>
          <w:spacing w:val="-6"/>
        </w:rPr>
        <w:t> </w:t>
      </w:r>
      <w:r>
        <w:rPr/>
        <w:t>Modern</w:t>
      </w:r>
      <w:r>
        <w:rPr>
          <w:spacing w:val="-4"/>
        </w:rPr>
        <w:t> </w:t>
      </w:r>
      <w:r>
        <w:rPr/>
        <w:t>Company</w:t>
      </w:r>
      <w:r>
        <w:rPr>
          <w:spacing w:val="-4"/>
        </w:rPr>
        <w:t> </w:t>
      </w:r>
      <w:r>
        <w:rPr/>
        <w:t>Law.</w:t>
      </w:r>
      <w:r>
        <w:rPr>
          <w:spacing w:val="3"/>
        </w:rPr>
        <w:t> </w:t>
      </w:r>
      <w:r>
        <w:rPr>
          <w:spacing w:val="-2"/>
        </w:rPr>
        <w:t>4</w:t>
      </w:r>
      <w:r>
        <w:rPr>
          <w:spacing w:val="-2"/>
          <w:vertAlign w:val="superscript"/>
        </w:rPr>
        <w:t>th</w:t>
      </w:r>
      <w:r>
        <w:rPr>
          <w:spacing w:val="-2"/>
          <w:vertAlign w:val="baseline"/>
        </w:rPr>
        <w:t>ed.</w:t>
      </w:r>
    </w:p>
    <w:p>
      <w:pPr>
        <w:pStyle w:val="BodyText"/>
        <w:spacing w:before="2"/>
        <w:ind w:left="0"/>
      </w:pPr>
    </w:p>
    <w:p>
      <w:pPr>
        <w:spacing w:line="237" w:lineRule="auto" w:before="0"/>
        <w:ind w:left="308" w:right="236" w:firstLine="0"/>
        <w:jc w:val="both"/>
        <w:rPr>
          <w:sz w:val="24"/>
        </w:rPr>
      </w:pPr>
      <w:r>
        <w:rPr>
          <w:sz w:val="24"/>
        </w:rPr>
        <w:t>Heydon, J. </w:t>
      </w:r>
      <w:r>
        <w:rPr>
          <w:i/>
          <w:sz w:val="24"/>
        </w:rPr>
        <w:t>Directors‘ Duties and the Company‘s Interests</w:t>
      </w:r>
      <w:r>
        <w:rPr>
          <w:sz w:val="24"/>
        </w:rPr>
        <w:t>. In Finn, P. (ed) (1987) </w:t>
      </w:r>
      <w:r>
        <w:rPr>
          <w:sz w:val="24"/>
          <w:u w:val="single"/>
        </w:rPr>
        <w:t>Equity and Commercial Relationships</w:t>
      </w:r>
      <w:r>
        <w:rPr>
          <w:i/>
          <w:sz w:val="24"/>
        </w:rPr>
        <w:t>, </w:t>
      </w:r>
      <w:r>
        <w:rPr>
          <w:sz w:val="24"/>
        </w:rPr>
        <w:t>Law Book Co., Sydney.</w:t>
      </w:r>
    </w:p>
    <w:p>
      <w:pPr>
        <w:pStyle w:val="BodyText"/>
        <w:spacing w:before="1"/>
        <w:ind w:left="0"/>
      </w:pPr>
    </w:p>
    <w:p>
      <w:pPr>
        <w:spacing w:line="242" w:lineRule="auto" w:before="0"/>
        <w:ind w:left="308" w:right="226" w:firstLine="0"/>
        <w:jc w:val="both"/>
        <w:rPr>
          <w:sz w:val="24"/>
        </w:rPr>
      </w:pPr>
      <w:r>
        <w:rPr>
          <w:sz w:val="24"/>
        </w:rPr>
        <w:t>Irukwu, O.J. (1994). </w:t>
      </w:r>
      <w:r>
        <w:rPr>
          <w:i/>
          <w:sz w:val="24"/>
        </w:rPr>
        <w:t>The Company, the Shareholder, the Director and the Law, </w:t>
      </w:r>
      <w:r>
        <w:rPr>
          <w:sz w:val="24"/>
        </w:rPr>
        <w:t>Fourth Dimension Publishing Co. Ltd. Enugu.</w:t>
      </w:r>
    </w:p>
    <w:p>
      <w:pPr>
        <w:pStyle w:val="BodyText"/>
        <w:ind w:left="0"/>
      </w:pPr>
    </w:p>
    <w:p>
      <w:pPr>
        <w:pStyle w:val="BodyText"/>
        <w:spacing w:line="237" w:lineRule="auto"/>
        <w:ind w:right="234"/>
        <w:jc w:val="both"/>
      </w:pPr>
      <w:r>
        <w:rPr/>
        <w:t>Longman Dictionary of Contemporary English.(2005). 4</w:t>
      </w:r>
      <w:r>
        <w:rPr>
          <w:vertAlign w:val="superscript"/>
        </w:rPr>
        <w:t>th</w:t>
      </w:r>
      <w:r>
        <w:rPr>
          <w:vertAlign w:val="baseline"/>
        </w:rPr>
        <w:t> edition, Pearson Education Limited, England.</w:t>
      </w:r>
    </w:p>
    <w:p>
      <w:pPr>
        <w:spacing w:after="0" w:line="237" w:lineRule="auto"/>
        <w:jc w:val="both"/>
        <w:sectPr>
          <w:pgSz w:w="11910" w:h="16840"/>
          <w:pgMar w:header="0" w:footer="1003" w:top="1320" w:bottom="1200" w:left="1680" w:right="1180"/>
        </w:sectPr>
      </w:pPr>
    </w:p>
    <w:p>
      <w:pPr>
        <w:spacing w:line="240" w:lineRule="auto" w:before="70"/>
        <w:ind w:left="308" w:right="229" w:firstLine="0"/>
        <w:jc w:val="both"/>
        <w:rPr>
          <w:sz w:val="24"/>
        </w:rPr>
      </w:pPr>
      <w:r>
        <w:rPr>
          <w:sz w:val="24"/>
        </w:rPr>
        <w:t>Mele, D. </w:t>
      </w:r>
      <w:r>
        <w:rPr>
          <w:i/>
          <w:sz w:val="24"/>
        </w:rPr>
        <w:t>Corporate</w:t>
      </w:r>
      <w:r>
        <w:rPr>
          <w:i/>
          <w:spacing w:val="-1"/>
          <w:sz w:val="24"/>
        </w:rPr>
        <w:t> </w:t>
      </w:r>
      <w:r>
        <w:rPr>
          <w:i/>
          <w:sz w:val="24"/>
        </w:rPr>
        <w:t>Social Responsibility</w:t>
      </w:r>
      <w:r>
        <w:rPr>
          <w:i/>
          <w:spacing w:val="-1"/>
          <w:sz w:val="24"/>
        </w:rPr>
        <w:t> </w:t>
      </w:r>
      <w:r>
        <w:rPr>
          <w:i/>
          <w:sz w:val="24"/>
        </w:rPr>
        <w:t>Theories. </w:t>
      </w:r>
      <w:r>
        <w:rPr>
          <w:sz w:val="24"/>
        </w:rPr>
        <w:t>In</w:t>
      </w:r>
      <w:r>
        <w:rPr>
          <w:spacing w:val="-5"/>
          <w:sz w:val="24"/>
        </w:rPr>
        <w:t> </w:t>
      </w:r>
      <w:r>
        <w:rPr>
          <w:sz w:val="24"/>
        </w:rPr>
        <w:t>Crane A. </w:t>
      </w:r>
      <w:r>
        <w:rPr>
          <w:i/>
          <w:sz w:val="24"/>
        </w:rPr>
        <w:t>et al </w:t>
      </w:r>
      <w:r>
        <w:rPr>
          <w:sz w:val="24"/>
        </w:rPr>
        <w:t>(Eds.) (2008). </w:t>
      </w:r>
      <w:r>
        <w:rPr>
          <w:sz w:val="24"/>
          <w:u w:val="single"/>
        </w:rPr>
        <w:t>The</w:t>
      </w:r>
      <w:r>
        <w:rPr>
          <w:sz w:val="24"/>
        </w:rPr>
        <w:t> </w:t>
      </w:r>
      <w:r>
        <w:rPr>
          <w:sz w:val="24"/>
          <w:u w:val="single"/>
        </w:rPr>
        <w:t>Oxford Handbook</w:t>
      </w:r>
      <w:r>
        <w:rPr>
          <w:spacing w:val="-2"/>
          <w:sz w:val="24"/>
          <w:u w:val="single"/>
        </w:rPr>
        <w:t> </w:t>
      </w:r>
      <w:r>
        <w:rPr>
          <w:sz w:val="24"/>
          <w:u w:val="single"/>
        </w:rPr>
        <w:t>of</w:t>
      </w:r>
      <w:r>
        <w:rPr>
          <w:spacing w:val="-5"/>
          <w:sz w:val="24"/>
          <w:u w:val="single"/>
        </w:rPr>
        <w:t> </w:t>
      </w:r>
      <w:r>
        <w:rPr>
          <w:sz w:val="24"/>
          <w:u w:val="single"/>
        </w:rPr>
        <w:t>Corporate Social</w:t>
      </w:r>
      <w:r>
        <w:rPr>
          <w:spacing w:val="-2"/>
          <w:sz w:val="24"/>
          <w:u w:val="single"/>
        </w:rPr>
        <w:t> </w:t>
      </w:r>
      <w:r>
        <w:rPr>
          <w:sz w:val="24"/>
          <w:u w:val="single"/>
        </w:rPr>
        <w:t>Responsibility</w:t>
      </w:r>
      <w:r>
        <w:rPr>
          <w:sz w:val="24"/>
        </w:rPr>
        <w:t>, Oxford University</w:t>
      </w:r>
      <w:r>
        <w:rPr>
          <w:spacing w:val="-7"/>
          <w:sz w:val="24"/>
        </w:rPr>
        <w:t> </w:t>
      </w:r>
      <w:r>
        <w:rPr>
          <w:sz w:val="24"/>
        </w:rPr>
        <w:t>Press, Oxford. Mullins,</w:t>
      </w:r>
      <w:r>
        <w:rPr>
          <w:spacing w:val="-1"/>
          <w:sz w:val="24"/>
        </w:rPr>
        <w:t> </w:t>
      </w:r>
      <w:r>
        <w:rPr>
          <w:sz w:val="24"/>
        </w:rPr>
        <w:t>D.</w:t>
      </w:r>
      <w:r>
        <w:rPr>
          <w:spacing w:val="-2"/>
          <w:sz w:val="24"/>
        </w:rPr>
        <w:t> </w:t>
      </w:r>
      <w:r>
        <w:rPr>
          <w:sz w:val="24"/>
        </w:rPr>
        <w:t>In:</w:t>
      </w:r>
      <w:r>
        <w:rPr>
          <w:spacing w:val="-3"/>
          <w:sz w:val="24"/>
        </w:rPr>
        <w:t> </w:t>
      </w:r>
      <w:r>
        <w:rPr>
          <w:sz w:val="24"/>
        </w:rPr>
        <w:t>Jacobs,</w:t>
      </w:r>
      <w:r>
        <w:rPr>
          <w:spacing w:val="-1"/>
          <w:sz w:val="24"/>
        </w:rPr>
        <w:t> </w:t>
      </w:r>
      <w:r>
        <w:rPr>
          <w:sz w:val="24"/>
        </w:rPr>
        <w:t>M.</w:t>
      </w:r>
      <w:r>
        <w:rPr>
          <w:spacing w:val="-1"/>
          <w:sz w:val="24"/>
        </w:rPr>
        <w:t> </w:t>
      </w:r>
      <w:r>
        <w:rPr>
          <w:sz w:val="24"/>
        </w:rPr>
        <w:t>(1991).</w:t>
      </w:r>
      <w:r>
        <w:rPr>
          <w:spacing w:val="-1"/>
          <w:sz w:val="24"/>
        </w:rPr>
        <w:t> </w:t>
      </w:r>
      <w:r>
        <w:rPr>
          <w:sz w:val="24"/>
        </w:rPr>
        <w:t>Short-Term</w:t>
      </w:r>
      <w:r>
        <w:rPr>
          <w:spacing w:val="-11"/>
          <w:sz w:val="24"/>
        </w:rPr>
        <w:t> </w:t>
      </w:r>
      <w:r>
        <w:rPr>
          <w:sz w:val="24"/>
        </w:rPr>
        <w:t>America.</w:t>
      </w:r>
      <w:r>
        <w:rPr>
          <w:i/>
          <w:sz w:val="24"/>
        </w:rPr>
        <w:t>Harvard</w:t>
      </w:r>
      <w:r>
        <w:rPr>
          <w:i/>
          <w:spacing w:val="-3"/>
          <w:sz w:val="24"/>
        </w:rPr>
        <w:t> </w:t>
      </w:r>
      <w:r>
        <w:rPr>
          <w:i/>
          <w:sz w:val="24"/>
        </w:rPr>
        <w:t>Business</w:t>
      </w:r>
      <w:r>
        <w:rPr>
          <w:i/>
          <w:spacing w:val="-5"/>
          <w:sz w:val="24"/>
        </w:rPr>
        <w:t> </w:t>
      </w:r>
      <w:r>
        <w:rPr>
          <w:i/>
          <w:sz w:val="24"/>
        </w:rPr>
        <w:t>School</w:t>
      </w:r>
      <w:r>
        <w:rPr>
          <w:i/>
          <w:spacing w:val="-3"/>
          <w:sz w:val="24"/>
        </w:rPr>
        <w:t> </w:t>
      </w:r>
      <w:r>
        <w:rPr>
          <w:i/>
          <w:sz w:val="24"/>
        </w:rPr>
        <w:t>Press</w:t>
      </w:r>
      <w:r>
        <w:rPr>
          <w:sz w:val="24"/>
        </w:rPr>
        <w:t>, </w:t>
      </w:r>
      <w:r>
        <w:rPr>
          <w:spacing w:val="-2"/>
          <w:sz w:val="24"/>
        </w:rPr>
        <w:t>Boston.</w:t>
      </w:r>
    </w:p>
    <w:p>
      <w:pPr>
        <w:pStyle w:val="BodyText"/>
        <w:spacing w:before="5"/>
        <w:ind w:left="0"/>
      </w:pPr>
    </w:p>
    <w:p>
      <w:pPr>
        <w:spacing w:line="237" w:lineRule="auto" w:before="0"/>
        <w:ind w:left="308" w:right="234" w:firstLine="0"/>
        <w:jc w:val="both"/>
        <w:rPr>
          <w:sz w:val="24"/>
        </w:rPr>
      </w:pPr>
      <w:r>
        <w:rPr>
          <w:sz w:val="24"/>
        </w:rPr>
        <w:t>Ogbuanya, N.C.S. (2010). </w:t>
      </w:r>
      <w:r>
        <w:rPr>
          <w:i/>
          <w:sz w:val="24"/>
        </w:rPr>
        <w:t>Essentials of Corporate Law Practice in Nigeria.</w:t>
      </w:r>
      <w:r>
        <w:rPr>
          <w:sz w:val="24"/>
        </w:rPr>
        <w:t>Novena Publishers Ltd., Lagos.</w:t>
      </w:r>
    </w:p>
    <w:p>
      <w:pPr>
        <w:pStyle w:val="BodyText"/>
        <w:spacing w:before="1"/>
        <w:ind w:left="0"/>
      </w:pPr>
    </w:p>
    <w:p>
      <w:pPr>
        <w:spacing w:line="242" w:lineRule="auto" w:before="0"/>
        <w:ind w:left="308" w:right="227" w:firstLine="0"/>
        <w:jc w:val="both"/>
        <w:rPr>
          <w:sz w:val="24"/>
        </w:rPr>
      </w:pPr>
      <w:r>
        <w:rPr>
          <w:sz w:val="24"/>
        </w:rPr>
        <w:t>Olakanmi, O. &amp; Co. (2006). </w:t>
      </w:r>
      <w:r>
        <w:rPr>
          <w:i/>
          <w:sz w:val="24"/>
        </w:rPr>
        <w:t>Companies and Allied Matters Act: Synoptic Guide</w:t>
      </w:r>
      <w:r>
        <w:rPr>
          <w:sz w:val="24"/>
        </w:rPr>
        <w:t>. Lawlords Publications, Abuja.</w:t>
      </w:r>
    </w:p>
    <w:p>
      <w:pPr>
        <w:spacing w:line="237" w:lineRule="auto" w:before="276"/>
        <w:ind w:left="308" w:right="236" w:firstLine="0"/>
        <w:jc w:val="both"/>
        <w:rPr>
          <w:sz w:val="24"/>
        </w:rPr>
      </w:pPr>
      <w:r>
        <w:rPr>
          <w:sz w:val="24"/>
        </w:rPr>
        <w:t>Olawoyin, G.A. (1977). </w:t>
      </w:r>
      <w:r>
        <w:rPr>
          <w:i/>
          <w:sz w:val="24"/>
        </w:rPr>
        <w:t>Status and Duties of Company Directors, </w:t>
      </w:r>
      <w:r>
        <w:rPr>
          <w:sz w:val="24"/>
        </w:rPr>
        <w:t>University of Ife Press, Ile-Ife.</w:t>
      </w:r>
    </w:p>
    <w:p>
      <w:pPr>
        <w:pStyle w:val="BodyText"/>
        <w:ind w:left="0"/>
      </w:pPr>
    </w:p>
    <w:p>
      <w:pPr>
        <w:spacing w:line="242" w:lineRule="auto" w:before="0"/>
        <w:ind w:left="308" w:right="235" w:firstLine="0"/>
        <w:jc w:val="both"/>
        <w:rPr>
          <w:sz w:val="24"/>
        </w:rPr>
      </w:pPr>
      <w:r>
        <w:rPr>
          <w:sz w:val="24"/>
        </w:rPr>
        <w:t>Orojo, J.O. (2008). </w:t>
      </w:r>
      <w:r>
        <w:rPr>
          <w:i/>
          <w:sz w:val="24"/>
        </w:rPr>
        <w:t>Company Law and Practice in Nigeria. </w:t>
      </w:r>
      <w:r>
        <w:rPr>
          <w:sz w:val="24"/>
        </w:rPr>
        <w:t>5th edition, LexisNexis Butterworths, Durban, South Africa.</w:t>
      </w:r>
    </w:p>
    <w:p>
      <w:pPr>
        <w:spacing w:line="275" w:lineRule="exact" w:before="274"/>
        <w:ind w:left="308" w:right="0" w:firstLine="0"/>
        <w:jc w:val="both"/>
        <w:rPr>
          <w:i/>
          <w:sz w:val="24"/>
        </w:rPr>
      </w:pPr>
      <w:r>
        <w:rPr>
          <w:sz w:val="24"/>
        </w:rPr>
        <w:t>Osunbor,</w:t>
      </w:r>
      <w:r>
        <w:rPr>
          <w:spacing w:val="24"/>
          <w:sz w:val="24"/>
        </w:rPr>
        <w:t> </w:t>
      </w:r>
      <w:r>
        <w:rPr>
          <w:sz w:val="24"/>
        </w:rPr>
        <w:t>O.A.</w:t>
      </w:r>
      <w:r>
        <w:rPr>
          <w:spacing w:val="26"/>
          <w:sz w:val="24"/>
        </w:rPr>
        <w:t> </w:t>
      </w:r>
      <w:r>
        <w:rPr>
          <w:sz w:val="24"/>
        </w:rPr>
        <w:t>(1992).</w:t>
      </w:r>
      <w:r>
        <w:rPr>
          <w:spacing w:val="29"/>
          <w:sz w:val="24"/>
        </w:rPr>
        <w:t> </w:t>
      </w:r>
      <w:r>
        <w:rPr>
          <w:i/>
          <w:sz w:val="24"/>
        </w:rPr>
        <w:t>The</w:t>
      </w:r>
      <w:r>
        <w:rPr>
          <w:i/>
          <w:spacing w:val="23"/>
          <w:sz w:val="24"/>
        </w:rPr>
        <w:t> </w:t>
      </w:r>
      <w:r>
        <w:rPr>
          <w:i/>
          <w:sz w:val="24"/>
        </w:rPr>
        <w:t>Company</w:t>
      </w:r>
      <w:r>
        <w:rPr>
          <w:i/>
          <w:spacing w:val="23"/>
          <w:sz w:val="24"/>
        </w:rPr>
        <w:t> </w:t>
      </w:r>
      <w:r>
        <w:rPr>
          <w:i/>
          <w:sz w:val="24"/>
        </w:rPr>
        <w:t>Director:</w:t>
      </w:r>
      <w:r>
        <w:rPr>
          <w:i/>
          <w:spacing w:val="30"/>
          <w:sz w:val="24"/>
        </w:rPr>
        <w:t> </w:t>
      </w:r>
      <w:r>
        <w:rPr>
          <w:i/>
          <w:sz w:val="24"/>
        </w:rPr>
        <w:t>His</w:t>
      </w:r>
      <w:r>
        <w:rPr>
          <w:i/>
          <w:spacing w:val="22"/>
          <w:sz w:val="24"/>
        </w:rPr>
        <w:t> </w:t>
      </w:r>
      <w:r>
        <w:rPr>
          <w:i/>
          <w:sz w:val="24"/>
        </w:rPr>
        <w:t>Appointment,</w:t>
      </w:r>
      <w:r>
        <w:rPr>
          <w:i/>
          <w:spacing w:val="26"/>
          <w:sz w:val="24"/>
        </w:rPr>
        <w:t> </w:t>
      </w:r>
      <w:r>
        <w:rPr>
          <w:i/>
          <w:sz w:val="24"/>
        </w:rPr>
        <w:t>Powers</w:t>
      </w:r>
      <w:r>
        <w:rPr>
          <w:i/>
          <w:spacing w:val="22"/>
          <w:sz w:val="24"/>
        </w:rPr>
        <w:t> </w:t>
      </w:r>
      <w:r>
        <w:rPr>
          <w:i/>
          <w:sz w:val="24"/>
        </w:rPr>
        <w:t>and</w:t>
      </w:r>
      <w:r>
        <w:rPr>
          <w:i/>
          <w:spacing w:val="29"/>
          <w:sz w:val="24"/>
        </w:rPr>
        <w:t> </w:t>
      </w:r>
      <w:r>
        <w:rPr>
          <w:i/>
          <w:spacing w:val="-2"/>
          <w:sz w:val="24"/>
        </w:rPr>
        <w:t>Duties.</w:t>
      </w:r>
    </w:p>
    <w:p>
      <w:pPr>
        <w:pStyle w:val="BodyText"/>
        <w:spacing w:line="275" w:lineRule="exact"/>
        <w:jc w:val="both"/>
      </w:pPr>
      <w:r>
        <w:rPr/>
        <w:t>In:</w:t>
      </w:r>
      <w:r>
        <w:rPr>
          <w:spacing w:val="-2"/>
        </w:rPr>
        <w:t> </w:t>
      </w:r>
      <w:r>
        <w:rPr/>
        <w:t>Akanki,</w:t>
      </w:r>
      <w:r>
        <w:rPr>
          <w:spacing w:val="1"/>
        </w:rPr>
        <w:t> </w:t>
      </w:r>
      <w:r>
        <w:rPr/>
        <w:t>E.O.</w:t>
      </w:r>
      <w:r>
        <w:rPr>
          <w:spacing w:val="-4"/>
        </w:rPr>
        <w:t> </w:t>
      </w:r>
      <w:r>
        <w:rPr/>
        <w:t>(ed)</w:t>
      </w:r>
      <w:r>
        <w:rPr>
          <w:u w:val="single"/>
        </w:rPr>
        <w:t>Essays</w:t>
      </w:r>
      <w:r>
        <w:rPr>
          <w:spacing w:val="-3"/>
          <w:u w:val="single"/>
        </w:rPr>
        <w:t> </w:t>
      </w:r>
      <w:r>
        <w:rPr>
          <w:u w:val="single"/>
        </w:rPr>
        <w:t>on</w:t>
      </w:r>
      <w:r>
        <w:rPr>
          <w:spacing w:val="-6"/>
          <w:u w:val="single"/>
        </w:rPr>
        <w:t> </w:t>
      </w:r>
      <w:r>
        <w:rPr>
          <w:u w:val="single"/>
        </w:rPr>
        <w:t>Company</w:t>
      </w:r>
      <w:r>
        <w:rPr>
          <w:spacing w:val="-6"/>
          <w:u w:val="single"/>
        </w:rPr>
        <w:t> </w:t>
      </w:r>
      <w:r>
        <w:rPr>
          <w:spacing w:val="-4"/>
          <w:u w:val="single"/>
        </w:rPr>
        <w:t>Law.</w:t>
      </w:r>
    </w:p>
    <w:p>
      <w:pPr>
        <w:pStyle w:val="BodyText"/>
        <w:ind w:left="0"/>
      </w:pPr>
    </w:p>
    <w:p>
      <w:pPr>
        <w:spacing w:before="0"/>
        <w:ind w:left="308" w:right="0" w:firstLine="0"/>
        <w:jc w:val="left"/>
        <w:rPr>
          <w:sz w:val="24"/>
        </w:rPr>
      </w:pPr>
      <w:r>
        <w:rPr>
          <w:sz w:val="24"/>
        </w:rPr>
        <w:t>Sealy,</w:t>
      </w:r>
      <w:r>
        <w:rPr>
          <w:spacing w:val="4"/>
          <w:sz w:val="24"/>
        </w:rPr>
        <w:t> </w:t>
      </w:r>
      <w:r>
        <w:rPr>
          <w:sz w:val="24"/>
        </w:rPr>
        <w:t>L.</w:t>
      </w:r>
      <w:r>
        <w:rPr>
          <w:spacing w:val="6"/>
          <w:sz w:val="24"/>
        </w:rPr>
        <w:t> </w:t>
      </w:r>
      <w:r>
        <w:rPr>
          <w:sz w:val="24"/>
        </w:rPr>
        <w:t>and</w:t>
      </w:r>
      <w:r>
        <w:rPr>
          <w:spacing w:val="8"/>
          <w:sz w:val="24"/>
        </w:rPr>
        <w:t> </w:t>
      </w:r>
      <w:r>
        <w:rPr>
          <w:sz w:val="24"/>
        </w:rPr>
        <w:t>Worthington,</w:t>
      </w:r>
      <w:r>
        <w:rPr>
          <w:spacing w:val="6"/>
          <w:sz w:val="24"/>
        </w:rPr>
        <w:t> </w:t>
      </w:r>
      <w:r>
        <w:rPr>
          <w:sz w:val="24"/>
        </w:rPr>
        <w:t>S.</w:t>
      </w:r>
      <w:r>
        <w:rPr>
          <w:spacing w:val="1"/>
          <w:sz w:val="24"/>
        </w:rPr>
        <w:t> </w:t>
      </w:r>
      <w:r>
        <w:rPr>
          <w:sz w:val="24"/>
        </w:rPr>
        <w:t>(2010).</w:t>
      </w:r>
      <w:r>
        <w:rPr>
          <w:spacing w:val="8"/>
          <w:sz w:val="24"/>
        </w:rPr>
        <w:t> </w:t>
      </w:r>
      <w:r>
        <w:rPr>
          <w:i/>
          <w:sz w:val="24"/>
        </w:rPr>
        <w:t>Sealy‘s</w:t>
      </w:r>
      <w:r>
        <w:rPr>
          <w:i/>
          <w:spacing w:val="1"/>
          <w:sz w:val="24"/>
        </w:rPr>
        <w:t> </w:t>
      </w:r>
      <w:r>
        <w:rPr>
          <w:i/>
          <w:sz w:val="24"/>
        </w:rPr>
        <w:t>Cases</w:t>
      </w:r>
      <w:r>
        <w:rPr>
          <w:i/>
          <w:spacing w:val="1"/>
          <w:sz w:val="24"/>
        </w:rPr>
        <w:t> </w:t>
      </w:r>
      <w:r>
        <w:rPr>
          <w:i/>
          <w:sz w:val="24"/>
        </w:rPr>
        <w:t>and</w:t>
      </w:r>
      <w:r>
        <w:rPr>
          <w:i/>
          <w:spacing w:val="4"/>
          <w:sz w:val="24"/>
        </w:rPr>
        <w:t> </w:t>
      </w:r>
      <w:r>
        <w:rPr>
          <w:i/>
          <w:sz w:val="24"/>
        </w:rPr>
        <w:t>Materials</w:t>
      </w:r>
      <w:r>
        <w:rPr>
          <w:i/>
          <w:spacing w:val="2"/>
          <w:sz w:val="24"/>
        </w:rPr>
        <w:t> </w:t>
      </w:r>
      <w:r>
        <w:rPr>
          <w:i/>
          <w:sz w:val="24"/>
        </w:rPr>
        <w:t>in</w:t>
      </w:r>
      <w:r>
        <w:rPr>
          <w:i/>
          <w:spacing w:val="4"/>
          <w:sz w:val="24"/>
        </w:rPr>
        <w:t> </w:t>
      </w:r>
      <w:r>
        <w:rPr>
          <w:i/>
          <w:sz w:val="24"/>
        </w:rPr>
        <w:t>Company</w:t>
      </w:r>
      <w:r>
        <w:rPr>
          <w:i/>
          <w:spacing w:val="3"/>
          <w:sz w:val="24"/>
        </w:rPr>
        <w:t> </w:t>
      </w:r>
      <w:r>
        <w:rPr>
          <w:i/>
          <w:spacing w:val="-2"/>
          <w:sz w:val="24"/>
        </w:rPr>
        <w:t>Law</w:t>
      </w:r>
      <w:r>
        <w:rPr>
          <w:spacing w:val="-2"/>
          <w:sz w:val="24"/>
        </w:rPr>
        <w:t>.9</w:t>
      </w:r>
      <w:r>
        <w:rPr>
          <w:spacing w:val="-2"/>
          <w:sz w:val="24"/>
          <w:vertAlign w:val="superscript"/>
        </w:rPr>
        <w:t>th</w:t>
      </w:r>
    </w:p>
    <w:p>
      <w:pPr>
        <w:pStyle w:val="BodyText"/>
        <w:spacing w:before="2"/>
      </w:pPr>
      <w:r>
        <w:rPr/>
        <w:t>edition,</w:t>
      </w:r>
      <w:r>
        <w:rPr>
          <w:spacing w:val="-3"/>
        </w:rPr>
        <w:t> </w:t>
      </w:r>
      <w:r>
        <w:rPr/>
        <w:t>Oxford</w:t>
      </w:r>
      <w:r>
        <w:rPr>
          <w:spacing w:val="-4"/>
        </w:rPr>
        <w:t> </w:t>
      </w:r>
      <w:r>
        <w:rPr/>
        <w:t>University</w:t>
      </w:r>
      <w:r>
        <w:rPr>
          <w:spacing w:val="-12"/>
        </w:rPr>
        <w:t> </w:t>
      </w:r>
      <w:r>
        <w:rPr>
          <w:spacing w:val="-2"/>
        </w:rPr>
        <w:t>Press.</w:t>
      </w:r>
    </w:p>
    <w:p>
      <w:pPr>
        <w:pStyle w:val="BodyText"/>
        <w:spacing w:before="1"/>
        <w:ind w:left="0"/>
      </w:pPr>
    </w:p>
    <w:p>
      <w:pPr>
        <w:spacing w:before="0"/>
        <w:ind w:left="308" w:right="0" w:firstLine="0"/>
        <w:jc w:val="left"/>
        <w:rPr>
          <w:sz w:val="24"/>
        </w:rPr>
      </w:pPr>
      <w:r>
        <w:rPr>
          <w:sz w:val="24"/>
        </w:rPr>
        <w:t>Seplaki</w:t>
      </w:r>
      <w:r>
        <w:rPr>
          <w:spacing w:val="-7"/>
          <w:sz w:val="24"/>
        </w:rPr>
        <w:t> </w:t>
      </w:r>
      <w:r>
        <w:rPr>
          <w:sz w:val="24"/>
        </w:rPr>
        <w:t>L.</w:t>
      </w:r>
      <w:r>
        <w:rPr>
          <w:spacing w:val="2"/>
          <w:sz w:val="24"/>
        </w:rPr>
        <w:t> </w:t>
      </w:r>
      <w:r>
        <w:rPr>
          <w:sz w:val="24"/>
        </w:rPr>
        <w:t>(1982). </w:t>
      </w:r>
      <w:r>
        <w:rPr>
          <w:i/>
          <w:sz w:val="24"/>
        </w:rPr>
        <w:t>Antitrust and the</w:t>
      </w:r>
      <w:r>
        <w:rPr>
          <w:i/>
          <w:spacing w:val="-4"/>
          <w:sz w:val="24"/>
        </w:rPr>
        <w:t> </w:t>
      </w:r>
      <w:r>
        <w:rPr>
          <w:i/>
          <w:sz w:val="24"/>
        </w:rPr>
        <w:t>Economics</w:t>
      </w:r>
      <w:r>
        <w:rPr>
          <w:i/>
          <w:spacing w:val="-2"/>
          <w:sz w:val="24"/>
        </w:rPr>
        <w:t> </w:t>
      </w:r>
      <w:r>
        <w:rPr>
          <w:i/>
          <w:sz w:val="24"/>
        </w:rPr>
        <w:t>of the</w:t>
      </w:r>
      <w:r>
        <w:rPr>
          <w:i/>
          <w:spacing w:val="-1"/>
          <w:sz w:val="24"/>
        </w:rPr>
        <w:t> </w:t>
      </w:r>
      <w:r>
        <w:rPr>
          <w:i/>
          <w:sz w:val="24"/>
        </w:rPr>
        <w:t>Market.</w:t>
      </w:r>
      <w:r>
        <w:rPr>
          <w:sz w:val="24"/>
        </w:rPr>
        <w:t>Harcourt,New </w:t>
      </w:r>
      <w:r>
        <w:rPr>
          <w:spacing w:val="-2"/>
          <w:sz w:val="24"/>
        </w:rPr>
        <w:t>York.</w:t>
      </w:r>
    </w:p>
    <w:p>
      <w:pPr>
        <w:pStyle w:val="BodyText"/>
        <w:spacing w:before="2"/>
        <w:ind w:left="0"/>
      </w:pPr>
    </w:p>
    <w:p>
      <w:pPr>
        <w:spacing w:line="237" w:lineRule="auto" w:before="0"/>
        <w:ind w:left="308" w:right="233" w:firstLine="0"/>
        <w:jc w:val="both"/>
        <w:rPr>
          <w:sz w:val="24"/>
        </w:rPr>
      </w:pPr>
      <w:r>
        <w:rPr>
          <w:sz w:val="24"/>
        </w:rPr>
        <w:t>Wild, C. and Weinstein, S. (2009). </w:t>
      </w:r>
      <w:r>
        <w:rPr>
          <w:i/>
          <w:sz w:val="24"/>
        </w:rPr>
        <w:t>Smith &amp; Keenan‘s Company Law.</w:t>
      </w:r>
      <w:r>
        <w:rPr>
          <w:sz w:val="24"/>
        </w:rPr>
        <w:t>14</w:t>
      </w:r>
      <w:r>
        <w:rPr>
          <w:sz w:val="24"/>
          <w:vertAlign w:val="superscript"/>
        </w:rPr>
        <w:t>th</w:t>
      </w:r>
      <w:r>
        <w:rPr>
          <w:sz w:val="24"/>
          <w:vertAlign w:val="baseline"/>
        </w:rPr>
        <w:t> edition, Pearson Education Limited, England.</w:t>
      </w:r>
    </w:p>
    <w:p>
      <w:pPr>
        <w:pStyle w:val="BodyText"/>
        <w:spacing w:before="6"/>
        <w:ind w:left="0"/>
      </w:pPr>
    </w:p>
    <w:p>
      <w:pPr>
        <w:pStyle w:val="Heading2"/>
        <w:ind w:left="308" w:firstLine="0"/>
        <w:jc w:val="left"/>
      </w:pPr>
      <w:r>
        <w:rPr>
          <w:spacing w:val="-2"/>
        </w:rPr>
        <w:t>Journals</w:t>
      </w:r>
    </w:p>
    <w:p>
      <w:pPr>
        <w:spacing w:line="276" w:lineRule="auto" w:before="36"/>
        <w:ind w:left="308" w:right="0" w:firstLine="0"/>
        <w:jc w:val="left"/>
        <w:rPr>
          <w:sz w:val="24"/>
        </w:rPr>
      </w:pPr>
      <w:r>
        <w:rPr>
          <w:sz w:val="24"/>
        </w:rPr>
        <w:t>Adamu,</w:t>
      </w:r>
      <w:r>
        <w:rPr>
          <w:spacing w:val="80"/>
          <w:w w:val="150"/>
          <w:sz w:val="24"/>
        </w:rPr>
        <w:t> </w:t>
      </w:r>
      <w:r>
        <w:rPr>
          <w:sz w:val="24"/>
        </w:rPr>
        <w:t>H.</w:t>
      </w:r>
      <w:r>
        <w:rPr>
          <w:spacing w:val="80"/>
          <w:w w:val="150"/>
          <w:sz w:val="24"/>
        </w:rPr>
        <w:t> </w:t>
      </w:r>
      <w:r>
        <w:rPr>
          <w:sz w:val="24"/>
        </w:rPr>
        <w:t>(2014).</w:t>
      </w:r>
      <w:r>
        <w:rPr>
          <w:spacing w:val="80"/>
          <w:w w:val="150"/>
          <w:sz w:val="24"/>
        </w:rPr>
        <w:t> </w:t>
      </w:r>
      <w:r>
        <w:rPr>
          <w:sz w:val="24"/>
        </w:rPr>
        <w:t>Towards</w:t>
      </w:r>
      <w:r>
        <w:rPr>
          <w:spacing w:val="80"/>
          <w:w w:val="150"/>
          <w:sz w:val="24"/>
        </w:rPr>
        <w:t> </w:t>
      </w:r>
      <w:r>
        <w:rPr>
          <w:sz w:val="24"/>
        </w:rPr>
        <w:t>Easing</w:t>
      </w:r>
      <w:r>
        <w:rPr>
          <w:spacing w:val="80"/>
          <w:w w:val="150"/>
          <w:sz w:val="24"/>
        </w:rPr>
        <w:t> </w:t>
      </w:r>
      <w:r>
        <w:rPr>
          <w:sz w:val="24"/>
        </w:rPr>
        <w:t>the</w:t>
      </w:r>
      <w:r>
        <w:rPr>
          <w:spacing w:val="80"/>
          <w:w w:val="150"/>
          <w:sz w:val="24"/>
        </w:rPr>
        <w:t> </w:t>
      </w:r>
      <w:r>
        <w:rPr>
          <w:sz w:val="24"/>
        </w:rPr>
        <w:t>Incorporation</w:t>
      </w:r>
      <w:r>
        <w:rPr>
          <w:spacing w:val="80"/>
          <w:w w:val="150"/>
          <w:sz w:val="24"/>
        </w:rPr>
        <w:t> </w:t>
      </w:r>
      <w:r>
        <w:rPr>
          <w:sz w:val="24"/>
        </w:rPr>
        <w:t>Process</w:t>
      </w:r>
      <w:r>
        <w:rPr>
          <w:spacing w:val="80"/>
          <w:w w:val="150"/>
          <w:sz w:val="24"/>
        </w:rPr>
        <w:t> </w:t>
      </w:r>
      <w:r>
        <w:rPr>
          <w:sz w:val="24"/>
        </w:rPr>
        <w:t>for</w:t>
      </w:r>
      <w:r>
        <w:rPr>
          <w:spacing w:val="80"/>
          <w:w w:val="150"/>
          <w:sz w:val="24"/>
        </w:rPr>
        <w:t> </w:t>
      </w:r>
      <w:r>
        <w:rPr>
          <w:sz w:val="24"/>
        </w:rPr>
        <w:t>Economic Transformation.</w:t>
      </w:r>
      <w:r>
        <w:rPr>
          <w:i/>
          <w:sz w:val="24"/>
        </w:rPr>
        <w:t>ABU Journal of Commercial Law</w:t>
      </w:r>
      <w:r>
        <w:rPr>
          <w:sz w:val="24"/>
        </w:rPr>
        <w:t>, 6(1): 205-219.</w:t>
      </w:r>
    </w:p>
    <w:p>
      <w:pPr>
        <w:spacing w:line="271" w:lineRule="auto" w:before="201"/>
        <w:ind w:left="308" w:right="0" w:firstLine="0"/>
        <w:jc w:val="left"/>
        <w:rPr>
          <w:sz w:val="24"/>
        </w:rPr>
      </w:pPr>
      <w:r>
        <w:rPr>
          <w:sz w:val="24"/>
        </w:rPr>
        <w:t>Aina, K. (2013). Board</w:t>
      </w:r>
      <w:r>
        <w:rPr>
          <w:spacing w:val="-1"/>
          <w:sz w:val="24"/>
        </w:rPr>
        <w:t> </w:t>
      </w:r>
      <w:r>
        <w:rPr>
          <w:sz w:val="24"/>
        </w:rPr>
        <w:t>of</w:t>
      </w:r>
      <w:r>
        <w:rPr>
          <w:spacing w:val="-4"/>
          <w:sz w:val="24"/>
        </w:rPr>
        <w:t> </w:t>
      </w:r>
      <w:r>
        <w:rPr>
          <w:sz w:val="24"/>
        </w:rPr>
        <w:t>Directors and Corporate</w:t>
      </w:r>
      <w:r>
        <w:rPr>
          <w:spacing w:val="-2"/>
          <w:sz w:val="24"/>
        </w:rPr>
        <w:t> </w:t>
      </w:r>
      <w:r>
        <w:rPr>
          <w:sz w:val="24"/>
        </w:rPr>
        <w:t>Governance in Nigeria.</w:t>
      </w:r>
      <w:r>
        <w:rPr>
          <w:i/>
          <w:sz w:val="24"/>
        </w:rPr>
        <w:t>International Journal of Business and Finance Management Research, </w:t>
      </w:r>
      <w:r>
        <w:rPr>
          <w:sz w:val="24"/>
        </w:rPr>
        <w:t>1: 21-34.</w:t>
      </w:r>
    </w:p>
    <w:p>
      <w:pPr>
        <w:pStyle w:val="BodyText"/>
        <w:spacing w:before="212"/>
      </w:pPr>
      <w:r>
        <w:rPr/>
        <w:t>Akume,</w:t>
      </w:r>
      <w:r>
        <w:rPr>
          <w:spacing w:val="32"/>
        </w:rPr>
        <w:t> </w:t>
      </w:r>
      <w:r>
        <w:rPr/>
        <w:t>A.</w:t>
      </w:r>
      <w:r>
        <w:rPr>
          <w:spacing w:val="30"/>
        </w:rPr>
        <w:t> </w:t>
      </w:r>
      <w:r>
        <w:rPr/>
        <w:t>A.</w:t>
      </w:r>
      <w:r>
        <w:rPr>
          <w:spacing w:val="31"/>
        </w:rPr>
        <w:t> </w:t>
      </w:r>
      <w:r>
        <w:rPr/>
        <w:t>(2012).</w:t>
      </w:r>
      <w:r>
        <w:rPr>
          <w:spacing w:val="31"/>
        </w:rPr>
        <w:t> </w:t>
      </w:r>
      <w:r>
        <w:rPr/>
        <w:t>The</w:t>
      </w:r>
      <w:r>
        <w:rPr>
          <w:spacing w:val="27"/>
        </w:rPr>
        <w:t> </w:t>
      </w:r>
      <w:r>
        <w:rPr/>
        <w:t>CAMA</w:t>
      </w:r>
      <w:r>
        <w:rPr>
          <w:spacing w:val="23"/>
        </w:rPr>
        <w:t> </w:t>
      </w:r>
      <w:r>
        <w:rPr/>
        <w:t>1990,</w:t>
      </w:r>
      <w:r>
        <w:rPr>
          <w:spacing w:val="30"/>
        </w:rPr>
        <w:t> </w:t>
      </w:r>
      <w:r>
        <w:rPr/>
        <w:t>20</w:t>
      </w:r>
      <w:r>
        <w:rPr>
          <w:spacing w:val="28"/>
        </w:rPr>
        <w:t> </w:t>
      </w:r>
      <w:r>
        <w:rPr/>
        <w:t>Years</w:t>
      </w:r>
      <w:r>
        <w:rPr>
          <w:spacing w:val="26"/>
        </w:rPr>
        <w:t> </w:t>
      </w:r>
      <w:r>
        <w:rPr/>
        <w:t>On:</w:t>
      </w:r>
      <w:r>
        <w:rPr>
          <w:spacing w:val="28"/>
        </w:rPr>
        <w:t> </w:t>
      </w:r>
      <w:r>
        <w:rPr/>
        <w:t>The</w:t>
      </w:r>
      <w:r>
        <w:rPr>
          <w:spacing w:val="28"/>
        </w:rPr>
        <w:t> </w:t>
      </w:r>
      <w:r>
        <w:rPr/>
        <w:t>Need</w:t>
      </w:r>
      <w:r>
        <w:rPr>
          <w:spacing w:val="32"/>
        </w:rPr>
        <w:t> </w:t>
      </w:r>
      <w:r>
        <w:rPr/>
        <w:t>for</w:t>
      </w:r>
      <w:r>
        <w:rPr>
          <w:spacing w:val="30"/>
        </w:rPr>
        <w:t> </w:t>
      </w:r>
      <w:r>
        <w:rPr/>
        <w:t>Some</w:t>
      </w:r>
      <w:r>
        <w:rPr>
          <w:spacing w:val="28"/>
        </w:rPr>
        <w:t> </w:t>
      </w:r>
      <w:r>
        <w:rPr>
          <w:spacing w:val="-2"/>
        </w:rPr>
        <w:t>Review.</w:t>
      </w:r>
    </w:p>
    <w:p>
      <w:pPr>
        <w:spacing w:before="36"/>
        <w:ind w:left="308" w:right="0" w:firstLine="0"/>
        <w:jc w:val="left"/>
        <w:rPr>
          <w:sz w:val="24"/>
        </w:rPr>
      </w:pPr>
      <w:r>
        <w:rPr>
          <w:i/>
          <w:sz w:val="24"/>
        </w:rPr>
        <w:t>ABU</w:t>
      </w:r>
      <w:r>
        <w:rPr>
          <w:i/>
          <w:spacing w:val="-3"/>
          <w:sz w:val="24"/>
        </w:rPr>
        <w:t> </w:t>
      </w:r>
      <w:r>
        <w:rPr>
          <w:i/>
          <w:sz w:val="24"/>
        </w:rPr>
        <w:t>Journal</w:t>
      </w:r>
      <w:r>
        <w:rPr>
          <w:i/>
          <w:spacing w:val="-2"/>
          <w:sz w:val="24"/>
        </w:rPr>
        <w:t> </w:t>
      </w:r>
      <w:r>
        <w:rPr>
          <w:i/>
          <w:sz w:val="24"/>
        </w:rPr>
        <w:t>of</w:t>
      </w:r>
      <w:r>
        <w:rPr>
          <w:i/>
          <w:spacing w:val="-2"/>
          <w:sz w:val="24"/>
        </w:rPr>
        <w:t> </w:t>
      </w:r>
      <w:r>
        <w:rPr>
          <w:i/>
          <w:sz w:val="24"/>
        </w:rPr>
        <w:t>Commercial</w:t>
      </w:r>
      <w:r>
        <w:rPr>
          <w:i/>
          <w:spacing w:val="-2"/>
          <w:sz w:val="24"/>
        </w:rPr>
        <w:t> </w:t>
      </w:r>
      <w:r>
        <w:rPr>
          <w:i/>
          <w:sz w:val="24"/>
        </w:rPr>
        <w:t>Law,</w:t>
      </w:r>
      <w:r>
        <w:rPr>
          <w:i/>
          <w:spacing w:val="3"/>
          <w:sz w:val="24"/>
        </w:rPr>
        <w:t> </w:t>
      </w:r>
      <w:r>
        <w:rPr>
          <w:sz w:val="24"/>
        </w:rPr>
        <w:t>5(1):</w:t>
      </w:r>
      <w:r>
        <w:rPr>
          <w:spacing w:val="-1"/>
          <w:sz w:val="24"/>
        </w:rPr>
        <w:t> </w:t>
      </w:r>
      <w:r>
        <w:rPr>
          <w:sz w:val="24"/>
        </w:rPr>
        <w:t>28-</w:t>
      </w:r>
      <w:r>
        <w:rPr>
          <w:spacing w:val="-5"/>
          <w:sz w:val="24"/>
        </w:rPr>
        <w:t>39.</w:t>
      </w:r>
    </w:p>
    <w:p>
      <w:pPr>
        <w:pStyle w:val="BodyText"/>
        <w:spacing w:before="247"/>
      </w:pPr>
      <w:r>
        <w:rPr/>
        <w:t>Alcock,</w:t>
      </w:r>
      <w:r>
        <w:rPr>
          <w:spacing w:val="72"/>
        </w:rPr>
        <w:t> </w:t>
      </w:r>
      <w:r>
        <w:rPr/>
        <w:t>A.</w:t>
      </w:r>
      <w:r>
        <w:rPr>
          <w:spacing w:val="75"/>
        </w:rPr>
        <w:t> </w:t>
      </w:r>
      <w:r>
        <w:rPr/>
        <w:t>(2009)</w:t>
      </w:r>
      <w:r>
        <w:rPr>
          <w:spacing w:val="74"/>
        </w:rPr>
        <w:t> </w:t>
      </w:r>
      <w:r>
        <w:rPr/>
        <w:t>An</w:t>
      </w:r>
      <w:r>
        <w:rPr>
          <w:spacing w:val="77"/>
        </w:rPr>
        <w:t> </w:t>
      </w:r>
      <w:r>
        <w:rPr/>
        <w:t>Accidental</w:t>
      </w:r>
      <w:r>
        <w:rPr>
          <w:spacing w:val="67"/>
        </w:rPr>
        <w:t> </w:t>
      </w:r>
      <w:r>
        <w:rPr/>
        <w:t>Change</w:t>
      </w:r>
      <w:r>
        <w:rPr>
          <w:spacing w:val="72"/>
        </w:rPr>
        <w:t> </w:t>
      </w:r>
      <w:r>
        <w:rPr/>
        <w:t>to</w:t>
      </w:r>
      <w:r>
        <w:rPr>
          <w:spacing w:val="72"/>
        </w:rPr>
        <w:t> </w:t>
      </w:r>
      <w:r>
        <w:rPr/>
        <w:t>Directors‘</w:t>
      </w:r>
      <w:r>
        <w:rPr>
          <w:spacing w:val="70"/>
        </w:rPr>
        <w:t> </w:t>
      </w:r>
      <w:r>
        <w:rPr/>
        <w:t>Duties?</w:t>
      </w:r>
      <w:r>
        <w:rPr>
          <w:i/>
        </w:rPr>
        <w:t>Company</w:t>
      </w:r>
      <w:r>
        <w:rPr>
          <w:i/>
          <w:spacing w:val="71"/>
        </w:rPr>
        <w:t> </w:t>
      </w:r>
      <w:r>
        <w:rPr>
          <w:i/>
          <w:spacing w:val="-2"/>
        </w:rPr>
        <w:t>Lawyer</w:t>
      </w:r>
      <w:r>
        <w:rPr>
          <w:spacing w:val="-2"/>
        </w:rPr>
        <w:t>,</w:t>
      </w:r>
    </w:p>
    <w:p>
      <w:pPr>
        <w:pStyle w:val="BodyText"/>
        <w:spacing w:before="37"/>
      </w:pPr>
      <w:r>
        <w:rPr/>
        <w:t>362.Retrieved</w:t>
      </w:r>
      <w:r>
        <w:rPr>
          <w:spacing w:val="-2"/>
        </w:rPr>
        <w:t> </w:t>
      </w:r>
      <w:r>
        <w:rPr/>
        <w:t>November 11,</w:t>
      </w:r>
      <w:r>
        <w:rPr>
          <w:spacing w:val="3"/>
        </w:rPr>
        <w:t> </w:t>
      </w:r>
      <w:r>
        <w:rPr/>
        <w:t>2013</w:t>
      </w:r>
      <w:r>
        <w:rPr>
          <w:spacing w:val="-6"/>
        </w:rPr>
        <w:t> </w:t>
      </w:r>
      <w:r>
        <w:rPr/>
        <w:t>from</w:t>
      </w:r>
      <w:r>
        <w:rPr>
          <w:spacing w:val="-3"/>
        </w:rPr>
        <w:t> </w:t>
      </w:r>
      <w:hyperlink r:id="rId50">
        <w:r>
          <w:rPr>
            <w:color w:val="0000FF"/>
            <w:spacing w:val="-2"/>
            <w:u w:val="single" w:color="0000FF"/>
          </w:rPr>
          <w:t>http://usir.salford.ac.uk/3112/1/CA_2006.pdf</w:t>
        </w:r>
        <w:r>
          <w:rPr>
            <w:spacing w:val="-2"/>
          </w:rPr>
          <w:t>.</w:t>
        </w:r>
      </w:hyperlink>
    </w:p>
    <w:p>
      <w:pPr>
        <w:spacing w:line="273" w:lineRule="auto" w:before="247"/>
        <w:ind w:left="308" w:right="235" w:firstLine="0"/>
        <w:jc w:val="both"/>
        <w:rPr>
          <w:sz w:val="24"/>
        </w:rPr>
      </w:pPr>
      <w:r>
        <w:rPr>
          <w:sz w:val="24"/>
        </w:rPr>
        <w:t>Anderson, M. </w:t>
      </w:r>
      <w:r>
        <w:rPr>
          <w:i/>
          <w:sz w:val="24"/>
        </w:rPr>
        <w:t>et al. </w:t>
      </w:r>
      <w:r>
        <w:rPr>
          <w:sz w:val="24"/>
        </w:rPr>
        <w:t>(2011).</w:t>
      </w:r>
      <w:r>
        <w:rPr>
          <w:i/>
          <w:sz w:val="24"/>
        </w:rPr>
        <w:t>Evaluating the Shareholder Primacy Theory: Evidence from a Survey of Australian Directors.</w:t>
      </w:r>
      <w:r>
        <w:rPr>
          <w:sz w:val="24"/>
        </w:rPr>
        <w:t>Corporate Governance and Workplace Partnership Project, Faculty of Law, University of Melbourne, Australia.</w:t>
      </w:r>
    </w:p>
    <w:p>
      <w:pPr>
        <w:spacing w:line="271" w:lineRule="auto" w:before="209"/>
        <w:ind w:left="308" w:right="0" w:firstLine="0"/>
        <w:jc w:val="left"/>
        <w:rPr>
          <w:sz w:val="24"/>
        </w:rPr>
      </w:pPr>
      <w:r>
        <w:rPr>
          <w:sz w:val="24"/>
        </w:rPr>
        <w:t>Armour,</w:t>
      </w:r>
      <w:r>
        <w:rPr>
          <w:spacing w:val="40"/>
          <w:sz w:val="24"/>
        </w:rPr>
        <w:t> </w:t>
      </w:r>
      <w:r>
        <w:rPr>
          <w:sz w:val="24"/>
        </w:rPr>
        <w:t>J.</w:t>
      </w:r>
      <w:r>
        <w:rPr>
          <w:spacing w:val="40"/>
          <w:sz w:val="24"/>
        </w:rPr>
        <w:t> </w:t>
      </w:r>
      <w:r>
        <w:rPr>
          <w:sz w:val="24"/>
        </w:rPr>
        <w:t>et</w:t>
      </w:r>
      <w:r>
        <w:rPr>
          <w:spacing w:val="40"/>
          <w:sz w:val="24"/>
        </w:rPr>
        <w:t> </w:t>
      </w:r>
      <w:r>
        <w:rPr>
          <w:sz w:val="24"/>
        </w:rPr>
        <w:t>al.</w:t>
      </w:r>
      <w:r>
        <w:rPr>
          <w:spacing w:val="40"/>
          <w:sz w:val="24"/>
        </w:rPr>
        <w:t> </w:t>
      </w:r>
      <w:r>
        <w:rPr>
          <w:sz w:val="24"/>
        </w:rPr>
        <w:t>(2003)</w:t>
      </w:r>
      <w:r>
        <w:rPr>
          <w:spacing w:val="40"/>
          <w:sz w:val="24"/>
        </w:rPr>
        <w:t> </w:t>
      </w:r>
      <w:r>
        <w:rPr>
          <w:sz w:val="24"/>
        </w:rPr>
        <w:t>Shareholder</w:t>
      </w:r>
      <w:r>
        <w:rPr>
          <w:spacing w:val="40"/>
          <w:sz w:val="24"/>
        </w:rPr>
        <w:t> </w:t>
      </w:r>
      <w:r>
        <w:rPr>
          <w:sz w:val="24"/>
        </w:rPr>
        <w:t>Primacy</w:t>
      </w:r>
      <w:r>
        <w:rPr>
          <w:spacing w:val="40"/>
          <w:sz w:val="24"/>
        </w:rPr>
        <w:t> </w:t>
      </w:r>
      <w:r>
        <w:rPr>
          <w:sz w:val="24"/>
        </w:rPr>
        <w:t>and</w:t>
      </w:r>
      <w:r>
        <w:rPr>
          <w:spacing w:val="40"/>
          <w:sz w:val="24"/>
        </w:rPr>
        <w:t> </w:t>
      </w:r>
      <w:r>
        <w:rPr>
          <w:sz w:val="24"/>
        </w:rPr>
        <w:t>the</w:t>
      </w:r>
      <w:r>
        <w:rPr>
          <w:spacing w:val="40"/>
          <w:sz w:val="24"/>
        </w:rPr>
        <w:t> </w:t>
      </w:r>
      <w:r>
        <w:rPr>
          <w:sz w:val="24"/>
        </w:rPr>
        <w:t>Trajectory</w:t>
      </w:r>
      <w:r>
        <w:rPr>
          <w:spacing w:val="40"/>
          <w:sz w:val="24"/>
        </w:rPr>
        <w:t> </w:t>
      </w:r>
      <w:r>
        <w:rPr>
          <w:sz w:val="24"/>
        </w:rPr>
        <w:t>of</w:t>
      </w:r>
      <w:r>
        <w:rPr>
          <w:spacing w:val="40"/>
          <w:sz w:val="24"/>
        </w:rPr>
        <w:t> </w:t>
      </w:r>
      <w:r>
        <w:rPr>
          <w:sz w:val="24"/>
        </w:rPr>
        <w:t>UK</w:t>
      </w:r>
      <w:r>
        <w:rPr>
          <w:spacing w:val="40"/>
          <w:sz w:val="24"/>
        </w:rPr>
        <w:t> </w:t>
      </w:r>
      <w:r>
        <w:rPr>
          <w:sz w:val="24"/>
        </w:rPr>
        <w:t>Corporate Governance.</w:t>
      </w:r>
      <w:r>
        <w:rPr>
          <w:i/>
          <w:sz w:val="24"/>
        </w:rPr>
        <w:t>British Journal of Industrial Relations</w:t>
      </w:r>
      <w:r>
        <w:rPr>
          <w:sz w:val="24"/>
        </w:rPr>
        <w:t>, 41: 531.</w:t>
      </w:r>
    </w:p>
    <w:p>
      <w:pPr>
        <w:spacing w:line="271" w:lineRule="auto" w:before="211"/>
        <w:ind w:left="308" w:right="0" w:firstLine="0"/>
        <w:jc w:val="left"/>
        <w:rPr>
          <w:sz w:val="24"/>
        </w:rPr>
      </w:pPr>
      <w:r>
        <w:rPr>
          <w:sz w:val="24"/>
        </w:rPr>
        <w:t>Berle,</w:t>
      </w:r>
      <w:r>
        <w:rPr>
          <w:spacing w:val="40"/>
          <w:sz w:val="24"/>
        </w:rPr>
        <w:t> </w:t>
      </w:r>
      <w:r>
        <w:rPr>
          <w:sz w:val="24"/>
        </w:rPr>
        <w:t>A.A.</w:t>
      </w:r>
      <w:r>
        <w:rPr>
          <w:spacing w:val="40"/>
          <w:sz w:val="24"/>
        </w:rPr>
        <w:t> </w:t>
      </w:r>
      <w:r>
        <w:rPr>
          <w:sz w:val="24"/>
        </w:rPr>
        <w:t>(1931).</w:t>
      </w:r>
      <w:r>
        <w:rPr>
          <w:spacing w:val="40"/>
          <w:sz w:val="24"/>
        </w:rPr>
        <w:t> </w:t>
      </w:r>
      <w:r>
        <w:rPr>
          <w:sz w:val="24"/>
        </w:rPr>
        <w:t>Corporate</w:t>
      </w:r>
      <w:r>
        <w:rPr>
          <w:spacing w:val="40"/>
          <w:sz w:val="24"/>
        </w:rPr>
        <w:t> </w:t>
      </w:r>
      <w:r>
        <w:rPr>
          <w:sz w:val="24"/>
        </w:rPr>
        <w:t>Powers</w:t>
      </w:r>
      <w:r>
        <w:rPr>
          <w:spacing w:val="36"/>
          <w:sz w:val="24"/>
        </w:rPr>
        <w:t> </w:t>
      </w:r>
      <w:r>
        <w:rPr>
          <w:sz w:val="24"/>
        </w:rPr>
        <w:t>as</w:t>
      </w:r>
      <w:r>
        <w:rPr>
          <w:spacing w:val="36"/>
          <w:sz w:val="24"/>
        </w:rPr>
        <w:t> </w:t>
      </w:r>
      <w:r>
        <w:rPr>
          <w:sz w:val="24"/>
        </w:rPr>
        <w:t>Powers</w:t>
      </w:r>
      <w:r>
        <w:rPr>
          <w:spacing w:val="40"/>
          <w:sz w:val="24"/>
        </w:rPr>
        <w:t> </w:t>
      </w:r>
      <w:r>
        <w:rPr>
          <w:sz w:val="24"/>
        </w:rPr>
        <w:t>in</w:t>
      </w:r>
      <w:r>
        <w:rPr>
          <w:spacing w:val="38"/>
          <w:sz w:val="24"/>
        </w:rPr>
        <w:t> </w:t>
      </w:r>
      <w:r>
        <w:rPr>
          <w:sz w:val="24"/>
        </w:rPr>
        <w:t>Trust.</w:t>
      </w:r>
      <w:r>
        <w:rPr>
          <w:i/>
          <w:sz w:val="24"/>
        </w:rPr>
        <w:t>Harvard</w:t>
      </w:r>
      <w:r>
        <w:rPr>
          <w:i/>
          <w:spacing w:val="38"/>
          <w:sz w:val="24"/>
        </w:rPr>
        <w:t> </w:t>
      </w:r>
      <w:r>
        <w:rPr>
          <w:i/>
          <w:sz w:val="24"/>
        </w:rPr>
        <w:t>Law</w:t>
      </w:r>
      <w:r>
        <w:rPr>
          <w:i/>
          <w:spacing w:val="32"/>
          <w:sz w:val="24"/>
        </w:rPr>
        <w:t> </w:t>
      </w:r>
      <w:r>
        <w:rPr>
          <w:i/>
          <w:sz w:val="24"/>
        </w:rPr>
        <w:t>Review,</w:t>
      </w:r>
      <w:r>
        <w:rPr>
          <w:i/>
          <w:spacing w:val="40"/>
          <w:sz w:val="24"/>
        </w:rPr>
        <w:t> </w:t>
      </w:r>
      <w:r>
        <w:rPr>
          <w:sz w:val="24"/>
        </w:rPr>
        <w:t>44: </w:t>
      </w:r>
      <w:r>
        <w:rPr>
          <w:spacing w:val="-2"/>
          <w:sz w:val="24"/>
        </w:rPr>
        <w:t>1049.</w:t>
      </w:r>
    </w:p>
    <w:p>
      <w:pPr>
        <w:spacing w:after="0" w:line="271" w:lineRule="auto"/>
        <w:jc w:val="left"/>
        <w:rPr>
          <w:sz w:val="24"/>
        </w:rPr>
        <w:sectPr>
          <w:pgSz w:w="11910" w:h="16840"/>
          <w:pgMar w:header="0" w:footer="1003" w:top="1320" w:bottom="1200" w:left="1680" w:right="1180"/>
        </w:sectPr>
      </w:pPr>
    </w:p>
    <w:p>
      <w:pPr>
        <w:spacing w:line="276" w:lineRule="auto" w:before="70"/>
        <w:ind w:left="308" w:right="255" w:firstLine="0"/>
        <w:jc w:val="left"/>
        <w:rPr>
          <w:sz w:val="24"/>
        </w:rPr>
      </w:pPr>
      <w:r>
        <w:rPr>
          <w:sz w:val="24"/>
        </w:rPr>
        <w:t>Berle, A.A. (1932). For Whom Managers are Trustees: A Note. </w:t>
      </w:r>
      <w:r>
        <w:rPr>
          <w:i/>
          <w:sz w:val="24"/>
        </w:rPr>
        <w:t>Harvard Law Review</w:t>
      </w:r>
      <w:r>
        <w:rPr>
          <w:sz w:val="24"/>
        </w:rPr>
        <w:t>, 45: 1365.</w:t>
      </w:r>
    </w:p>
    <w:p>
      <w:pPr>
        <w:pStyle w:val="BodyText"/>
        <w:spacing w:line="276" w:lineRule="auto" w:before="200"/>
      </w:pPr>
      <w:r>
        <w:rPr/>
        <w:t>Breslin,</w:t>
      </w:r>
      <w:r>
        <w:rPr>
          <w:spacing w:val="-2"/>
        </w:rPr>
        <w:t> </w:t>
      </w:r>
      <w:r>
        <w:rPr/>
        <w:t>B.,</w:t>
      </w:r>
      <w:r>
        <w:rPr>
          <w:spacing w:val="-2"/>
        </w:rPr>
        <w:t> </w:t>
      </w:r>
      <w:r>
        <w:rPr/>
        <w:t>Ezickson,</w:t>
      </w:r>
      <w:r>
        <w:rPr>
          <w:spacing w:val="-2"/>
        </w:rPr>
        <w:t> </w:t>
      </w:r>
      <w:r>
        <w:rPr/>
        <w:t>D.</w:t>
      </w:r>
      <w:r>
        <w:rPr>
          <w:spacing w:val="-3"/>
        </w:rPr>
        <w:t> </w:t>
      </w:r>
      <w:r>
        <w:rPr/>
        <w:t>and</w:t>
      </w:r>
      <w:r>
        <w:rPr>
          <w:spacing w:val="-4"/>
        </w:rPr>
        <w:t> </w:t>
      </w:r>
      <w:r>
        <w:rPr/>
        <w:t>Kocoras,</w:t>
      </w:r>
      <w:r>
        <w:rPr>
          <w:spacing w:val="-2"/>
        </w:rPr>
        <w:t> </w:t>
      </w:r>
      <w:r>
        <w:rPr/>
        <w:t>J.</w:t>
      </w:r>
      <w:r>
        <w:rPr>
          <w:spacing w:val="-6"/>
        </w:rPr>
        <w:t> </w:t>
      </w:r>
      <w:r>
        <w:rPr/>
        <w:t>(2010).</w:t>
      </w:r>
      <w:r>
        <w:rPr>
          <w:spacing w:val="-6"/>
        </w:rPr>
        <w:t> </w:t>
      </w:r>
      <w:r>
        <w:rPr/>
        <w:t>The</w:t>
      </w:r>
      <w:r>
        <w:rPr>
          <w:spacing w:val="-5"/>
        </w:rPr>
        <w:t> </w:t>
      </w:r>
      <w:r>
        <w:rPr/>
        <w:t>Bribery</w:t>
      </w:r>
      <w:r>
        <w:rPr>
          <w:spacing w:val="-8"/>
        </w:rPr>
        <w:t> </w:t>
      </w:r>
      <w:r>
        <w:rPr/>
        <w:t>Act 2010:</w:t>
      </w:r>
      <w:r>
        <w:rPr>
          <w:spacing w:val="-4"/>
        </w:rPr>
        <w:t> </w:t>
      </w:r>
      <w:r>
        <w:rPr/>
        <w:t>Raising</w:t>
      </w:r>
      <w:r>
        <w:rPr>
          <w:spacing w:val="-4"/>
        </w:rPr>
        <w:t> </w:t>
      </w:r>
      <w:r>
        <w:rPr/>
        <w:t>the</w:t>
      </w:r>
      <w:r>
        <w:rPr>
          <w:spacing w:val="-5"/>
        </w:rPr>
        <w:t> </w:t>
      </w:r>
      <w:r>
        <w:rPr/>
        <w:t>Bar Above the US Foreign Corrupt Practices Act. </w:t>
      </w:r>
      <w:r>
        <w:rPr>
          <w:i/>
        </w:rPr>
        <w:t>The Company Lawyer</w:t>
      </w:r>
      <w:r>
        <w:rPr/>
        <w:t>, 31(1): 362.</w:t>
      </w:r>
    </w:p>
    <w:p>
      <w:pPr>
        <w:pStyle w:val="BodyText"/>
        <w:spacing w:line="271" w:lineRule="auto" w:before="4"/>
      </w:pPr>
      <w:r>
        <w:rPr/>
        <w:t>Retrieved January 23, 2014 from </w:t>
      </w:r>
      <w:hyperlink r:id="rId61">
        <w:r>
          <w:rPr>
            <w:color w:val="0000FF"/>
            <w:spacing w:val="-2"/>
            <w:u w:val="single" w:color="0000FF"/>
          </w:rPr>
          <w:t>http://www.mwe.com/info/pubs/Company%20Lawyer%20Issue%2011.pdf</w:t>
        </w:r>
        <w:r>
          <w:rPr>
            <w:spacing w:val="-2"/>
          </w:rPr>
          <w:t>.</w:t>
        </w:r>
      </w:hyperlink>
    </w:p>
    <w:p>
      <w:pPr>
        <w:spacing w:line="276" w:lineRule="auto" w:before="207"/>
        <w:ind w:left="308" w:right="255" w:firstLine="0"/>
        <w:jc w:val="left"/>
        <w:rPr>
          <w:sz w:val="24"/>
        </w:rPr>
      </w:pPr>
      <w:r>
        <w:rPr>
          <w:sz w:val="24"/>
        </w:rPr>
        <w:t>Brown, E. (2010). A Case of Split Loyalty?Multiple Directorships and Conflicts of Interest</w:t>
      </w:r>
      <w:r>
        <w:rPr>
          <w:spacing w:val="-4"/>
          <w:sz w:val="24"/>
        </w:rPr>
        <w:t> </w:t>
      </w:r>
      <w:r>
        <w:rPr>
          <w:sz w:val="24"/>
        </w:rPr>
        <w:t>under</w:t>
      </w:r>
      <w:r>
        <w:rPr>
          <w:spacing w:val="-3"/>
          <w:sz w:val="24"/>
        </w:rPr>
        <w:t> </w:t>
      </w:r>
      <w:r>
        <w:rPr>
          <w:sz w:val="24"/>
        </w:rPr>
        <w:t>the</w:t>
      </w:r>
      <w:r>
        <w:rPr>
          <w:spacing w:val="-5"/>
          <w:sz w:val="24"/>
        </w:rPr>
        <w:t> </w:t>
      </w:r>
      <w:r>
        <w:rPr>
          <w:sz w:val="24"/>
        </w:rPr>
        <w:t>Companies</w:t>
      </w:r>
      <w:r>
        <w:rPr>
          <w:spacing w:val="-2"/>
          <w:sz w:val="24"/>
        </w:rPr>
        <w:t> </w:t>
      </w:r>
      <w:r>
        <w:rPr>
          <w:sz w:val="24"/>
        </w:rPr>
        <w:t>Act 2006.</w:t>
      </w:r>
      <w:r>
        <w:rPr>
          <w:i/>
          <w:sz w:val="24"/>
        </w:rPr>
        <w:t>Butterworths</w:t>
      </w:r>
      <w:r>
        <w:rPr>
          <w:i/>
          <w:spacing w:val="-6"/>
          <w:sz w:val="24"/>
        </w:rPr>
        <w:t> </w:t>
      </w:r>
      <w:r>
        <w:rPr>
          <w:i/>
          <w:sz w:val="24"/>
        </w:rPr>
        <w:t>Journal</w:t>
      </w:r>
      <w:r>
        <w:rPr>
          <w:i/>
          <w:spacing w:val="-4"/>
          <w:sz w:val="24"/>
        </w:rPr>
        <w:t> </w:t>
      </w:r>
      <w:r>
        <w:rPr>
          <w:i/>
          <w:sz w:val="24"/>
        </w:rPr>
        <w:t>of</w:t>
      </w:r>
      <w:r>
        <w:rPr>
          <w:i/>
          <w:spacing w:val="-4"/>
          <w:sz w:val="24"/>
        </w:rPr>
        <w:t> </w:t>
      </w:r>
      <w:r>
        <w:rPr>
          <w:i/>
          <w:sz w:val="24"/>
        </w:rPr>
        <w:t>International</w:t>
      </w:r>
      <w:r>
        <w:rPr>
          <w:i/>
          <w:spacing w:val="-7"/>
          <w:sz w:val="24"/>
        </w:rPr>
        <w:t> </w:t>
      </w:r>
      <w:r>
        <w:rPr>
          <w:i/>
          <w:sz w:val="24"/>
        </w:rPr>
        <w:t>Banking and Financial Law</w:t>
      </w:r>
      <w:r>
        <w:rPr>
          <w:sz w:val="24"/>
        </w:rPr>
        <w:t>, 584.Retrieved December 24, 2013, from </w:t>
      </w:r>
      <w:hyperlink r:id="rId43">
        <w:r>
          <w:rPr>
            <w:color w:val="0000FF"/>
            <w:spacing w:val="-2"/>
            <w:sz w:val="24"/>
            <w:u w:val="single" w:color="0000FF"/>
          </w:rPr>
          <w:t>http://www.essexcourt.net/uploads/publications/JIBFL_brown.pdf</w:t>
        </w:r>
        <w:r>
          <w:rPr>
            <w:spacing w:val="-2"/>
            <w:sz w:val="24"/>
          </w:rPr>
          <w:t>.</w:t>
        </w:r>
      </w:hyperlink>
    </w:p>
    <w:p>
      <w:pPr>
        <w:spacing w:line="271" w:lineRule="auto" w:before="205"/>
        <w:ind w:left="308" w:right="0" w:firstLine="0"/>
        <w:jc w:val="left"/>
        <w:rPr>
          <w:sz w:val="24"/>
        </w:rPr>
      </w:pPr>
      <w:r>
        <w:rPr>
          <w:sz w:val="24"/>
        </w:rPr>
        <w:t>Byrne,</w:t>
      </w:r>
      <w:r>
        <w:rPr>
          <w:spacing w:val="40"/>
          <w:sz w:val="24"/>
        </w:rPr>
        <w:t> </w:t>
      </w:r>
      <w:r>
        <w:rPr>
          <w:sz w:val="24"/>
        </w:rPr>
        <w:t>P.T.</w:t>
      </w:r>
      <w:r>
        <w:rPr>
          <w:spacing w:val="40"/>
          <w:sz w:val="24"/>
        </w:rPr>
        <w:t> </w:t>
      </w:r>
      <w:r>
        <w:rPr>
          <w:sz w:val="24"/>
        </w:rPr>
        <w:t>(2010).</w:t>
      </w:r>
      <w:r>
        <w:rPr>
          <w:spacing w:val="40"/>
          <w:sz w:val="24"/>
        </w:rPr>
        <w:t> </w:t>
      </w:r>
      <w:r>
        <w:rPr>
          <w:sz w:val="24"/>
        </w:rPr>
        <w:t>False</w:t>
      </w:r>
      <w:r>
        <w:rPr>
          <w:spacing w:val="40"/>
          <w:sz w:val="24"/>
        </w:rPr>
        <w:t> </w:t>
      </w:r>
      <w:r>
        <w:rPr>
          <w:sz w:val="24"/>
        </w:rPr>
        <w:t>Profits:</w:t>
      </w:r>
      <w:r>
        <w:rPr>
          <w:spacing w:val="40"/>
          <w:sz w:val="24"/>
        </w:rPr>
        <w:t> </w:t>
      </w:r>
      <w:r>
        <w:rPr>
          <w:sz w:val="24"/>
        </w:rPr>
        <w:t>Reviving</w:t>
      </w:r>
      <w:r>
        <w:rPr>
          <w:spacing w:val="40"/>
          <w:sz w:val="24"/>
        </w:rPr>
        <w:t> </w:t>
      </w:r>
      <w:r>
        <w:rPr>
          <w:sz w:val="24"/>
        </w:rPr>
        <w:t>the</w:t>
      </w:r>
      <w:r>
        <w:rPr>
          <w:spacing w:val="40"/>
          <w:sz w:val="24"/>
        </w:rPr>
        <w:t> </w:t>
      </w:r>
      <w:r>
        <w:rPr>
          <w:sz w:val="24"/>
        </w:rPr>
        <w:t>Corporation‘s</w:t>
      </w:r>
      <w:r>
        <w:rPr>
          <w:spacing w:val="40"/>
          <w:sz w:val="24"/>
        </w:rPr>
        <w:t> </w:t>
      </w:r>
      <w:r>
        <w:rPr>
          <w:sz w:val="24"/>
        </w:rPr>
        <w:t>Public</w:t>
      </w:r>
      <w:r>
        <w:rPr>
          <w:spacing w:val="40"/>
          <w:sz w:val="24"/>
        </w:rPr>
        <w:t> </w:t>
      </w:r>
      <w:r>
        <w:rPr>
          <w:sz w:val="24"/>
        </w:rPr>
        <w:t>Purpose</w:t>
      </w:r>
      <w:r>
        <w:rPr>
          <w:i/>
          <w:sz w:val="24"/>
        </w:rPr>
        <w:t>.UCLA Law Review Discourse</w:t>
      </w:r>
      <w:r>
        <w:rPr>
          <w:sz w:val="24"/>
        </w:rPr>
        <w:t>, 57: 25-49.</w:t>
      </w:r>
    </w:p>
    <w:p>
      <w:pPr>
        <w:pStyle w:val="BodyText"/>
        <w:spacing w:line="271" w:lineRule="auto" w:before="212"/>
      </w:pPr>
      <w:r>
        <w:rPr/>
        <w:t>Christie,</w:t>
      </w:r>
      <w:r>
        <w:rPr>
          <w:spacing w:val="40"/>
        </w:rPr>
        <w:t> </w:t>
      </w:r>
      <w:r>
        <w:rPr/>
        <w:t>M.</w:t>
      </w:r>
      <w:r>
        <w:rPr>
          <w:spacing w:val="40"/>
        </w:rPr>
        <w:t> </w:t>
      </w:r>
      <w:r>
        <w:rPr/>
        <w:t>(1992).</w:t>
      </w:r>
      <w:r>
        <w:rPr>
          <w:spacing w:val="40"/>
        </w:rPr>
        <w:t> </w:t>
      </w:r>
      <w:r>
        <w:rPr/>
        <w:t>The</w:t>
      </w:r>
      <w:r>
        <w:rPr>
          <w:spacing w:val="40"/>
        </w:rPr>
        <w:t> </w:t>
      </w:r>
      <w:r>
        <w:rPr/>
        <w:t>Director‘s</w:t>
      </w:r>
      <w:r>
        <w:rPr>
          <w:spacing w:val="40"/>
        </w:rPr>
        <w:t> </w:t>
      </w:r>
      <w:r>
        <w:rPr/>
        <w:t>Fiduciary</w:t>
      </w:r>
      <w:r>
        <w:rPr>
          <w:spacing w:val="40"/>
        </w:rPr>
        <w:t> </w:t>
      </w:r>
      <w:r>
        <w:rPr/>
        <w:t>Duty</w:t>
      </w:r>
      <w:r>
        <w:rPr>
          <w:spacing w:val="40"/>
        </w:rPr>
        <w:t> </w:t>
      </w:r>
      <w:r>
        <w:rPr/>
        <w:t>Not</w:t>
      </w:r>
      <w:r>
        <w:rPr>
          <w:spacing w:val="40"/>
        </w:rPr>
        <w:t> </w:t>
      </w:r>
      <w:r>
        <w:rPr/>
        <w:t>to</w:t>
      </w:r>
      <w:r>
        <w:rPr>
          <w:spacing w:val="40"/>
        </w:rPr>
        <w:t> </w:t>
      </w:r>
      <w:r>
        <w:rPr/>
        <w:t>Compete.</w:t>
      </w:r>
      <w:r>
        <w:rPr>
          <w:spacing w:val="40"/>
        </w:rPr>
        <w:t> </w:t>
      </w:r>
      <w:r>
        <w:rPr>
          <w:i/>
        </w:rPr>
        <w:t>Modern</w:t>
      </w:r>
      <w:r>
        <w:rPr>
          <w:i/>
          <w:spacing w:val="40"/>
        </w:rPr>
        <w:t> </w:t>
      </w:r>
      <w:r>
        <w:rPr>
          <w:i/>
        </w:rPr>
        <w:t>Law Review, </w:t>
      </w:r>
      <w:r>
        <w:rPr/>
        <w:t>55(4): 506.</w:t>
      </w:r>
    </w:p>
    <w:p>
      <w:pPr>
        <w:pStyle w:val="BodyText"/>
        <w:spacing w:line="276" w:lineRule="auto" w:before="206"/>
        <w:ind w:right="230"/>
        <w:jc w:val="both"/>
      </w:pPr>
      <w:r>
        <w:rPr/>
        <w:t>Clark, G.L. and Knight, E.R.,(2008). Implications of the UK Companies Act 2006 for Institutional</w:t>
      </w:r>
      <w:r>
        <w:rPr>
          <w:spacing w:val="-7"/>
        </w:rPr>
        <w:t> </w:t>
      </w:r>
      <w:r>
        <w:rPr/>
        <w:t>Investors and the Market for Corporate Social</w:t>
      </w:r>
      <w:r>
        <w:rPr>
          <w:spacing w:val="-2"/>
        </w:rPr>
        <w:t> </w:t>
      </w:r>
      <w:r>
        <w:rPr/>
        <w:t>Responsibility. </w:t>
      </w:r>
      <w:r>
        <w:rPr>
          <w:i/>
        </w:rPr>
        <w:t>University of Pennsylvania Journal of Business Law</w:t>
      </w:r>
      <w:r>
        <w:rPr/>
        <w:t>, 11(2): 259-296. Retrieved April 22, 2014 from </w:t>
      </w:r>
      <w:hyperlink r:id="rId14">
        <w:r>
          <w:rPr>
            <w:color w:val="0000FF"/>
            <w:spacing w:val="-2"/>
            <w:u w:val="single" w:color="0000FF"/>
          </w:rPr>
          <w:t>https://www.law.upenn.edu/journals/jbl/articles/volume11/issue2/ClarkKnight11U.Pa.J.</w:t>
        </w:r>
      </w:hyperlink>
      <w:r>
        <w:rPr>
          <w:color w:val="0000FF"/>
          <w:spacing w:val="-2"/>
        </w:rPr>
        <w:t> </w:t>
      </w:r>
      <w:hyperlink r:id="rId14">
        <w:r>
          <w:rPr>
            <w:color w:val="0000FF"/>
            <w:spacing w:val="-2"/>
            <w:u w:val="single" w:color="0000FF"/>
          </w:rPr>
          <w:t>Bus.L.259(2009).pdf</w:t>
        </w:r>
        <w:r>
          <w:rPr>
            <w:spacing w:val="-2"/>
          </w:rPr>
          <w:t>.</w:t>
        </w:r>
      </w:hyperlink>
    </w:p>
    <w:p>
      <w:pPr>
        <w:spacing w:line="271" w:lineRule="auto" w:before="204"/>
        <w:ind w:left="308" w:right="236" w:firstLine="0"/>
        <w:jc w:val="both"/>
        <w:rPr>
          <w:sz w:val="24"/>
        </w:rPr>
      </w:pPr>
      <w:r>
        <w:rPr>
          <w:sz w:val="24"/>
        </w:rPr>
        <w:t>Colinger, D.O. (1995). Managerial</w:t>
      </w:r>
      <w:r>
        <w:rPr>
          <w:spacing w:val="-1"/>
          <w:sz w:val="24"/>
        </w:rPr>
        <w:t> </w:t>
      </w:r>
      <w:r>
        <w:rPr>
          <w:sz w:val="24"/>
        </w:rPr>
        <w:t>Roles and Ethical</w:t>
      </w:r>
      <w:r>
        <w:rPr>
          <w:spacing w:val="-1"/>
          <w:sz w:val="24"/>
        </w:rPr>
        <w:t> </w:t>
      </w:r>
      <w:r>
        <w:rPr>
          <w:sz w:val="24"/>
        </w:rPr>
        <w:t>Behaviour</w:t>
      </w:r>
      <w:r>
        <w:rPr>
          <w:i/>
          <w:sz w:val="24"/>
        </w:rPr>
        <w:t>.Financial Practice and Education</w:t>
      </w:r>
      <w:r>
        <w:rPr>
          <w:sz w:val="24"/>
        </w:rPr>
        <w:t>, 5: 50.</w:t>
      </w:r>
    </w:p>
    <w:p>
      <w:pPr>
        <w:pStyle w:val="BodyText"/>
        <w:spacing w:before="212"/>
      </w:pPr>
      <w:r>
        <w:rPr/>
        <w:t>Davies,</w:t>
      </w:r>
      <w:r>
        <w:rPr>
          <w:spacing w:val="33"/>
        </w:rPr>
        <w:t> </w:t>
      </w:r>
      <w:r>
        <w:rPr/>
        <w:t>P.</w:t>
      </w:r>
      <w:r>
        <w:rPr>
          <w:spacing w:val="34"/>
        </w:rPr>
        <w:t> </w:t>
      </w:r>
      <w:r>
        <w:rPr/>
        <w:t>and</w:t>
      </w:r>
      <w:r>
        <w:rPr>
          <w:spacing w:val="32"/>
        </w:rPr>
        <w:t> </w:t>
      </w:r>
      <w:r>
        <w:rPr/>
        <w:t>Rickford,</w:t>
      </w:r>
      <w:r>
        <w:rPr>
          <w:spacing w:val="34"/>
        </w:rPr>
        <w:t> </w:t>
      </w:r>
      <w:r>
        <w:rPr/>
        <w:t>J.</w:t>
      </w:r>
      <w:r>
        <w:rPr>
          <w:spacing w:val="34"/>
        </w:rPr>
        <w:t> </w:t>
      </w:r>
      <w:r>
        <w:rPr/>
        <w:t>(2008).</w:t>
      </w:r>
      <w:r>
        <w:rPr>
          <w:spacing w:val="30"/>
        </w:rPr>
        <w:t> </w:t>
      </w:r>
      <w:r>
        <w:rPr/>
        <w:t>An</w:t>
      </w:r>
      <w:r>
        <w:rPr>
          <w:spacing w:val="27"/>
        </w:rPr>
        <w:t> </w:t>
      </w:r>
      <w:r>
        <w:rPr/>
        <w:t>Introduction</w:t>
      </w:r>
      <w:r>
        <w:rPr>
          <w:spacing w:val="27"/>
        </w:rPr>
        <w:t> </w:t>
      </w:r>
      <w:r>
        <w:rPr/>
        <w:t>to</w:t>
      </w:r>
      <w:r>
        <w:rPr>
          <w:spacing w:val="33"/>
        </w:rPr>
        <w:t> </w:t>
      </w:r>
      <w:r>
        <w:rPr/>
        <w:t>the</w:t>
      </w:r>
      <w:r>
        <w:rPr>
          <w:spacing w:val="31"/>
        </w:rPr>
        <w:t> </w:t>
      </w:r>
      <w:r>
        <w:rPr/>
        <w:t>New</w:t>
      </w:r>
      <w:r>
        <w:rPr>
          <w:spacing w:val="32"/>
        </w:rPr>
        <w:t> </w:t>
      </w:r>
      <w:r>
        <w:rPr/>
        <w:t>UK</w:t>
      </w:r>
      <w:r>
        <w:rPr>
          <w:spacing w:val="27"/>
        </w:rPr>
        <w:t> </w:t>
      </w:r>
      <w:r>
        <w:rPr/>
        <w:t>Companies</w:t>
      </w:r>
      <w:r>
        <w:rPr>
          <w:spacing w:val="35"/>
        </w:rPr>
        <w:t> </w:t>
      </w:r>
      <w:r>
        <w:rPr>
          <w:spacing w:val="-4"/>
        </w:rPr>
        <w:t>Act.</w:t>
      </w:r>
    </w:p>
    <w:p>
      <w:pPr>
        <w:spacing w:before="36"/>
        <w:ind w:left="308" w:right="0" w:firstLine="0"/>
        <w:jc w:val="left"/>
        <w:rPr>
          <w:sz w:val="24"/>
        </w:rPr>
      </w:pPr>
      <w:r>
        <w:rPr>
          <w:i/>
          <w:sz w:val="24"/>
        </w:rPr>
        <w:t>European Company</w:t>
      </w:r>
      <w:r>
        <w:rPr>
          <w:i/>
          <w:spacing w:val="-1"/>
          <w:sz w:val="24"/>
        </w:rPr>
        <w:t> </w:t>
      </w:r>
      <w:r>
        <w:rPr>
          <w:i/>
          <w:sz w:val="24"/>
        </w:rPr>
        <w:t>and</w:t>
      </w:r>
      <w:r>
        <w:rPr>
          <w:i/>
          <w:spacing w:val="1"/>
          <w:sz w:val="24"/>
        </w:rPr>
        <w:t> </w:t>
      </w:r>
      <w:r>
        <w:rPr>
          <w:i/>
          <w:sz w:val="24"/>
        </w:rPr>
        <w:t>Financial Law</w:t>
      </w:r>
      <w:r>
        <w:rPr>
          <w:i/>
          <w:spacing w:val="-11"/>
          <w:sz w:val="24"/>
        </w:rPr>
        <w:t> </w:t>
      </w:r>
      <w:r>
        <w:rPr>
          <w:i/>
          <w:sz w:val="24"/>
        </w:rPr>
        <w:t>Review</w:t>
      </w:r>
      <w:r>
        <w:rPr>
          <w:sz w:val="24"/>
        </w:rPr>
        <w:t>,</w:t>
      </w:r>
      <w:r>
        <w:rPr>
          <w:spacing w:val="3"/>
          <w:sz w:val="24"/>
        </w:rPr>
        <w:t> </w:t>
      </w:r>
      <w:r>
        <w:rPr>
          <w:sz w:val="24"/>
        </w:rPr>
        <w:t>5:</w:t>
      </w:r>
      <w:r>
        <w:rPr>
          <w:spacing w:val="1"/>
          <w:sz w:val="24"/>
        </w:rPr>
        <w:t> </w:t>
      </w:r>
      <w:r>
        <w:rPr>
          <w:spacing w:val="-5"/>
          <w:sz w:val="24"/>
        </w:rPr>
        <w:t>48.</w:t>
      </w:r>
    </w:p>
    <w:p>
      <w:pPr>
        <w:spacing w:line="276" w:lineRule="auto" w:before="243"/>
        <w:ind w:left="308" w:right="242" w:firstLine="0"/>
        <w:jc w:val="both"/>
        <w:rPr>
          <w:sz w:val="24"/>
        </w:rPr>
      </w:pPr>
      <w:r>
        <w:rPr>
          <w:sz w:val="24"/>
        </w:rPr>
        <w:t>Davis, K. (1973). The Case for and Against Business Assumption of Social Responsibilities</w:t>
      </w:r>
      <w:r>
        <w:rPr>
          <w:i/>
          <w:sz w:val="24"/>
        </w:rPr>
        <w:t>. Academy of Management Journal</w:t>
      </w:r>
      <w:r>
        <w:rPr>
          <w:sz w:val="24"/>
        </w:rPr>
        <w:t>, 16(2):</w:t>
      </w:r>
      <w:r>
        <w:rPr>
          <w:spacing w:val="40"/>
          <w:sz w:val="24"/>
        </w:rPr>
        <w:t> </w:t>
      </w:r>
      <w:r>
        <w:rPr>
          <w:sz w:val="24"/>
        </w:rPr>
        <w:t>312-322.</w:t>
      </w:r>
    </w:p>
    <w:p>
      <w:pPr>
        <w:spacing w:line="276" w:lineRule="auto" w:before="201"/>
        <w:ind w:left="308" w:right="232" w:firstLine="0"/>
        <w:jc w:val="both"/>
        <w:rPr>
          <w:sz w:val="24"/>
        </w:rPr>
      </w:pPr>
      <w:r>
        <w:rPr>
          <w:sz w:val="24"/>
        </w:rPr>
        <w:t>Devinney, M.T., Schwalbach, J. and Williams A.C. (eds.) (2013). Corporate Social Responsibility and Corporate Governance: Comparative Perspectives. </w:t>
      </w:r>
      <w:r>
        <w:rPr>
          <w:i/>
          <w:sz w:val="24"/>
        </w:rPr>
        <w:t>Editorial to Corporate Governance: An International Review</w:t>
      </w:r>
      <w:r>
        <w:rPr>
          <w:sz w:val="24"/>
        </w:rPr>
        <w:t>, 21 (5): 413.</w:t>
      </w:r>
    </w:p>
    <w:p>
      <w:pPr>
        <w:pStyle w:val="BodyText"/>
        <w:spacing w:line="276" w:lineRule="auto" w:before="200"/>
        <w:ind w:right="237"/>
        <w:jc w:val="both"/>
      </w:pPr>
      <w:r>
        <w:rPr/>
        <w:t>Dodd,</w:t>
      </w:r>
      <w:r>
        <w:rPr>
          <w:spacing w:val="-4"/>
        </w:rPr>
        <w:t> </w:t>
      </w:r>
      <w:r>
        <w:rPr/>
        <w:t>E.M. (1932).</w:t>
      </w:r>
      <w:r>
        <w:rPr>
          <w:spacing w:val="-4"/>
        </w:rPr>
        <w:t> </w:t>
      </w:r>
      <w:r>
        <w:rPr/>
        <w:t>For Whom</w:t>
      </w:r>
      <w:r>
        <w:rPr>
          <w:spacing w:val="-10"/>
        </w:rPr>
        <w:t> </w:t>
      </w:r>
      <w:r>
        <w:rPr/>
        <w:t>are</w:t>
      </w:r>
      <w:r>
        <w:rPr>
          <w:spacing w:val="-2"/>
        </w:rPr>
        <w:t> </w:t>
      </w:r>
      <w:r>
        <w:rPr/>
        <w:t>Corporate</w:t>
      </w:r>
      <w:r>
        <w:rPr>
          <w:spacing w:val="-2"/>
        </w:rPr>
        <w:t> </w:t>
      </w:r>
      <w:r>
        <w:rPr/>
        <w:t>Managers</w:t>
      </w:r>
      <w:r>
        <w:rPr>
          <w:spacing w:val="-3"/>
        </w:rPr>
        <w:t> </w:t>
      </w:r>
      <w:r>
        <w:rPr/>
        <w:t>Trusties? </w:t>
      </w:r>
      <w:r>
        <w:rPr>
          <w:i/>
        </w:rPr>
        <w:t>Harvard</w:t>
      </w:r>
      <w:r>
        <w:rPr>
          <w:i/>
          <w:spacing w:val="-1"/>
        </w:rPr>
        <w:t> </w:t>
      </w:r>
      <w:r>
        <w:rPr>
          <w:i/>
        </w:rPr>
        <w:t>Law</w:t>
      </w:r>
      <w:r>
        <w:rPr>
          <w:i/>
          <w:spacing w:val="-8"/>
        </w:rPr>
        <w:t> </w:t>
      </w:r>
      <w:r>
        <w:rPr>
          <w:i/>
        </w:rPr>
        <w:t>Review</w:t>
      </w:r>
      <w:r>
        <w:rPr/>
        <w:t>, 45: 1145.</w:t>
      </w:r>
    </w:p>
    <w:p>
      <w:pPr>
        <w:spacing w:line="271" w:lineRule="auto" w:before="200"/>
        <w:ind w:left="308" w:right="231" w:firstLine="0"/>
        <w:jc w:val="both"/>
        <w:rPr>
          <w:sz w:val="24"/>
        </w:rPr>
      </w:pPr>
      <w:r>
        <w:rPr>
          <w:sz w:val="24"/>
        </w:rPr>
        <w:t>Dodd, E.M. (1935). Is Effective Enforcement of the Fiduciary Duties of Corporate Managers Practicable? </w:t>
      </w:r>
      <w:r>
        <w:rPr>
          <w:i/>
          <w:sz w:val="24"/>
        </w:rPr>
        <w:t>University of Chicago Law Review</w:t>
      </w:r>
      <w:r>
        <w:rPr>
          <w:sz w:val="24"/>
        </w:rPr>
        <w:t>, 2: 194.</w:t>
      </w:r>
    </w:p>
    <w:p>
      <w:pPr>
        <w:spacing w:before="208"/>
        <w:ind w:left="308" w:right="0" w:firstLine="0"/>
        <w:jc w:val="left"/>
        <w:rPr>
          <w:sz w:val="24"/>
        </w:rPr>
      </w:pPr>
      <w:r>
        <w:rPr>
          <w:sz w:val="24"/>
        </w:rPr>
        <w:t>Dodd,</w:t>
      </w:r>
      <w:r>
        <w:rPr>
          <w:spacing w:val="-4"/>
          <w:sz w:val="24"/>
        </w:rPr>
        <w:t> </w:t>
      </w:r>
      <w:r>
        <w:rPr>
          <w:sz w:val="24"/>
        </w:rPr>
        <w:t>E.M.,</w:t>
      </w:r>
      <w:r>
        <w:rPr>
          <w:spacing w:val="-3"/>
          <w:sz w:val="24"/>
        </w:rPr>
        <w:t> </w:t>
      </w:r>
      <w:r>
        <w:rPr>
          <w:sz w:val="24"/>
        </w:rPr>
        <w:t>(1942).</w:t>
      </w:r>
      <w:r>
        <w:rPr>
          <w:spacing w:val="-4"/>
          <w:sz w:val="24"/>
        </w:rPr>
        <w:t> </w:t>
      </w:r>
      <w:r>
        <w:rPr>
          <w:sz w:val="24"/>
        </w:rPr>
        <w:t>Book</w:t>
      </w:r>
      <w:r>
        <w:rPr>
          <w:spacing w:val="-5"/>
          <w:sz w:val="24"/>
        </w:rPr>
        <w:t> </w:t>
      </w:r>
      <w:r>
        <w:rPr>
          <w:sz w:val="24"/>
        </w:rPr>
        <w:t>Review,</w:t>
      </w:r>
      <w:r>
        <w:rPr>
          <w:spacing w:val="4"/>
          <w:sz w:val="24"/>
        </w:rPr>
        <w:t> </w:t>
      </w:r>
      <w:r>
        <w:rPr>
          <w:i/>
          <w:sz w:val="24"/>
        </w:rPr>
        <w:t>University</w:t>
      </w:r>
      <w:r>
        <w:rPr>
          <w:i/>
          <w:spacing w:val="-2"/>
          <w:sz w:val="24"/>
        </w:rPr>
        <w:t> </w:t>
      </w:r>
      <w:r>
        <w:rPr>
          <w:i/>
          <w:sz w:val="24"/>
        </w:rPr>
        <w:t>of</w:t>
      </w:r>
      <w:r>
        <w:rPr>
          <w:i/>
          <w:spacing w:val="5"/>
          <w:sz w:val="24"/>
        </w:rPr>
        <w:t> </w:t>
      </w:r>
      <w:r>
        <w:rPr>
          <w:i/>
          <w:sz w:val="24"/>
        </w:rPr>
        <w:t>Chicago</w:t>
      </w:r>
      <w:r>
        <w:rPr>
          <w:i/>
          <w:spacing w:val="-2"/>
          <w:sz w:val="24"/>
        </w:rPr>
        <w:t> </w:t>
      </w:r>
      <w:r>
        <w:rPr>
          <w:i/>
          <w:sz w:val="24"/>
        </w:rPr>
        <w:t>Law</w:t>
      </w:r>
      <w:r>
        <w:rPr>
          <w:i/>
          <w:spacing w:val="-12"/>
          <w:sz w:val="24"/>
        </w:rPr>
        <w:t> </w:t>
      </w:r>
      <w:r>
        <w:rPr>
          <w:i/>
          <w:sz w:val="24"/>
        </w:rPr>
        <w:t>Review,</w:t>
      </w:r>
      <w:r>
        <w:rPr>
          <w:i/>
          <w:spacing w:val="5"/>
          <w:sz w:val="24"/>
        </w:rPr>
        <w:t> </w:t>
      </w:r>
      <w:r>
        <w:rPr>
          <w:sz w:val="24"/>
        </w:rPr>
        <w:t>9: </w:t>
      </w:r>
      <w:r>
        <w:rPr>
          <w:spacing w:val="-4"/>
          <w:sz w:val="24"/>
        </w:rPr>
        <w:t>538.</w:t>
      </w:r>
    </w:p>
    <w:p>
      <w:pPr>
        <w:pStyle w:val="BodyText"/>
        <w:spacing w:line="271" w:lineRule="auto" w:before="247"/>
        <w:ind w:right="236"/>
        <w:jc w:val="both"/>
      </w:pPr>
      <w:r>
        <w:rPr/>
        <w:t>Donaldson, T. and Preston, L.E. (1995). The Stakeholder Theory of the Corporation: Concepts, Evidence and Implications</w:t>
      </w:r>
      <w:r>
        <w:rPr>
          <w:i/>
        </w:rPr>
        <w:t>. Academy of Management Review</w:t>
      </w:r>
      <w:r>
        <w:rPr/>
        <w:t>, 20(1): 87.</w:t>
      </w:r>
    </w:p>
    <w:p>
      <w:pPr>
        <w:spacing w:after="0" w:line="271" w:lineRule="auto"/>
        <w:jc w:val="both"/>
        <w:sectPr>
          <w:pgSz w:w="11910" w:h="16840"/>
          <w:pgMar w:header="0" w:footer="1003" w:top="1320" w:bottom="1200" w:left="1680" w:right="1180"/>
        </w:sectPr>
      </w:pPr>
    </w:p>
    <w:p>
      <w:pPr>
        <w:spacing w:before="70"/>
        <w:ind w:left="308" w:right="0" w:firstLine="0"/>
        <w:jc w:val="left"/>
        <w:rPr>
          <w:i/>
          <w:sz w:val="24"/>
        </w:rPr>
      </w:pPr>
      <w:r>
        <w:rPr>
          <w:sz w:val="24"/>
        </w:rPr>
        <w:t>Dyson,</w:t>
      </w:r>
      <w:r>
        <w:rPr>
          <w:spacing w:val="47"/>
          <w:sz w:val="24"/>
        </w:rPr>
        <w:t> </w:t>
      </w:r>
      <w:r>
        <w:rPr>
          <w:sz w:val="24"/>
        </w:rPr>
        <w:t>B.R.</w:t>
      </w:r>
      <w:r>
        <w:rPr>
          <w:spacing w:val="50"/>
          <w:sz w:val="24"/>
        </w:rPr>
        <w:t> </w:t>
      </w:r>
      <w:r>
        <w:rPr>
          <w:sz w:val="24"/>
        </w:rPr>
        <w:t>(1965).</w:t>
      </w:r>
      <w:r>
        <w:rPr>
          <w:spacing w:val="45"/>
          <w:sz w:val="24"/>
        </w:rPr>
        <w:t> </w:t>
      </w:r>
      <w:r>
        <w:rPr>
          <w:sz w:val="24"/>
        </w:rPr>
        <w:t>The</w:t>
      </w:r>
      <w:r>
        <w:rPr>
          <w:spacing w:val="47"/>
          <w:sz w:val="24"/>
        </w:rPr>
        <w:t> </w:t>
      </w:r>
      <w:r>
        <w:rPr>
          <w:sz w:val="24"/>
        </w:rPr>
        <w:t>Director‘s</w:t>
      </w:r>
      <w:r>
        <w:rPr>
          <w:spacing w:val="45"/>
          <w:sz w:val="24"/>
        </w:rPr>
        <w:t> </w:t>
      </w:r>
      <w:r>
        <w:rPr>
          <w:sz w:val="24"/>
        </w:rPr>
        <w:t>Liability</w:t>
      </w:r>
      <w:r>
        <w:rPr>
          <w:spacing w:val="47"/>
          <w:sz w:val="24"/>
        </w:rPr>
        <w:t> </w:t>
      </w:r>
      <w:r>
        <w:rPr>
          <w:sz w:val="24"/>
        </w:rPr>
        <w:t>for</w:t>
      </w:r>
      <w:r>
        <w:rPr>
          <w:spacing w:val="49"/>
          <w:sz w:val="24"/>
        </w:rPr>
        <w:t> </w:t>
      </w:r>
      <w:r>
        <w:rPr>
          <w:sz w:val="24"/>
        </w:rPr>
        <w:t>Negligence.</w:t>
      </w:r>
      <w:r>
        <w:rPr>
          <w:spacing w:val="59"/>
          <w:sz w:val="24"/>
        </w:rPr>
        <w:t> </w:t>
      </w:r>
      <w:r>
        <w:rPr>
          <w:i/>
          <w:sz w:val="24"/>
        </w:rPr>
        <w:t>Indiana</w:t>
      </w:r>
      <w:r>
        <w:rPr>
          <w:i/>
          <w:spacing w:val="48"/>
          <w:sz w:val="24"/>
        </w:rPr>
        <w:t> </w:t>
      </w:r>
      <w:r>
        <w:rPr>
          <w:i/>
          <w:sz w:val="24"/>
        </w:rPr>
        <w:t>Law</w:t>
      </w:r>
      <w:r>
        <w:rPr>
          <w:i/>
          <w:spacing w:val="41"/>
          <w:sz w:val="24"/>
        </w:rPr>
        <w:t> </w:t>
      </w:r>
      <w:r>
        <w:rPr>
          <w:i/>
          <w:spacing w:val="-2"/>
          <w:sz w:val="24"/>
        </w:rPr>
        <w:t>Journal,</w:t>
      </w:r>
    </w:p>
    <w:p>
      <w:pPr>
        <w:pStyle w:val="BodyText"/>
        <w:spacing w:before="40"/>
      </w:pPr>
      <w:r>
        <w:rPr/>
        <w:t>Indiana</w:t>
      </w:r>
      <w:r>
        <w:rPr>
          <w:spacing w:val="-4"/>
        </w:rPr>
        <w:t> </w:t>
      </w:r>
      <w:r>
        <w:rPr/>
        <w:t>University,</w:t>
      </w:r>
      <w:r>
        <w:rPr>
          <w:spacing w:val="-1"/>
        </w:rPr>
        <w:t> </w:t>
      </w:r>
      <w:r>
        <w:rPr/>
        <w:t>U.S.A. 40(3):</w:t>
      </w:r>
      <w:r>
        <w:rPr>
          <w:spacing w:val="-7"/>
        </w:rPr>
        <w:t> </w:t>
      </w:r>
      <w:r>
        <w:rPr>
          <w:spacing w:val="-4"/>
        </w:rPr>
        <w:t>341.</w:t>
      </w:r>
    </w:p>
    <w:p>
      <w:pPr>
        <w:pStyle w:val="BodyText"/>
        <w:spacing w:line="271" w:lineRule="auto" w:before="243"/>
      </w:pPr>
      <w:r>
        <w:rPr/>
        <w:t>Finch, V. (1992). Company Directors: Who Cares About Skill and Care? </w:t>
      </w:r>
      <w:r>
        <w:rPr>
          <w:i/>
        </w:rPr>
        <w:t>Modern Law Review, </w:t>
      </w:r>
      <w:r>
        <w:rPr/>
        <w:t>55 (2): 179.</w:t>
      </w:r>
    </w:p>
    <w:p>
      <w:pPr>
        <w:spacing w:line="271" w:lineRule="auto" w:before="212"/>
        <w:ind w:left="308" w:right="0" w:firstLine="0"/>
        <w:jc w:val="left"/>
        <w:rPr>
          <w:sz w:val="24"/>
        </w:rPr>
      </w:pPr>
      <w:r>
        <w:rPr>
          <w:sz w:val="24"/>
        </w:rPr>
        <w:t>Franzi, N.C.A. (1976). The Subjective and Objective Elements of a Company Boards‘ Power to Issue Shares.</w:t>
      </w:r>
      <w:r>
        <w:rPr>
          <w:i/>
          <w:sz w:val="24"/>
        </w:rPr>
        <w:t>Melbourne University Law Review</w:t>
      </w:r>
      <w:r>
        <w:rPr>
          <w:sz w:val="24"/>
        </w:rPr>
        <w:t>, 10(3): 392.</w:t>
      </w:r>
    </w:p>
    <w:p>
      <w:pPr>
        <w:spacing w:line="276" w:lineRule="auto" w:before="211"/>
        <w:ind w:left="308" w:right="255" w:firstLine="0"/>
        <w:jc w:val="left"/>
        <w:rPr>
          <w:sz w:val="24"/>
        </w:rPr>
      </w:pPr>
      <w:r>
        <w:rPr>
          <w:sz w:val="24"/>
        </w:rPr>
        <w:t>Freeman, E.R. </w:t>
      </w:r>
      <w:r>
        <w:rPr>
          <w:i/>
          <w:sz w:val="24"/>
        </w:rPr>
        <w:t>et al, </w:t>
      </w:r>
      <w:r>
        <w:rPr>
          <w:sz w:val="24"/>
        </w:rPr>
        <w:t>op.cit.footnote 119, at pp.24-25 and Freeman E.R. (2001). Stakeholder Theory</w:t>
      </w:r>
      <w:r>
        <w:rPr>
          <w:spacing w:val="-11"/>
          <w:sz w:val="24"/>
        </w:rPr>
        <w:t> </w:t>
      </w:r>
      <w:r>
        <w:rPr>
          <w:sz w:val="24"/>
        </w:rPr>
        <w:t>of</w:t>
      </w:r>
      <w:r>
        <w:rPr>
          <w:spacing w:val="-9"/>
          <w:sz w:val="24"/>
        </w:rPr>
        <w:t> </w:t>
      </w:r>
      <w:r>
        <w:rPr>
          <w:sz w:val="24"/>
        </w:rPr>
        <w:t>the</w:t>
      </w:r>
      <w:r>
        <w:rPr>
          <w:spacing w:val="-2"/>
          <w:sz w:val="24"/>
        </w:rPr>
        <w:t> </w:t>
      </w:r>
      <w:r>
        <w:rPr>
          <w:sz w:val="24"/>
        </w:rPr>
        <w:t>Modern</w:t>
      </w:r>
      <w:r>
        <w:rPr>
          <w:spacing w:val="-6"/>
          <w:sz w:val="24"/>
        </w:rPr>
        <w:t> </w:t>
      </w:r>
      <w:r>
        <w:rPr>
          <w:sz w:val="24"/>
        </w:rPr>
        <w:t>Corporation.</w:t>
      </w:r>
      <w:r>
        <w:rPr>
          <w:i/>
          <w:sz w:val="24"/>
        </w:rPr>
        <w:t>General</w:t>
      </w:r>
      <w:r>
        <w:rPr>
          <w:i/>
          <w:spacing w:val="-1"/>
          <w:sz w:val="24"/>
        </w:rPr>
        <w:t> </w:t>
      </w:r>
      <w:r>
        <w:rPr>
          <w:i/>
          <w:sz w:val="24"/>
        </w:rPr>
        <w:t>Issues</w:t>
      </w:r>
      <w:r>
        <w:rPr>
          <w:i/>
          <w:spacing w:val="-3"/>
          <w:sz w:val="24"/>
        </w:rPr>
        <w:t> </w:t>
      </w:r>
      <w:r>
        <w:rPr>
          <w:i/>
          <w:sz w:val="24"/>
        </w:rPr>
        <w:t>in</w:t>
      </w:r>
      <w:r>
        <w:rPr>
          <w:i/>
          <w:spacing w:val="-1"/>
          <w:sz w:val="24"/>
        </w:rPr>
        <w:t> </w:t>
      </w:r>
      <w:r>
        <w:rPr>
          <w:i/>
          <w:sz w:val="24"/>
        </w:rPr>
        <w:t>Business</w:t>
      </w:r>
      <w:r>
        <w:rPr>
          <w:i/>
          <w:spacing w:val="-3"/>
          <w:sz w:val="24"/>
        </w:rPr>
        <w:t> </w:t>
      </w:r>
      <w:r>
        <w:rPr>
          <w:i/>
          <w:sz w:val="24"/>
        </w:rPr>
        <w:t>Ethics</w:t>
      </w:r>
      <w:r>
        <w:rPr>
          <w:sz w:val="24"/>
        </w:rPr>
        <w:t>,</w:t>
      </w:r>
    </w:p>
    <w:p>
      <w:pPr>
        <w:pStyle w:val="BodyText"/>
        <w:spacing w:line="271" w:lineRule="auto"/>
      </w:pPr>
      <w:r>
        <w:rPr/>
        <w:t>38.Retrieved September 8, 2013, from </w:t>
      </w:r>
      <w:hyperlink r:id="rId35">
        <w:r>
          <w:rPr>
            <w:color w:val="0000FF"/>
            <w:spacing w:val="-2"/>
            <w:u w:val="single" w:color="0000FF"/>
          </w:rPr>
          <w:t>http://academic.udayton.edu/lawrenceulrich/Stakeholder%20Theory.pdf</w:t>
        </w:r>
        <w:r>
          <w:rPr>
            <w:spacing w:val="-2"/>
          </w:rPr>
          <w:t>.</w:t>
        </w:r>
      </w:hyperlink>
    </w:p>
    <w:p>
      <w:pPr>
        <w:spacing w:line="271" w:lineRule="auto" w:before="211"/>
        <w:ind w:left="308" w:right="0" w:firstLine="0"/>
        <w:jc w:val="left"/>
        <w:rPr>
          <w:sz w:val="24"/>
        </w:rPr>
      </w:pPr>
      <w:r>
        <w:rPr>
          <w:sz w:val="24"/>
        </w:rPr>
        <w:t>Grinyer,</w:t>
      </w:r>
      <w:r>
        <w:rPr>
          <w:spacing w:val="40"/>
          <w:sz w:val="24"/>
        </w:rPr>
        <w:t> </w:t>
      </w:r>
      <w:r>
        <w:rPr>
          <w:sz w:val="24"/>
        </w:rPr>
        <w:t>J.</w:t>
      </w:r>
      <w:r>
        <w:rPr>
          <w:spacing w:val="40"/>
          <w:sz w:val="24"/>
        </w:rPr>
        <w:t> </w:t>
      </w:r>
      <w:r>
        <w:rPr>
          <w:sz w:val="24"/>
        </w:rPr>
        <w:t>et</w:t>
      </w:r>
      <w:r>
        <w:rPr>
          <w:spacing w:val="40"/>
          <w:sz w:val="24"/>
        </w:rPr>
        <w:t> </w:t>
      </w:r>
      <w:r>
        <w:rPr>
          <w:sz w:val="24"/>
        </w:rPr>
        <w:t>al,</w:t>
      </w:r>
      <w:r>
        <w:rPr>
          <w:spacing w:val="40"/>
          <w:sz w:val="24"/>
        </w:rPr>
        <w:t> </w:t>
      </w:r>
      <w:r>
        <w:rPr>
          <w:sz w:val="24"/>
        </w:rPr>
        <w:t>(1998)</w:t>
      </w:r>
      <w:r>
        <w:rPr>
          <w:spacing w:val="40"/>
          <w:sz w:val="24"/>
        </w:rPr>
        <w:t> </w:t>
      </w:r>
      <w:r>
        <w:rPr>
          <w:sz w:val="24"/>
        </w:rPr>
        <w:t>Evidence</w:t>
      </w:r>
      <w:r>
        <w:rPr>
          <w:spacing w:val="40"/>
          <w:sz w:val="24"/>
        </w:rPr>
        <w:t> </w:t>
      </w:r>
      <w:r>
        <w:rPr>
          <w:sz w:val="24"/>
        </w:rPr>
        <w:t>of</w:t>
      </w:r>
      <w:r>
        <w:rPr>
          <w:spacing w:val="40"/>
          <w:sz w:val="24"/>
        </w:rPr>
        <w:t> </w:t>
      </w:r>
      <w:r>
        <w:rPr>
          <w:sz w:val="24"/>
        </w:rPr>
        <w:t>Managerial</w:t>
      </w:r>
      <w:r>
        <w:rPr>
          <w:spacing w:val="40"/>
          <w:sz w:val="24"/>
        </w:rPr>
        <w:t> </w:t>
      </w:r>
      <w:r>
        <w:rPr>
          <w:sz w:val="24"/>
        </w:rPr>
        <w:t>Short-termism</w:t>
      </w:r>
      <w:r>
        <w:rPr>
          <w:spacing w:val="40"/>
          <w:sz w:val="24"/>
        </w:rPr>
        <w:t> </w:t>
      </w:r>
      <w:r>
        <w:rPr>
          <w:sz w:val="24"/>
        </w:rPr>
        <w:t>in</w:t>
      </w:r>
      <w:r>
        <w:rPr>
          <w:spacing w:val="40"/>
          <w:sz w:val="24"/>
        </w:rPr>
        <w:t> </w:t>
      </w:r>
      <w:r>
        <w:rPr>
          <w:sz w:val="24"/>
        </w:rPr>
        <w:t>the</w:t>
      </w:r>
      <w:r>
        <w:rPr>
          <w:spacing w:val="40"/>
          <w:sz w:val="24"/>
        </w:rPr>
        <w:t> </w:t>
      </w:r>
      <w:r>
        <w:rPr>
          <w:sz w:val="24"/>
        </w:rPr>
        <w:t>UK.</w:t>
      </w:r>
      <w:r>
        <w:rPr>
          <w:i/>
          <w:sz w:val="24"/>
        </w:rPr>
        <w:t>British</w:t>
      </w:r>
      <w:r>
        <w:rPr>
          <w:i/>
          <w:spacing w:val="40"/>
          <w:sz w:val="24"/>
        </w:rPr>
        <w:t> </w:t>
      </w:r>
      <w:r>
        <w:rPr>
          <w:i/>
          <w:sz w:val="24"/>
        </w:rPr>
        <w:t>Journal ofManagement, </w:t>
      </w:r>
      <w:r>
        <w:rPr>
          <w:sz w:val="24"/>
        </w:rPr>
        <w:t>9</w:t>
      </w:r>
      <w:r>
        <w:rPr>
          <w:i/>
          <w:sz w:val="24"/>
        </w:rPr>
        <w:t>: </w:t>
      </w:r>
      <w:r>
        <w:rPr>
          <w:sz w:val="24"/>
        </w:rPr>
        <w:t>13.</w:t>
      </w:r>
    </w:p>
    <w:p>
      <w:pPr>
        <w:pStyle w:val="BodyText"/>
        <w:spacing w:line="273" w:lineRule="auto" w:before="212"/>
        <w:ind w:right="227"/>
        <w:jc w:val="both"/>
      </w:pPr>
      <w:r>
        <w:rPr/>
        <w:t>Grossman, A.H. (2005). Refining the Role of</w:t>
      </w:r>
      <w:r>
        <w:rPr>
          <w:spacing w:val="-3"/>
        </w:rPr>
        <w:t> </w:t>
      </w:r>
      <w:r>
        <w:rPr/>
        <w:t>the Corporation: The Impact of</w:t>
      </w:r>
      <w:r>
        <w:rPr>
          <w:spacing w:val="-3"/>
        </w:rPr>
        <w:t> </w:t>
      </w:r>
      <w:r>
        <w:rPr/>
        <w:t>Corporate Social Responsibility on Shareholder Primacy Theory</w:t>
      </w:r>
      <w:r>
        <w:rPr>
          <w:i/>
        </w:rPr>
        <w:t>.Deakin Law Review</w:t>
      </w:r>
      <w:r>
        <w:rPr/>
        <w:t>, 10(2): 572- </w:t>
      </w:r>
      <w:r>
        <w:rPr>
          <w:spacing w:val="-4"/>
        </w:rPr>
        <w:t>596.</w:t>
      </w:r>
    </w:p>
    <w:p>
      <w:pPr>
        <w:spacing w:line="273" w:lineRule="auto" w:before="209"/>
        <w:ind w:left="308" w:right="231" w:firstLine="0"/>
        <w:jc w:val="both"/>
        <w:rPr>
          <w:sz w:val="24"/>
        </w:rPr>
      </w:pPr>
      <w:r>
        <w:rPr>
          <w:sz w:val="24"/>
        </w:rPr>
        <w:t>Horrigan, B. (2012) Directors‘ Duties and Liabilities: Where Are We Now and Where Are We Going in the UK, Broader Commonwealth and Internationally? </w:t>
      </w:r>
      <w:r>
        <w:rPr>
          <w:i/>
          <w:sz w:val="24"/>
        </w:rPr>
        <w:t>International Journal of Business and Social Science, </w:t>
      </w:r>
      <w:r>
        <w:rPr>
          <w:sz w:val="24"/>
        </w:rPr>
        <w:t>3(2): 21-45.</w:t>
      </w:r>
    </w:p>
    <w:p>
      <w:pPr>
        <w:pStyle w:val="BodyText"/>
        <w:spacing w:line="271" w:lineRule="auto" w:before="208"/>
        <w:ind w:right="239"/>
        <w:jc w:val="both"/>
      </w:pPr>
      <w:r>
        <w:rPr/>
        <w:t>Ikhariale, M.A. (1980). Democracy, Capitalism and the Corporate System: Another Look at the Rule in Foss v. Harbottle</w:t>
      </w:r>
      <w:r>
        <w:rPr>
          <w:i/>
        </w:rPr>
        <w:t>. A.B.U. Law</w:t>
      </w:r>
      <w:r>
        <w:rPr>
          <w:i/>
          <w:spacing w:val="-2"/>
        </w:rPr>
        <w:t> </w:t>
      </w:r>
      <w:r>
        <w:rPr>
          <w:i/>
        </w:rPr>
        <w:t>Journal</w:t>
      </w:r>
      <w:r>
        <w:rPr/>
        <w:t>, 4-8: 51.</w:t>
      </w:r>
    </w:p>
    <w:p>
      <w:pPr>
        <w:spacing w:line="271" w:lineRule="auto" w:before="212"/>
        <w:ind w:left="308" w:right="237" w:firstLine="0"/>
        <w:jc w:val="both"/>
        <w:rPr>
          <w:sz w:val="24"/>
        </w:rPr>
      </w:pPr>
      <w:r>
        <w:rPr>
          <w:sz w:val="24"/>
        </w:rPr>
        <w:t>Jensen, M.C. (1989). The Evidence Speaks Loud and Clear. </w:t>
      </w:r>
      <w:r>
        <w:rPr>
          <w:i/>
          <w:sz w:val="24"/>
        </w:rPr>
        <w:t>Harvard Business Review</w:t>
      </w:r>
      <w:r>
        <w:rPr>
          <w:sz w:val="24"/>
        </w:rPr>
        <w:t>, 67(6): 186-188.</w:t>
      </w:r>
    </w:p>
    <w:p>
      <w:pPr>
        <w:spacing w:line="271" w:lineRule="auto" w:before="211"/>
        <w:ind w:left="308" w:right="236" w:firstLine="0"/>
        <w:jc w:val="both"/>
        <w:rPr>
          <w:sz w:val="24"/>
        </w:rPr>
      </w:pPr>
      <w:r>
        <w:rPr>
          <w:sz w:val="24"/>
        </w:rPr>
        <w:t>Jensen, M.C. (2002). Value Maximization, Stakeholder Theory and the Corporate Objective Function</w:t>
      </w:r>
      <w:r>
        <w:rPr>
          <w:i/>
          <w:sz w:val="24"/>
        </w:rPr>
        <w:t>.Business Ethics Quarterly, </w:t>
      </w:r>
      <w:r>
        <w:rPr>
          <w:sz w:val="24"/>
        </w:rPr>
        <w:t>12: 235-256.</w:t>
      </w:r>
    </w:p>
    <w:p>
      <w:pPr>
        <w:pStyle w:val="BodyText"/>
        <w:spacing w:line="271" w:lineRule="auto" w:before="213"/>
        <w:ind w:right="239"/>
        <w:jc w:val="both"/>
      </w:pPr>
      <w:r>
        <w:rPr/>
        <w:t>Justice Arden, DBE. (2007). Companies‘ Act 2006(UK): A New Approach to</w:t>
      </w:r>
      <w:r>
        <w:rPr>
          <w:spacing w:val="40"/>
        </w:rPr>
        <w:t> </w:t>
      </w:r>
      <w:r>
        <w:rPr/>
        <w:t>Directors‘ Duties. </w:t>
      </w:r>
      <w:r>
        <w:rPr>
          <w:i/>
        </w:rPr>
        <w:t>Australia Law Journal, </w:t>
      </w:r>
      <w:r>
        <w:rPr/>
        <w:t>81: 162-179.</w:t>
      </w:r>
    </w:p>
    <w:p>
      <w:pPr>
        <w:pStyle w:val="BodyText"/>
        <w:spacing w:line="273" w:lineRule="auto" w:before="211"/>
        <w:ind w:right="235"/>
        <w:jc w:val="both"/>
      </w:pPr>
      <w:r>
        <w:rPr/>
        <w:t>Keay, A. (2007).Tackling the Issue of the Corporate Objective: An Analysis of the United Kingdom‘s ‗Enlightened Shareholder Value Approach.</w:t>
      </w:r>
      <w:r>
        <w:rPr>
          <w:i/>
        </w:rPr>
        <w:t>Sydney Law Review, </w:t>
      </w:r>
      <w:r>
        <w:rPr/>
        <w:t>29: </w:t>
      </w:r>
      <w:r>
        <w:rPr>
          <w:spacing w:val="-2"/>
        </w:rPr>
        <w:t>577-612.</w:t>
      </w:r>
    </w:p>
    <w:p>
      <w:pPr>
        <w:spacing w:line="273" w:lineRule="auto" w:before="209"/>
        <w:ind w:left="308" w:right="235" w:firstLine="0"/>
        <w:jc w:val="both"/>
        <w:rPr>
          <w:sz w:val="24"/>
        </w:rPr>
      </w:pPr>
      <w:r>
        <w:rPr>
          <w:sz w:val="24"/>
        </w:rPr>
        <w:t>Mackenzie. (1982). A Company Director‘s Obligations of Care and Skill.</w:t>
      </w:r>
      <w:r>
        <w:rPr>
          <w:i/>
          <w:sz w:val="24"/>
        </w:rPr>
        <w:t>Journal of Business</w:t>
      </w:r>
      <w:r>
        <w:rPr>
          <w:i/>
          <w:spacing w:val="-3"/>
          <w:sz w:val="24"/>
        </w:rPr>
        <w:t> </w:t>
      </w:r>
      <w:r>
        <w:rPr>
          <w:i/>
          <w:sz w:val="24"/>
        </w:rPr>
        <w:t>Law, </w:t>
      </w:r>
      <w:r>
        <w:rPr>
          <w:sz w:val="24"/>
        </w:rPr>
        <w:t>460</w:t>
      </w:r>
      <w:r>
        <w:rPr>
          <w:spacing w:val="-1"/>
          <w:sz w:val="24"/>
        </w:rPr>
        <w:t> </w:t>
      </w:r>
      <w:r>
        <w:rPr>
          <w:sz w:val="24"/>
        </w:rPr>
        <w:t>at p. 461. Cited in Finch, V. (1992). Company</w:t>
      </w:r>
      <w:r>
        <w:rPr>
          <w:spacing w:val="-1"/>
          <w:sz w:val="24"/>
        </w:rPr>
        <w:t> </w:t>
      </w:r>
      <w:r>
        <w:rPr>
          <w:sz w:val="24"/>
        </w:rPr>
        <w:t>Directors:</w:t>
      </w:r>
      <w:r>
        <w:rPr>
          <w:spacing w:val="-1"/>
          <w:sz w:val="24"/>
        </w:rPr>
        <w:t> </w:t>
      </w:r>
      <w:r>
        <w:rPr>
          <w:sz w:val="24"/>
        </w:rPr>
        <w:t>Who Cares About Skill and Care? </w:t>
      </w:r>
      <w:r>
        <w:rPr>
          <w:i/>
          <w:sz w:val="24"/>
        </w:rPr>
        <w:t>The Modern Law Review</w:t>
      </w:r>
      <w:r>
        <w:rPr>
          <w:sz w:val="24"/>
        </w:rPr>
        <w:t>, 55(2): 179-214.</w:t>
      </w:r>
    </w:p>
    <w:p>
      <w:pPr>
        <w:spacing w:line="273" w:lineRule="auto" w:before="208"/>
        <w:ind w:left="308" w:right="236" w:firstLine="0"/>
        <w:jc w:val="both"/>
        <w:rPr>
          <w:sz w:val="24"/>
        </w:rPr>
      </w:pPr>
      <w:r>
        <w:rPr>
          <w:sz w:val="24"/>
        </w:rPr>
        <w:t>Nworji, D.I., Adebayo, O. and David, O.A. (2011). Corporate Governance and Bank Failure in Nigeria: Issues, Challenges and Opportunities</w:t>
      </w:r>
      <w:r>
        <w:rPr>
          <w:i/>
          <w:sz w:val="24"/>
        </w:rPr>
        <w:t>.Research Journal of Finance and Accounting, </w:t>
      </w:r>
      <w:r>
        <w:rPr>
          <w:sz w:val="24"/>
        </w:rPr>
        <w:t>2(2): 3-4.</w:t>
      </w:r>
    </w:p>
    <w:p>
      <w:pPr>
        <w:spacing w:after="0" w:line="273" w:lineRule="auto"/>
        <w:jc w:val="both"/>
        <w:rPr>
          <w:sz w:val="24"/>
        </w:rPr>
        <w:sectPr>
          <w:pgSz w:w="11910" w:h="16840"/>
          <w:pgMar w:header="0" w:footer="1003" w:top="1320" w:bottom="1200" w:left="1680" w:right="1180"/>
        </w:sectPr>
      </w:pPr>
    </w:p>
    <w:p>
      <w:pPr>
        <w:spacing w:line="276" w:lineRule="auto" w:before="70"/>
        <w:ind w:left="308" w:right="235" w:firstLine="0"/>
        <w:jc w:val="both"/>
        <w:rPr>
          <w:sz w:val="24"/>
        </w:rPr>
      </w:pPr>
      <w:r>
        <w:rPr>
          <w:sz w:val="24"/>
        </w:rPr>
        <w:t>Oghojafor, B. and George, O. (2012). Corporate Governance and National Culture are Siamese Twins: The Case of Cadbury Nig. Plc. </w:t>
      </w:r>
      <w:r>
        <w:rPr>
          <w:i/>
          <w:sz w:val="24"/>
        </w:rPr>
        <w:t>International Journal of Business and Social Science, </w:t>
      </w:r>
      <w:r>
        <w:rPr>
          <w:sz w:val="24"/>
        </w:rPr>
        <w:t>3(15): 269-278.</w:t>
      </w:r>
    </w:p>
    <w:p>
      <w:pPr>
        <w:spacing w:line="276" w:lineRule="auto" w:before="200"/>
        <w:ind w:left="308" w:right="226" w:firstLine="0"/>
        <w:jc w:val="both"/>
        <w:rPr>
          <w:sz w:val="24"/>
        </w:rPr>
      </w:pPr>
      <w:r>
        <w:rPr>
          <w:sz w:val="24"/>
        </w:rPr>
        <w:t>Prentice, D.D. (1970).Expulsion of Members from a Company</w:t>
      </w:r>
      <w:r>
        <w:rPr>
          <w:i/>
          <w:sz w:val="24"/>
        </w:rPr>
        <w:t>. The Modern Law Review</w:t>
      </w:r>
      <w:r>
        <w:rPr>
          <w:sz w:val="24"/>
        </w:rPr>
        <w:t>, 33: 700-704.</w:t>
      </w:r>
    </w:p>
    <w:p>
      <w:pPr>
        <w:pStyle w:val="BodyText"/>
        <w:spacing w:before="201"/>
      </w:pPr>
      <w:r>
        <w:rPr/>
        <w:t>Prentice,</w:t>
      </w:r>
      <w:r>
        <w:rPr>
          <w:spacing w:val="-2"/>
        </w:rPr>
        <w:t> </w:t>
      </w:r>
      <w:r>
        <w:rPr/>
        <w:t>D.D. (1967).</w:t>
      </w:r>
      <w:r>
        <w:rPr>
          <w:spacing w:val="1"/>
        </w:rPr>
        <w:t> </w:t>
      </w:r>
      <w:r>
        <w:rPr/>
        <w:t>Regal</w:t>
      </w:r>
      <w:r>
        <w:rPr>
          <w:spacing w:val="-9"/>
        </w:rPr>
        <w:t> </w:t>
      </w:r>
      <w:r>
        <w:rPr/>
        <w:t>(Hastings)</w:t>
      </w:r>
      <w:r>
        <w:rPr>
          <w:spacing w:val="4"/>
        </w:rPr>
        <w:t> </w:t>
      </w:r>
      <w:r>
        <w:rPr/>
        <w:t>Ltd.</w:t>
      </w:r>
      <w:r>
        <w:rPr>
          <w:spacing w:val="1"/>
        </w:rPr>
        <w:t> </w:t>
      </w:r>
      <w:r>
        <w:rPr/>
        <w:t>v.</w:t>
      </w:r>
      <w:r>
        <w:rPr>
          <w:spacing w:val="1"/>
        </w:rPr>
        <w:t> </w:t>
      </w:r>
      <w:r>
        <w:rPr/>
        <w:t>Gulliver:</w:t>
      </w:r>
      <w:r>
        <w:rPr>
          <w:spacing w:val="-1"/>
        </w:rPr>
        <w:t> </w:t>
      </w:r>
      <w:r>
        <w:rPr/>
        <w:t>The</w:t>
      </w:r>
      <w:r>
        <w:rPr>
          <w:spacing w:val="2"/>
        </w:rPr>
        <w:t> </w:t>
      </w:r>
      <w:r>
        <w:rPr/>
        <w:t>Canadian</w:t>
      </w:r>
      <w:r>
        <w:rPr>
          <w:spacing w:val="-1"/>
        </w:rPr>
        <w:t> </w:t>
      </w:r>
      <w:r>
        <w:rPr/>
        <w:t>Experience.</w:t>
      </w:r>
      <w:r>
        <w:rPr>
          <w:spacing w:val="1"/>
        </w:rPr>
        <w:t> </w:t>
      </w:r>
      <w:r>
        <w:rPr>
          <w:spacing w:val="-5"/>
        </w:rPr>
        <w:t>The</w:t>
      </w:r>
    </w:p>
    <w:p>
      <w:pPr>
        <w:spacing w:before="36"/>
        <w:ind w:left="308" w:right="0" w:firstLine="0"/>
        <w:jc w:val="left"/>
        <w:rPr>
          <w:sz w:val="24"/>
        </w:rPr>
      </w:pPr>
      <w:r>
        <w:rPr>
          <w:i/>
          <w:sz w:val="24"/>
        </w:rPr>
        <w:t>Modern Law</w:t>
      </w:r>
      <w:r>
        <w:rPr>
          <w:i/>
          <w:spacing w:val="-12"/>
          <w:sz w:val="24"/>
        </w:rPr>
        <w:t> </w:t>
      </w:r>
      <w:r>
        <w:rPr>
          <w:i/>
          <w:sz w:val="24"/>
        </w:rPr>
        <w:t>Review,</w:t>
      </w:r>
      <w:r>
        <w:rPr>
          <w:i/>
          <w:spacing w:val="5"/>
          <w:sz w:val="24"/>
        </w:rPr>
        <w:t> </w:t>
      </w:r>
      <w:r>
        <w:rPr>
          <w:sz w:val="24"/>
        </w:rPr>
        <w:t>30:</w:t>
      </w:r>
      <w:r>
        <w:rPr>
          <w:spacing w:val="1"/>
          <w:sz w:val="24"/>
        </w:rPr>
        <w:t> </w:t>
      </w:r>
      <w:r>
        <w:rPr>
          <w:sz w:val="24"/>
        </w:rPr>
        <w:t>450-</w:t>
      </w:r>
      <w:r>
        <w:rPr>
          <w:spacing w:val="-4"/>
          <w:sz w:val="24"/>
        </w:rPr>
        <w:t>455.</w:t>
      </w:r>
    </w:p>
    <w:p>
      <w:pPr>
        <w:pStyle w:val="BodyText"/>
        <w:spacing w:line="271" w:lineRule="auto" w:before="247"/>
        <w:ind w:right="233"/>
        <w:jc w:val="both"/>
      </w:pPr>
      <w:r>
        <w:rPr/>
        <w:t>Prentice, D.D. (1974).The</w:t>
      </w:r>
      <w:r>
        <w:rPr>
          <w:spacing w:val="-1"/>
        </w:rPr>
        <w:t> </w:t>
      </w:r>
      <w:r>
        <w:rPr/>
        <w:t>Corporate</w:t>
      </w:r>
      <w:r>
        <w:rPr>
          <w:spacing w:val="-1"/>
        </w:rPr>
        <w:t> </w:t>
      </w:r>
      <w:r>
        <w:rPr/>
        <w:t>Opportunity</w:t>
      </w:r>
      <w:r>
        <w:rPr>
          <w:spacing w:val="-5"/>
        </w:rPr>
        <w:t> </w:t>
      </w:r>
      <w:r>
        <w:rPr/>
        <w:t>Doctrine.</w:t>
      </w:r>
      <w:r>
        <w:rPr>
          <w:i/>
        </w:rPr>
        <w:t>Modern Law</w:t>
      </w:r>
      <w:r>
        <w:rPr>
          <w:i/>
          <w:spacing w:val="-6"/>
        </w:rPr>
        <w:t> </w:t>
      </w:r>
      <w:r>
        <w:rPr>
          <w:i/>
        </w:rPr>
        <w:t>Review</w:t>
      </w:r>
      <w:r>
        <w:rPr/>
        <w:t>, 37 (4), </w:t>
      </w:r>
      <w:r>
        <w:rPr>
          <w:spacing w:val="-4"/>
        </w:rPr>
        <w:t>464.</w:t>
      </w:r>
    </w:p>
    <w:p>
      <w:pPr>
        <w:pStyle w:val="BodyText"/>
        <w:spacing w:line="273" w:lineRule="auto" w:before="212"/>
        <w:ind w:right="227"/>
        <w:jc w:val="both"/>
      </w:pPr>
      <w:r>
        <w:rPr/>
        <w:t>Roach, L. (1999). The Director‘s Duty</w:t>
      </w:r>
      <w:r>
        <w:rPr>
          <w:spacing w:val="-5"/>
        </w:rPr>
        <w:t> </w:t>
      </w:r>
      <w:r>
        <w:rPr/>
        <w:t>of</w:t>
      </w:r>
      <w:r>
        <w:rPr>
          <w:spacing w:val="-3"/>
        </w:rPr>
        <w:t> </w:t>
      </w:r>
      <w:r>
        <w:rPr/>
        <w:t>Skill and Care: Has the Law Commission Got it Right? </w:t>
      </w:r>
      <w:r>
        <w:rPr>
          <w:i/>
        </w:rPr>
        <w:t>Business Law Review</w:t>
      </w:r>
      <w:r>
        <w:rPr/>
        <w:t>, 20(51): 4. Retrieved December 11, 2013, from </w:t>
      </w:r>
      <w:hyperlink r:id="rId54">
        <w:r>
          <w:rPr>
            <w:color w:val="0000FF"/>
            <w:spacing w:val="-2"/>
            <w:u w:val="single" w:color="0000FF"/>
          </w:rPr>
          <w:t>http://papers.ssrn.com/sol3/papers.cfm?abstract_id=1754664</w:t>
        </w:r>
      </w:hyperlink>
      <w:r>
        <w:rPr>
          <w:spacing w:val="-2"/>
        </w:rPr>
        <w:t>.</w:t>
      </w:r>
    </w:p>
    <w:p>
      <w:pPr>
        <w:spacing w:before="204"/>
        <w:ind w:left="308" w:right="0" w:firstLine="0"/>
        <w:jc w:val="left"/>
        <w:rPr>
          <w:sz w:val="24"/>
        </w:rPr>
      </w:pPr>
      <w:r>
        <w:rPr>
          <w:sz w:val="24"/>
        </w:rPr>
        <w:t>Sealey,</w:t>
      </w:r>
      <w:r>
        <w:rPr>
          <w:spacing w:val="2"/>
          <w:sz w:val="24"/>
        </w:rPr>
        <w:t> </w:t>
      </w:r>
      <w:r>
        <w:rPr>
          <w:sz w:val="24"/>
        </w:rPr>
        <w:t>L.</w:t>
      </w:r>
      <w:r>
        <w:rPr>
          <w:spacing w:val="3"/>
          <w:sz w:val="24"/>
        </w:rPr>
        <w:t> </w:t>
      </w:r>
      <w:r>
        <w:rPr>
          <w:sz w:val="24"/>
        </w:rPr>
        <w:t>(1967).</w:t>
      </w:r>
      <w:r>
        <w:rPr>
          <w:spacing w:val="-3"/>
          <w:sz w:val="24"/>
        </w:rPr>
        <w:t> </w:t>
      </w:r>
      <w:r>
        <w:rPr>
          <w:sz w:val="24"/>
        </w:rPr>
        <w:t>The Director</w:t>
      </w:r>
      <w:r>
        <w:rPr>
          <w:spacing w:val="-3"/>
          <w:sz w:val="24"/>
        </w:rPr>
        <w:t> </w:t>
      </w:r>
      <w:r>
        <w:rPr>
          <w:sz w:val="24"/>
        </w:rPr>
        <w:t>as</w:t>
      </w:r>
      <w:r>
        <w:rPr>
          <w:spacing w:val="-1"/>
          <w:sz w:val="24"/>
        </w:rPr>
        <w:t> </w:t>
      </w:r>
      <w:r>
        <w:rPr>
          <w:sz w:val="24"/>
        </w:rPr>
        <w:t>Trustee.</w:t>
      </w:r>
      <w:r>
        <w:rPr>
          <w:i/>
          <w:sz w:val="24"/>
        </w:rPr>
        <w:t>Cambridge Law</w:t>
      </w:r>
      <w:r>
        <w:rPr>
          <w:i/>
          <w:spacing w:val="-12"/>
          <w:sz w:val="24"/>
        </w:rPr>
        <w:t> </w:t>
      </w:r>
      <w:r>
        <w:rPr>
          <w:i/>
          <w:sz w:val="24"/>
        </w:rPr>
        <w:t>Journal</w:t>
      </w:r>
      <w:r>
        <w:rPr>
          <w:sz w:val="24"/>
        </w:rPr>
        <w:t>,</w:t>
      </w:r>
      <w:r>
        <w:rPr>
          <w:spacing w:val="3"/>
          <w:sz w:val="24"/>
        </w:rPr>
        <w:t> </w:t>
      </w:r>
      <w:r>
        <w:rPr>
          <w:sz w:val="24"/>
        </w:rPr>
        <w:t>83:</w:t>
      </w:r>
      <w:r>
        <w:rPr>
          <w:spacing w:val="1"/>
          <w:sz w:val="24"/>
        </w:rPr>
        <w:t> </w:t>
      </w:r>
      <w:r>
        <w:rPr>
          <w:spacing w:val="-5"/>
          <w:sz w:val="24"/>
        </w:rPr>
        <w:t>97.</w:t>
      </w:r>
    </w:p>
    <w:p>
      <w:pPr>
        <w:spacing w:line="271" w:lineRule="auto" w:before="247"/>
        <w:ind w:left="308" w:right="229" w:firstLine="0"/>
        <w:jc w:val="both"/>
        <w:rPr>
          <w:sz w:val="24"/>
        </w:rPr>
      </w:pPr>
      <w:r>
        <w:rPr>
          <w:sz w:val="24"/>
        </w:rPr>
        <w:t>Sharpe, N. (2010) Rethinking the Board Function in the Wake of the 2008 Financial Crisis</w:t>
      </w:r>
      <w:r>
        <w:rPr>
          <w:i/>
          <w:sz w:val="24"/>
        </w:rPr>
        <w:t>. Journal of Business and Technology Law</w:t>
      </w:r>
      <w:r>
        <w:rPr>
          <w:sz w:val="24"/>
        </w:rPr>
        <w:t>,5</w:t>
      </w:r>
      <w:r>
        <w:rPr>
          <w:i/>
          <w:sz w:val="24"/>
        </w:rPr>
        <w:t>: </w:t>
      </w:r>
      <w:r>
        <w:rPr>
          <w:sz w:val="24"/>
        </w:rPr>
        <w:t>99.</w:t>
      </w:r>
    </w:p>
    <w:p>
      <w:pPr>
        <w:pStyle w:val="BodyText"/>
        <w:spacing w:line="273" w:lineRule="auto" w:before="212"/>
        <w:ind w:right="241"/>
        <w:jc w:val="both"/>
      </w:pPr>
      <w:r>
        <w:rPr/>
        <w:t>Stewart, F. (2011).Berle‘s Conception</w:t>
      </w:r>
      <w:r>
        <w:rPr>
          <w:spacing w:val="-1"/>
        </w:rPr>
        <w:t> </w:t>
      </w:r>
      <w:r>
        <w:rPr/>
        <w:t>of</w:t>
      </w:r>
      <w:r>
        <w:rPr>
          <w:spacing w:val="-4"/>
        </w:rPr>
        <w:t> </w:t>
      </w:r>
      <w:r>
        <w:rPr/>
        <w:t>Shareholder Primacy: A</w:t>
      </w:r>
      <w:r>
        <w:rPr>
          <w:spacing w:val="-2"/>
        </w:rPr>
        <w:t> </w:t>
      </w:r>
      <w:r>
        <w:rPr/>
        <w:t>Forgotten</w:t>
      </w:r>
      <w:r>
        <w:rPr>
          <w:spacing w:val="-6"/>
        </w:rPr>
        <w:t> </w:t>
      </w:r>
      <w:r>
        <w:rPr/>
        <w:t>Perspective for Reconsideration During the Rise of Finance</w:t>
      </w:r>
      <w:r>
        <w:rPr>
          <w:i/>
        </w:rPr>
        <w:t>. Seattle University Law Review, </w:t>
      </w:r>
      <w:r>
        <w:rPr>
          <w:spacing w:val="-2"/>
        </w:rPr>
        <w:t>34:1457-1499.</w:t>
      </w:r>
    </w:p>
    <w:p>
      <w:pPr>
        <w:spacing w:before="203"/>
        <w:ind w:left="308" w:right="0" w:firstLine="0"/>
        <w:jc w:val="left"/>
        <w:rPr>
          <w:sz w:val="24"/>
        </w:rPr>
      </w:pPr>
      <w:r>
        <w:rPr>
          <w:sz w:val="24"/>
        </w:rPr>
        <w:t>Williams,</w:t>
      </w:r>
      <w:r>
        <w:rPr>
          <w:spacing w:val="1"/>
          <w:sz w:val="24"/>
        </w:rPr>
        <w:t> </w:t>
      </w:r>
      <w:r>
        <w:rPr>
          <w:sz w:val="24"/>
        </w:rPr>
        <w:t>C.</w:t>
      </w:r>
      <w:r>
        <w:rPr>
          <w:spacing w:val="2"/>
          <w:sz w:val="24"/>
        </w:rPr>
        <w:t> </w:t>
      </w:r>
      <w:r>
        <w:rPr>
          <w:sz w:val="24"/>
        </w:rPr>
        <w:t>(2006)</w:t>
      </w:r>
      <w:r>
        <w:rPr>
          <w:spacing w:val="-3"/>
          <w:sz w:val="24"/>
        </w:rPr>
        <w:t> </w:t>
      </w:r>
      <w:r>
        <w:rPr>
          <w:sz w:val="24"/>
        </w:rPr>
        <w:t>A</w:t>
      </w:r>
      <w:r>
        <w:rPr>
          <w:spacing w:val="-6"/>
          <w:sz w:val="24"/>
        </w:rPr>
        <w:t> </w:t>
      </w:r>
      <w:r>
        <w:rPr>
          <w:sz w:val="24"/>
        </w:rPr>
        <w:t>Tale</w:t>
      </w:r>
      <w:r>
        <w:rPr>
          <w:spacing w:val="-1"/>
          <w:sz w:val="24"/>
        </w:rPr>
        <w:t> </w:t>
      </w:r>
      <w:r>
        <w:rPr>
          <w:sz w:val="24"/>
        </w:rPr>
        <w:t>of</w:t>
      </w:r>
      <w:r>
        <w:rPr>
          <w:spacing w:val="-7"/>
          <w:sz w:val="24"/>
        </w:rPr>
        <w:t> </w:t>
      </w:r>
      <w:r>
        <w:rPr>
          <w:sz w:val="24"/>
        </w:rPr>
        <w:t>Two</w:t>
      </w:r>
      <w:r>
        <w:rPr>
          <w:spacing w:val="-2"/>
          <w:sz w:val="24"/>
        </w:rPr>
        <w:t> </w:t>
      </w:r>
      <w:r>
        <w:rPr>
          <w:sz w:val="24"/>
        </w:rPr>
        <w:t>Trajectories.</w:t>
      </w:r>
      <w:r>
        <w:rPr>
          <w:i/>
          <w:sz w:val="24"/>
        </w:rPr>
        <w:t>FordhamLaw</w:t>
      </w:r>
      <w:r>
        <w:rPr>
          <w:i/>
          <w:spacing w:val="-11"/>
          <w:sz w:val="24"/>
        </w:rPr>
        <w:t> </w:t>
      </w:r>
      <w:r>
        <w:rPr>
          <w:i/>
          <w:sz w:val="24"/>
        </w:rPr>
        <w:t>Review,</w:t>
      </w:r>
      <w:r>
        <w:rPr>
          <w:i/>
          <w:spacing w:val="5"/>
          <w:sz w:val="24"/>
        </w:rPr>
        <w:t> </w:t>
      </w:r>
      <w:r>
        <w:rPr>
          <w:sz w:val="24"/>
        </w:rPr>
        <w:t>75: </w:t>
      </w:r>
      <w:r>
        <w:rPr>
          <w:spacing w:val="-2"/>
          <w:sz w:val="24"/>
        </w:rPr>
        <w:t>1629.</w:t>
      </w:r>
    </w:p>
    <w:p>
      <w:pPr>
        <w:spacing w:line="271" w:lineRule="auto" w:before="248"/>
        <w:ind w:left="308" w:right="231" w:firstLine="0"/>
        <w:jc w:val="both"/>
        <w:rPr>
          <w:sz w:val="24"/>
        </w:rPr>
      </w:pPr>
      <w:r>
        <w:rPr>
          <w:sz w:val="24"/>
        </w:rPr>
        <w:t>Worthington, S. (2001).Reforming Directors Duties. </w:t>
      </w:r>
      <w:r>
        <w:rPr>
          <w:i/>
          <w:sz w:val="24"/>
        </w:rPr>
        <w:t>The Modern Law Review</w:t>
      </w:r>
      <w:r>
        <w:rPr>
          <w:sz w:val="24"/>
        </w:rPr>
        <w:t>, 64(3): </w:t>
      </w:r>
      <w:r>
        <w:rPr>
          <w:spacing w:val="-2"/>
          <w:sz w:val="24"/>
        </w:rPr>
        <w:t>439-458.</w:t>
      </w:r>
    </w:p>
    <w:p>
      <w:pPr>
        <w:pStyle w:val="BodyText"/>
        <w:spacing w:before="213"/>
        <w:ind w:left="0"/>
      </w:pPr>
    </w:p>
    <w:p>
      <w:pPr>
        <w:pStyle w:val="Heading2"/>
        <w:spacing w:before="1"/>
        <w:ind w:left="308" w:firstLine="0"/>
        <w:jc w:val="left"/>
      </w:pPr>
      <w:r>
        <w:rPr>
          <w:spacing w:val="-2"/>
        </w:rPr>
        <w:t>Newspapers</w:t>
      </w:r>
    </w:p>
    <w:p>
      <w:pPr>
        <w:pStyle w:val="BodyText"/>
        <w:tabs>
          <w:tab w:pos="1854" w:val="left" w:leader="none"/>
          <w:tab w:pos="4647" w:val="left" w:leader="none"/>
          <w:tab w:pos="5934" w:val="left" w:leader="none"/>
          <w:tab w:pos="6961" w:val="left" w:leader="none"/>
          <w:tab w:pos="8348" w:val="left" w:leader="none"/>
        </w:tabs>
        <w:spacing w:line="273" w:lineRule="auto" w:before="36"/>
        <w:ind w:right="228"/>
        <w:jc w:val="both"/>
      </w:pPr>
      <w:r>
        <w:rPr/>
        <w:t>Anaba, I. and Adeshida, A. (2009). EFCC Files Charges AgainstIbru, Ebong, Thirteen </w:t>
      </w:r>
      <w:r>
        <w:rPr>
          <w:spacing w:val="-2"/>
        </w:rPr>
        <w:t>Others.</w:t>
      </w:r>
      <w:r>
        <w:rPr/>
        <w:tab/>
      </w:r>
      <w:r>
        <w:rPr>
          <w:i/>
          <w:spacing w:val="-2"/>
        </w:rPr>
        <w:t>Vanguard.</w:t>
      </w:r>
      <w:r>
        <w:rPr>
          <w:spacing w:val="-2"/>
        </w:rPr>
        <w:t>Retrieved</w:t>
      </w:r>
      <w:r>
        <w:rPr/>
        <w:tab/>
      </w:r>
      <w:r>
        <w:rPr>
          <w:spacing w:val="-4"/>
        </w:rPr>
        <w:t>May</w:t>
      </w:r>
      <w:r>
        <w:rPr/>
        <w:tab/>
      </w:r>
      <w:r>
        <w:rPr>
          <w:spacing w:val="-6"/>
        </w:rPr>
        <w:t>2,</w:t>
      </w:r>
      <w:r>
        <w:rPr/>
        <w:tab/>
      </w:r>
      <w:r>
        <w:rPr>
          <w:spacing w:val="-2"/>
        </w:rPr>
        <w:t>2014,</w:t>
      </w:r>
      <w:r>
        <w:rPr/>
        <w:tab/>
      </w:r>
      <w:r>
        <w:rPr>
          <w:spacing w:val="-4"/>
        </w:rPr>
        <w:t>from </w:t>
      </w:r>
      <w:hyperlink r:id="rId36">
        <w:r>
          <w:rPr>
            <w:color w:val="0000FF"/>
            <w:spacing w:val="-2"/>
            <w:u w:val="single" w:color="0000FF"/>
          </w:rPr>
          <w:t>http://www.vanguardngr.com/2009/08/efcc-files-charges-against-ibru-ebong-13-others/</w:t>
        </w:r>
      </w:hyperlink>
      <w:r>
        <w:rPr>
          <w:spacing w:val="-2"/>
        </w:rPr>
        <w:t>.</w:t>
      </w:r>
    </w:p>
    <w:p>
      <w:pPr>
        <w:pStyle w:val="BodyText"/>
        <w:tabs>
          <w:tab w:pos="1666" w:val="left" w:leader="none"/>
          <w:tab w:pos="3264" w:val="left" w:leader="none"/>
          <w:tab w:pos="4775" w:val="left" w:leader="none"/>
          <w:tab w:pos="6339" w:val="left" w:leader="none"/>
          <w:tab w:pos="7222" w:val="left" w:leader="none"/>
          <w:tab w:pos="8344" w:val="left" w:leader="none"/>
        </w:tabs>
        <w:spacing w:line="276" w:lineRule="auto" w:before="208"/>
        <w:ind w:right="232"/>
      </w:pPr>
      <w:r>
        <w:rPr/>
        <w:t>Eboh,</w:t>
      </w:r>
      <w:r>
        <w:rPr>
          <w:spacing w:val="36"/>
        </w:rPr>
        <w:t> </w:t>
      </w:r>
      <w:r>
        <w:rPr/>
        <w:t>M.</w:t>
      </w:r>
      <w:r>
        <w:rPr>
          <w:spacing w:val="36"/>
        </w:rPr>
        <w:t> </w:t>
      </w:r>
      <w:r>
        <w:rPr/>
        <w:t>(2009,</w:t>
      </w:r>
      <w:r>
        <w:rPr>
          <w:spacing w:val="31"/>
        </w:rPr>
        <w:t> </w:t>
      </w:r>
      <w:r>
        <w:rPr/>
        <w:t>September</w:t>
      </w:r>
      <w:r>
        <w:rPr>
          <w:spacing w:val="36"/>
        </w:rPr>
        <w:t> </w:t>
      </w:r>
      <w:r>
        <w:rPr/>
        <w:t>24).</w:t>
      </w:r>
      <w:r>
        <w:rPr>
          <w:spacing w:val="36"/>
        </w:rPr>
        <w:t> </w:t>
      </w:r>
      <w:r>
        <w:rPr/>
        <w:t>Dematerialisation:</w:t>
      </w:r>
      <w:r>
        <w:rPr>
          <w:spacing w:val="35"/>
        </w:rPr>
        <w:t> </w:t>
      </w:r>
      <w:r>
        <w:rPr/>
        <w:t>Stockbrokers</w:t>
      </w:r>
      <w:r>
        <w:rPr>
          <w:spacing w:val="32"/>
        </w:rPr>
        <w:t> </w:t>
      </w:r>
      <w:r>
        <w:rPr/>
        <w:t>Call</w:t>
      </w:r>
      <w:r>
        <w:rPr>
          <w:spacing w:val="35"/>
        </w:rPr>
        <w:t> </w:t>
      </w:r>
      <w:r>
        <w:rPr/>
        <w:t>for</w:t>
      </w:r>
      <w:r>
        <w:rPr>
          <w:spacing w:val="36"/>
        </w:rPr>
        <w:t> </w:t>
      </w:r>
      <w:r>
        <w:rPr/>
        <w:t>Review</w:t>
      </w:r>
      <w:r>
        <w:rPr>
          <w:spacing w:val="34"/>
        </w:rPr>
        <w:t> </w:t>
      </w:r>
      <w:r>
        <w:rPr/>
        <w:t>of </w:t>
      </w:r>
      <w:r>
        <w:rPr>
          <w:spacing w:val="-2"/>
        </w:rPr>
        <w:t>CAMA.</w:t>
      </w:r>
      <w:r>
        <w:rPr/>
        <w:tab/>
      </w:r>
      <w:r>
        <w:rPr>
          <w:i/>
          <w:spacing w:val="-2"/>
        </w:rPr>
        <w:t>Vanguard</w:t>
      </w:r>
      <w:r>
        <w:rPr>
          <w:spacing w:val="-2"/>
        </w:rPr>
        <w:t>.</w:t>
      </w:r>
      <w:r>
        <w:rPr/>
        <w:tab/>
      </w:r>
      <w:r>
        <w:rPr>
          <w:spacing w:val="-2"/>
        </w:rPr>
        <w:t>Retrieved</w:t>
      </w:r>
      <w:r>
        <w:rPr/>
        <w:tab/>
      </w:r>
      <w:r>
        <w:rPr>
          <w:spacing w:val="-2"/>
        </w:rPr>
        <w:t>December</w:t>
      </w:r>
      <w:r>
        <w:rPr/>
        <w:tab/>
      </w:r>
      <w:r>
        <w:rPr>
          <w:spacing w:val="-4"/>
        </w:rPr>
        <w:t>12,</w:t>
      </w:r>
      <w:r>
        <w:rPr/>
        <w:tab/>
      </w:r>
      <w:r>
        <w:rPr>
          <w:spacing w:val="-2"/>
        </w:rPr>
        <w:t>2013,</w:t>
      </w:r>
      <w:r>
        <w:rPr/>
        <w:tab/>
      </w:r>
      <w:r>
        <w:rPr>
          <w:spacing w:val="-4"/>
        </w:rPr>
        <w:t>from </w:t>
      </w:r>
      <w:hyperlink r:id="rId9">
        <w:r>
          <w:rPr>
            <w:color w:val="0000FF"/>
            <w:spacing w:val="-2"/>
            <w:u w:val="single" w:color="0000FF"/>
          </w:rPr>
          <w:t>http://www.vanguardngr.com/2009/09/dematerialisation-stockbrokers-call-for-review-</w:t>
        </w:r>
      </w:hyperlink>
      <w:r>
        <w:rPr>
          <w:color w:val="0000FF"/>
          <w:spacing w:val="80"/>
        </w:rPr>
        <w:t> </w:t>
      </w:r>
      <w:hyperlink r:id="rId9">
        <w:r>
          <w:rPr>
            <w:color w:val="0000FF"/>
            <w:spacing w:val="-4"/>
            <w:u w:val="single" w:color="0000FF"/>
          </w:rPr>
          <w:t>of-</w:t>
        </w:r>
      </w:hyperlink>
      <w:r>
        <w:rPr>
          <w:color w:val="0000FF"/>
          <w:spacing w:val="-4"/>
        </w:rPr>
        <w:t> </w:t>
      </w:r>
      <w:hyperlink r:id="rId9">
        <w:r>
          <w:rPr>
            <w:color w:val="0000FF"/>
            <w:spacing w:val="-2"/>
            <w:u w:val="single" w:color="0000FF"/>
          </w:rPr>
          <w:t>cama/?utm_source=feedburner&amp;utm_medium=feed&amp;utm_campaign=Feed%3A%20van</w:t>
        </w:r>
      </w:hyperlink>
      <w:r>
        <w:rPr>
          <w:color w:val="0000FF"/>
          <w:spacing w:val="-2"/>
        </w:rPr>
        <w:t> </w:t>
      </w:r>
      <w:hyperlink r:id="rId9">
        <w:r>
          <w:rPr>
            <w:color w:val="0000FF"/>
            <w:spacing w:val="-2"/>
            <w:u w:val="single" w:color="0000FF"/>
          </w:rPr>
          <w:t>guardngr%2FdIeb%20%28Vanguard%20News%20Feed%29</w:t>
        </w:r>
        <w:r>
          <w:rPr>
            <w:spacing w:val="-2"/>
          </w:rPr>
          <w:t>.</w:t>
        </w:r>
      </w:hyperlink>
    </w:p>
    <w:p>
      <w:pPr>
        <w:pStyle w:val="BodyText"/>
        <w:spacing w:line="273" w:lineRule="auto" w:before="204"/>
        <w:ind w:right="231"/>
        <w:jc w:val="both"/>
      </w:pPr>
      <w:r>
        <w:rPr/>
        <w:t>Egwuatu, P. (2012). PROSAN Moves for Amendment of CAMA.</w:t>
      </w:r>
      <w:r>
        <w:rPr>
          <w:i/>
        </w:rPr>
        <w:t>Vanguard.</w:t>
      </w:r>
      <w:r>
        <w:rPr/>
        <w:t>Retrieved April 26, 2014, from</w:t>
      </w:r>
      <w:hyperlink r:id="rId8">
        <w:r>
          <w:rPr>
            <w:color w:val="0000FF"/>
            <w:u w:val="single" w:color="0000FF"/>
          </w:rPr>
          <w:t>http://www.vanguardngr.com/2012/10/prosan-moves-for-</w:t>
        </w:r>
      </w:hyperlink>
      <w:r>
        <w:rPr>
          <w:color w:val="0000FF"/>
        </w:rPr>
        <w:t> </w:t>
      </w:r>
      <w:hyperlink r:id="rId8">
        <w:r>
          <w:rPr>
            <w:color w:val="0000FF"/>
            <w:spacing w:val="-2"/>
            <w:u w:val="single" w:color="0000FF"/>
          </w:rPr>
          <w:t>amendment-of-cama/</w:t>
        </w:r>
      </w:hyperlink>
      <w:r>
        <w:rPr>
          <w:spacing w:val="-2"/>
        </w:rPr>
        <w:t>.</w:t>
      </w:r>
    </w:p>
    <w:p>
      <w:pPr>
        <w:spacing w:after="0" w:line="273" w:lineRule="auto"/>
        <w:jc w:val="both"/>
        <w:sectPr>
          <w:pgSz w:w="11910" w:h="16840"/>
          <w:pgMar w:header="0" w:footer="1003" w:top="1320" w:bottom="1200" w:left="1680" w:right="1180"/>
        </w:sectPr>
      </w:pPr>
    </w:p>
    <w:p>
      <w:pPr>
        <w:pStyle w:val="BodyText"/>
        <w:spacing w:line="276" w:lineRule="auto" w:before="70"/>
      </w:pPr>
      <w:r>
        <w:rPr/>
        <w:t>Egwuatu, P.</w:t>
      </w:r>
      <w:r>
        <w:rPr>
          <w:spacing w:val="-4"/>
        </w:rPr>
        <w:t> </w:t>
      </w:r>
      <w:r>
        <w:rPr/>
        <w:t>(2012, July</w:t>
      </w:r>
      <w:r>
        <w:rPr>
          <w:spacing w:val="-6"/>
        </w:rPr>
        <w:t> </w:t>
      </w:r>
      <w:r>
        <w:rPr/>
        <w:t>3). IFC Africa</w:t>
      </w:r>
      <w:r>
        <w:rPr>
          <w:spacing w:val="-2"/>
        </w:rPr>
        <w:t> </w:t>
      </w:r>
      <w:r>
        <w:rPr/>
        <w:t>Calls for Review</w:t>
      </w:r>
      <w:r>
        <w:rPr>
          <w:spacing w:val="-2"/>
        </w:rPr>
        <w:t> </w:t>
      </w:r>
      <w:r>
        <w:rPr/>
        <w:t>of</w:t>
      </w:r>
      <w:r>
        <w:rPr>
          <w:spacing w:val="-4"/>
        </w:rPr>
        <w:t> </w:t>
      </w:r>
      <w:r>
        <w:rPr/>
        <w:t>CAMA.</w:t>
      </w:r>
      <w:r>
        <w:rPr>
          <w:i/>
        </w:rPr>
        <w:t>Vanguard</w:t>
      </w:r>
      <w:r>
        <w:rPr/>
        <w:t>.Retrieved August 21, 2012, from </w:t>
      </w:r>
      <w:hyperlink r:id="rId7">
        <w:r>
          <w:rPr>
            <w:color w:val="0000FF"/>
            <w:u w:val="single" w:color="0000FF"/>
          </w:rPr>
          <w:t>www.vanguardngr.com/</w:t>
        </w:r>
      </w:hyperlink>
      <w:r>
        <w:rPr/>
        <w:t>.</w:t>
      </w:r>
    </w:p>
    <w:p>
      <w:pPr>
        <w:pStyle w:val="BodyText"/>
        <w:spacing w:line="276" w:lineRule="auto" w:before="200"/>
        <w:ind w:right="255"/>
      </w:pPr>
      <w:r>
        <w:rPr/>
        <w:t>Ekwere, U. (2010, November 1). Former SEC DG Calls for Amendment of CAMA</w:t>
      </w:r>
      <w:r>
        <w:rPr>
          <w:i/>
        </w:rPr>
        <w:t>.Punch</w:t>
      </w:r>
      <w:r>
        <w:rPr/>
        <w:t>.Retrieved December 6, 2013, from </w:t>
      </w:r>
      <w:hyperlink r:id="rId10">
        <w:r>
          <w:rPr>
            <w:color w:val="0000FF"/>
            <w:spacing w:val="-2"/>
            <w:u w:val="single" w:color="0000FF"/>
          </w:rPr>
          <w:t>www.allianzeglobal.com/Market_News/.../AG_Market_News_011110_02.doc</w:t>
        </w:r>
      </w:hyperlink>
      <w:r>
        <w:rPr>
          <w:spacing w:val="-2"/>
        </w:rPr>
        <w:t>.</w:t>
      </w:r>
    </w:p>
    <w:p>
      <w:pPr>
        <w:pStyle w:val="BodyText"/>
        <w:spacing w:line="276" w:lineRule="auto" w:before="201"/>
        <w:ind w:right="229"/>
        <w:jc w:val="both"/>
      </w:pPr>
      <w:r>
        <w:rPr/>
        <w:t>Friedman, M. (1970, September 13). The Social Responsibility of Business is to Increase Its Profits. </w:t>
      </w:r>
      <w:r>
        <w:rPr>
          <w:i/>
        </w:rPr>
        <w:t>The New York Times Magazine.</w:t>
      </w:r>
      <w:r>
        <w:rPr/>
        <w:t>Retrieved May 24, 2014 from </w:t>
      </w:r>
      <w:hyperlink r:id="rId31">
        <w:r>
          <w:rPr>
            <w:color w:val="0000FF"/>
            <w:spacing w:val="-2"/>
            <w:u w:val="single" w:color="0000FF"/>
          </w:rPr>
          <w:t>http://www.umich.edu/~thecore/doc/Friedman.pdf</w:t>
        </w:r>
        <w:r>
          <w:rPr>
            <w:spacing w:val="-2"/>
          </w:rPr>
          <w:t>.</w:t>
        </w:r>
      </w:hyperlink>
    </w:p>
    <w:p>
      <w:pPr>
        <w:spacing w:before="195"/>
        <w:ind w:left="308" w:right="0" w:firstLine="0"/>
        <w:jc w:val="both"/>
        <w:rPr>
          <w:sz w:val="24"/>
        </w:rPr>
      </w:pPr>
      <w:r>
        <w:rPr>
          <w:sz w:val="24"/>
        </w:rPr>
        <w:t>Breaking</w:t>
      </w:r>
      <w:r>
        <w:rPr>
          <w:spacing w:val="-3"/>
          <w:sz w:val="24"/>
        </w:rPr>
        <w:t> </w:t>
      </w:r>
      <w:r>
        <w:rPr>
          <w:sz w:val="24"/>
        </w:rPr>
        <w:t>the</w:t>
      </w:r>
      <w:r>
        <w:rPr>
          <w:spacing w:val="-2"/>
          <w:sz w:val="24"/>
        </w:rPr>
        <w:t> </w:t>
      </w:r>
      <w:r>
        <w:rPr>
          <w:sz w:val="24"/>
        </w:rPr>
        <w:t>Money</w:t>
      </w:r>
      <w:r>
        <w:rPr>
          <w:spacing w:val="-10"/>
          <w:sz w:val="24"/>
        </w:rPr>
        <w:t> </w:t>
      </w:r>
      <w:r>
        <w:rPr>
          <w:sz w:val="24"/>
        </w:rPr>
        <w:t>Trusts.</w:t>
      </w:r>
      <w:r>
        <w:rPr>
          <w:i/>
          <w:sz w:val="24"/>
        </w:rPr>
        <w:t>Harper's</w:t>
      </w:r>
      <w:r>
        <w:rPr>
          <w:i/>
          <w:spacing w:val="-3"/>
          <w:sz w:val="24"/>
        </w:rPr>
        <w:t> </w:t>
      </w:r>
      <w:r>
        <w:rPr>
          <w:i/>
          <w:sz w:val="24"/>
        </w:rPr>
        <w:t>Weekly.</w:t>
      </w:r>
      <w:r>
        <w:rPr>
          <w:i/>
          <w:spacing w:val="61"/>
          <w:sz w:val="24"/>
        </w:rPr>
        <w:t> </w:t>
      </w:r>
      <w:r>
        <w:rPr>
          <w:sz w:val="24"/>
        </w:rPr>
        <w:t>December 6,</w:t>
      </w:r>
      <w:r>
        <w:rPr>
          <w:spacing w:val="2"/>
          <w:sz w:val="24"/>
        </w:rPr>
        <w:t> </w:t>
      </w:r>
      <w:r>
        <w:rPr>
          <w:spacing w:val="-2"/>
          <w:sz w:val="24"/>
        </w:rPr>
        <w:t>1913,</w:t>
      </w:r>
    </w:p>
    <w:p>
      <w:pPr>
        <w:pStyle w:val="BodyText"/>
        <w:spacing w:line="271" w:lineRule="auto" w:before="247"/>
        <w:ind w:right="241"/>
        <w:jc w:val="both"/>
      </w:pPr>
      <w:r>
        <w:rPr/>
        <w:t>Ogwu, M.S. (2014, April 18). We Encourage Quoted Firms to Have More Women Directors. </w:t>
      </w:r>
      <w:r>
        <w:rPr>
          <w:i/>
        </w:rPr>
        <w:t>Daily Trust.</w:t>
      </w:r>
      <w:r>
        <w:rPr/>
        <w:t>Business.</w:t>
      </w:r>
    </w:p>
    <w:p>
      <w:pPr>
        <w:pStyle w:val="BodyText"/>
        <w:spacing w:before="219"/>
        <w:ind w:left="0"/>
      </w:pPr>
    </w:p>
    <w:p>
      <w:pPr>
        <w:pStyle w:val="Heading2"/>
        <w:spacing w:before="1"/>
        <w:ind w:left="308" w:firstLine="0"/>
      </w:pPr>
      <w:r>
        <w:rPr/>
        <w:t>Working</w:t>
      </w:r>
      <w:r>
        <w:rPr>
          <w:spacing w:val="-3"/>
        </w:rPr>
        <w:t> </w:t>
      </w:r>
      <w:r>
        <w:rPr/>
        <w:t>Papers/Term</w:t>
      </w:r>
      <w:r>
        <w:rPr>
          <w:spacing w:val="-4"/>
        </w:rPr>
        <w:t> </w:t>
      </w:r>
      <w:r>
        <w:rPr>
          <w:spacing w:val="-2"/>
        </w:rPr>
        <w:t>Papers/Theses/Dissertations</w:t>
      </w:r>
    </w:p>
    <w:p>
      <w:pPr>
        <w:spacing w:line="240" w:lineRule="auto" w:before="36"/>
        <w:ind w:left="308" w:right="234" w:firstLine="0"/>
        <w:jc w:val="both"/>
        <w:rPr>
          <w:sz w:val="24"/>
        </w:rPr>
      </w:pPr>
      <w:r>
        <w:rPr>
          <w:sz w:val="24"/>
        </w:rPr>
        <w:t>Ali, H.L. (1996). </w:t>
      </w:r>
      <w:r>
        <w:rPr>
          <w:i/>
          <w:sz w:val="24"/>
        </w:rPr>
        <w:t>The Powers of Directors in Nigerian Company Law: An Analysis of</w:t>
      </w:r>
      <w:r>
        <w:rPr>
          <w:i/>
          <w:spacing w:val="40"/>
          <w:sz w:val="24"/>
        </w:rPr>
        <w:t> </w:t>
      </w:r>
      <w:r>
        <w:rPr>
          <w:i/>
          <w:sz w:val="24"/>
        </w:rPr>
        <w:t>the Dynamic of Directors Dominance in Modern Companies.</w:t>
      </w:r>
      <w:r>
        <w:rPr>
          <w:sz w:val="24"/>
        </w:rPr>
        <w:t>(Unpublished LL.M. thesis).Faculty of Law, Ahmadu Bello University Zaria.</w:t>
      </w:r>
    </w:p>
    <w:p>
      <w:pPr>
        <w:pStyle w:val="BodyText"/>
        <w:spacing w:before="199"/>
        <w:ind w:right="237"/>
        <w:jc w:val="both"/>
      </w:pPr>
      <w:r>
        <w:rPr/>
        <w:t>Fitzpatrick, C. (2011). The Companies Act 2006 and its Implications for Company Directors.Being an essay for the 2011 Undergraduate Awards (Ireland) Competition, submitted to the University of Ulster, Ireland.Retrieved December 4, 2013, from </w:t>
      </w:r>
      <w:hyperlink r:id="rId57">
        <w:r>
          <w:rPr>
            <w:color w:val="0000FF"/>
            <w:spacing w:val="-2"/>
            <w:u w:val="single" w:color="0000FF"/>
          </w:rPr>
          <w:t>http://www.scribd.com/doc/104560914/The-Companies-Act-2006-and-its-implications-</w:t>
        </w:r>
      </w:hyperlink>
      <w:r>
        <w:rPr>
          <w:color w:val="0000FF"/>
          <w:spacing w:val="-2"/>
        </w:rPr>
        <w:t> </w:t>
      </w:r>
      <w:hyperlink r:id="rId57">
        <w:r>
          <w:rPr>
            <w:color w:val="0000FF"/>
            <w:spacing w:val="-2"/>
            <w:u w:val="single" w:color="0000FF"/>
          </w:rPr>
          <w:t>for-Company-Directors</w:t>
        </w:r>
      </w:hyperlink>
      <w:r>
        <w:rPr>
          <w:spacing w:val="-2"/>
        </w:rPr>
        <w:t>.</w:t>
      </w:r>
    </w:p>
    <w:p>
      <w:pPr>
        <w:spacing w:line="273" w:lineRule="auto" w:before="200"/>
        <w:ind w:left="308" w:right="235" w:firstLine="0"/>
        <w:jc w:val="both"/>
        <w:rPr>
          <w:sz w:val="24"/>
        </w:rPr>
      </w:pPr>
      <w:r>
        <w:rPr>
          <w:sz w:val="24"/>
        </w:rPr>
        <w:t>Keay, A. (2010) </w:t>
      </w:r>
      <w:r>
        <w:rPr>
          <w:i/>
          <w:sz w:val="24"/>
        </w:rPr>
        <w:t>The Duty to Promote the Success of the Company: Is it Fit for</w:t>
      </w:r>
      <w:r>
        <w:rPr>
          <w:i/>
          <w:spacing w:val="40"/>
          <w:sz w:val="24"/>
        </w:rPr>
        <w:t> </w:t>
      </w:r>
      <w:r>
        <w:rPr>
          <w:i/>
          <w:sz w:val="24"/>
        </w:rPr>
        <w:t>Purpose? </w:t>
      </w:r>
      <w:r>
        <w:rPr>
          <w:sz w:val="24"/>
        </w:rPr>
        <w:t>Working Paper, Centre for Business Law and Practice, School of Law, University of Leeds, England. Retrieved October 21, 2013 from </w:t>
      </w:r>
      <w:hyperlink r:id="rId47">
        <w:r>
          <w:rPr>
            <w:color w:val="0000FF"/>
            <w:spacing w:val="-2"/>
            <w:sz w:val="24"/>
            <w:u w:val="single" w:color="0000FF"/>
          </w:rPr>
          <w:t>http://papers.ssrn.com/sol3/papers.cfm?abstract_id=1662411</w:t>
        </w:r>
      </w:hyperlink>
      <w:r>
        <w:rPr>
          <w:spacing w:val="-2"/>
          <w:sz w:val="24"/>
        </w:rPr>
        <w:t>.</w:t>
      </w:r>
    </w:p>
    <w:p>
      <w:pPr>
        <w:spacing w:line="240" w:lineRule="auto" w:before="210"/>
        <w:ind w:left="308" w:right="235" w:firstLine="0"/>
        <w:jc w:val="both"/>
        <w:rPr>
          <w:sz w:val="24"/>
        </w:rPr>
      </w:pPr>
      <w:r>
        <w:rPr>
          <w:sz w:val="24"/>
        </w:rPr>
        <w:t>Mbah, D.E. (1987). </w:t>
      </w:r>
      <w:r>
        <w:rPr>
          <w:i/>
          <w:sz w:val="24"/>
        </w:rPr>
        <w:t>A Comparative Study of the Nigerian Companies‘ Act 1968 and the Ghana Companies Code 1963</w:t>
      </w:r>
      <w:r>
        <w:rPr>
          <w:sz w:val="24"/>
        </w:rPr>
        <w:t>. LL.M. thesis (unpublished) Faculty of Law, Ahmadu Bello University Zaria.</w:t>
      </w:r>
    </w:p>
    <w:p>
      <w:pPr>
        <w:tabs>
          <w:tab w:pos="8345" w:val="left" w:leader="none"/>
        </w:tabs>
        <w:spacing w:line="240" w:lineRule="auto" w:before="200"/>
        <w:ind w:left="308" w:right="226" w:firstLine="0"/>
        <w:jc w:val="both"/>
        <w:rPr>
          <w:sz w:val="24"/>
        </w:rPr>
      </w:pPr>
      <w:r>
        <w:rPr>
          <w:sz w:val="24"/>
        </w:rPr>
        <w:t>Ralph, G. (2012). </w:t>
      </w:r>
      <w:r>
        <w:rPr>
          <w:i/>
          <w:sz w:val="24"/>
        </w:rPr>
        <w:t>BCE and the Shareholder Primacy Paradox: A Theory at War with Itself. </w:t>
      </w:r>
      <w:r>
        <w:rPr>
          <w:sz w:val="24"/>
        </w:rPr>
        <w:t>(LL.M. thesis University of Toronto, Canada) p. 15.Retrieved September 23,</w:t>
      </w:r>
      <w:r>
        <w:rPr>
          <w:spacing w:val="80"/>
          <w:sz w:val="24"/>
        </w:rPr>
        <w:t> </w:t>
      </w:r>
      <w:r>
        <w:rPr>
          <w:spacing w:val="-4"/>
          <w:sz w:val="24"/>
        </w:rPr>
        <w:t>2013</w:t>
      </w:r>
      <w:r>
        <w:rPr>
          <w:sz w:val="24"/>
        </w:rPr>
        <w:tab/>
      </w:r>
      <w:r>
        <w:rPr>
          <w:spacing w:val="-4"/>
          <w:sz w:val="24"/>
        </w:rPr>
        <w:t>from</w:t>
      </w:r>
    </w:p>
    <w:p>
      <w:pPr>
        <w:pStyle w:val="BodyText"/>
        <w:spacing w:line="237" w:lineRule="auto" w:before="5"/>
        <w:ind w:right="255"/>
      </w:pPr>
      <w:hyperlink r:id="rId32">
        <w:r>
          <w:rPr>
            <w:color w:val="0000FF"/>
            <w:spacing w:val="-2"/>
            <w:u w:val="single" w:color="0000FF"/>
          </w:rPr>
          <w:t>https://tspace.library.utoronto.ca/bitstream/1807/33219/1/gill_ralph_201211_LLM_thes</w:t>
        </w:r>
      </w:hyperlink>
      <w:r>
        <w:rPr>
          <w:color w:val="0000FF"/>
          <w:spacing w:val="-2"/>
        </w:rPr>
        <w:t> </w:t>
      </w:r>
      <w:hyperlink r:id="rId32">
        <w:r>
          <w:rPr>
            <w:color w:val="0000FF"/>
            <w:spacing w:val="-2"/>
            <w:u w:val="single" w:color="0000FF"/>
          </w:rPr>
          <w:t>is.pdf</w:t>
        </w:r>
        <w:r>
          <w:rPr>
            <w:spacing w:val="-2"/>
          </w:rPr>
          <w:t>.</w:t>
        </w:r>
      </w:hyperlink>
    </w:p>
    <w:p>
      <w:pPr>
        <w:spacing w:line="276" w:lineRule="auto" w:before="200"/>
        <w:ind w:left="308" w:right="226" w:firstLine="0"/>
        <w:jc w:val="both"/>
        <w:rPr>
          <w:sz w:val="24"/>
        </w:rPr>
      </w:pPr>
      <w:r>
        <w:rPr>
          <w:sz w:val="24"/>
        </w:rPr>
        <w:t>Ronnegard, D. and Smith, N.C. (2011).</w:t>
      </w:r>
      <w:r>
        <w:rPr>
          <w:i/>
          <w:sz w:val="24"/>
        </w:rPr>
        <w:t>Shareholders vs. Stakeholders: How</w:t>
      </w:r>
      <w:r>
        <w:rPr>
          <w:i/>
          <w:spacing w:val="-7"/>
          <w:sz w:val="24"/>
        </w:rPr>
        <w:t> </w:t>
      </w:r>
      <w:r>
        <w:rPr>
          <w:i/>
          <w:sz w:val="24"/>
        </w:rPr>
        <w:t>Liberal and Libertarian Political Philosophy Frames the Basic Debate in Business Ethics. </w:t>
      </w:r>
      <w:r>
        <w:rPr>
          <w:sz w:val="24"/>
        </w:rPr>
        <w:t>Faculty and Research Working Paper, Insead Social Innovation Centre, France.</w:t>
      </w:r>
    </w:p>
    <w:p>
      <w:pPr>
        <w:spacing w:line="240" w:lineRule="auto" w:before="201"/>
        <w:ind w:left="308" w:right="236" w:firstLine="0"/>
        <w:jc w:val="both"/>
        <w:rPr>
          <w:sz w:val="24"/>
        </w:rPr>
      </w:pPr>
      <w:r>
        <w:rPr>
          <w:sz w:val="24"/>
        </w:rPr>
        <w:t>Tate, C.R. (2011). </w:t>
      </w:r>
      <w:r>
        <w:rPr>
          <w:i/>
          <w:sz w:val="24"/>
        </w:rPr>
        <w:t>Section 172 CA 2006: The Ticket to Stakeholder Value or Simply Tokenism?</w:t>
      </w:r>
      <w:r>
        <w:rPr>
          <w:i/>
          <w:spacing w:val="40"/>
          <w:sz w:val="24"/>
        </w:rPr>
        <w:t> </w:t>
      </w:r>
      <w:r>
        <w:rPr>
          <w:sz w:val="24"/>
        </w:rPr>
        <w:t>Being term paper submitted to the Graduate School of Law, University of </w:t>
      </w:r>
      <w:r>
        <w:rPr>
          <w:spacing w:val="-2"/>
          <w:sz w:val="24"/>
        </w:rPr>
        <w:t>Aberdeen.</w:t>
      </w:r>
    </w:p>
    <w:p>
      <w:pPr>
        <w:spacing w:after="0" w:line="240" w:lineRule="auto"/>
        <w:jc w:val="both"/>
        <w:rPr>
          <w:sz w:val="24"/>
        </w:rPr>
        <w:sectPr>
          <w:pgSz w:w="11910" w:h="16840"/>
          <w:pgMar w:header="0" w:footer="1003" w:top="1320" w:bottom="1200" w:left="1680" w:right="1180"/>
        </w:sectPr>
      </w:pPr>
    </w:p>
    <w:p>
      <w:pPr>
        <w:tabs>
          <w:tab w:pos="1223" w:val="left" w:leader="none"/>
          <w:tab w:pos="1635" w:val="left" w:leader="none"/>
          <w:tab w:pos="1789" w:val="left" w:leader="none"/>
          <w:tab w:pos="2554" w:val="left" w:leader="none"/>
          <w:tab w:pos="2595" w:val="left" w:leader="none"/>
          <w:tab w:pos="3641" w:val="left" w:leader="none"/>
          <w:tab w:pos="3926" w:val="left" w:leader="none"/>
          <w:tab w:pos="5191" w:val="left" w:leader="none"/>
          <w:tab w:pos="5327" w:val="left" w:leader="none"/>
          <w:tab w:pos="6103" w:val="left" w:leader="none"/>
          <w:tab w:pos="6247" w:val="left" w:leader="none"/>
          <w:tab w:pos="6678" w:val="left" w:leader="none"/>
          <w:tab w:pos="7172" w:val="left" w:leader="none"/>
          <w:tab w:pos="8344" w:val="left" w:leader="none"/>
          <w:tab w:pos="8483" w:val="left" w:leader="none"/>
        </w:tabs>
        <w:spacing w:line="240" w:lineRule="auto" w:before="70"/>
        <w:ind w:left="308" w:right="233" w:firstLine="0"/>
        <w:jc w:val="left"/>
        <w:rPr>
          <w:sz w:val="24"/>
        </w:rPr>
      </w:pPr>
      <w:r>
        <w:rPr>
          <w:spacing w:val="-2"/>
          <w:sz w:val="24"/>
        </w:rPr>
        <w:t>Taylor,</w:t>
      </w:r>
      <w:r>
        <w:rPr>
          <w:sz w:val="24"/>
        </w:rPr>
        <w:tab/>
      </w:r>
      <w:r>
        <w:rPr>
          <w:spacing w:val="-6"/>
          <w:sz w:val="24"/>
        </w:rPr>
        <w:t>P.</w:t>
      </w:r>
      <w:r>
        <w:rPr>
          <w:sz w:val="24"/>
        </w:rPr>
        <w:tab/>
      </w:r>
      <w:r>
        <w:rPr>
          <w:spacing w:val="-2"/>
          <w:sz w:val="24"/>
        </w:rPr>
        <w:t>(2010).</w:t>
      </w:r>
      <w:r>
        <w:rPr>
          <w:sz w:val="24"/>
        </w:rPr>
        <w:tab/>
      </w:r>
      <w:r>
        <w:rPr>
          <w:i/>
          <w:spacing w:val="-2"/>
          <w:sz w:val="24"/>
        </w:rPr>
        <w:t>Enlightened</w:t>
      </w:r>
      <w:r>
        <w:rPr>
          <w:i/>
          <w:sz w:val="24"/>
        </w:rPr>
        <w:tab/>
      </w:r>
      <w:r>
        <w:rPr>
          <w:i/>
          <w:spacing w:val="-2"/>
          <w:sz w:val="24"/>
        </w:rPr>
        <w:t>Shareholder</w:t>
      </w:r>
      <w:r>
        <w:rPr>
          <w:i/>
          <w:sz w:val="24"/>
        </w:rPr>
        <w:tab/>
        <w:tab/>
      </w:r>
      <w:r>
        <w:rPr>
          <w:i/>
          <w:spacing w:val="-2"/>
          <w:sz w:val="24"/>
        </w:rPr>
        <w:t>Value</w:t>
      </w:r>
      <w:r>
        <w:rPr>
          <w:i/>
          <w:sz w:val="24"/>
        </w:rPr>
        <w:tab/>
      </w:r>
      <w:r>
        <w:rPr>
          <w:i/>
          <w:spacing w:val="-4"/>
          <w:sz w:val="24"/>
        </w:rPr>
        <w:t>and</w:t>
      </w:r>
      <w:r>
        <w:rPr>
          <w:i/>
          <w:sz w:val="24"/>
        </w:rPr>
        <w:tab/>
      </w:r>
      <w:r>
        <w:rPr>
          <w:i/>
          <w:spacing w:val="-4"/>
          <w:sz w:val="24"/>
        </w:rPr>
        <w:t>the</w:t>
      </w:r>
      <w:r>
        <w:rPr>
          <w:i/>
          <w:sz w:val="24"/>
        </w:rPr>
        <w:tab/>
      </w:r>
      <w:r>
        <w:rPr>
          <w:i/>
          <w:spacing w:val="-41"/>
          <w:sz w:val="24"/>
        </w:rPr>
        <w:t> </w:t>
      </w:r>
      <w:r>
        <w:rPr>
          <w:i/>
          <w:sz w:val="24"/>
        </w:rPr>
        <w:t>Companies</w:t>
        <w:tab/>
        <w:tab/>
      </w:r>
      <w:r>
        <w:rPr>
          <w:i/>
          <w:spacing w:val="-4"/>
          <w:sz w:val="24"/>
        </w:rPr>
        <w:t>Act </w:t>
      </w:r>
      <w:r>
        <w:rPr>
          <w:i/>
          <w:sz w:val="24"/>
        </w:rPr>
        <w:t>2006.</w:t>
      </w:r>
      <w:r>
        <w:rPr>
          <w:sz w:val="24"/>
        </w:rPr>
        <w:t>(Unpublished</w:t>
      </w:r>
      <w:r>
        <w:rPr>
          <w:spacing w:val="80"/>
          <w:sz w:val="24"/>
        </w:rPr>
        <w:t> </w:t>
      </w:r>
      <w:r>
        <w:rPr>
          <w:sz w:val="24"/>
        </w:rPr>
        <w:t>doctoral</w:t>
      </w:r>
      <w:r>
        <w:rPr>
          <w:spacing w:val="80"/>
          <w:sz w:val="24"/>
        </w:rPr>
        <w:t> </w:t>
      </w:r>
      <w:r>
        <w:rPr>
          <w:sz w:val="24"/>
        </w:rPr>
        <w:t>dissertation).Birbeck</w:t>
      </w:r>
      <w:r>
        <w:rPr>
          <w:spacing w:val="80"/>
          <w:sz w:val="24"/>
        </w:rPr>
        <w:t> </w:t>
      </w:r>
      <w:r>
        <w:rPr>
          <w:sz w:val="24"/>
        </w:rPr>
        <w:t>College,</w:t>
      </w:r>
      <w:r>
        <w:rPr>
          <w:spacing w:val="80"/>
          <w:sz w:val="24"/>
        </w:rPr>
        <w:t> </w:t>
      </w:r>
      <w:r>
        <w:rPr>
          <w:sz w:val="24"/>
        </w:rPr>
        <w:t>University</w:t>
      </w:r>
      <w:r>
        <w:rPr>
          <w:spacing w:val="80"/>
          <w:sz w:val="24"/>
        </w:rPr>
        <w:t> </w:t>
      </w:r>
      <w:r>
        <w:rPr>
          <w:sz w:val="24"/>
        </w:rPr>
        <w:t>of</w:t>
      </w:r>
      <w:r>
        <w:rPr>
          <w:spacing w:val="80"/>
          <w:sz w:val="24"/>
        </w:rPr>
        <w:t> </w:t>
      </w:r>
      <w:r>
        <w:rPr>
          <w:sz w:val="24"/>
        </w:rPr>
        <w:t>London, </w:t>
      </w:r>
      <w:r>
        <w:rPr>
          <w:spacing w:val="-2"/>
          <w:sz w:val="24"/>
        </w:rPr>
        <w:t>England,</w:t>
      </w:r>
      <w:r>
        <w:rPr>
          <w:sz w:val="24"/>
        </w:rPr>
        <w:tab/>
        <w:tab/>
        <w:tab/>
      </w:r>
      <w:r>
        <w:rPr>
          <w:spacing w:val="-6"/>
          <w:sz w:val="24"/>
        </w:rPr>
        <w:t>p.</w:t>
      </w:r>
      <w:r>
        <w:rPr>
          <w:sz w:val="24"/>
        </w:rPr>
        <w:tab/>
        <w:tab/>
      </w:r>
      <w:r>
        <w:rPr>
          <w:spacing w:val="-4"/>
          <w:sz w:val="24"/>
        </w:rPr>
        <w:t>162.</w:t>
      </w:r>
      <w:r>
        <w:rPr>
          <w:sz w:val="24"/>
        </w:rPr>
        <w:tab/>
      </w:r>
      <w:r>
        <w:rPr>
          <w:spacing w:val="-2"/>
          <w:sz w:val="24"/>
        </w:rPr>
        <w:t>Retrieved</w:t>
      </w:r>
      <w:r>
        <w:rPr>
          <w:sz w:val="24"/>
        </w:rPr>
        <w:tab/>
      </w:r>
      <w:r>
        <w:rPr>
          <w:spacing w:val="-4"/>
          <w:sz w:val="24"/>
        </w:rPr>
        <w:t>May</w:t>
      </w:r>
      <w:r>
        <w:rPr>
          <w:sz w:val="24"/>
        </w:rPr>
        <w:tab/>
        <w:tab/>
      </w:r>
      <w:r>
        <w:rPr>
          <w:spacing w:val="-4"/>
          <w:sz w:val="24"/>
        </w:rPr>
        <w:t>24,</w:t>
      </w:r>
      <w:r>
        <w:rPr>
          <w:sz w:val="24"/>
        </w:rPr>
        <w:tab/>
        <w:tab/>
      </w:r>
      <w:r>
        <w:rPr>
          <w:spacing w:val="-2"/>
          <w:sz w:val="24"/>
        </w:rPr>
        <w:t>2014,</w:t>
      </w:r>
      <w:r>
        <w:rPr>
          <w:sz w:val="24"/>
        </w:rPr>
        <w:tab/>
      </w:r>
      <w:r>
        <w:rPr>
          <w:spacing w:val="-4"/>
          <w:sz w:val="24"/>
        </w:rPr>
        <w:t>from </w:t>
      </w:r>
      <w:hyperlink r:id="rId18">
        <w:r>
          <w:rPr>
            <w:color w:val="0000FF"/>
            <w:spacing w:val="-2"/>
            <w:sz w:val="24"/>
            <w:u w:val="single" w:color="0000FF"/>
          </w:rPr>
          <w:t>http://www.lccge.bbk.ac.uk/publications-and-</w:t>
        </w:r>
      </w:hyperlink>
      <w:r>
        <w:rPr>
          <w:color w:val="0000FF"/>
          <w:spacing w:val="-2"/>
          <w:sz w:val="24"/>
        </w:rPr>
        <w:t> </w:t>
      </w:r>
      <w:hyperlink r:id="rId18">
        <w:r>
          <w:rPr>
            <w:color w:val="0000FF"/>
            <w:spacing w:val="-2"/>
            <w:sz w:val="24"/>
            <w:u w:val="single" w:color="0000FF"/>
          </w:rPr>
          <w:t>resources/docs/PhDThesisPNTaylorJune2010.pdf</w:t>
        </w:r>
        <w:r>
          <w:rPr>
            <w:spacing w:val="-2"/>
            <w:sz w:val="24"/>
          </w:rPr>
          <w:t>.</w:t>
        </w:r>
      </w:hyperlink>
    </w:p>
    <w:p>
      <w:pPr>
        <w:pStyle w:val="BodyText"/>
        <w:spacing w:line="273" w:lineRule="auto" w:before="204"/>
        <w:ind w:right="226"/>
        <w:jc w:val="both"/>
      </w:pPr>
      <w:r>
        <w:rPr/>
        <w:t>Wymeersch, E. (2005). </w:t>
      </w:r>
      <w:r>
        <w:rPr>
          <w:i/>
        </w:rPr>
        <w:t>Enforcement of Corporate Governance Codes</w:t>
      </w:r>
      <w:r>
        <w:rPr/>
        <w:t>. European Corporate Governance Institute (ECGI) Working Paper Series in Law, p.1. Retrieved March 15, 2013, from </w:t>
      </w:r>
      <w:hyperlink r:id="rId65">
        <w:r>
          <w:rPr>
            <w:color w:val="0000FF"/>
            <w:u w:val="single" w:color="0000FF"/>
          </w:rPr>
          <w:t>http://papers.ssrn.com/sol3/papers.cfm?abstract_id=759364</w:t>
        </w:r>
        <w:r>
          <w:rPr/>
          <w:t>.</w:t>
        </w:r>
      </w:hyperlink>
    </w:p>
    <w:p>
      <w:pPr>
        <w:pStyle w:val="BodyText"/>
        <w:ind w:left="0"/>
      </w:pPr>
    </w:p>
    <w:p>
      <w:pPr>
        <w:pStyle w:val="BodyText"/>
        <w:spacing w:before="137"/>
        <w:ind w:left="0"/>
      </w:pPr>
    </w:p>
    <w:p>
      <w:pPr>
        <w:pStyle w:val="Heading2"/>
        <w:ind w:left="308" w:firstLine="0"/>
      </w:pPr>
      <w:r>
        <w:rPr/>
        <w:t>Web</w:t>
      </w:r>
      <w:r>
        <w:rPr>
          <w:spacing w:val="1"/>
        </w:rPr>
        <w:t> </w:t>
      </w:r>
      <w:r>
        <w:rPr>
          <w:spacing w:val="-2"/>
        </w:rPr>
        <w:t>Resources</w:t>
      </w:r>
    </w:p>
    <w:p>
      <w:pPr>
        <w:pStyle w:val="BodyText"/>
        <w:spacing w:line="237" w:lineRule="auto" w:before="38"/>
        <w:ind w:right="236"/>
        <w:jc w:val="both"/>
      </w:pPr>
      <w:r>
        <w:rPr/>
        <w:t>BBC News Africa.Retrieved May 5, 2014, from </w:t>
      </w:r>
      <w:hyperlink r:id="rId37">
        <w:r>
          <w:rPr>
            <w:color w:val="0000FF"/>
            <w:u w:val="single" w:color="0000FF"/>
          </w:rPr>
          <w:t>http://www.bbc.co.uk/news/world-</w:t>
        </w:r>
      </w:hyperlink>
      <w:r>
        <w:rPr>
          <w:color w:val="0000FF"/>
        </w:rPr>
        <w:t> </w:t>
      </w:r>
      <w:hyperlink r:id="rId37">
        <w:r>
          <w:rPr>
            <w:color w:val="0000FF"/>
            <w:spacing w:val="-2"/>
            <w:u w:val="single" w:color="0000FF"/>
          </w:rPr>
          <w:t>africa-11506421</w:t>
        </w:r>
      </w:hyperlink>
      <w:r>
        <w:rPr>
          <w:spacing w:val="-2"/>
        </w:rPr>
        <w:t>.</w:t>
      </w:r>
    </w:p>
    <w:p>
      <w:pPr>
        <w:pStyle w:val="BodyText"/>
        <w:spacing w:before="206"/>
        <w:ind w:right="224"/>
        <w:jc w:val="both"/>
      </w:pPr>
      <w:r>
        <w:rPr/>
        <w:t>Bills Committee on Companies Bill: Follow-up to the Meetings on 3 and 10 June 2011 Supplementary Information (June 22, 2011). Financial Services and the treasury</w:t>
      </w:r>
      <w:r>
        <w:rPr>
          <w:spacing w:val="80"/>
        </w:rPr>
        <w:t> </w:t>
      </w:r>
      <w:r>
        <w:rPr/>
        <w:t>Bureau, Companies Registry.Retrieved December 11, 2013, from </w:t>
      </w:r>
      <w:hyperlink r:id="rId56">
        <w:r>
          <w:rPr>
            <w:color w:val="0000FF"/>
            <w:spacing w:val="-2"/>
            <w:u w:val="single" w:color="0000FF"/>
          </w:rPr>
          <w:t>http://www.legco.gov.hk/yr10-11/english/bc/bc03/papers/bc030628cb1-2577-1-e.pdf</w:t>
        </w:r>
      </w:hyperlink>
      <w:r>
        <w:rPr>
          <w:spacing w:val="-2"/>
        </w:rPr>
        <w:t>.</w:t>
      </w:r>
    </w:p>
    <w:p>
      <w:pPr>
        <w:pStyle w:val="BodyText"/>
        <w:spacing w:before="197"/>
        <w:ind w:right="237"/>
        <w:jc w:val="both"/>
      </w:pPr>
      <w:r>
        <w:rPr/>
        <w:t>Chivers, D. (2007). The Companies‘ Act 2006: Directors‘ Duties Guidance. The Corporate Responsibility (CORE) Coalition.Retrieved January 22, 2014, from </w:t>
      </w:r>
      <w:hyperlink r:id="rId60">
        <w:r>
          <w:rPr>
            <w:color w:val="006FC0"/>
            <w:spacing w:val="-2"/>
            <w:u w:val="single" w:color="006FC0"/>
          </w:rPr>
          <w:t>www.thegrid.org.uk/.../hfl/documents/directors_guidance_2006_act.pdf</w:t>
        </w:r>
        <w:r>
          <w:rPr>
            <w:color w:val="006FC0"/>
            <w:spacing w:val="-2"/>
          </w:rPr>
          <w:t>.</w:t>
        </w:r>
      </w:hyperlink>
    </w:p>
    <w:p>
      <w:pPr>
        <w:tabs>
          <w:tab w:pos="1469" w:val="left" w:leader="none"/>
          <w:tab w:pos="4637" w:val="left" w:leader="none"/>
          <w:tab w:pos="5919" w:val="left" w:leader="none"/>
          <w:tab w:pos="6979" w:val="left" w:leader="none"/>
          <w:tab w:pos="8343" w:val="left" w:leader="none"/>
        </w:tabs>
        <w:spacing w:line="240" w:lineRule="auto" w:before="199"/>
        <w:ind w:left="308" w:right="229" w:firstLine="0"/>
        <w:jc w:val="both"/>
        <w:rPr>
          <w:sz w:val="24"/>
        </w:rPr>
      </w:pPr>
      <w:r>
        <w:rPr>
          <w:sz w:val="24"/>
        </w:rPr>
        <w:t>Chohan, A. (2012).</w:t>
      </w:r>
      <w:r>
        <w:rPr>
          <w:spacing w:val="-2"/>
          <w:sz w:val="24"/>
        </w:rPr>
        <w:t> </w:t>
      </w:r>
      <w:r>
        <w:rPr>
          <w:i/>
          <w:sz w:val="24"/>
        </w:rPr>
        <w:t>Is</w:t>
      </w:r>
      <w:r>
        <w:rPr>
          <w:i/>
          <w:spacing w:val="-4"/>
          <w:sz w:val="24"/>
        </w:rPr>
        <w:t> </w:t>
      </w:r>
      <w:r>
        <w:rPr>
          <w:i/>
          <w:sz w:val="24"/>
        </w:rPr>
        <w:t>Section</w:t>
      </w:r>
      <w:r>
        <w:rPr>
          <w:i/>
          <w:spacing w:val="-2"/>
          <w:sz w:val="24"/>
        </w:rPr>
        <w:t> </w:t>
      </w:r>
      <w:r>
        <w:rPr>
          <w:i/>
          <w:sz w:val="24"/>
        </w:rPr>
        <w:t>172</w:t>
      </w:r>
      <w:r>
        <w:rPr>
          <w:i/>
          <w:spacing w:val="-2"/>
          <w:sz w:val="24"/>
        </w:rPr>
        <w:t> </w:t>
      </w:r>
      <w:r>
        <w:rPr>
          <w:i/>
          <w:sz w:val="24"/>
        </w:rPr>
        <w:t>of the</w:t>
      </w:r>
      <w:r>
        <w:rPr>
          <w:i/>
          <w:spacing w:val="-3"/>
          <w:sz w:val="24"/>
        </w:rPr>
        <w:t> </w:t>
      </w:r>
      <w:r>
        <w:rPr>
          <w:i/>
          <w:sz w:val="24"/>
        </w:rPr>
        <w:t>Companies</w:t>
      </w:r>
      <w:r>
        <w:rPr>
          <w:i/>
          <w:spacing w:val="-4"/>
          <w:sz w:val="24"/>
        </w:rPr>
        <w:t> </w:t>
      </w:r>
      <w:r>
        <w:rPr>
          <w:i/>
          <w:sz w:val="24"/>
        </w:rPr>
        <w:t>Act</w:t>
      </w:r>
      <w:r>
        <w:rPr>
          <w:i/>
          <w:spacing w:val="-2"/>
          <w:sz w:val="24"/>
        </w:rPr>
        <w:t> </w:t>
      </w:r>
      <w:r>
        <w:rPr>
          <w:i/>
          <w:sz w:val="24"/>
        </w:rPr>
        <w:t>2006</w:t>
      </w:r>
      <w:r>
        <w:rPr>
          <w:i/>
          <w:spacing w:val="-2"/>
          <w:sz w:val="24"/>
        </w:rPr>
        <w:t> </w:t>
      </w:r>
      <w:r>
        <w:rPr>
          <w:i/>
          <w:sz w:val="24"/>
        </w:rPr>
        <w:t>Capable</w:t>
      </w:r>
      <w:r>
        <w:rPr>
          <w:i/>
          <w:spacing w:val="-3"/>
          <w:sz w:val="24"/>
        </w:rPr>
        <w:t> </w:t>
      </w:r>
      <w:r>
        <w:rPr>
          <w:i/>
          <w:sz w:val="24"/>
        </w:rPr>
        <w:t>of</w:t>
      </w:r>
      <w:r>
        <w:rPr>
          <w:i/>
          <w:spacing w:val="-2"/>
          <w:sz w:val="24"/>
        </w:rPr>
        <w:t> </w:t>
      </w:r>
      <w:r>
        <w:rPr>
          <w:i/>
          <w:sz w:val="24"/>
        </w:rPr>
        <w:t>Delivering</w:t>
      </w:r>
      <w:r>
        <w:rPr>
          <w:i/>
          <w:spacing w:val="-2"/>
          <w:sz w:val="24"/>
        </w:rPr>
        <w:t> </w:t>
      </w:r>
      <w:r>
        <w:rPr>
          <w:i/>
          <w:sz w:val="24"/>
        </w:rPr>
        <w:t>for </w:t>
      </w:r>
      <w:r>
        <w:rPr>
          <w:i/>
          <w:spacing w:val="-4"/>
          <w:sz w:val="24"/>
        </w:rPr>
        <w:t>All</w:t>
      </w:r>
      <w:r>
        <w:rPr>
          <w:i/>
          <w:sz w:val="24"/>
        </w:rPr>
        <w:tab/>
      </w:r>
      <w:r>
        <w:rPr>
          <w:i/>
          <w:spacing w:val="-2"/>
          <w:sz w:val="24"/>
        </w:rPr>
        <w:t>Stakeholders?</w:t>
      </w:r>
      <w:r>
        <w:rPr>
          <w:spacing w:val="-2"/>
          <w:sz w:val="24"/>
        </w:rPr>
        <w:t>Retrieved</w:t>
      </w:r>
      <w:r>
        <w:rPr>
          <w:sz w:val="24"/>
        </w:rPr>
        <w:tab/>
      </w:r>
      <w:r>
        <w:rPr>
          <w:spacing w:val="-4"/>
          <w:sz w:val="24"/>
        </w:rPr>
        <w:t>July</w:t>
      </w:r>
      <w:r>
        <w:rPr>
          <w:sz w:val="24"/>
        </w:rPr>
        <w:tab/>
      </w:r>
      <w:r>
        <w:rPr>
          <w:spacing w:val="-6"/>
          <w:sz w:val="24"/>
        </w:rPr>
        <w:t>3,</w:t>
      </w:r>
      <w:r>
        <w:rPr>
          <w:sz w:val="24"/>
        </w:rPr>
        <w:tab/>
      </w:r>
      <w:r>
        <w:rPr>
          <w:spacing w:val="-4"/>
          <w:sz w:val="24"/>
        </w:rPr>
        <w:t>2013</w:t>
      </w:r>
      <w:r>
        <w:rPr>
          <w:sz w:val="24"/>
        </w:rPr>
        <w:tab/>
      </w:r>
      <w:r>
        <w:rPr>
          <w:spacing w:val="-4"/>
          <w:sz w:val="24"/>
        </w:rPr>
        <w:t>from </w:t>
      </w:r>
      <w:hyperlink r:id="rId51">
        <w:r>
          <w:rPr>
            <w:color w:val="0000FF"/>
            <w:spacing w:val="-2"/>
            <w:sz w:val="24"/>
            <w:u w:val="single" w:color="0000FF"/>
          </w:rPr>
          <w:t>http://papers.ssrn.com/sol3/papers.cfm?abstract_id=2139528</w:t>
        </w:r>
      </w:hyperlink>
      <w:r>
        <w:rPr>
          <w:spacing w:val="-2"/>
          <w:sz w:val="24"/>
        </w:rPr>
        <w:t>.</w:t>
      </w:r>
    </w:p>
    <w:p>
      <w:pPr>
        <w:spacing w:line="240" w:lineRule="auto" w:before="200"/>
        <w:ind w:left="308" w:right="233" w:firstLine="0"/>
        <w:jc w:val="both"/>
        <w:rPr>
          <w:sz w:val="24"/>
        </w:rPr>
      </w:pPr>
      <w:r>
        <w:rPr>
          <w:i/>
          <w:sz w:val="24"/>
        </w:rPr>
        <w:t>Companies</w:t>
      </w:r>
      <w:r>
        <w:rPr>
          <w:i/>
          <w:spacing w:val="-3"/>
          <w:sz w:val="24"/>
        </w:rPr>
        <w:t> </w:t>
      </w:r>
      <w:r>
        <w:rPr>
          <w:i/>
          <w:sz w:val="24"/>
        </w:rPr>
        <w:t>Act</w:t>
      </w:r>
      <w:r>
        <w:rPr>
          <w:i/>
          <w:spacing w:val="-1"/>
          <w:sz w:val="24"/>
        </w:rPr>
        <w:t> </w:t>
      </w:r>
      <w:r>
        <w:rPr>
          <w:i/>
          <w:sz w:val="24"/>
        </w:rPr>
        <w:t>2006: Duties</w:t>
      </w:r>
      <w:r>
        <w:rPr>
          <w:i/>
          <w:spacing w:val="-3"/>
          <w:sz w:val="24"/>
        </w:rPr>
        <w:t> </w:t>
      </w:r>
      <w:r>
        <w:rPr>
          <w:i/>
          <w:sz w:val="24"/>
        </w:rPr>
        <w:t>of Company Directors</w:t>
      </w:r>
      <w:r>
        <w:rPr>
          <w:sz w:val="24"/>
        </w:rPr>
        <w:t>. (June</w:t>
      </w:r>
      <w:r>
        <w:rPr>
          <w:spacing w:val="-2"/>
          <w:sz w:val="24"/>
        </w:rPr>
        <w:t> </w:t>
      </w:r>
      <w:r>
        <w:rPr>
          <w:sz w:val="24"/>
        </w:rPr>
        <w:t>2007) Ministerial</w:t>
      </w:r>
      <w:r>
        <w:rPr>
          <w:spacing w:val="-5"/>
          <w:sz w:val="24"/>
        </w:rPr>
        <w:t> </w:t>
      </w:r>
      <w:r>
        <w:rPr>
          <w:sz w:val="24"/>
        </w:rPr>
        <w:t>Statements published by the Department of Trade and Industry (DTI). Retrieved October 10, 2013 from </w:t>
      </w:r>
      <w:hyperlink r:id="rId12">
        <w:r>
          <w:rPr>
            <w:color w:val="0000FF"/>
            <w:sz w:val="24"/>
            <w:u w:val="single" w:color="0000FF"/>
          </w:rPr>
          <w:t>http://www.berr.gov.uk/files/file40139.pdf</w:t>
        </w:r>
        <w:r>
          <w:rPr>
            <w:sz w:val="24"/>
          </w:rPr>
          <w:t>.</w:t>
        </w:r>
      </w:hyperlink>
    </w:p>
    <w:p>
      <w:pPr>
        <w:tabs>
          <w:tab w:pos="1900" w:val="left" w:leader="none"/>
          <w:tab w:pos="6331" w:val="left" w:leader="none"/>
          <w:tab w:pos="8335" w:val="left" w:leader="none"/>
        </w:tabs>
        <w:spacing w:line="240" w:lineRule="auto" w:before="204"/>
        <w:ind w:left="308" w:right="236" w:firstLine="0"/>
        <w:jc w:val="left"/>
        <w:rPr>
          <w:sz w:val="24"/>
        </w:rPr>
      </w:pPr>
      <w:r>
        <w:rPr>
          <w:sz w:val="24"/>
        </w:rPr>
        <w:t>Davies,</w:t>
      </w:r>
      <w:r>
        <w:rPr>
          <w:spacing w:val="40"/>
          <w:sz w:val="24"/>
        </w:rPr>
        <w:t> </w:t>
      </w:r>
      <w:r>
        <w:rPr>
          <w:sz w:val="24"/>
        </w:rPr>
        <w:t>J.</w:t>
      </w:r>
      <w:r>
        <w:rPr>
          <w:spacing w:val="40"/>
          <w:sz w:val="24"/>
        </w:rPr>
        <w:t> </w:t>
      </w:r>
      <w:r>
        <w:rPr>
          <w:sz w:val="24"/>
        </w:rPr>
        <w:t>(2007).</w:t>
      </w:r>
      <w:r>
        <w:rPr>
          <w:spacing w:val="40"/>
          <w:sz w:val="24"/>
        </w:rPr>
        <w:t> </w:t>
      </w:r>
      <w:r>
        <w:rPr>
          <w:i/>
          <w:sz w:val="24"/>
        </w:rPr>
        <w:t>A</w:t>
      </w:r>
      <w:r>
        <w:rPr>
          <w:i/>
          <w:spacing w:val="40"/>
          <w:sz w:val="24"/>
        </w:rPr>
        <w:t> </w:t>
      </w:r>
      <w:r>
        <w:rPr>
          <w:i/>
          <w:sz w:val="24"/>
        </w:rPr>
        <w:t>Guide</w:t>
      </w:r>
      <w:r>
        <w:rPr>
          <w:i/>
          <w:spacing w:val="40"/>
          <w:sz w:val="24"/>
        </w:rPr>
        <w:t> </w:t>
      </w:r>
      <w:r>
        <w:rPr>
          <w:i/>
          <w:sz w:val="24"/>
        </w:rPr>
        <w:t>to</w:t>
      </w:r>
      <w:r>
        <w:rPr>
          <w:i/>
          <w:spacing w:val="40"/>
          <w:sz w:val="24"/>
        </w:rPr>
        <w:t> </w:t>
      </w:r>
      <w:r>
        <w:rPr>
          <w:i/>
          <w:sz w:val="24"/>
        </w:rPr>
        <w:t>Directors‘</w:t>
      </w:r>
      <w:r>
        <w:rPr>
          <w:i/>
          <w:spacing w:val="40"/>
          <w:sz w:val="24"/>
        </w:rPr>
        <w:t> </w:t>
      </w:r>
      <w:r>
        <w:rPr>
          <w:i/>
          <w:sz w:val="24"/>
        </w:rPr>
        <w:t>Responsibilities</w:t>
      </w:r>
      <w:r>
        <w:rPr>
          <w:i/>
          <w:spacing w:val="40"/>
          <w:sz w:val="24"/>
        </w:rPr>
        <w:t> </w:t>
      </w:r>
      <w:r>
        <w:rPr>
          <w:i/>
          <w:sz w:val="24"/>
        </w:rPr>
        <w:t>Under</w:t>
      </w:r>
      <w:r>
        <w:rPr>
          <w:i/>
          <w:spacing w:val="40"/>
          <w:sz w:val="24"/>
        </w:rPr>
        <w:t> </w:t>
      </w:r>
      <w:r>
        <w:rPr>
          <w:i/>
          <w:sz w:val="24"/>
        </w:rPr>
        <w:t>the</w:t>
      </w:r>
      <w:r>
        <w:rPr>
          <w:i/>
          <w:spacing w:val="40"/>
          <w:sz w:val="24"/>
        </w:rPr>
        <w:t> </w:t>
      </w:r>
      <w:r>
        <w:rPr>
          <w:i/>
          <w:sz w:val="24"/>
        </w:rPr>
        <w:t>Companies</w:t>
      </w:r>
      <w:r>
        <w:rPr>
          <w:i/>
          <w:spacing w:val="40"/>
          <w:sz w:val="24"/>
        </w:rPr>
        <w:t> </w:t>
      </w:r>
      <w:r>
        <w:rPr>
          <w:i/>
          <w:sz w:val="24"/>
        </w:rPr>
        <w:t>Act </w:t>
      </w:r>
      <w:r>
        <w:rPr>
          <w:i/>
          <w:spacing w:val="-2"/>
          <w:sz w:val="24"/>
        </w:rPr>
        <w:t>2006.</w:t>
      </w:r>
      <w:r>
        <w:rPr>
          <w:spacing w:val="-2"/>
          <w:sz w:val="24"/>
        </w:rPr>
        <w:t>Certified</w:t>
      </w:r>
      <w:r>
        <w:rPr>
          <w:sz w:val="24"/>
        </w:rPr>
        <w:tab/>
        <w:t>Accountants</w:t>
      </w:r>
      <w:r>
        <w:rPr>
          <w:spacing w:val="80"/>
          <w:sz w:val="24"/>
        </w:rPr>
        <w:t> </w:t>
      </w:r>
      <w:r>
        <w:rPr>
          <w:sz w:val="24"/>
        </w:rPr>
        <w:t>Educational</w:t>
      </w:r>
      <w:r>
        <w:rPr>
          <w:spacing w:val="80"/>
          <w:sz w:val="24"/>
        </w:rPr>
        <w:t> </w:t>
      </w:r>
      <w:r>
        <w:rPr>
          <w:sz w:val="24"/>
        </w:rPr>
        <w:t>Trust.Retrieved</w:t>
        <w:tab/>
        <w:t>March</w:t>
      </w:r>
      <w:r>
        <w:rPr>
          <w:spacing w:val="80"/>
          <w:sz w:val="24"/>
        </w:rPr>
        <w:t> </w:t>
      </w:r>
      <w:r>
        <w:rPr>
          <w:sz w:val="24"/>
        </w:rPr>
        <w:t>27,</w:t>
      </w:r>
      <w:r>
        <w:rPr>
          <w:spacing w:val="80"/>
          <w:sz w:val="24"/>
        </w:rPr>
        <w:t> </w:t>
      </w:r>
      <w:r>
        <w:rPr>
          <w:sz w:val="24"/>
        </w:rPr>
        <w:t>2013</w:t>
        <w:tab/>
      </w:r>
      <w:r>
        <w:rPr>
          <w:spacing w:val="-4"/>
          <w:sz w:val="24"/>
        </w:rPr>
        <w:t>from </w:t>
      </w:r>
      <w:hyperlink r:id="rId25">
        <w:r>
          <w:rPr>
            <w:color w:val="0000FF"/>
            <w:spacing w:val="-2"/>
            <w:sz w:val="24"/>
            <w:u w:val="single" w:color="0000FF"/>
          </w:rPr>
          <w:t>http://www.accaglobal.com/content/dam/acca/global/PDF-technical/business-law/tech-</w:t>
        </w:r>
      </w:hyperlink>
      <w:r>
        <w:rPr>
          <w:color w:val="0000FF"/>
          <w:spacing w:val="40"/>
          <w:sz w:val="24"/>
        </w:rPr>
        <w:t> </w:t>
      </w:r>
      <w:hyperlink r:id="rId25">
        <w:r>
          <w:rPr>
            <w:color w:val="0000FF"/>
            <w:spacing w:val="-2"/>
            <w:sz w:val="24"/>
            <w:u w:val="single" w:color="0000FF"/>
          </w:rPr>
          <w:t>tp-cdd.pdf</w:t>
        </w:r>
        <w:r>
          <w:rPr>
            <w:spacing w:val="-2"/>
            <w:sz w:val="24"/>
          </w:rPr>
          <w:t>.</w:t>
        </w:r>
      </w:hyperlink>
    </w:p>
    <w:p>
      <w:pPr>
        <w:pStyle w:val="BodyText"/>
        <w:spacing w:before="198"/>
        <w:ind w:right="227"/>
        <w:jc w:val="both"/>
      </w:pPr>
      <w:r>
        <w:rPr>
          <w:i/>
        </w:rPr>
        <w:t>Developing the Framework, </w:t>
      </w:r>
      <w:r>
        <w:rPr/>
        <w:t>(March, 2000).A report of the Company Law Review Steering Group (CLRSG), published by the Department of Trade and Industry, paragraph 2.22.Retrieved October 10, 2013 from </w:t>
      </w:r>
      <w:hyperlink r:id="rId13">
        <w:r>
          <w:rPr>
            <w:color w:val="0000FF"/>
            <w:u w:val="single" w:color="0000FF"/>
          </w:rPr>
          <w:t>http://www.berr.gov.uk/bbf/co-act-</w:t>
        </w:r>
      </w:hyperlink>
      <w:r>
        <w:rPr>
          <w:color w:val="0000FF"/>
        </w:rPr>
        <w:t> </w:t>
      </w:r>
      <w:hyperlink r:id="rId13">
        <w:r>
          <w:rPr>
            <w:color w:val="0000FF"/>
            <w:spacing w:val="-2"/>
            <w:u w:val="single" w:color="0000FF"/>
          </w:rPr>
          <w:t>2006/clr-review/page25086.html</w:t>
        </w:r>
        <w:r>
          <w:rPr>
            <w:spacing w:val="-2"/>
          </w:rPr>
          <w:t>.</w:t>
        </w:r>
      </w:hyperlink>
    </w:p>
    <w:p>
      <w:pPr>
        <w:pStyle w:val="BodyText"/>
        <w:spacing w:line="237" w:lineRule="auto" w:before="204"/>
        <w:ind w:right="244"/>
        <w:jc w:val="both"/>
      </w:pPr>
      <w:r>
        <w:rPr/>
        <w:t>Draft copy of the bill for the amendment of the Companies and Allied Matters Act at </w:t>
      </w:r>
      <w:hyperlink r:id="rId11">
        <w:r>
          <w:rPr>
            <w:color w:val="0000FF"/>
            <w:spacing w:val="-2"/>
            <w:u w:val="single" w:color="0000FF"/>
          </w:rPr>
          <w:t>http://www.nassnig.org/nass/legislation_2012.php</w:t>
        </w:r>
        <w:r>
          <w:rPr>
            <w:spacing w:val="-2"/>
          </w:rPr>
          <w:t>.</w:t>
        </w:r>
      </w:hyperlink>
    </w:p>
    <w:p>
      <w:pPr>
        <w:pStyle w:val="BodyText"/>
        <w:spacing w:before="205"/>
        <w:ind w:right="232"/>
      </w:pPr>
      <w:r>
        <w:rPr/>
        <w:t>Economic</w:t>
      </w:r>
      <w:r>
        <w:rPr>
          <w:spacing w:val="80"/>
          <w:w w:val="150"/>
        </w:rPr>
        <w:t> </w:t>
      </w:r>
      <w:r>
        <w:rPr/>
        <w:t>Confidential</w:t>
      </w:r>
      <w:r>
        <w:rPr>
          <w:spacing w:val="80"/>
          <w:w w:val="150"/>
        </w:rPr>
        <w:t> </w:t>
      </w:r>
      <w:r>
        <w:rPr/>
        <w:t>Online</w:t>
      </w:r>
      <w:r>
        <w:rPr>
          <w:spacing w:val="80"/>
          <w:w w:val="150"/>
        </w:rPr>
        <w:t> </w:t>
      </w:r>
      <w:r>
        <w:rPr/>
        <w:t>(January,</w:t>
      </w:r>
      <w:r>
        <w:rPr>
          <w:spacing w:val="80"/>
          <w:w w:val="150"/>
        </w:rPr>
        <w:t> </w:t>
      </w:r>
      <w:r>
        <w:rPr/>
        <w:t>2013),</w:t>
      </w:r>
      <w:r>
        <w:rPr>
          <w:spacing w:val="80"/>
          <w:w w:val="150"/>
        </w:rPr>
        <w:t> </w:t>
      </w:r>
      <w:r>
        <w:rPr/>
        <w:t>accessed</w:t>
      </w:r>
      <w:r>
        <w:rPr>
          <w:spacing w:val="80"/>
          <w:w w:val="150"/>
        </w:rPr>
        <w:t> </w:t>
      </w:r>
      <w:r>
        <w:rPr/>
        <w:t>March</w:t>
      </w:r>
      <w:r>
        <w:rPr>
          <w:spacing w:val="80"/>
          <w:w w:val="150"/>
        </w:rPr>
        <w:t> </w:t>
      </w:r>
      <w:r>
        <w:rPr/>
        <w:t>21,</w:t>
      </w:r>
      <w:r>
        <w:rPr>
          <w:spacing w:val="80"/>
          <w:w w:val="150"/>
        </w:rPr>
        <w:t> </w:t>
      </w:r>
      <w:r>
        <w:rPr/>
        <w:t>2013,</w:t>
      </w:r>
      <w:r>
        <w:rPr>
          <w:spacing w:val="80"/>
          <w:w w:val="150"/>
        </w:rPr>
        <w:t> </w:t>
      </w:r>
      <w:r>
        <w:rPr/>
        <w:t>at </w:t>
      </w:r>
      <w:hyperlink r:id="rId66">
        <w:r>
          <w:rPr>
            <w:color w:val="0000FF"/>
            <w:spacing w:val="-2"/>
            <w:u w:val="single" w:color="0000FF"/>
          </w:rPr>
          <w:t>http://economicconfidential.net/upgrade/index.php?option=com_content&amp;view=article</w:t>
        </w:r>
      </w:hyperlink>
      <w:r>
        <w:rPr>
          <w:color w:val="0000FF"/>
          <w:spacing w:val="-2"/>
        </w:rPr>
        <w:t> </w:t>
      </w:r>
      <w:hyperlink r:id="rId66">
        <w:r>
          <w:rPr>
            <w:color w:val="0000FF"/>
            <w:spacing w:val="-2"/>
            <w:u w:val="single" w:color="0000FF"/>
          </w:rPr>
          <w:t>&amp;id=1208:cac-generates-n6bn-registers-170582-firms-in-10-</w:t>
        </w:r>
      </w:hyperlink>
      <w:r>
        <w:rPr>
          <w:color w:val="0000FF"/>
          <w:spacing w:val="-2"/>
        </w:rPr>
        <w:t> </w:t>
      </w:r>
      <w:hyperlink r:id="rId66">
        <w:r>
          <w:rPr>
            <w:color w:val="0000FF"/>
            <w:spacing w:val="-2"/>
            <w:u w:val="single" w:color="0000FF"/>
          </w:rPr>
          <w:t>months&amp;catid=3:business&amp;Itemid=3</w:t>
        </w:r>
        <w:r>
          <w:rPr>
            <w:spacing w:val="-2"/>
          </w:rPr>
          <w:t>.</w:t>
        </w:r>
      </w:hyperlink>
    </w:p>
    <w:p>
      <w:pPr>
        <w:pStyle w:val="BodyText"/>
        <w:spacing w:line="242" w:lineRule="auto" w:before="197"/>
        <w:ind w:right="240"/>
        <w:jc w:val="both"/>
      </w:pPr>
      <w:r>
        <w:rPr/>
        <w:t>EFCC Arrests Four Officials of Intercontinental</w:t>
      </w:r>
      <w:r>
        <w:rPr>
          <w:spacing w:val="-1"/>
        </w:rPr>
        <w:t> </w:t>
      </w:r>
      <w:r>
        <w:rPr/>
        <w:t>Bank.Proshare.Retrieved May 5, 2014, from </w:t>
      </w:r>
      <w:hyperlink r:id="rId67">
        <w:r>
          <w:rPr>
            <w:color w:val="0000FF"/>
            <w:u w:val="single" w:color="0000FF"/>
          </w:rPr>
          <w:t>http://www.proshareng.com/news/8150</w:t>
        </w:r>
        <w:r>
          <w:rPr/>
          <w:t>.</w:t>
        </w:r>
      </w:hyperlink>
    </w:p>
    <w:p>
      <w:pPr>
        <w:spacing w:after="0" w:line="242" w:lineRule="auto"/>
        <w:jc w:val="both"/>
        <w:sectPr>
          <w:pgSz w:w="11910" w:h="16840"/>
          <w:pgMar w:header="0" w:footer="1003" w:top="1320" w:bottom="1200" w:left="1680" w:right="1180"/>
        </w:sectPr>
      </w:pPr>
    </w:p>
    <w:p>
      <w:pPr>
        <w:pStyle w:val="BodyText"/>
        <w:spacing w:line="242" w:lineRule="auto" w:before="70"/>
        <w:ind w:right="235"/>
        <w:jc w:val="both"/>
      </w:pPr>
      <w:r>
        <w:rPr/>
        <w:t>Group Sues Cadbury Over False Accounts. Retrieved May 9, 2014 from </w:t>
      </w:r>
      <w:hyperlink r:id="rId68">
        <w:r>
          <w:rPr>
            <w:color w:val="0000FF"/>
            <w:spacing w:val="-2"/>
            <w:u w:val="single" w:color="0000FF"/>
          </w:rPr>
          <w:t>http://www.proshareng.com/news/2089</w:t>
        </w:r>
      </w:hyperlink>
      <w:r>
        <w:rPr>
          <w:spacing w:val="-2"/>
        </w:rPr>
        <w:t>.</w:t>
      </w:r>
    </w:p>
    <w:p>
      <w:pPr>
        <w:spacing w:line="240" w:lineRule="auto" w:before="196"/>
        <w:ind w:left="308" w:right="231" w:firstLine="0"/>
        <w:jc w:val="both"/>
        <w:rPr>
          <w:sz w:val="24"/>
        </w:rPr>
      </w:pPr>
      <w:r>
        <w:rPr>
          <w:sz w:val="24"/>
        </w:rPr>
        <w:t>Hollington</w:t>
      </w:r>
      <w:r>
        <w:rPr>
          <w:spacing w:val="-1"/>
          <w:sz w:val="24"/>
        </w:rPr>
        <w:t> </w:t>
      </w:r>
      <w:r>
        <w:rPr>
          <w:sz w:val="24"/>
        </w:rPr>
        <w:t>R. (2008, April</w:t>
      </w:r>
      <w:r>
        <w:rPr>
          <w:spacing w:val="-1"/>
          <w:sz w:val="24"/>
        </w:rPr>
        <w:t> </w:t>
      </w:r>
      <w:r>
        <w:rPr>
          <w:sz w:val="24"/>
        </w:rPr>
        <w:t>22). </w:t>
      </w:r>
      <w:r>
        <w:rPr>
          <w:i/>
          <w:sz w:val="24"/>
        </w:rPr>
        <w:t>Directors‘ Duties under the Companies Act 2006: Have the Lunatics Taken Over the Asylum? </w:t>
      </w:r>
      <w:r>
        <w:rPr>
          <w:sz w:val="24"/>
        </w:rPr>
        <w:t>A lecture delivered at Ian Fairbairn Lecture Theatre, University of Buckingham. Retrieved March 23 2013 from</w:t>
      </w:r>
    </w:p>
    <w:p>
      <w:pPr>
        <w:spacing w:line="276" w:lineRule="auto" w:before="200"/>
        <w:ind w:left="308" w:right="229" w:firstLine="0"/>
        <w:jc w:val="both"/>
        <w:rPr>
          <w:sz w:val="24"/>
        </w:rPr>
      </w:pPr>
      <w:r>
        <w:rPr>
          <w:sz w:val="24"/>
        </w:rPr>
        <w:t>Hontz, E. and Shkolnikov, A.(Eds) (2009). </w:t>
      </w:r>
      <w:r>
        <w:rPr>
          <w:i/>
          <w:sz w:val="24"/>
        </w:rPr>
        <w:t>Corporate Governance: The Intersection of Public and Private Reforms. </w:t>
      </w:r>
      <w:r>
        <w:rPr>
          <w:sz w:val="24"/>
        </w:rPr>
        <w:t>Centre for International Private Enterprise, United States Agency for International Development. Retrieved 27</w:t>
      </w:r>
      <w:r>
        <w:rPr>
          <w:sz w:val="24"/>
          <w:vertAlign w:val="superscript"/>
        </w:rPr>
        <w:t>th</w:t>
      </w:r>
      <w:r>
        <w:rPr>
          <w:sz w:val="24"/>
          <w:vertAlign w:val="baseline"/>
        </w:rPr>
        <w:t> September 2013, from </w:t>
      </w:r>
      <w:hyperlink r:id="rId44">
        <w:r>
          <w:rPr>
            <w:color w:val="0000FF"/>
            <w:spacing w:val="-2"/>
            <w:sz w:val="24"/>
            <w:u w:val="single" w:color="0000FF"/>
            <w:vertAlign w:val="baseline"/>
          </w:rPr>
          <w:t>www.cipe.org/sites/default/files/publication-docs/CG_USAID.pdf</w:t>
        </w:r>
      </w:hyperlink>
      <w:r>
        <w:rPr>
          <w:spacing w:val="-2"/>
          <w:sz w:val="24"/>
          <w:vertAlign w:val="baseline"/>
        </w:rPr>
        <w:t>.</w:t>
      </w:r>
    </w:p>
    <w:p>
      <w:pPr>
        <w:spacing w:before="199"/>
        <w:ind w:left="308" w:right="0" w:firstLine="0"/>
        <w:jc w:val="left"/>
        <w:rPr>
          <w:sz w:val="24"/>
        </w:rPr>
      </w:pPr>
      <w:hyperlink r:id="rId49">
        <w:r>
          <w:rPr>
            <w:i/>
            <w:color w:val="0000FF"/>
            <w:spacing w:val="-2"/>
            <w:sz w:val="24"/>
            <w:u w:val="single" w:color="0000FF"/>
          </w:rPr>
          <w:t>http://www.bailii.org/ew/cases/EWHC/Ch/2010/2375.html</w:t>
        </w:r>
      </w:hyperlink>
      <w:r>
        <w:rPr>
          <w:spacing w:val="-2"/>
          <w:sz w:val="24"/>
        </w:rPr>
        <w:t>.</w:t>
      </w:r>
    </w:p>
    <w:p>
      <w:pPr>
        <w:pStyle w:val="BodyText"/>
        <w:spacing w:line="237" w:lineRule="auto" w:before="207"/>
        <w:ind w:right="1033"/>
      </w:pPr>
      <w:hyperlink r:id="rId62">
        <w:r>
          <w:rPr>
            <w:color w:val="0000FF"/>
            <w:spacing w:val="-2"/>
            <w:u w:val="single" w:color="0000FF"/>
          </w:rPr>
          <w:t>http://www.manches.com/Content/Resources/files/publications/directors-duties-</w:t>
        </w:r>
      </w:hyperlink>
      <w:r>
        <w:rPr>
          <w:color w:val="0000FF"/>
          <w:spacing w:val="-2"/>
        </w:rPr>
        <w:t> </w:t>
      </w:r>
      <w:hyperlink r:id="rId62">
        <w:r>
          <w:rPr>
            <w:color w:val="0000FF"/>
            <w:spacing w:val="-2"/>
            <w:u w:val="single" w:color="0000FF"/>
          </w:rPr>
          <w:t>conflicts-of-interest-2013.pdf</w:t>
        </w:r>
        <w:r>
          <w:rPr>
            <w:spacing w:val="-2"/>
          </w:rPr>
          <w:t>.</w:t>
        </w:r>
      </w:hyperlink>
    </w:p>
    <w:p>
      <w:pPr>
        <w:pStyle w:val="BodyText"/>
        <w:spacing w:line="415" w:lineRule="auto" w:before="200"/>
        <w:ind w:right="765"/>
      </w:pPr>
      <w:hyperlink r:id="rId69">
        <w:r>
          <w:rPr>
            <w:color w:val="0000FF"/>
            <w:spacing w:val="-2"/>
            <w:u w:val="single" w:color="0000FF"/>
          </w:rPr>
          <w:t>http://www.nairaland.com/527926/cecilia-ibru-jailed-lose-n</w:t>
        </w:r>
      </w:hyperlink>
      <w:r>
        <w:rPr>
          <w:spacing w:val="-2"/>
        </w:rPr>
        <w:t>. </w:t>
      </w:r>
      <w:hyperlink r:id="rId70">
        <w:r>
          <w:rPr>
            <w:color w:val="0000FF"/>
            <w:spacing w:val="-2"/>
            <w:u w:val="single" w:color="0000FF"/>
          </w:rPr>
          <w:t>http://newafricanpress.com/2010/09/22/n41b-scandal-rocks-intercontinental-bank/</w:t>
        </w:r>
      </w:hyperlink>
      <w:r>
        <w:rPr>
          <w:spacing w:val="-2"/>
        </w:rPr>
        <w:t>. </w:t>
      </w:r>
      <w:hyperlink r:id="rId15">
        <w:r>
          <w:rPr>
            <w:color w:val="0000FF"/>
            <w:spacing w:val="-2"/>
            <w:u w:val="single" w:color="0000FF"/>
          </w:rPr>
          <w:t>http://www.newsquarechambers.co.uk/files/Publications</w:t>
        </w:r>
        <w:r>
          <w:rPr>
            <w:spacing w:val="-2"/>
          </w:rPr>
          <w:t>.</w:t>
        </w:r>
      </w:hyperlink>
    </w:p>
    <w:p>
      <w:pPr>
        <w:pStyle w:val="BodyText"/>
        <w:tabs>
          <w:tab w:pos="3380" w:val="left" w:leader="none"/>
          <w:tab w:pos="5771" w:val="left" w:leader="none"/>
          <w:tab w:pos="8344" w:val="left" w:leader="none"/>
        </w:tabs>
        <w:ind w:right="227"/>
        <w:jc w:val="both"/>
      </w:pPr>
      <w:r>
        <w:rPr/>
        <w:t>GC100. (2008). Companies Act 2006: Directors‘ Conflicts of Interests. Retrieved </w:t>
      </w:r>
      <w:r>
        <w:rPr>
          <w:spacing w:val="-2"/>
        </w:rPr>
        <w:t>December</w:t>
      </w:r>
      <w:r>
        <w:rPr/>
        <w:tab/>
      </w:r>
      <w:r>
        <w:rPr>
          <w:spacing w:val="-4"/>
        </w:rPr>
        <w:t>20,</w:t>
      </w:r>
      <w:r>
        <w:rPr/>
        <w:tab/>
      </w:r>
      <w:r>
        <w:rPr>
          <w:spacing w:val="-4"/>
        </w:rPr>
        <w:t>2013</w:t>
      </w:r>
      <w:r>
        <w:rPr/>
        <w:tab/>
      </w:r>
      <w:r>
        <w:rPr>
          <w:spacing w:val="-4"/>
        </w:rPr>
        <w:t>from </w:t>
      </w:r>
      <w:hyperlink r:id="rId58">
        <w:r>
          <w:rPr>
            <w:color w:val="0000FF"/>
            <w:spacing w:val="-2"/>
            <w:u w:val="single" w:color="0000FF"/>
          </w:rPr>
          <w:t>www.linklaters.com/pdfs/publications/.../</w:t>
        </w:r>
        <w:r>
          <w:rPr>
            <w:b/>
            <w:color w:val="0000FF"/>
            <w:spacing w:val="-2"/>
            <w:u w:val="single" w:color="0000FF"/>
          </w:rPr>
          <w:t>GC100</w:t>
        </w:r>
        <w:r>
          <w:rPr>
            <w:color w:val="0000FF"/>
            <w:spacing w:val="-2"/>
            <w:u w:val="single" w:color="0000FF"/>
          </w:rPr>
          <w:t>briefingpaper.pdf</w:t>
        </w:r>
      </w:hyperlink>
      <w:r>
        <w:rPr>
          <w:spacing w:val="-2"/>
        </w:rPr>
        <w:t>.</w:t>
      </w:r>
    </w:p>
    <w:p>
      <w:pPr>
        <w:pStyle w:val="BodyText"/>
        <w:spacing w:before="198"/>
        <w:ind w:right="232"/>
        <w:jc w:val="both"/>
      </w:pPr>
      <w:r>
        <w:rPr/>
        <w:t>Hudson, A. (2009). </w:t>
      </w:r>
      <w:r>
        <w:rPr>
          <w:i/>
        </w:rPr>
        <w:t>Equity &amp; Trusts.</w:t>
      </w:r>
      <w:r>
        <w:rPr/>
        <w:t>6</w:t>
      </w:r>
      <w:r>
        <w:rPr>
          <w:vertAlign w:val="superscript"/>
        </w:rPr>
        <w:t>th</w:t>
      </w:r>
      <w:r>
        <w:rPr>
          <w:vertAlign w:val="baseline"/>
        </w:rPr>
        <w:t> edition, Routledge-Cavendish, section 12.5. Cited in Hudson, A. </w:t>
      </w:r>
      <w:r>
        <w:rPr>
          <w:i/>
          <w:vertAlign w:val="baseline"/>
        </w:rPr>
        <w:t>Directors‘ Duties</w:t>
      </w:r>
      <w:r>
        <w:rPr>
          <w:vertAlign w:val="baseline"/>
        </w:rPr>
        <w:t>. Being an early draft of a part of the author‘s contribution to Girvin, S., Hudson, A. and Frisby, S. (2010). </w:t>
      </w:r>
      <w:r>
        <w:rPr>
          <w:u w:val="single"/>
          <w:vertAlign w:val="baseline"/>
        </w:rPr>
        <w:t>Charlesworth‘s Company</w:t>
      </w:r>
      <w:r>
        <w:rPr>
          <w:vertAlign w:val="baseline"/>
        </w:rPr>
        <w:t> </w:t>
      </w:r>
      <w:r>
        <w:rPr>
          <w:u w:val="single"/>
          <w:vertAlign w:val="baseline"/>
        </w:rPr>
        <w:t>Law</w:t>
      </w:r>
      <w:r>
        <w:rPr>
          <w:vertAlign w:val="baseline"/>
        </w:rPr>
        <w:t>, 18</w:t>
      </w:r>
      <w:r>
        <w:rPr>
          <w:vertAlign w:val="superscript"/>
        </w:rPr>
        <w:t>th</w:t>
      </w:r>
      <w:r>
        <w:rPr>
          <w:vertAlign w:val="baseline"/>
        </w:rPr>
        <w:t> edition, Sweet and Maxwell.Retrieved December 26, 2013, from </w:t>
      </w:r>
      <w:hyperlink r:id="rId19">
        <w:r>
          <w:rPr>
            <w:color w:val="0000FF"/>
            <w:spacing w:val="-2"/>
            <w:u w:val="single" w:color="0000FF"/>
            <w:vertAlign w:val="baseline"/>
          </w:rPr>
          <w:t>http://www.alastairhudson.com/companylaw/07%20-%20Directors%20duties%20-</w:t>
        </w:r>
      </w:hyperlink>
    </w:p>
    <w:p>
      <w:pPr>
        <w:pStyle w:val="BodyText"/>
        <w:spacing w:line="274" w:lineRule="exact"/>
      </w:pPr>
      <w:hyperlink r:id="rId19">
        <w:r>
          <w:rPr>
            <w:color w:val="0000FF"/>
            <w:spacing w:val="-2"/>
            <w:u w:val="single" w:color="0000FF"/>
          </w:rPr>
          <w:t>%20early%20web%20draft.pdf</w:t>
        </w:r>
      </w:hyperlink>
      <w:r>
        <w:rPr>
          <w:spacing w:val="-2"/>
        </w:rPr>
        <w:t>.</w:t>
      </w:r>
    </w:p>
    <w:p>
      <w:pPr>
        <w:pStyle w:val="BodyText"/>
        <w:spacing w:before="199"/>
        <w:ind w:right="231"/>
        <w:jc w:val="both"/>
      </w:pPr>
      <w:r>
        <w:rPr/>
        <w:t>Iriekpen, D. (2009). Bank Chiefs Arraigned, Face 131 Charges. </w:t>
      </w:r>
      <w:r>
        <w:rPr>
          <w:i/>
        </w:rPr>
        <w:t>NBF News.</w:t>
      </w:r>
      <w:r>
        <w:rPr/>
        <w:t>Retrieved May</w:t>
      </w:r>
      <w:r>
        <w:rPr>
          <w:spacing w:val="-10"/>
        </w:rPr>
        <w:t> </w:t>
      </w:r>
      <w:r>
        <w:rPr/>
        <w:t>5, 2014, from</w:t>
      </w:r>
      <w:r>
        <w:rPr>
          <w:spacing w:val="-3"/>
        </w:rPr>
        <w:t> </w:t>
      </w:r>
      <w:hyperlink r:id="rId71">
        <w:r>
          <w:rPr>
            <w:color w:val="0000FF"/>
            <w:u w:val="single" w:color="0000FF"/>
          </w:rPr>
          <w:t>http://www.nigerianbestforum.com/blog/bank-chiefs-arraigned-face-</w:t>
        </w:r>
      </w:hyperlink>
      <w:r>
        <w:rPr>
          <w:color w:val="0000FF"/>
        </w:rPr>
        <w:t> </w:t>
      </w:r>
      <w:hyperlink r:id="rId71">
        <w:r>
          <w:rPr>
            <w:color w:val="0000FF"/>
            <w:spacing w:val="-2"/>
            <w:u w:val="single" w:color="0000FF"/>
          </w:rPr>
          <w:t>131-charges/</w:t>
        </w:r>
        <w:r>
          <w:rPr>
            <w:spacing w:val="-2"/>
          </w:rPr>
          <w:t>.</w:t>
        </w:r>
      </w:hyperlink>
    </w:p>
    <w:p>
      <w:pPr>
        <w:pStyle w:val="BodyText"/>
        <w:tabs>
          <w:tab w:pos="2155" w:val="left" w:leader="none"/>
          <w:tab w:pos="4564" w:val="left" w:leader="none"/>
          <w:tab w:pos="6085" w:val="left" w:leader="none"/>
          <w:tab w:pos="7126" w:val="left" w:leader="none"/>
          <w:tab w:pos="8346" w:val="left" w:leader="none"/>
        </w:tabs>
        <w:spacing w:line="276" w:lineRule="auto" w:before="205"/>
        <w:ind w:right="226"/>
        <w:jc w:val="both"/>
      </w:pPr>
      <w:r>
        <w:rPr/>
        <w:t>Lipton, M., Mirvis, T. and Lorsch, J. (2009) </w:t>
      </w:r>
      <w:r>
        <w:rPr>
          <w:i/>
        </w:rPr>
        <w:t>The Proposed Shareholder Bill of Rights Act of 2009</w:t>
      </w:r>
      <w:r>
        <w:rPr/>
        <w:t>, Harvard Law School Forum on Corporate Governance &amp; Financial </w:t>
      </w:r>
      <w:r>
        <w:rPr>
          <w:spacing w:val="-2"/>
        </w:rPr>
        <w:t>Regulation.</w:t>
      </w:r>
      <w:r>
        <w:rPr/>
        <w:tab/>
      </w:r>
      <w:r>
        <w:rPr>
          <w:spacing w:val="-2"/>
        </w:rPr>
        <w:t>Retrieved</w:t>
      </w:r>
      <w:r>
        <w:rPr/>
        <w:tab/>
      </w:r>
      <w:r>
        <w:rPr>
          <w:spacing w:val="-2"/>
        </w:rPr>
        <w:t>October</w:t>
      </w:r>
      <w:r>
        <w:rPr/>
        <w:tab/>
      </w:r>
      <w:r>
        <w:rPr>
          <w:spacing w:val="-4"/>
        </w:rPr>
        <w:t>10,</w:t>
      </w:r>
      <w:r>
        <w:rPr/>
        <w:tab/>
      </w:r>
      <w:r>
        <w:rPr>
          <w:spacing w:val="-4"/>
        </w:rPr>
        <w:t>2013</w:t>
      </w:r>
      <w:r>
        <w:rPr/>
        <w:tab/>
      </w:r>
      <w:r>
        <w:rPr>
          <w:spacing w:val="-4"/>
        </w:rPr>
        <w:t>from </w:t>
      </w:r>
      <w:hyperlink r:id="rId46">
        <w:r>
          <w:rPr>
            <w:color w:val="0000FF"/>
            <w:spacing w:val="-2"/>
            <w:u w:val="single" w:color="0000FF"/>
          </w:rPr>
          <w:t>http://blogs.law.harvard.edu/corpgov/2009/05/12/the-proposed-</w:t>
        </w:r>
      </w:hyperlink>
    </w:p>
    <w:p>
      <w:pPr>
        <w:pStyle w:val="BodyText"/>
        <w:spacing w:line="269" w:lineRule="exact"/>
      </w:pPr>
      <w:hyperlink r:id="rId46">
        <w:r>
          <w:rPr>
            <w:color w:val="0000FF"/>
            <w:spacing w:val="-2"/>
            <w:u w:val="single" w:color="0000FF"/>
          </w:rPr>
          <w:t>%e2%80%9cshareholder-bill-of-rights-act-of-2009%e2%80%9d</w:t>
        </w:r>
      </w:hyperlink>
      <w:r>
        <w:rPr>
          <w:spacing w:val="-2"/>
        </w:rPr>
        <w:t>.</w:t>
      </w:r>
    </w:p>
    <w:p>
      <w:pPr>
        <w:spacing w:line="240" w:lineRule="auto" w:before="247"/>
        <w:ind w:left="308" w:right="233" w:firstLine="0"/>
        <w:jc w:val="both"/>
        <w:rPr>
          <w:sz w:val="24"/>
        </w:rPr>
      </w:pPr>
      <w:r>
        <w:rPr>
          <w:sz w:val="24"/>
        </w:rPr>
        <w:t>Lumb,</w:t>
      </w:r>
      <w:r>
        <w:rPr>
          <w:spacing w:val="-1"/>
          <w:sz w:val="24"/>
        </w:rPr>
        <w:t> </w:t>
      </w:r>
      <w:r>
        <w:rPr>
          <w:sz w:val="24"/>
        </w:rPr>
        <w:t>L.</w:t>
      </w:r>
      <w:r>
        <w:rPr>
          <w:spacing w:val="-1"/>
          <w:sz w:val="24"/>
        </w:rPr>
        <w:t> </w:t>
      </w:r>
      <w:r>
        <w:rPr>
          <w:sz w:val="24"/>
        </w:rPr>
        <w:t>Blankfield,</w:t>
      </w:r>
      <w:r>
        <w:rPr>
          <w:spacing w:val="-1"/>
          <w:sz w:val="24"/>
        </w:rPr>
        <w:t> </w:t>
      </w:r>
      <w:r>
        <w:rPr>
          <w:sz w:val="24"/>
        </w:rPr>
        <w:t>A.</w:t>
      </w:r>
      <w:r>
        <w:rPr>
          <w:spacing w:val="-1"/>
          <w:sz w:val="24"/>
        </w:rPr>
        <w:t> </w:t>
      </w:r>
      <w:r>
        <w:rPr>
          <w:sz w:val="24"/>
        </w:rPr>
        <w:t>(2010) </w:t>
      </w:r>
      <w:r>
        <w:rPr>
          <w:i/>
          <w:sz w:val="24"/>
        </w:rPr>
        <w:t>Directors‘</w:t>
      </w:r>
      <w:r>
        <w:rPr>
          <w:i/>
          <w:spacing w:val="-2"/>
          <w:sz w:val="24"/>
        </w:rPr>
        <w:t> </w:t>
      </w:r>
      <w:r>
        <w:rPr>
          <w:i/>
          <w:sz w:val="24"/>
        </w:rPr>
        <w:t>Duties,</w:t>
      </w:r>
      <w:r>
        <w:rPr>
          <w:i/>
          <w:spacing w:val="-1"/>
          <w:sz w:val="24"/>
        </w:rPr>
        <w:t> </w:t>
      </w:r>
      <w:r>
        <w:rPr>
          <w:i/>
          <w:sz w:val="24"/>
        </w:rPr>
        <w:t>Companies</w:t>
      </w:r>
      <w:r>
        <w:rPr>
          <w:i/>
          <w:spacing w:val="-5"/>
          <w:sz w:val="24"/>
        </w:rPr>
        <w:t> </w:t>
      </w:r>
      <w:r>
        <w:rPr>
          <w:i/>
          <w:sz w:val="24"/>
        </w:rPr>
        <w:t>Act</w:t>
      </w:r>
      <w:r>
        <w:rPr>
          <w:i/>
          <w:spacing w:val="-3"/>
          <w:sz w:val="24"/>
        </w:rPr>
        <w:t> </w:t>
      </w:r>
      <w:r>
        <w:rPr>
          <w:i/>
          <w:sz w:val="24"/>
        </w:rPr>
        <w:t>2006:</w:t>
      </w:r>
      <w:r>
        <w:rPr>
          <w:i/>
          <w:spacing w:val="-2"/>
          <w:sz w:val="24"/>
        </w:rPr>
        <w:t> </w:t>
      </w:r>
      <w:r>
        <w:rPr>
          <w:i/>
          <w:sz w:val="24"/>
        </w:rPr>
        <w:t>Restatement</w:t>
      </w:r>
      <w:r>
        <w:rPr>
          <w:i/>
          <w:spacing w:val="-3"/>
          <w:sz w:val="24"/>
        </w:rPr>
        <w:t> </w:t>
      </w:r>
      <w:r>
        <w:rPr>
          <w:i/>
          <w:sz w:val="24"/>
        </w:rPr>
        <w:t>or Substantive</w:t>
      </w:r>
      <w:r>
        <w:rPr>
          <w:i/>
          <w:spacing w:val="-1"/>
          <w:sz w:val="24"/>
        </w:rPr>
        <w:t> </w:t>
      </w:r>
      <w:r>
        <w:rPr>
          <w:i/>
          <w:sz w:val="24"/>
        </w:rPr>
        <w:t>Change? </w:t>
      </w:r>
      <w:r>
        <w:rPr>
          <w:sz w:val="24"/>
        </w:rPr>
        <w:t>Field Fisher Waterhouse LLP, England, p. 7.</w:t>
      </w:r>
      <w:r>
        <w:rPr>
          <w:spacing w:val="-2"/>
          <w:sz w:val="24"/>
        </w:rPr>
        <w:t> </w:t>
      </w:r>
      <w:r>
        <w:rPr>
          <w:sz w:val="24"/>
        </w:rPr>
        <w:t>Retrieved March</w:t>
      </w:r>
      <w:r>
        <w:rPr>
          <w:spacing w:val="-3"/>
          <w:sz w:val="24"/>
        </w:rPr>
        <w:t> </w:t>
      </w:r>
      <w:r>
        <w:rPr>
          <w:sz w:val="24"/>
        </w:rPr>
        <w:t>26, 2013 from </w:t>
      </w:r>
      <w:hyperlink r:id="rId53">
        <w:r>
          <w:rPr>
            <w:color w:val="0000FF"/>
            <w:sz w:val="24"/>
            <w:u w:val="single" w:color="0000FF"/>
          </w:rPr>
          <w:t>http://www.ffw.com/pdf/Directors-duties.pdf</w:t>
        </w:r>
        <w:r>
          <w:rPr>
            <w:sz w:val="24"/>
          </w:rPr>
          <w:t>.</w:t>
        </w:r>
      </w:hyperlink>
    </w:p>
    <w:p>
      <w:pPr>
        <w:pStyle w:val="BodyText"/>
        <w:spacing w:before="200"/>
        <w:ind w:right="231"/>
        <w:jc w:val="both"/>
      </w:pPr>
      <w:r>
        <w:rPr/>
        <w:t>Mackenzie, G. (2013). </w:t>
      </w:r>
      <w:r>
        <w:rPr>
          <w:i/>
        </w:rPr>
        <w:t>Shadow Directors and their Duties</w:t>
      </w:r>
      <w:r>
        <w:rPr/>
        <w:t>. Walker Morris LLP. Retrieved 2</w:t>
      </w:r>
      <w:r>
        <w:rPr>
          <w:vertAlign w:val="superscript"/>
        </w:rPr>
        <w:t>nd</w:t>
      </w:r>
      <w:r>
        <w:rPr>
          <w:vertAlign w:val="baseline"/>
        </w:rPr>
        <w:t> March 2013 from </w:t>
      </w:r>
      <w:hyperlink r:id="rId63">
        <w:r>
          <w:rPr>
            <w:color w:val="0000FF"/>
            <w:u w:val="single" w:color="0000FF"/>
            <w:vertAlign w:val="baseline"/>
          </w:rPr>
          <w:t>http://www.walkermorris.co.uk/shadow-directors-and-</w:t>
        </w:r>
      </w:hyperlink>
      <w:r>
        <w:rPr>
          <w:color w:val="0000FF"/>
          <w:vertAlign w:val="baseline"/>
        </w:rPr>
        <w:t> </w:t>
      </w:r>
      <w:hyperlink r:id="rId63">
        <w:r>
          <w:rPr>
            <w:color w:val="0000FF"/>
            <w:spacing w:val="-2"/>
            <w:u w:val="single" w:color="0000FF"/>
            <w:vertAlign w:val="baseline"/>
          </w:rPr>
          <w:t>their-duties</w:t>
        </w:r>
        <w:r>
          <w:rPr>
            <w:spacing w:val="-2"/>
            <w:vertAlign w:val="baseline"/>
          </w:rPr>
          <w:t>.</w:t>
        </w:r>
      </w:hyperlink>
    </w:p>
    <w:p>
      <w:pPr>
        <w:spacing w:after="0"/>
        <w:jc w:val="both"/>
        <w:sectPr>
          <w:pgSz w:w="11910" w:h="16840"/>
          <w:pgMar w:header="0" w:footer="1003" w:top="1320" w:bottom="1200" w:left="1680" w:right="1180"/>
        </w:sectPr>
      </w:pPr>
    </w:p>
    <w:p>
      <w:pPr>
        <w:spacing w:line="242" w:lineRule="auto" w:before="70"/>
        <w:ind w:left="308" w:right="231" w:firstLine="0"/>
        <w:jc w:val="both"/>
        <w:rPr>
          <w:sz w:val="24"/>
        </w:rPr>
      </w:pPr>
      <w:r>
        <w:rPr>
          <w:sz w:val="24"/>
        </w:rPr>
        <w:t>Pettet, B. (2010) </w:t>
      </w:r>
      <w:r>
        <w:rPr>
          <w:i/>
          <w:sz w:val="24"/>
        </w:rPr>
        <w:t>Common Law</w:t>
      </w:r>
      <w:r>
        <w:rPr>
          <w:i/>
          <w:spacing w:val="-3"/>
          <w:sz w:val="24"/>
        </w:rPr>
        <w:t> </w:t>
      </w:r>
      <w:r>
        <w:rPr>
          <w:i/>
          <w:sz w:val="24"/>
        </w:rPr>
        <w:t>Duties of Care and Skill</w:t>
      </w:r>
      <w:r>
        <w:rPr>
          <w:sz w:val="24"/>
        </w:rPr>
        <w:t>.Retrieved December 11, 2013, from </w:t>
      </w:r>
      <w:hyperlink r:id="rId55">
        <w:r>
          <w:rPr>
            <w:color w:val="0000FF"/>
            <w:sz w:val="24"/>
            <w:u w:val="single" w:color="0000FF"/>
          </w:rPr>
          <w:t>http://law.oxy.co/common-law-duties-of-care-and-skill-93650/</w:t>
        </w:r>
        <w:r>
          <w:rPr>
            <w:sz w:val="24"/>
          </w:rPr>
          <w:t>.</w:t>
        </w:r>
      </w:hyperlink>
    </w:p>
    <w:p>
      <w:pPr>
        <w:spacing w:line="240" w:lineRule="auto" w:before="196"/>
        <w:ind w:left="308" w:right="226" w:firstLine="0"/>
        <w:jc w:val="both"/>
        <w:rPr>
          <w:sz w:val="24"/>
        </w:rPr>
      </w:pPr>
      <w:r>
        <w:rPr>
          <w:sz w:val="24"/>
        </w:rPr>
        <w:t>Pirani, P. (2013). </w:t>
      </w:r>
      <w:r>
        <w:rPr>
          <w:i/>
          <w:sz w:val="24"/>
        </w:rPr>
        <w:t>Independent Directors in Publicly Traded Companies: Origin and Evolution Over Time</w:t>
      </w:r>
      <w:r>
        <w:rPr>
          <w:sz w:val="24"/>
        </w:rPr>
        <w:t>. Retrieved May 26, 2013 from </w:t>
      </w:r>
      <w:hyperlink r:id="rId24">
        <w:r>
          <w:rPr>
            <w:color w:val="0000FF"/>
            <w:spacing w:val="-2"/>
            <w:sz w:val="24"/>
            <w:u w:val="single" w:color="0000FF"/>
          </w:rPr>
          <w:t>http://papers.ssrn.com/sol3/papers.cfm?abstract_id=2261239&amp;download=yes</w:t>
        </w:r>
      </w:hyperlink>
      <w:r>
        <w:rPr>
          <w:spacing w:val="-2"/>
          <w:sz w:val="24"/>
        </w:rPr>
        <w:t>.</w:t>
      </w:r>
    </w:p>
    <w:p>
      <w:pPr>
        <w:pStyle w:val="BodyText"/>
        <w:tabs>
          <w:tab w:pos="1383" w:val="left" w:leader="none"/>
          <w:tab w:pos="2779" w:val="left" w:leader="none"/>
          <w:tab w:pos="5129" w:val="left" w:leader="none"/>
          <w:tab w:pos="6267" w:val="left" w:leader="none"/>
          <w:tab w:pos="7155" w:val="left" w:leader="none"/>
          <w:tab w:pos="8346" w:val="left" w:leader="none"/>
        </w:tabs>
        <w:spacing w:before="200"/>
        <w:ind w:right="231"/>
      </w:pPr>
      <w:r>
        <w:rPr>
          <w:spacing w:val="-4"/>
        </w:rPr>
        <w:t>The</w:t>
      </w:r>
      <w:r>
        <w:rPr/>
        <w:tab/>
      </w:r>
      <w:r>
        <w:rPr>
          <w:spacing w:val="-2"/>
        </w:rPr>
        <w:t>Citizen</w:t>
      </w:r>
      <w:r>
        <w:rPr/>
        <w:tab/>
      </w:r>
      <w:r>
        <w:rPr>
          <w:spacing w:val="-2"/>
        </w:rPr>
        <w:t>Online.Retrieved</w:t>
      </w:r>
      <w:r>
        <w:rPr/>
        <w:tab/>
      </w:r>
      <w:r>
        <w:rPr>
          <w:spacing w:val="-4"/>
        </w:rPr>
        <w:t>May</w:t>
      </w:r>
      <w:r>
        <w:rPr/>
        <w:tab/>
      </w:r>
      <w:r>
        <w:rPr>
          <w:spacing w:val="-6"/>
        </w:rPr>
        <w:t>5,</w:t>
      </w:r>
      <w:r>
        <w:rPr/>
        <w:tab/>
      </w:r>
      <w:r>
        <w:rPr>
          <w:spacing w:val="-4"/>
        </w:rPr>
        <w:t>2014</w:t>
      </w:r>
      <w:r>
        <w:rPr/>
        <w:tab/>
      </w:r>
      <w:r>
        <w:rPr>
          <w:spacing w:val="-4"/>
        </w:rPr>
        <w:t>from </w:t>
      </w:r>
      <w:hyperlink r:id="rId30">
        <w:r>
          <w:rPr>
            <w:color w:val="0000FF"/>
            <w:spacing w:val="-2"/>
            <w:u w:val="single" w:color="0000FF"/>
          </w:rPr>
          <w:t>http://thecitizenng.com/business/cadbury-plc-heads-to-trouble-again-over-alleged-</w:t>
        </w:r>
      </w:hyperlink>
      <w:r>
        <w:rPr>
          <w:color w:val="0000FF"/>
          <w:spacing w:val="-2"/>
        </w:rPr>
        <w:t> </w:t>
      </w:r>
      <w:hyperlink r:id="rId30">
        <w:r>
          <w:rPr>
            <w:color w:val="0000FF"/>
            <w:spacing w:val="-2"/>
            <w:u w:val="single" w:color="0000FF"/>
          </w:rPr>
          <w:t>fraudulent-reporting-its-not-true-says-cadbury/</w:t>
        </w:r>
        <w:r>
          <w:rPr>
            <w:spacing w:val="-2"/>
          </w:rPr>
          <w:t>.</w:t>
        </w:r>
      </w:hyperlink>
    </w:p>
    <w:p>
      <w:pPr>
        <w:pStyle w:val="BodyText"/>
        <w:spacing w:before="199"/>
        <w:ind w:right="225"/>
      </w:pPr>
      <w:r>
        <w:rPr/>
        <w:t>Why Bunmi Oni, Auditor, Must be Prosecuted. </w:t>
      </w:r>
      <w:r>
        <w:rPr>
          <w:i/>
        </w:rPr>
        <w:t>Proshare</w:t>
      </w:r>
      <w:r>
        <w:rPr/>
        <w:t>.Retrieved May 5, 2014, from </w:t>
      </w:r>
      <w:hyperlink r:id="rId38">
        <w:r>
          <w:rPr>
            <w:color w:val="0000FF"/>
            <w:spacing w:val="-2"/>
            <w:u w:val="single" w:color="0000FF"/>
          </w:rPr>
          <w:t>http://www.proshareng.com/articles/847/Why-Bunmi-Oni-Auditor-Must-Be-</w:t>
        </w:r>
      </w:hyperlink>
      <w:r>
        <w:rPr>
          <w:color w:val="0000FF"/>
          <w:spacing w:val="40"/>
        </w:rPr>
        <w:t>  </w:t>
      </w:r>
      <w:hyperlink r:id="rId38">
        <w:r>
          <w:rPr>
            <w:color w:val="0000FF"/>
            <w:spacing w:val="-2"/>
            <w:u w:val="single" w:color="0000FF"/>
          </w:rPr>
          <w:t>Prosecuted</w:t>
        </w:r>
      </w:hyperlink>
      <w:r>
        <w:rPr>
          <w:spacing w:val="-2"/>
        </w:rPr>
        <w:t>.</w:t>
      </w:r>
    </w:p>
    <w:p>
      <w:pPr>
        <w:pStyle w:val="BodyText"/>
        <w:tabs>
          <w:tab w:pos="2309" w:val="left" w:leader="none"/>
          <w:tab w:pos="4834" w:val="left" w:leader="none"/>
          <w:tab w:pos="6144" w:val="left" w:leader="none"/>
          <w:tab w:pos="7128" w:val="left" w:leader="none"/>
          <w:tab w:pos="8348" w:val="left" w:leader="none"/>
        </w:tabs>
        <w:spacing w:before="204"/>
        <w:ind w:right="224"/>
      </w:pPr>
      <w:r>
        <w:rPr/>
        <w:t>Woodley,</w:t>
      </w:r>
      <w:r>
        <w:rPr>
          <w:spacing w:val="-1"/>
        </w:rPr>
        <w:t> </w:t>
      </w:r>
      <w:r>
        <w:rPr/>
        <w:t>J.</w:t>
      </w:r>
      <w:r>
        <w:rPr>
          <w:spacing w:val="-1"/>
        </w:rPr>
        <w:t> </w:t>
      </w:r>
      <w:r>
        <w:rPr/>
        <w:t>(2011).</w:t>
      </w:r>
      <w:r>
        <w:rPr>
          <w:spacing w:val="-1"/>
        </w:rPr>
        <w:t> </w:t>
      </w:r>
      <w:r>
        <w:rPr/>
        <w:t>Company</w:t>
      </w:r>
      <w:r>
        <w:rPr>
          <w:spacing w:val="-3"/>
        </w:rPr>
        <w:t> </w:t>
      </w:r>
      <w:r>
        <w:rPr/>
        <w:t>Law</w:t>
      </w:r>
      <w:r>
        <w:rPr>
          <w:spacing w:val="-3"/>
        </w:rPr>
        <w:t> </w:t>
      </w:r>
      <w:r>
        <w:rPr/>
        <w:t>Module</w:t>
      </w:r>
      <w:r>
        <w:rPr>
          <w:spacing w:val="-3"/>
        </w:rPr>
        <w:t> </w:t>
      </w:r>
      <w:r>
        <w:rPr/>
        <w:t>Guide.</w:t>
      </w:r>
      <w:r>
        <w:rPr>
          <w:i/>
        </w:rPr>
        <w:t>University</w:t>
      </w:r>
      <w:r>
        <w:rPr>
          <w:i/>
          <w:spacing w:val="-3"/>
        </w:rPr>
        <w:t> </w:t>
      </w:r>
      <w:r>
        <w:rPr>
          <w:i/>
        </w:rPr>
        <w:t>of Hertfordshire</w:t>
      </w:r>
      <w:r>
        <w:rPr>
          <w:i/>
          <w:spacing w:val="-3"/>
        </w:rPr>
        <w:t> </w:t>
      </w:r>
      <w:r>
        <w:rPr>
          <w:i/>
        </w:rPr>
        <w:t>School</w:t>
      </w:r>
      <w:r>
        <w:rPr>
          <w:i/>
          <w:spacing w:val="-2"/>
        </w:rPr>
        <w:t> </w:t>
      </w:r>
      <w:r>
        <w:rPr>
          <w:i/>
        </w:rPr>
        <w:t>of </w:t>
      </w:r>
      <w:r>
        <w:rPr>
          <w:i/>
          <w:spacing w:val="-2"/>
        </w:rPr>
        <w:t>Law</w:t>
      </w:r>
      <w:r>
        <w:rPr>
          <w:spacing w:val="-2"/>
        </w:rPr>
        <w:t>.2010/11,</w:t>
      </w:r>
      <w:r>
        <w:rPr/>
        <w:tab/>
      </w:r>
      <w:r>
        <w:rPr>
          <w:spacing w:val="-2"/>
        </w:rPr>
        <w:t>pp.62-63.Retrieved</w:t>
      </w:r>
      <w:r>
        <w:rPr/>
        <w:tab/>
      </w:r>
      <w:r>
        <w:rPr>
          <w:spacing w:val="-4"/>
        </w:rPr>
        <w:t>March</w:t>
      </w:r>
      <w:r>
        <w:rPr/>
        <w:tab/>
      </w:r>
      <w:r>
        <w:rPr>
          <w:spacing w:val="-4"/>
        </w:rPr>
        <w:t>26,</w:t>
      </w:r>
      <w:r>
        <w:rPr/>
        <w:tab/>
      </w:r>
      <w:r>
        <w:rPr>
          <w:spacing w:val="-2"/>
        </w:rPr>
        <w:t>2013,</w:t>
      </w:r>
      <w:r>
        <w:rPr/>
        <w:tab/>
      </w:r>
      <w:r>
        <w:rPr>
          <w:spacing w:val="-4"/>
        </w:rPr>
        <w:t>from </w:t>
      </w:r>
      <w:hyperlink r:id="rId16">
        <w:r>
          <w:rPr>
            <w:color w:val="0000FF"/>
            <w:spacing w:val="-2"/>
            <w:u w:val="single" w:color="0000FF"/>
          </w:rPr>
          <w:t>http://www.scribd.com/doc/99319274/6LAW0087-Company-Law-2010-2011-Module-</w:t>
        </w:r>
      </w:hyperlink>
      <w:r>
        <w:rPr>
          <w:color w:val="0000FF"/>
          <w:spacing w:val="-2"/>
        </w:rPr>
        <w:t> </w:t>
      </w:r>
      <w:hyperlink r:id="rId16">
        <w:r>
          <w:rPr>
            <w:color w:val="0000FF"/>
            <w:spacing w:val="-2"/>
            <w:u w:val="single" w:color="0000FF"/>
          </w:rPr>
          <w:t>Guide</w:t>
        </w:r>
        <w:r>
          <w:rPr>
            <w:spacing w:val="-2"/>
          </w:rPr>
          <w:t>.</w:t>
        </w:r>
      </w:hyperlink>
    </w:p>
    <w:p>
      <w:pPr>
        <w:pStyle w:val="BodyText"/>
        <w:ind w:left="0"/>
      </w:pPr>
    </w:p>
    <w:p>
      <w:pPr>
        <w:pStyle w:val="BodyText"/>
        <w:spacing w:before="126"/>
        <w:ind w:left="0"/>
      </w:pPr>
    </w:p>
    <w:p>
      <w:pPr>
        <w:pStyle w:val="Heading2"/>
        <w:ind w:left="308" w:firstLine="0"/>
        <w:jc w:val="left"/>
      </w:pPr>
      <w:r>
        <w:rPr/>
        <w:t>Other</w:t>
      </w:r>
      <w:r>
        <w:rPr>
          <w:spacing w:val="-4"/>
        </w:rPr>
        <w:t> </w:t>
      </w:r>
      <w:r>
        <w:rPr>
          <w:spacing w:val="-2"/>
        </w:rPr>
        <w:t>Sources</w:t>
      </w:r>
    </w:p>
    <w:p>
      <w:pPr>
        <w:pStyle w:val="BodyText"/>
        <w:spacing w:line="242" w:lineRule="auto" w:before="36"/>
        <w:ind w:right="255"/>
      </w:pPr>
      <w:r>
        <w:rPr/>
        <w:t>Central</w:t>
      </w:r>
      <w:r>
        <w:rPr>
          <w:spacing w:val="39"/>
        </w:rPr>
        <w:t> </w:t>
      </w:r>
      <w:r>
        <w:rPr/>
        <w:t>Bank</w:t>
      </w:r>
      <w:r>
        <w:rPr>
          <w:spacing w:val="40"/>
        </w:rPr>
        <w:t> </w:t>
      </w:r>
      <w:r>
        <w:rPr/>
        <w:t>of</w:t>
      </w:r>
      <w:r>
        <w:rPr>
          <w:spacing w:val="35"/>
        </w:rPr>
        <w:t> </w:t>
      </w:r>
      <w:r>
        <w:rPr/>
        <w:t>Nigeria</w:t>
      </w:r>
      <w:r>
        <w:rPr>
          <w:spacing w:val="40"/>
        </w:rPr>
        <w:t> </w:t>
      </w:r>
      <w:r>
        <w:rPr/>
        <w:t>(CBN)</w:t>
      </w:r>
      <w:r>
        <w:rPr>
          <w:spacing w:val="40"/>
        </w:rPr>
        <w:t> </w:t>
      </w:r>
      <w:r>
        <w:rPr/>
        <w:t>Code</w:t>
      </w:r>
      <w:r>
        <w:rPr>
          <w:spacing w:val="40"/>
        </w:rPr>
        <w:t> </w:t>
      </w:r>
      <w:r>
        <w:rPr/>
        <w:t>of</w:t>
      </w:r>
      <w:r>
        <w:rPr>
          <w:spacing w:val="40"/>
        </w:rPr>
        <w:t> </w:t>
      </w:r>
      <w:r>
        <w:rPr/>
        <w:t>Corporate</w:t>
      </w:r>
      <w:r>
        <w:rPr>
          <w:spacing w:val="40"/>
        </w:rPr>
        <w:t> </w:t>
      </w:r>
      <w:r>
        <w:rPr/>
        <w:t>Governance</w:t>
      </w:r>
      <w:r>
        <w:rPr>
          <w:spacing w:val="40"/>
        </w:rPr>
        <w:t> </w:t>
      </w:r>
      <w:r>
        <w:rPr/>
        <w:t>Post</w:t>
      </w:r>
      <w:r>
        <w:rPr>
          <w:spacing w:val="40"/>
        </w:rPr>
        <w:t> </w:t>
      </w:r>
      <w:r>
        <w:rPr/>
        <w:t>Consolidation, </w:t>
      </w:r>
      <w:r>
        <w:rPr>
          <w:spacing w:val="-2"/>
        </w:rPr>
        <w:t>2006.</w:t>
      </w:r>
    </w:p>
    <w:p>
      <w:pPr>
        <w:spacing w:line="242" w:lineRule="auto" w:before="196"/>
        <w:ind w:left="308" w:right="0" w:firstLine="0"/>
        <w:jc w:val="left"/>
        <w:rPr>
          <w:sz w:val="24"/>
        </w:rPr>
      </w:pPr>
      <w:r>
        <w:rPr>
          <w:sz w:val="24"/>
        </w:rPr>
        <w:t>Company</w:t>
      </w:r>
      <w:r>
        <w:rPr>
          <w:spacing w:val="40"/>
          <w:sz w:val="24"/>
        </w:rPr>
        <w:t> </w:t>
      </w:r>
      <w:r>
        <w:rPr>
          <w:sz w:val="24"/>
        </w:rPr>
        <w:t>Law</w:t>
      </w:r>
      <w:r>
        <w:rPr>
          <w:spacing w:val="40"/>
          <w:sz w:val="24"/>
        </w:rPr>
        <w:t> </w:t>
      </w:r>
      <w:r>
        <w:rPr>
          <w:sz w:val="24"/>
        </w:rPr>
        <w:t>Review</w:t>
      </w:r>
      <w:r>
        <w:rPr>
          <w:spacing w:val="40"/>
          <w:sz w:val="24"/>
        </w:rPr>
        <w:t> </w:t>
      </w:r>
      <w:r>
        <w:rPr>
          <w:sz w:val="24"/>
        </w:rPr>
        <w:t>Steering</w:t>
      </w:r>
      <w:r>
        <w:rPr>
          <w:spacing w:val="40"/>
          <w:sz w:val="24"/>
        </w:rPr>
        <w:t> </w:t>
      </w:r>
      <w:r>
        <w:rPr>
          <w:sz w:val="24"/>
        </w:rPr>
        <w:t>Group,</w:t>
      </w:r>
      <w:r>
        <w:rPr>
          <w:spacing w:val="40"/>
          <w:sz w:val="24"/>
        </w:rPr>
        <w:t> </w:t>
      </w:r>
      <w:r>
        <w:rPr>
          <w:i/>
          <w:sz w:val="24"/>
        </w:rPr>
        <w:t>Modern</w:t>
      </w:r>
      <w:r>
        <w:rPr>
          <w:i/>
          <w:spacing w:val="40"/>
          <w:sz w:val="24"/>
        </w:rPr>
        <w:t> </w:t>
      </w:r>
      <w:r>
        <w:rPr>
          <w:i/>
          <w:sz w:val="24"/>
        </w:rPr>
        <w:t>Company</w:t>
      </w:r>
      <w:r>
        <w:rPr>
          <w:i/>
          <w:spacing w:val="40"/>
          <w:sz w:val="24"/>
        </w:rPr>
        <w:t> </w:t>
      </w:r>
      <w:r>
        <w:rPr>
          <w:i/>
          <w:sz w:val="24"/>
        </w:rPr>
        <w:t>Law</w:t>
      </w:r>
      <w:r>
        <w:rPr>
          <w:i/>
          <w:spacing w:val="40"/>
          <w:sz w:val="24"/>
        </w:rPr>
        <w:t> </w:t>
      </w:r>
      <w:r>
        <w:rPr>
          <w:i/>
          <w:sz w:val="24"/>
        </w:rPr>
        <w:t>for</w:t>
      </w:r>
      <w:r>
        <w:rPr>
          <w:i/>
          <w:spacing w:val="40"/>
          <w:sz w:val="24"/>
        </w:rPr>
        <w:t> </w:t>
      </w:r>
      <w:r>
        <w:rPr>
          <w:i/>
          <w:sz w:val="24"/>
        </w:rPr>
        <w:t>a</w:t>
      </w:r>
      <w:r>
        <w:rPr>
          <w:i/>
          <w:spacing w:val="40"/>
          <w:sz w:val="24"/>
        </w:rPr>
        <w:t> </w:t>
      </w:r>
      <w:r>
        <w:rPr>
          <w:i/>
          <w:sz w:val="24"/>
        </w:rPr>
        <w:t>Competitive</w:t>
      </w:r>
      <w:r>
        <w:rPr>
          <w:i/>
          <w:spacing w:val="80"/>
          <w:sz w:val="24"/>
        </w:rPr>
        <w:t> </w:t>
      </w:r>
      <w:r>
        <w:rPr>
          <w:i/>
          <w:sz w:val="24"/>
        </w:rPr>
        <w:t>Economy: The Final Report</w:t>
      </w:r>
      <w:r>
        <w:rPr>
          <w:sz w:val="24"/>
        </w:rPr>
        <w:t>, Volume 1, London, DTI, 2001.</w:t>
      </w:r>
    </w:p>
    <w:p>
      <w:pPr>
        <w:spacing w:before="197"/>
        <w:ind w:left="308" w:right="233" w:firstLine="0"/>
        <w:jc w:val="left"/>
        <w:rPr>
          <w:sz w:val="24"/>
        </w:rPr>
      </w:pPr>
      <w:r>
        <w:rPr>
          <w:sz w:val="24"/>
        </w:rPr>
        <w:t>Company</w:t>
      </w:r>
      <w:r>
        <w:rPr>
          <w:spacing w:val="80"/>
          <w:sz w:val="24"/>
        </w:rPr>
        <w:t> </w:t>
      </w:r>
      <w:r>
        <w:rPr>
          <w:sz w:val="24"/>
        </w:rPr>
        <w:t>Law</w:t>
      </w:r>
      <w:r>
        <w:rPr>
          <w:spacing w:val="80"/>
          <w:sz w:val="24"/>
        </w:rPr>
        <w:t> </w:t>
      </w:r>
      <w:r>
        <w:rPr>
          <w:sz w:val="24"/>
        </w:rPr>
        <w:t>Review</w:t>
      </w:r>
      <w:r>
        <w:rPr>
          <w:spacing w:val="80"/>
          <w:sz w:val="24"/>
        </w:rPr>
        <w:t> </w:t>
      </w:r>
      <w:r>
        <w:rPr>
          <w:i/>
          <w:sz w:val="24"/>
        </w:rPr>
        <w:t>Modern</w:t>
      </w:r>
      <w:r>
        <w:rPr>
          <w:i/>
          <w:spacing w:val="80"/>
          <w:sz w:val="24"/>
        </w:rPr>
        <w:t> </w:t>
      </w:r>
      <w:r>
        <w:rPr>
          <w:i/>
          <w:sz w:val="24"/>
        </w:rPr>
        <w:t>Company</w:t>
      </w:r>
      <w:r>
        <w:rPr>
          <w:i/>
          <w:spacing w:val="79"/>
          <w:sz w:val="24"/>
        </w:rPr>
        <w:t> </w:t>
      </w:r>
      <w:r>
        <w:rPr>
          <w:i/>
          <w:sz w:val="24"/>
        </w:rPr>
        <w:t>Law</w:t>
      </w:r>
      <w:r>
        <w:rPr>
          <w:i/>
          <w:spacing w:val="74"/>
          <w:sz w:val="24"/>
        </w:rPr>
        <w:t> </w:t>
      </w:r>
      <w:r>
        <w:rPr>
          <w:i/>
          <w:sz w:val="24"/>
        </w:rPr>
        <w:t>for</w:t>
      </w:r>
      <w:r>
        <w:rPr>
          <w:i/>
          <w:spacing w:val="78"/>
          <w:sz w:val="24"/>
        </w:rPr>
        <w:t> </w:t>
      </w:r>
      <w:r>
        <w:rPr>
          <w:i/>
          <w:sz w:val="24"/>
        </w:rPr>
        <w:t>a</w:t>
      </w:r>
      <w:r>
        <w:rPr>
          <w:i/>
          <w:spacing w:val="75"/>
          <w:sz w:val="24"/>
        </w:rPr>
        <w:t> </w:t>
      </w:r>
      <w:r>
        <w:rPr>
          <w:i/>
          <w:sz w:val="24"/>
        </w:rPr>
        <w:t>Competitive</w:t>
      </w:r>
      <w:r>
        <w:rPr>
          <w:i/>
          <w:spacing w:val="79"/>
          <w:sz w:val="24"/>
        </w:rPr>
        <w:t> </w:t>
      </w:r>
      <w:r>
        <w:rPr>
          <w:i/>
          <w:sz w:val="24"/>
        </w:rPr>
        <w:t>Economy</w:t>
      </w:r>
      <w:r>
        <w:rPr>
          <w:sz w:val="24"/>
        </w:rPr>
        <w:t>:</w:t>
      </w:r>
      <w:r>
        <w:rPr>
          <w:spacing w:val="80"/>
          <w:sz w:val="24"/>
        </w:rPr>
        <w:t> </w:t>
      </w:r>
      <w:r>
        <w:rPr>
          <w:sz w:val="24"/>
        </w:rPr>
        <w:t>The Strategic Framework (1999) Department of Trade and Industry (DTI) London.</w:t>
      </w:r>
    </w:p>
    <w:p>
      <w:pPr>
        <w:spacing w:line="242" w:lineRule="auto" w:before="197"/>
        <w:ind w:left="308" w:right="0" w:firstLine="0"/>
        <w:jc w:val="left"/>
        <w:rPr>
          <w:sz w:val="24"/>
        </w:rPr>
      </w:pPr>
      <w:r>
        <w:rPr>
          <w:sz w:val="24"/>
        </w:rPr>
        <w:t>Dimock,</w:t>
      </w:r>
      <w:r>
        <w:rPr>
          <w:spacing w:val="80"/>
          <w:w w:val="150"/>
          <w:sz w:val="24"/>
        </w:rPr>
        <w:t> </w:t>
      </w:r>
      <w:r>
        <w:rPr>
          <w:sz w:val="24"/>
        </w:rPr>
        <w:t>M.E.</w:t>
      </w:r>
      <w:r>
        <w:rPr>
          <w:spacing w:val="80"/>
          <w:w w:val="150"/>
          <w:sz w:val="24"/>
        </w:rPr>
        <w:t> </w:t>
      </w:r>
      <w:r>
        <w:rPr>
          <w:sz w:val="24"/>
        </w:rPr>
        <w:t>and</w:t>
      </w:r>
      <w:r>
        <w:rPr>
          <w:spacing w:val="80"/>
          <w:sz w:val="24"/>
        </w:rPr>
        <w:t> </w:t>
      </w:r>
      <w:r>
        <w:rPr>
          <w:sz w:val="24"/>
        </w:rPr>
        <w:t>Hyde,</w:t>
      </w:r>
      <w:r>
        <w:rPr>
          <w:spacing w:val="80"/>
          <w:w w:val="150"/>
          <w:sz w:val="24"/>
        </w:rPr>
        <w:t> </w:t>
      </w:r>
      <w:r>
        <w:rPr>
          <w:sz w:val="24"/>
        </w:rPr>
        <w:t>K.H.</w:t>
      </w:r>
      <w:r>
        <w:rPr>
          <w:spacing w:val="80"/>
          <w:w w:val="150"/>
          <w:sz w:val="24"/>
        </w:rPr>
        <w:t> </w:t>
      </w:r>
      <w:r>
        <w:rPr>
          <w:sz w:val="24"/>
        </w:rPr>
        <w:t>(1940).</w:t>
      </w:r>
      <w:r>
        <w:rPr>
          <w:i/>
          <w:sz w:val="24"/>
        </w:rPr>
        <w:t>Bureaucracy</w:t>
      </w:r>
      <w:r>
        <w:rPr>
          <w:i/>
          <w:spacing w:val="80"/>
          <w:sz w:val="24"/>
        </w:rPr>
        <w:t> </w:t>
      </w:r>
      <w:r>
        <w:rPr>
          <w:i/>
          <w:sz w:val="24"/>
        </w:rPr>
        <w:t>and</w:t>
      </w:r>
      <w:r>
        <w:rPr>
          <w:i/>
          <w:spacing w:val="80"/>
          <w:w w:val="150"/>
          <w:sz w:val="24"/>
        </w:rPr>
        <w:t> </w:t>
      </w:r>
      <w:r>
        <w:rPr>
          <w:i/>
          <w:sz w:val="24"/>
        </w:rPr>
        <w:t>Trusteeship</w:t>
      </w:r>
      <w:r>
        <w:rPr>
          <w:i/>
          <w:spacing w:val="80"/>
          <w:w w:val="150"/>
          <w:sz w:val="24"/>
        </w:rPr>
        <w:t> </w:t>
      </w:r>
      <w:r>
        <w:rPr>
          <w:i/>
          <w:sz w:val="24"/>
        </w:rPr>
        <w:t>in</w:t>
      </w:r>
      <w:r>
        <w:rPr>
          <w:i/>
          <w:spacing w:val="80"/>
          <w:sz w:val="24"/>
        </w:rPr>
        <w:t> </w:t>
      </w:r>
      <w:r>
        <w:rPr>
          <w:i/>
          <w:sz w:val="24"/>
        </w:rPr>
        <w:t>Large </w:t>
      </w:r>
      <w:r>
        <w:rPr>
          <w:i/>
          <w:spacing w:val="-2"/>
          <w:sz w:val="24"/>
        </w:rPr>
        <w:t>Corporations</w:t>
      </w:r>
      <w:r>
        <w:rPr>
          <w:spacing w:val="-2"/>
          <w:sz w:val="24"/>
        </w:rPr>
        <w:t>.</w:t>
      </w:r>
    </w:p>
    <w:p>
      <w:pPr>
        <w:pStyle w:val="BodyText"/>
        <w:spacing w:before="196"/>
      </w:pPr>
      <w:r>
        <w:rPr/>
        <w:t>Encarta</w:t>
      </w:r>
      <w:r>
        <w:rPr>
          <w:spacing w:val="-4"/>
        </w:rPr>
        <w:t> </w:t>
      </w:r>
      <w:r>
        <w:rPr/>
        <w:t>Dictionaries</w:t>
      </w:r>
      <w:r>
        <w:rPr>
          <w:spacing w:val="-3"/>
        </w:rPr>
        <w:t> </w:t>
      </w:r>
      <w:r>
        <w:rPr/>
        <w:t>(2009), Microsoft</w:t>
      </w:r>
      <w:r>
        <w:rPr>
          <w:spacing w:val="-3"/>
        </w:rPr>
        <w:t> </w:t>
      </w:r>
      <w:r>
        <w:rPr/>
        <w:t>Encarta</w:t>
      </w:r>
      <w:r>
        <w:rPr>
          <w:spacing w:val="-4"/>
        </w:rPr>
        <w:t> </w:t>
      </w:r>
      <w:r>
        <w:rPr/>
        <w:t>Premium</w:t>
      </w:r>
      <w:r>
        <w:rPr>
          <w:spacing w:val="-10"/>
        </w:rPr>
        <w:t> </w:t>
      </w:r>
      <w:r>
        <w:rPr>
          <w:spacing w:val="-4"/>
        </w:rPr>
        <w:t>DVD.</w:t>
      </w:r>
    </w:p>
    <w:p>
      <w:pPr>
        <w:spacing w:line="242" w:lineRule="auto" w:before="200"/>
        <w:ind w:left="308" w:right="233" w:firstLine="0"/>
        <w:jc w:val="left"/>
        <w:rPr>
          <w:i/>
          <w:sz w:val="24"/>
        </w:rPr>
      </w:pPr>
      <w:r>
        <w:rPr>
          <w:sz w:val="24"/>
        </w:rPr>
        <w:t>Gower,</w:t>
      </w:r>
      <w:r>
        <w:rPr>
          <w:spacing w:val="33"/>
          <w:sz w:val="24"/>
        </w:rPr>
        <w:t> </w:t>
      </w:r>
      <w:r>
        <w:rPr>
          <w:sz w:val="24"/>
        </w:rPr>
        <w:t>L.C.B.</w:t>
      </w:r>
      <w:r>
        <w:rPr>
          <w:spacing w:val="32"/>
          <w:sz w:val="24"/>
        </w:rPr>
        <w:t> </w:t>
      </w:r>
      <w:r>
        <w:rPr>
          <w:sz w:val="24"/>
        </w:rPr>
        <w:t>(1961).</w:t>
      </w:r>
      <w:r>
        <w:rPr>
          <w:spacing w:val="40"/>
          <w:sz w:val="24"/>
        </w:rPr>
        <w:t> </w:t>
      </w:r>
      <w:r>
        <w:rPr>
          <w:i/>
          <w:sz w:val="24"/>
        </w:rPr>
        <w:t>Final</w:t>
      </w:r>
      <w:r>
        <w:rPr>
          <w:i/>
          <w:spacing w:val="36"/>
          <w:sz w:val="24"/>
        </w:rPr>
        <w:t> </w:t>
      </w:r>
      <w:r>
        <w:rPr>
          <w:i/>
          <w:sz w:val="24"/>
        </w:rPr>
        <w:t>Report</w:t>
      </w:r>
      <w:r>
        <w:rPr>
          <w:i/>
          <w:spacing w:val="36"/>
          <w:sz w:val="24"/>
        </w:rPr>
        <w:t> </w:t>
      </w:r>
      <w:r>
        <w:rPr>
          <w:i/>
          <w:sz w:val="24"/>
        </w:rPr>
        <w:t>of</w:t>
      </w:r>
      <w:r>
        <w:rPr>
          <w:i/>
          <w:spacing w:val="36"/>
          <w:sz w:val="24"/>
        </w:rPr>
        <w:t> </w:t>
      </w:r>
      <w:r>
        <w:rPr>
          <w:i/>
          <w:sz w:val="24"/>
        </w:rPr>
        <w:t>the</w:t>
      </w:r>
      <w:r>
        <w:rPr>
          <w:i/>
          <w:spacing w:val="35"/>
          <w:sz w:val="24"/>
        </w:rPr>
        <w:t> </w:t>
      </w:r>
      <w:r>
        <w:rPr>
          <w:i/>
          <w:sz w:val="24"/>
        </w:rPr>
        <w:t>Commission</w:t>
      </w:r>
      <w:r>
        <w:rPr>
          <w:i/>
          <w:spacing w:val="36"/>
          <w:sz w:val="24"/>
        </w:rPr>
        <w:t> </w:t>
      </w:r>
      <w:r>
        <w:rPr>
          <w:i/>
          <w:sz w:val="24"/>
        </w:rPr>
        <w:t>of</w:t>
      </w:r>
      <w:r>
        <w:rPr>
          <w:i/>
          <w:spacing w:val="40"/>
          <w:sz w:val="24"/>
        </w:rPr>
        <w:t> </w:t>
      </w:r>
      <w:r>
        <w:rPr>
          <w:i/>
          <w:sz w:val="24"/>
        </w:rPr>
        <w:t>Enquiry</w:t>
      </w:r>
      <w:r>
        <w:rPr>
          <w:i/>
          <w:spacing w:val="34"/>
          <w:sz w:val="24"/>
        </w:rPr>
        <w:t> </w:t>
      </w:r>
      <w:r>
        <w:rPr>
          <w:i/>
          <w:sz w:val="24"/>
        </w:rPr>
        <w:t>on</w:t>
      </w:r>
      <w:r>
        <w:rPr>
          <w:i/>
          <w:spacing w:val="35"/>
          <w:sz w:val="24"/>
        </w:rPr>
        <w:t> </w:t>
      </w:r>
      <w:r>
        <w:rPr>
          <w:i/>
          <w:sz w:val="24"/>
        </w:rPr>
        <w:t>the</w:t>
      </w:r>
      <w:r>
        <w:rPr>
          <w:i/>
          <w:spacing w:val="35"/>
          <w:sz w:val="24"/>
        </w:rPr>
        <w:t> </w:t>
      </w:r>
      <w:r>
        <w:rPr>
          <w:i/>
          <w:sz w:val="24"/>
        </w:rPr>
        <w:t>Company Law of Ghana.</w:t>
      </w:r>
    </w:p>
    <w:p>
      <w:pPr>
        <w:spacing w:before="196"/>
        <w:ind w:left="308" w:right="0" w:firstLine="0"/>
        <w:jc w:val="left"/>
        <w:rPr>
          <w:sz w:val="24"/>
        </w:rPr>
      </w:pPr>
      <w:r>
        <w:rPr>
          <w:sz w:val="24"/>
        </w:rPr>
        <w:t>Gower,</w:t>
      </w:r>
      <w:r>
        <w:rPr>
          <w:spacing w:val="-6"/>
          <w:sz w:val="24"/>
        </w:rPr>
        <w:t> </w:t>
      </w:r>
      <w:r>
        <w:rPr>
          <w:sz w:val="24"/>
        </w:rPr>
        <w:t>L.C.B.</w:t>
      </w:r>
      <w:r>
        <w:rPr>
          <w:spacing w:val="-1"/>
          <w:sz w:val="24"/>
        </w:rPr>
        <w:t> </w:t>
      </w:r>
      <w:r>
        <w:rPr>
          <w:i/>
          <w:sz w:val="24"/>
        </w:rPr>
        <w:t>Company</w:t>
      </w:r>
      <w:r>
        <w:rPr>
          <w:i/>
          <w:spacing w:val="-3"/>
          <w:sz w:val="24"/>
        </w:rPr>
        <w:t> </w:t>
      </w:r>
      <w:r>
        <w:rPr>
          <w:i/>
          <w:sz w:val="24"/>
        </w:rPr>
        <w:t>Directors</w:t>
      </w:r>
      <w:r>
        <w:rPr>
          <w:i/>
          <w:spacing w:val="-2"/>
          <w:sz w:val="24"/>
        </w:rPr>
        <w:t> </w:t>
      </w:r>
      <w:r>
        <w:rPr>
          <w:i/>
          <w:sz w:val="24"/>
        </w:rPr>
        <w:t>and</w:t>
      </w:r>
      <w:r>
        <w:rPr>
          <w:i/>
          <w:spacing w:val="-1"/>
          <w:sz w:val="24"/>
        </w:rPr>
        <w:t> </w:t>
      </w:r>
      <w:r>
        <w:rPr>
          <w:i/>
          <w:sz w:val="24"/>
        </w:rPr>
        <w:t>Controllers,</w:t>
      </w:r>
      <w:r>
        <w:rPr>
          <w:i/>
          <w:spacing w:val="5"/>
          <w:sz w:val="24"/>
        </w:rPr>
        <w:t> </w:t>
      </w:r>
      <w:r>
        <w:rPr>
          <w:spacing w:val="-2"/>
          <w:sz w:val="24"/>
        </w:rPr>
        <w:t>Australia.</w:t>
      </w:r>
    </w:p>
    <w:p>
      <w:pPr>
        <w:spacing w:line="242" w:lineRule="auto" w:before="199"/>
        <w:ind w:left="308" w:right="0" w:firstLine="0"/>
        <w:jc w:val="left"/>
        <w:rPr>
          <w:sz w:val="24"/>
        </w:rPr>
      </w:pPr>
      <w:r>
        <w:rPr>
          <w:sz w:val="24"/>
        </w:rPr>
        <w:t>Law</w:t>
      </w:r>
      <w:r>
        <w:rPr>
          <w:spacing w:val="80"/>
          <w:sz w:val="24"/>
        </w:rPr>
        <w:t> </w:t>
      </w:r>
      <w:r>
        <w:rPr>
          <w:sz w:val="24"/>
        </w:rPr>
        <w:t>Commission</w:t>
      </w:r>
      <w:r>
        <w:rPr>
          <w:spacing w:val="80"/>
          <w:sz w:val="24"/>
        </w:rPr>
        <w:t> </w:t>
      </w:r>
      <w:r>
        <w:rPr>
          <w:sz w:val="24"/>
        </w:rPr>
        <w:t>and</w:t>
      </w:r>
      <w:r>
        <w:rPr>
          <w:spacing w:val="80"/>
          <w:sz w:val="24"/>
        </w:rPr>
        <w:t> </w:t>
      </w:r>
      <w:r>
        <w:rPr>
          <w:sz w:val="24"/>
        </w:rPr>
        <w:t>Scottish</w:t>
      </w:r>
      <w:r>
        <w:rPr>
          <w:spacing w:val="80"/>
          <w:sz w:val="24"/>
        </w:rPr>
        <w:t> </w:t>
      </w:r>
      <w:r>
        <w:rPr>
          <w:sz w:val="24"/>
        </w:rPr>
        <w:t>Law</w:t>
      </w:r>
      <w:r>
        <w:rPr>
          <w:spacing w:val="80"/>
          <w:sz w:val="24"/>
        </w:rPr>
        <w:t> </w:t>
      </w:r>
      <w:r>
        <w:rPr>
          <w:sz w:val="24"/>
        </w:rPr>
        <w:t>Commission.</w:t>
      </w:r>
      <w:r>
        <w:rPr>
          <w:i/>
          <w:sz w:val="24"/>
        </w:rPr>
        <w:t>Company</w:t>
      </w:r>
      <w:r>
        <w:rPr>
          <w:i/>
          <w:spacing w:val="80"/>
          <w:sz w:val="24"/>
        </w:rPr>
        <w:t> </w:t>
      </w:r>
      <w:r>
        <w:rPr>
          <w:i/>
          <w:sz w:val="24"/>
        </w:rPr>
        <w:t>Directors:</w:t>
      </w:r>
      <w:r>
        <w:rPr>
          <w:i/>
          <w:spacing w:val="80"/>
          <w:sz w:val="24"/>
        </w:rPr>
        <w:t> </w:t>
      </w:r>
      <w:r>
        <w:rPr>
          <w:i/>
          <w:sz w:val="24"/>
        </w:rPr>
        <w:t>Regulating Conflicts of Interest and Formulating a Statement of Duties</w:t>
      </w:r>
      <w:r>
        <w:rPr>
          <w:sz w:val="24"/>
        </w:rPr>
        <w:t>, Cm. 4436, 1999, Pt. 5.</w:t>
      </w:r>
    </w:p>
    <w:p>
      <w:pPr>
        <w:spacing w:line="412" w:lineRule="auto" w:before="197"/>
        <w:ind w:left="308" w:right="1329" w:firstLine="0"/>
        <w:jc w:val="left"/>
        <w:rPr>
          <w:sz w:val="24"/>
        </w:rPr>
      </w:pPr>
      <w:r>
        <w:rPr>
          <w:sz w:val="24"/>
        </w:rPr>
        <w:t>Loss,</w:t>
      </w:r>
      <w:r>
        <w:rPr>
          <w:spacing w:val="-2"/>
          <w:sz w:val="24"/>
        </w:rPr>
        <w:t> </w:t>
      </w:r>
      <w:r>
        <w:rPr>
          <w:sz w:val="24"/>
        </w:rPr>
        <w:t>L.</w:t>
      </w:r>
      <w:r>
        <w:rPr>
          <w:spacing w:val="-2"/>
          <w:sz w:val="24"/>
        </w:rPr>
        <w:t> </w:t>
      </w:r>
      <w:r>
        <w:rPr>
          <w:sz w:val="24"/>
        </w:rPr>
        <w:t>(1980).</w:t>
      </w:r>
      <w:r>
        <w:rPr>
          <w:i/>
          <w:sz w:val="24"/>
        </w:rPr>
        <w:t>Trends</w:t>
      </w:r>
      <w:r>
        <w:rPr>
          <w:i/>
          <w:spacing w:val="-6"/>
          <w:sz w:val="24"/>
        </w:rPr>
        <w:t> </w:t>
      </w:r>
      <w:r>
        <w:rPr>
          <w:i/>
          <w:sz w:val="24"/>
        </w:rPr>
        <w:t>in</w:t>
      </w:r>
      <w:r>
        <w:rPr>
          <w:i/>
          <w:spacing w:val="-4"/>
          <w:sz w:val="24"/>
        </w:rPr>
        <w:t> </w:t>
      </w:r>
      <w:r>
        <w:rPr>
          <w:i/>
          <w:sz w:val="24"/>
        </w:rPr>
        <w:t>Corporate</w:t>
      </w:r>
      <w:r>
        <w:rPr>
          <w:i/>
          <w:spacing w:val="-5"/>
          <w:sz w:val="24"/>
        </w:rPr>
        <w:t> </w:t>
      </w:r>
      <w:r>
        <w:rPr>
          <w:i/>
          <w:sz w:val="24"/>
        </w:rPr>
        <w:t>Governance</w:t>
      </w:r>
      <w:r>
        <w:rPr>
          <w:i/>
          <w:spacing w:val="-5"/>
          <w:sz w:val="24"/>
        </w:rPr>
        <w:t> </w:t>
      </w:r>
      <w:r>
        <w:rPr>
          <w:i/>
          <w:sz w:val="24"/>
        </w:rPr>
        <w:t>and</w:t>
      </w:r>
      <w:r>
        <w:rPr>
          <w:i/>
          <w:spacing w:val="-4"/>
          <w:sz w:val="24"/>
        </w:rPr>
        <w:t> </w:t>
      </w:r>
      <w:r>
        <w:rPr>
          <w:i/>
          <w:sz w:val="24"/>
        </w:rPr>
        <w:t>Investors</w:t>
      </w:r>
      <w:r>
        <w:rPr>
          <w:i/>
          <w:spacing w:val="-6"/>
          <w:sz w:val="24"/>
        </w:rPr>
        <w:t> </w:t>
      </w:r>
      <w:r>
        <w:rPr>
          <w:i/>
          <w:sz w:val="24"/>
        </w:rPr>
        <w:t>Protection</w:t>
      </w:r>
      <w:r>
        <w:rPr>
          <w:sz w:val="24"/>
        </w:rPr>
        <w:t>. Nigerian Law Reform Commission Report (1988) Vol. 1.</w:t>
      </w:r>
    </w:p>
    <w:p>
      <w:pPr>
        <w:pStyle w:val="BodyText"/>
        <w:spacing w:line="242" w:lineRule="auto" w:before="1"/>
      </w:pPr>
      <w:r>
        <w:rPr/>
        <w:t>Organization</w:t>
      </w:r>
      <w:r>
        <w:rPr>
          <w:spacing w:val="80"/>
        </w:rPr>
        <w:t> </w:t>
      </w:r>
      <w:r>
        <w:rPr/>
        <w:t>for</w:t>
      </w:r>
      <w:r>
        <w:rPr>
          <w:spacing w:val="80"/>
        </w:rPr>
        <w:t> </w:t>
      </w:r>
      <w:r>
        <w:rPr/>
        <w:t>Economic</w:t>
      </w:r>
      <w:r>
        <w:rPr>
          <w:spacing w:val="80"/>
        </w:rPr>
        <w:t> </w:t>
      </w:r>
      <w:r>
        <w:rPr/>
        <w:t>Cooperation</w:t>
      </w:r>
      <w:r>
        <w:rPr>
          <w:spacing w:val="79"/>
        </w:rPr>
        <w:t> </w:t>
      </w:r>
      <w:r>
        <w:rPr/>
        <w:t>and</w:t>
      </w:r>
      <w:r>
        <w:rPr>
          <w:spacing w:val="80"/>
        </w:rPr>
        <w:t> </w:t>
      </w:r>
      <w:r>
        <w:rPr/>
        <w:t>Development</w:t>
      </w:r>
      <w:r>
        <w:rPr>
          <w:spacing w:val="80"/>
        </w:rPr>
        <w:t> </w:t>
      </w:r>
      <w:r>
        <w:rPr/>
        <w:t>(OECD)</w:t>
      </w:r>
      <w:r>
        <w:rPr>
          <w:spacing w:val="80"/>
        </w:rPr>
        <w:t> </w:t>
      </w:r>
      <w:r>
        <w:rPr/>
        <w:t>Principles</w:t>
      </w:r>
      <w:r>
        <w:rPr>
          <w:spacing w:val="80"/>
        </w:rPr>
        <w:t> </w:t>
      </w:r>
      <w:r>
        <w:rPr/>
        <w:t>of Corporate Governance 2004.</w:t>
      </w:r>
    </w:p>
    <w:p>
      <w:pPr>
        <w:pStyle w:val="BodyText"/>
        <w:spacing w:line="237" w:lineRule="auto" w:before="199"/>
      </w:pPr>
      <w:r>
        <w:rPr/>
        <w:t>Securities and Exchange Commission (SEC) Code of Corporate Governance for Public Companies in Nigeria, 2011</w:t>
      </w:r>
    </w:p>
    <w:p>
      <w:pPr>
        <w:spacing w:after="0" w:line="237" w:lineRule="auto"/>
        <w:sectPr>
          <w:pgSz w:w="11910" w:h="16840"/>
          <w:pgMar w:header="0" w:footer="1003" w:top="1320" w:bottom="1200" w:left="1680" w:right="1180"/>
        </w:sectPr>
      </w:pPr>
    </w:p>
    <w:p>
      <w:pPr>
        <w:pStyle w:val="BodyText"/>
        <w:spacing w:line="417" w:lineRule="auto" w:before="70"/>
        <w:ind w:right="931"/>
      </w:pPr>
      <w:r>
        <w:rPr/>
        <w:t>United Kingdom</w:t>
      </w:r>
      <w:r>
        <w:rPr>
          <w:spacing w:val="-12"/>
        </w:rPr>
        <w:t> </w:t>
      </w:r>
      <w:r>
        <w:rPr/>
        <w:t>Model</w:t>
      </w:r>
      <w:r>
        <w:rPr>
          <w:spacing w:val="-8"/>
        </w:rPr>
        <w:t> </w:t>
      </w:r>
      <w:r>
        <w:rPr/>
        <w:t>Articles</w:t>
      </w:r>
      <w:r>
        <w:rPr>
          <w:spacing w:val="-2"/>
        </w:rPr>
        <w:t> </w:t>
      </w:r>
      <w:r>
        <w:rPr/>
        <w:t>for</w:t>
      </w:r>
      <w:r>
        <w:rPr>
          <w:spacing w:val="-3"/>
        </w:rPr>
        <w:t> </w:t>
      </w:r>
      <w:r>
        <w:rPr/>
        <w:t>Private</w:t>
      </w:r>
      <w:r>
        <w:rPr>
          <w:spacing w:val="-5"/>
        </w:rPr>
        <w:t> </w:t>
      </w:r>
      <w:r>
        <w:rPr/>
        <w:t>Companies</w:t>
      </w:r>
      <w:r>
        <w:rPr>
          <w:spacing w:val="-5"/>
        </w:rPr>
        <w:t> </w:t>
      </w:r>
      <w:r>
        <w:rPr/>
        <w:t>Limited by</w:t>
      </w:r>
      <w:r>
        <w:rPr>
          <w:spacing w:val="-13"/>
        </w:rPr>
        <w:t> </w:t>
      </w:r>
      <w:r>
        <w:rPr/>
        <w:t>Shares. United Kingdom Model Articles for Public Companies.</w:t>
      </w:r>
    </w:p>
    <w:p>
      <w:pPr>
        <w:pStyle w:val="BodyText"/>
        <w:spacing w:line="271" w:lineRule="exact"/>
      </w:pPr>
      <w:r>
        <w:rPr/>
        <w:t>United</w:t>
      </w:r>
      <w:r>
        <w:rPr>
          <w:spacing w:val="-3"/>
        </w:rPr>
        <w:t> </w:t>
      </w:r>
      <w:r>
        <w:rPr/>
        <w:t>Nations</w:t>
      </w:r>
      <w:r>
        <w:rPr>
          <w:spacing w:val="-3"/>
        </w:rPr>
        <w:t> </w:t>
      </w:r>
      <w:r>
        <w:rPr/>
        <w:t>Global</w:t>
      </w:r>
      <w:r>
        <w:rPr>
          <w:spacing w:val="-9"/>
        </w:rPr>
        <w:t> </w:t>
      </w:r>
      <w:r>
        <w:rPr/>
        <w:t>Compact</w:t>
      </w:r>
      <w:r>
        <w:rPr>
          <w:spacing w:val="4"/>
        </w:rPr>
        <w:t> </w:t>
      </w:r>
      <w:r>
        <w:rPr/>
        <w:t>Ten</w:t>
      </w:r>
      <w:r>
        <w:rPr>
          <w:spacing w:val="-6"/>
        </w:rPr>
        <w:t> </w:t>
      </w:r>
      <w:r>
        <w:rPr/>
        <w:t>Principles</w:t>
      </w:r>
      <w:r>
        <w:rPr>
          <w:spacing w:val="-3"/>
        </w:rPr>
        <w:t> </w:t>
      </w:r>
      <w:r>
        <w:rPr/>
        <w:t>of</w:t>
      </w:r>
      <w:r>
        <w:rPr>
          <w:spacing w:val="-3"/>
        </w:rPr>
        <w:t> </w:t>
      </w:r>
      <w:r>
        <w:rPr>
          <w:spacing w:val="-2"/>
        </w:rPr>
        <w:t>Business.</w:t>
      </w:r>
    </w:p>
    <w:p>
      <w:pPr>
        <w:spacing w:line="237" w:lineRule="auto" w:before="201"/>
        <w:ind w:left="308" w:right="255" w:firstLine="0"/>
        <w:jc w:val="left"/>
        <w:rPr>
          <w:sz w:val="24"/>
        </w:rPr>
      </w:pPr>
      <w:r>
        <w:rPr>
          <w:i/>
          <w:sz w:val="24"/>
        </w:rPr>
        <w:t>The Social Responsibility of Corporations 2006</w:t>
      </w:r>
      <w:r>
        <w:rPr>
          <w:sz w:val="24"/>
        </w:rPr>
        <w:t>, a report of</w:t>
      </w:r>
      <w:r>
        <w:rPr>
          <w:spacing w:val="-4"/>
          <w:sz w:val="24"/>
        </w:rPr>
        <w:t> </w:t>
      </w:r>
      <w:r>
        <w:rPr>
          <w:sz w:val="24"/>
        </w:rPr>
        <w:t>the Australian</w:t>
      </w:r>
      <w:r>
        <w:rPr>
          <w:spacing w:val="-1"/>
          <w:sz w:val="24"/>
        </w:rPr>
        <w:t> </w:t>
      </w:r>
      <w:r>
        <w:rPr>
          <w:sz w:val="24"/>
        </w:rPr>
        <w:t>Corporations and Markets Advisory Committee (CAMAC).</w:t>
      </w:r>
    </w:p>
    <w:p>
      <w:pPr>
        <w:spacing w:after="0" w:line="237" w:lineRule="auto"/>
        <w:jc w:val="left"/>
        <w:rPr>
          <w:sz w:val="24"/>
        </w:rPr>
        <w:sectPr>
          <w:pgSz w:w="11910" w:h="16840"/>
          <w:pgMar w:header="0" w:footer="1003" w:top="1320" w:bottom="1200" w:left="1680" w:right="1180"/>
        </w:sectPr>
      </w:pPr>
    </w:p>
    <w:p>
      <w:pPr>
        <w:pStyle w:val="BodyText"/>
        <w:spacing w:before="4"/>
        <w:ind w:left="0"/>
        <w:rPr>
          <w:sz w:val="17"/>
        </w:rPr>
      </w:pPr>
    </w:p>
    <w:p>
      <w:pPr>
        <w:spacing w:after="0"/>
        <w:rPr>
          <w:sz w:val="17"/>
        </w:rPr>
        <w:sectPr>
          <w:footerReference w:type="default" r:id="rId72"/>
          <w:pgSz w:w="11910" w:h="16840"/>
          <w:pgMar w:header="0" w:footer="0" w:top="1920" w:bottom="280" w:left="1680" w:right="1180"/>
        </w:sectPr>
      </w:pPr>
    </w:p>
    <w:p>
      <w:pPr>
        <w:pStyle w:val="BodyText"/>
        <w:ind w:left="0"/>
      </w:pPr>
    </w:p>
    <w:p>
      <w:pPr>
        <w:pStyle w:val="BodyText"/>
        <w:ind w:left="0"/>
      </w:pPr>
    </w:p>
    <w:p>
      <w:pPr>
        <w:pStyle w:val="BodyText"/>
        <w:ind w:left="0"/>
      </w:pPr>
    </w:p>
    <w:p>
      <w:pPr>
        <w:pStyle w:val="BodyText"/>
        <w:spacing w:before="78"/>
        <w:ind w:left="0"/>
      </w:pPr>
    </w:p>
    <w:p>
      <w:pPr>
        <w:pStyle w:val="Heading2"/>
        <w:ind w:left="308" w:firstLine="0"/>
        <w:jc w:val="left"/>
        <w:rPr>
          <w:rFonts w:ascii="Arial"/>
        </w:rPr>
      </w:pPr>
      <w:r>
        <w:rPr>
          <w:rFonts w:ascii="Arial"/>
        </w:rPr>
        <w:t>CHAPTER </w:t>
      </w:r>
      <w:r>
        <w:rPr>
          <w:rFonts w:ascii="Arial"/>
          <w:spacing w:val="-10"/>
        </w:rPr>
        <w:t>2</w:t>
      </w:r>
    </w:p>
    <w:p>
      <w:pPr>
        <w:pStyle w:val="BodyText"/>
        <w:spacing w:before="77"/>
        <w:ind w:left="3" w:right="1711"/>
        <w:jc w:val="center"/>
        <w:rPr>
          <w:rFonts w:ascii="Arial Black"/>
        </w:rPr>
      </w:pPr>
      <w:r>
        <w:rPr/>
        <w:br w:type="column"/>
      </w:r>
      <w:r>
        <w:rPr>
          <w:rFonts w:ascii="Arial Black"/>
        </w:rPr>
        <w:t>APPENDIX</w:t>
      </w:r>
      <w:r>
        <w:rPr>
          <w:rFonts w:ascii="Arial Black"/>
          <w:spacing w:val="-6"/>
        </w:rPr>
        <w:t> </w:t>
      </w:r>
      <w:r>
        <w:rPr>
          <w:rFonts w:ascii="Arial Black"/>
          <w:spacing w:val="-10"/>
        </w:rPr>
        <w:t>A</w:t>
      </w:r>
    </w:p>
    <w:p>
      <w:pPr>
        <w:pStyle w:val="Heading2"/>
        <w:spacing w:before="249"/>
        <w:ind w:left="0" w:right="1711" w:firstLine="0"/>
        <w:jc w:val="center"/>
      </w:pPr>
      <w:r>
        <w:rPr/>
        <w:t>Sections</w:t>
      </w:r>
      <w:r>
        <w:rPr>
          <w:spacing w:val="-2"/>
        </w:rPr>
        <w:t> </w:t>
      </w:r>
      <w:r>
        <w:rPr/>
        <w:t>170-180</w:t>
      </w:r>
      <w:r>
        <w:rPr>
          <w:spacing w:val="1"/>
        </w:rPr>
        <w:t> </w:t>
      </w:r>
      <w:r>
        <w:rPr/>
        <w:t>of</w:t>
      </w:r>
      <w:r>
        <w:rPr>
          <w:spacing w:val="-7"/>
        </w:rPr>
        <w:t> </w:t>
      </w:r>
      <w:r>
        <w:rPr/>
        <w:t>the</w:t>
      </w:r>
      <w:r>
        <w:rPr>
          <w:spacing w:val="-1"/>
        </w:rPr>
        <w:t> </w:t>
      </w:r>
      <w:r>
        <w:rPr/>
        <w:t>UK</w:t>
      </w:r>
      <w:r>
        <w:rPr>
          <w:spacing w:val="1"/>
        </w:rPr>
        <w:t> </w:t>
      </w:r>
      <w:r>
        <w:rPr/>
        <w:t>Companies</w:t>
      </w:r>
      <w:r>
        <w:rPr>
          <w:spacing w:val="-2"/>
        </w:rPr>
        <w:t> </w:t>
      </w:r>
      <w:r>
        <w:rPr/>
        <w:t>Act</w:t>
      </w:r>
      <w:r>
        <w:rPr>
          <w:spacing w:val="2"/>
        </w:rPr>
        <w:t> </w:t>
      </w:r>
      <w:r>
        <w:rPr>
          <w:spacing w:val="-4"/>
        </w:rPr>
        <w:t>2006</w:t>
      </w:r>
    </w:p>
    <w:p>
      <w:pPr>
        <w:spacing w:after="0"/>
        <w:jc w:val="center"/>
        <w:sectPr>
          <w:footerReference w:type="default" r:id="rId73"/>
          <w:pgSz w:w="11910" w:h="16840"/>
          <w:pgMar w:header="0" w:footer="998" w:top="1820" w:bottom="1180" w:left="1680" w:right="1180"/>
          <w:pgNumType w:start="286"/>
          <w:cols w:num="2" w:equalWidth="0">
            <w:col w:w="1711" w:space="80"/>
            <w:col w:w="7259"/>
          </w:cols>
        </w:sectPr>
      </w:pPr>
    </w:p>
    <w:p>
      <w:pPr>
        <w:pStyle w:val="BodyText"/>
        <w:spacing w:before="46"/>
        <w:rPr>
          <w:rFonts w:ascii="Arial MT"/>
        </w:rPr>
      </w:pPr>
      <w:r>
        <w:rPr>
          <w:rFonts w:ascii="Arial MT"/>
        </w:rPr>
        <w:t>GENERAL</w:t>
      </w:r>
      <w:r>
        <w:rPr>
          <w:rFonts w:ascii="Arial MT"/>
          <w:spacing w:val="-8"/>
        </w:rPr>
        <w:t> </w:t>
      </w:r>
      <w:r>
        <w:rPr>
          <w:rFonts w:ascii="Arial MT"/>
        </w:rPr>
        <w:t>DUTIES</w:t>
      </w:r>
      <w:r>
        <w:rPr>
          <w:rFonts w:ascii="Arial MT"/>
          <w:spacing w:val="-8"/>
        </w:rPr>
        <w:t> </w:t>
      </w:r>
      <w:r>
        <w:rPr>
          <w:rFonts w:ascii="Arial MT"/>
        </w:rPr>
        <w:t>OF</w:t>
      </w:r>
      <w:r>
        <w:rPr>
          <w:rFonts w:ascii="Arial MT"/>
          <w:spacing w:val="-4"/>
        </w:rPr>
        <w:t> </w:t>
      </w:r>
      <w:r>
        <w:rPr>
          <w:rFonts w:ascii="Arial MT"/>
          <w:spacing w:val="-2"/>
        </w:rPr>
        <w:t>DIRECTORS</w:t>
      </w:r>
    </w:p>
    <w:p>
      <w:pPr>
        <w:spacing w:before="41"/>
        <w:ind w:left="308" w:right="0" w:firstLine="0"/>
        <w:jc w:val="left"/>
        <w:rPr>
          <w:rFonts w:ascii="Arial"/>
          <w:i/>
          <w:sz w:val="24"/>
        </w:rPr>
      </w:pPr>
      <w:r>
        <w:rPr>
          <w:rFonts w:ascii="Arial"/>
          <w:i/>
          <w:spacing w:val="-2"/>
          <w:sz w:val="24"/>
        </w:rPr>
        <w:t>Introductory</w:t>
      </w:r>
    </w:p>
    <w:p>
      <w:pPr>
        <w:pStyle w:val="Heading2"/>
        <w:numPr>
          <w:ilvl w:val="0"/>
          <w:numId w:val="24"/>
        </w:numPr>
        <w:tabs>
          <w:tab w:pos="775" w:val="left" w:leader="none"/>
        </w:tabs>
        <w:spacing w:line="240" w:lineRule="auto" w:before="36" w:after="0"/>
        <w:ind w:left="775" w:right="0" w:hanging="467"/>
        <w:jc w:val="left"/>
        <w:rPr>
          <w:rFonts w:ascii="Arial"/>
        </w:rPr>
      </w:pPr>
      <w:r>
        <w:rPr>
          <w:rFonts w:ascii="Arial"/>
        </w:rPr>
        <w:t>Scope</w:t>
      </w:r>
      <w:r>
        <w:rPr>
          <w:rFonts w:ascii="Arial"/>
          <w:spacing w:val="-4"/>
        </w:rPr>
        <w:t> </w:t>
      </w:r>
      <w:r>
        <w:rPr>
          <w:rFonts w:ascii="Arial"/>
        </w:rPr>
        <w:t>and</w:t>
      </w:r>
      <w:r>
        <w:rPr>
          <w:rFonts w:ascii="Arial"/>
          <w:spacing w:val="-2"/>
        </w:rPr>
        <w:t> </w:t>
      </w:r>
      <w:r>
        <w:rPr>
          <w:rFonts w:ascii="Arial"/>
        </w:rPr>
        <w:t>nature</w:t>
      </w:r>
      <w:r>
        <w:rPr>
          <w:rFonts w:ascii="Arial"/>
          <w:spacing w:val="-4"/>
        </w:rPr>
        <w:t> </w:t>
      </w:r>
      <w:r>
        <w:rPr>
          <w:rFonts w:ascii="Arial"/>
        </w:rPr>
        <w:t>of</w:t>
      </w:r>
      <w:r>
        <w:rPr>
          <w:rFonts w:ascii="Arial"/>
          <w:spacing w:val="-6"/>
        </w:rPr>
        <w:t> </w:t>
      </w:r>
      <w:r>
        <w:rPr>
          <w:rFonts w:ascii="Arial"/>
        </w:rPr>
        <w:t>general</w:t>
      </w:r>
      <w:r>
        <w:rPr>
          <w:rFonts w:ascii="Arial"/>
          <w:spacing w:val="-3"/>
        </w:rPr>
        <w:t> </w:t>
      </w:r>
      <w:r>
        <w:rPr>
          <w:rFonts w:ascii="Arial"/>
          <w:spacing w:val="-2"/>
        </w:rPr>
        <w:t>duties</w:t>
      </w:r>
    </w:p>
    <w:p>
      <w:pPr>
        <w:pStyle w:val="ListParagraph"/>
        <w:numPr>
          <w:ilvl w:val="0"/>
          <w:numId w:val="25"/>
        </w:numPr>
        <w:tabs>
          <w:tab w:pos="669" w:val="left" w:leader="none"/>
        </w:tabs>
        <w:spacing w:line="276" w:lineRule="auto" w:before="46" w:after="0"/>
        <w:ind w:left="308" w:right="268" w:firstLine="0"/>
        <w:jc w:val="left"/>
        <w:rPr>
          <w:rFonts w:ascii="Arial MT"/>
          <w:sz w:val="24"/>
        </w:rPr>
      </w:pPr>
      <w:r>
        <w:rPr>
          <w:rFonts w:ascii="Arial MT"/>
          <w:sz w:val="24"/>
        </w:rPr>
        <w:t>The</w:t>
      </w:r>
      <w:r>
        <w:rPr>
          <w:rFonts w:ascii="Arial MT"/>
          <w:spacing w:val="-2"/>
          <w:sz w:val="24"/>
        </w:rPr>
        <w:t> </w:t>
      </w:r>
      <w:r>
        <w:rPr>
          <w:rFonts w:ascii="Arial MT"/>
          <w:sz w:val="24"/>
        </w:rPr>
        <w:t>general</w:t>
      </w:r>
      <w:r>
        <w:rPr>
          <w:rFonts w:ascii="Arial MT"/>
          <w:spacing w:val="-3"/>
          <w:sz w:val="24"/>
        </w:rPr>
        <w:t> </w:t>
      </w:r>
      <w:r>
        <w:rPr>
          <w:rFonts w:ascii="Arial MT"/>
          <w:sz w:val="24"/>
        </w:rPr>
        <w:t>duties</w:t>
      </w:r>
      <w:r>
        <w:rPr>
          <w:rFonts w:ascii="Arial MT"/>
          <w:spacing w:val="-2"/>
          <w:sz w:val="24"/>
        </w:rPr>
        <w:t> </w:t>
      </w:r>
      <w:r>
        <w:rPr>
          <w:rFonts w:ascii="Arial MT"/>
          <w:sz w:val="24"/>
        </w:rPr>
        <w:t>specified</w:t>
      </w:r>
      <w:r>
        <w:rPr>
          <w:rFonts w:ascii="Arial MT"/>
          <w:spacing w:val="-6"/>
          <w:sz w:val="24"/>
        </w:rPr>
        <w:t> </w:t>
      </w:r>
      <w:r>
        <w:rPr>
          <w:rFonts w:ascii="Arial MT"/>
          <w:sz w:val="24"/>
        </w:rPr>
        <w:t>in</w:t>
      </w:r>
      <w:r>
        <w:rPr>
          <w:rFonts w:ascii="Arial MT"/>
          <w:spacing w:val="-2"/>
          <w:sz w:val="24"/>
        </w:rPr>
        <w:t> </w:t>
      </w:r>
      <w:r>
        <w:rPr>
          <w:rFonts w:ascii="Arial MT"/>
          <w:sz w:val="24"/>
        </w:rPr>
        <w:t>sections</w:t>
      </w:r>
      <w:r>
        <w:rPr>
          <w:rFonts w:ascii="Arial MT"/>
          <w:spacing w:val="-2"/>
          <w:sz w:val="24"/>
        </w:rPr>
        <w:t> </w:t>
      </w:r>
      <w:r>
        <w:rPr>
          <w:rFonts w:ascii="Arial MT"/>
          <w:sz w:val="24"/>
        </w:rPr>
        <w:t>171</w:t>
      </w:r>
      <w:r>
        <w:rPr>
          <w:rFonts w:ascii="Arial MT"/>
          <w:spacing w:val="-2"/>
          <w:sz w:val="24"/>
        </w:rPr>
        <w:t> </w:t>
      </w:r>
      <w:r>
        <w:rPr>
          <w:rFonts w:ascii="Arial MT"/>
          <w:sz w:val="24"/>
        </w:rPr>
        <w:t>to</w:t>
      </w:r>
      <w:r>
        <w:rPr>
          <w:rFonts w:ascii="Arial MT"/>
          <w:spacing w:val="-2"/>
          <w:sz w:val="24"/>
        </w:rPr>
        <w:t> </w:t>
      </w:r>
      <w:r>
        <w:rPr>
          <w:rFonts w:ascii="Arial MT"/>
          <w:sz w:val="24"/>
        </w:rPr>
        <w:t>177</w:t>
      </w:r>
      <w:r>
        <w:rPr>
          <w:rFonts w:ascii="Arial MT"/>
          <w:spacing w:val="-6"/>
          <w:sz w:val="24"/>
        </w:rPr>
        <w:t> </w:t>
      </w:r>
      <w:r>
        <w:rPr>
          <w:rFonts w:ascii="Arial MT"/>
          <w:sz w:val="24"/>
        </w:rPr>
        <w:t>are</w:t>
      </w:r>
      <w:r>
        <w:rPr>
          <w:rFonts w:ascii="Arial MT"/>
          <w:spacing w:val="-2"/>
          <w:sz w:val="24"/>
        </w:rPr>
        <w:t> </w:t>
      </w:r>
      <w:r>
        <w:rPr>
          <w:rFonts w:ascii="Arial MT"/>
          <w:sz w:val="24"/>
        </w:rPr>
        <w:t>owed</w:t>
      </w:r>
      <w:r>
        <w:rPr>
          <w:rFonts w:ascii="Arial MT"/>
          <w:spacing w:val="-2"/>
          <w:sz w:val="24"/>
        </w:rPr>
        <w:t> </w:t>
      </w:r>
      <w:r>
        <w:rPr>
          <w:rFonts w:ascii="Arial MT"/>
          <w:sz w:val="24"/>
        </w:rPr>
        <w:t>by</w:t>
      </w:r>
      <w:r>
        <w:rPr>
          <w:rFonts w:ascii="Arial MT"/>
          <w:spacing w:val="-2"/>
          <w:sz w:val="24"/>
        </w:rPr>
        <w:t> </w:t>
      </w:r>
      <w:r>
        <w:rPr>
          <w:rFonts w:ascii="Arial MT"/>
          <w:sz w:val="24"/>
        </w:rPr>
        <w:t>a</w:t>
      </w:r>
      <w:r>
        <w:rPr>
          <w:rFonts w:ascii="Arial MT"/>
          <w:spacing w:val="-6"/>
          <w:sz w:val="24"/>
        </w:rPr>
        <w:t> </w:t>
      </w:r>
      <w:r>
        <w:rPr>
          <w:rFonts w:ascii="Arial MT"/>
          <w:sz w:val="24"/>
        </w:rPr>
        <w:t>director</w:t>
      </w:r>
      <w:r>
        <w:rPr>
          <w:rFonts w:ascii="Arial MT"/>
          <w:spacing w:val="-1"/>
          <w:sz w:val="24"/>
        </w:rPr>
        <w:t> </w:t>
      </w:r>
      <w:r>
        <w:rPr>
          <w:rFonts w:ascii="Arial MT"/>
          <w:sz w:val="24"/>
        </w:rPr>
        <w:t>of a company to the company.</w:t>
      </w:r>
    </w:p>
    <w:p>
      <w:pPr>
        <w:pStyle w:val="ListParagraph"/>
        <w:numPr>
          <w:ilvl w:val="0"/>
          <w:numId w:val="25"/>
        </w:numPr>
        <w:tabs>
          <w:tab w:pos="669" w:val="left" w:leader="none"/>
        </w:tabs>
        <w:spacing w:line="275" w:lineRule="exact" w:before="0" w:after="0"/>
        <w:ind w:left="669" w:right="0" w:hanging="361"/>
        <w:jc w:val="left"/>
        <w:rPr>
          <w:rFonts w:ascii="Arial MT" w:hAnsi="Arial MT"/>
          <w:sz w:val="24"/>
        </w:rPr>
      </w:pPr>
      <w:r>
        <w:rPr>
          <w:rFonts w:ascii="Arial MT" w:hAnsi="Arial MT"/>
          <w:sz w:val="24"/>
        </w:rPr>
        <w:t>A</w:t>
      </w:r>
      <w:r>
        <w:rPr>
          <w:rFonts w:ascii="Arial MT" w:hAnsi="Arial MT"/>
          <w:spacing w:val="-10"/>
          <w:sz w:val="24"/>
        </w:rPr>
        <w:t> </w:t>
      </w:r>
      <w:r>
        <w:rPr>
          <w:rFonts w:ascii="Arial MT" w:hAnsi="Arial MT"/>
          <w:sz w:val="24"/>
        </w:rPr>
        <w:t>person</w:t>
      </w:r>
      <w:r>
        <w:rPr>
          <w:rFonts w:ascii="Arial MT" w:hAnsi="Arial MT"/>
          <w:spacing w:val="-7"/>
          <w:sz w:val="24"/>
        </w:rPr>
        <w:t> </w:t>
      </w:r>
      <w:r>
        <w:rPr>
          <w:rFonts w:ascii="Arial MT" w:hAnsi="Arial MT"/>
          <w:sz w:val="24"/>
        </w:rPr>
        <w:t>who</w:t>
      </w:r>
      <w:r>
        <w:rPr>
          <w:rFonts w:ascii="Arial MT" w:hAnsi="Arial MT"/>
          <w:spacing w:val="-8"/>
          <w:sz w:val="24"/>
        </w:rPr>
        <w:t> </w:t>
      </w:r>
      <w:r>
        <w:rPr>
          <w:rFonts w:ascii="Arial MT" w:hAnsi="Arial MT"/>
          <w:sz w:val="24"/>
        </w:rPr>
        <w:t>ceases</w:t>
      </w:r>
      <w:r>
        <w:rPr>
          <w:rFonts w:ascii="Arial MT" w:hAnsi="Arial MT"/>
          <w:spacing w:val="-7"/>
          <w:sz w:val="24"/>
        </w:rPr>
        <w:t> </w:t>
      </w:r>
      <w:r>
        <w:rPr>
          <w:rFonts w:ascii="Arial MT" w:hAnsi="Arial MT"/>
          <w:sz w:val="24"/>
        </w:rPr>
        <w:t>to</w:t>
      </w:r>
      <w:r>
        <w:rPr>
          <w:rFonts w:ascii="Arial MT" w:hAnsi="Arial MT"/>
          <w:spacing w:val="-11"/>
          <w:sz w:val="24"/>
        </w:rPr>
        <w:t> </w:t>
      </w:r>
      <w:r>
        <w:rPr>
          <w:rFonts w:ascii="Arial MT" w:hAnsi="Arial MT"/>
          <w:sz w:val="24"/>
        </w:rPr>
        <w:t>be</w:t>
      </w:r>
      <w:r>
        <w:rPr>
          <w:rFonts w:ascii="Arial MT" w:hAnsi="Arial MT"/>
          <w:spacing w:val="-8"/>
          <w:sz w:val="24"/>
        </w:rPr>
        <w:t> </w:t>
      </w:r>
      <w:r>
        <w:rPr>
          <w:rFonts w:ascii="Arial MT" w:hAnsi="Arial MT"/>
          <w:sz w:val="24"/>
        </w:rPr>
        <w:t>a</w:t>
      </w:r>
      <w:r>
        <w:rPr>
          <w:rFonts w:ascii="Arial MT" w:hAnsi="Arial MT"/>
          <w:spacing w:val="-11"/>
          <w:sz w:val="24"/>
        </w:rPr>
        <w:t> </w:t>
      </w:r>
      <w:r>
        <w:rPr>
          <w:rFonts w:ascii="Arial MT" w:hAnsi="Arial MT"/>
          <w:sz w:val="24"/>
        </w:rPr>
        <w:t>director</w:t>
      </w:r>
      <w:r>
        <w:rPr>
          <w:rFonts w:ascii="Arial MT" w:hAnsi="Arial MT"/>
          <w:spacing w:val="-6"/>
          <w:sz w:val="24"/>
        </w:rPr>
        <w:t> </w:t>
      </w:r>
      <w:r>
        <w:rPr>
          <w:rFonts w:ascii="Arial MT" w:hAnsi="Arial MT"/>
          <w:sz w:val="24"/>
        </w:rPr>
        <w:t>continues</w:t>
      </w:r>
      <w:r>
        <w:rPr>
          <w:rFonts w:ascii="Arial MT" w:hAnsi="Arial MT"/>
          <w:spacing w:val="-8"/>
          <w:sz w:val="24"/>
        </w:rPr>
        <w:t> </w:t>
      </w:r>
      <w:r>
        <w:rPr>
          <w:rFonts w:ascii="Arial MT" w:hAnsi="Arial MT"/>
          <w:sz w:val="24"/>
        </w:rPr>
        <w:t>to</w:t>
      </w:r>
      <w:r>
        <w:rPr>
          <w:rFonts w:ascii="Arial MT" w:hAnsi="Arial MT"/>
          <w:spacing w:val="-7"/>
          <w:sz w:val="24"/>
        </w:rPr>
        <w:t> </w:t>
      </w:r>
      <w:r>
        <w:rPr>
          <w:rFonts w:ascii="Arial MT" w:hAnsi="Arial MT"/>
          <w:sz w:val="24"/>
        </w:rPr>
        <w:t>be</w:t>
      </w:r>
      <w:r>
        <w:rPr>
          <w:rFonts w:ascii="Arial MT" w:hAnsi="Arial MT"/>
          <w:spacing w:val="-8"/>
          <w:sz w:val="24"/>
        </w:rPr>
        <w:t> </w:t>
      </w:r>
      <w:r>
        <w:rPr>
          <w:rFonts w:ascii="Arial MT" w:hAnsi="Arial MT"/>
          <w:spacing w:val="-2"/>
          <w:sz w:val="24"/>
        </w:rPr>
        <w:t>subject—</w:t>
      </w:r>
    </w:p>
    <w:p>
      <w:pPr>
        <w:pStyle w:val="ListParagraph"/>
        <w:numPr>
          <w:ilvl w:val="1"/>
          <w:numId w:val="25"/>
        </w:numPr>
        <w:tabs>
          <w:tab w:pos="670" w:val="left" w:leader="none"/>
        </w:tabs>
        <w:spacing w:line="278" w:lineRule="auto" w:before="40" w:after="0"/>
        <w:ind w:left="308" w:right="469" w:firstLine="0"/>
        <w:jc w:val="left"/>
        <w:rPr>
          <w:rFonts w:ascii="Arial MT"/>
          <w:sz w:val="24"/>
        </w:rPr>
      </w:pPr>
      <w:r>
        <w:rPr>
          <w:rFonts w:ascii="Arial MT"/>
          <w:sz w:val="24"/>
        </w:rPr>
        <w:t>to</w:t>
      </w:r>
      <w:r>
        <w:rPr>
          <w:rFonts w:ascii="Arial MT"/>
          <w:spacing w:val="-6"/>
          <w:sz w:val="24"/>
        </w:rPr>
        <w:t> </w:t>
      </w:r>
      <w:r>
        <w:rPr>
          <w:rFonts w:ascii="Arial MT"/>
          <w:sz w:val="24"/>
        </w:rPr>
        <w:t>the</w:t>
      </w:r>
      <w:r>
        <w:rPr>
          <w:rFonts w:ascii="Arial MT"/>
          <w:spacing w:val="-2"/>
          <w:sz w:val="24"/>
        </w:rPr>
        <w:t> </w:t>
      </w:r>
      <w:r>
        <w:rPr>
          <w:rFonts w:ascii="Arial MT"/>
          <w:sz w:val="24"/>
        </w:rPr>
        <w:t>duty</w:t>
      </w:r>
      <w:r>
        <w:rPr>
          <w:rFonts w:ascii="Arial MT"/>
          <w:spacing w:val="-6"/>
          <w:sz w:val="24"/>
        </w:rPr>
        <w:t> </w:t>
      </w:r>
      <w:r>
        <w:rPr>
          <w:rFonts w:ascii="Arial MT"/>
          <w:sz w:val="24"/>
        </w:rPr>
        <w:t>in</w:t>
      </w:r>
      <w:r>
        <w:rPr>
          <w:rFonts w:ascii="Arial MT"/>
          <w:spacing w:val="-2"/>
          <w:sz w:val="24"/>
        </w:rPr>
        <w:t> </w:t>
      </w:r>
      <w:r>
        <w:rPr>
          <w:rFonts w:ascii="Arial MT"/>
          <w:sz w:val="24"/>
        </w:rPr>
        <w:t>section</w:t>
      </w:r>
      <w:r>
        <w:rPr>
          <w:rFonts w:ascii="Arial MT"/>
          <w:spacing w:val="-6"/>
          <w:sz w:val="24"/>
        </w:rPr>
        <w:t> </w:t>
      </w:r>
      <w:r>
        <w:rPr>
          <w:rFonts w:ascii="Arial MT"/>
          <w:sz w:val="24"/>
        </w:rPr>
        <w:t>175</w:t>
      </w:r>
      <w:r>
        <w:rPr>
          <w:rFonts w:ascii="Arial MT"/>
          <w:spacing w:val="-5"/>
          <w:sz w:val="24"/>
        </w:rPr>
        <w:t> </w:t>
      </w:r>
      <w:r>
        <w:rPr>
          <w:rFonts w:ascii="Arial MT"/>
          <w:sz w:val="24"/>
        </w:rPr>
        <w:t>(duty</w:t>
      </w:r>
      <w:r>
        <w:rPr>
          <w:rFonts w:ascii="Arial MT"/>
          <w:spacing w:val="-1"/>
          <w:sz w:val="24"/>
        </w:rPr>
        <w:t> </w:t>
      </w:r>
      <w:r>
        <w:rPr>
          <w:rFonts w:ascii="Arial MT"/>
          <w:sz w:val="24"/>
        </w:rPr>
        <w:t>to</w:t>
      </w:r>
      <w:r>
        <w:rPr>
          <w:rFonts w:ascii="Arial MT"/>
          <w:spacing w:val="-1"/>
          <w:sz w:val="24"/>
        </w:rPr>
        <w:t> </w:t>
      </w:r>
      <w:r>
        <w:rPr>
          <w:rFonts w:ascii="Arial MT"/>
          <w:sz w:val="24"/>
        </w:rPr>
        <w:t>avoid</w:t>
      </w:r>
      <w:r>
        <w:rPr>
          <w:rFonts w:ascii="Arial MT"/>
          <w:spacing w:val="-1"/>
          <w:sz w:val="24"/>
        </w:rPr>
        <w:t> </w:t>
      </w:r>
      <w:r>
        <w:rPr>
          <w:rFonts w:ascii="Arial MT"/>
          <w:sz w:val="24"/>
        </w:rPr>
        <w:t>conflicts</w:t>
      </w:r>
      <w:r>
        <w:rPr>
          <w:rFonts w:ascii="Arial MT"/>
          <w:spacing w:val="-5"/>
          <w:sz w:val="24"/>
        </w:rPr>
        <w:t> </w:t>
      </w:r>
      <w:r>
        <w:rPr>
          <w:rFonts w:ascii="Arial MT"/>
          <w:sz w:val="24"/>
        </w:rPr>
        <w:t>of</w:t>
      </w:r>
      <w:r>
        <w:rPr>
          <w:rFonts w:ascii="Arial MT"/>
          <w:spacing w:val="-5"/>
          <w:sz w:val="24"/>
        </w:rPr>
        <w:t> </w:t>
      </w:r>
      <w:r>
        <w:rPr>
          <w:rFonts w:ascii="Arial MT"/>
          <w:sz w:val="24"/>
        </w:rPr>
        <w:t>interest) as</w:t>
      </w:r>
      <w:r>
        <w:rPr>
          <w:rFonts w:ascii="Arial MT"/>
          <w:spacing w:val="-6"/>
          <w:sz w:val="24"/>
        </w:rPr>
        <w:t> </w:t>
      </w:r>
      <w:r>
        <w:rPr>
          <w:rFonts w:ascii="Arial MT"/>
          <w:sz w:val="24"/>
        </w:rPr>
        <w:t>regards</w:t>
      </w:r>
      <w:r>
        <w:rPr>
          <w:rFonts w:ascii="Arial MT"/>
          <w:spacing w:val="-1"/>
          <w:sz w:val="24"/>
        </w:rPr>
        <w:t> </w:t>
      </w:r>
      <w:r>
        <w:rPr>
          <w:rFonts w:ascii="Arial MT"/>
          <w:sz w:val="24"/>
        </w:rPr>
        <w:t>the exploitation of any property, information or opportunity of which he became aware at a time when he was a director, and</w:t>
      </w:r>
    </w:p>
    <w:p>
      <w:pPr>
        <w:pStyle w:val="ListParagraph"/>
        <w:numPr>
          <w:ilvl w:val="1"/>
          <w:numId w:val="25"/>
        </w:numPr>
        <w:tabs>
          <w:tab w:pos="670" w:val="left" w:leader="none"/>
        </w:tabs>
        <w:spacing w:line="276" w:lineRule="auto" w:before="0" w:after="0"/>
        <w:ind w:left="308" w:right="245" w:firstLine="0"/>
        <w:jc w:val="left"/>
        <w:rPr>
          <w:rFonts w:ascii="Arial MT"/>
          <w:sz w:val="24"/>
        </w:rPr>
      </w:pPr>
      <w:r>
        <w:rPr>
          <w:rFonts w:ascii="Arial MT"/>
          <w:sz w:val="24"/>
        </w:rPr>
        <w:t>to the duty in section 176 (duty not to accept benefits from third parties) as regards</w:t>
      </w:r>
      <w:r>
        <w:rPr>
          <w:rFonts w:ascii="Arial MT"/>
          <w:spacing w:val="-6"/>
          <w:sz w:val="24"/>
        </w:rPr>
        <w:t> </w:t>
      </w:r>
      <w:r>
        <w:rPr>
          <w:rFonts w:ascii="Arial MT"/>
          <w:sz w:val="24"/>
        </w:rPr>
        <w:t>things</w:t>
      </w:r>
      <w:r>
        <w:rPr>
          <w:rFonts w:ascii="Arial MT"/>
          <w:spacing w:val="-6"/>
          <w:sz w:val="24"/>
        </w:rPr>
        <w:t> </w:t>
      </w:r>
      <w:r>
        <w:rPr>
          <w:rFonts w:ascii="Arial MT"/>
          <w:sz w:val="24"/>
        </w:rPr>
        <w:t>done</w:t>
      </w:r>
      <w:r>
        <w:rPr>
          <w:rFonts w:ascii="Arial MT"/>
          <w:spacing w:val="-1"/>
          <w:sz w:val="24"/>
        </w:rPr>
        <w:t> </w:t>
      </w:r>
      <w:r>
        <w:rPr>
          <w:rFonts w:ascii="Arial MT"/>
          <w:sz w:val="24"/>
        </w:rPr>
        <w:t>or omitted</w:t>
      </w:r>
      <w:r>
        <w:rPr>
          <w:rFonts w:ascii="Arial MT"/>
          <w:spacing w:val="-1"/>
          <w:sz w:val="24"/>
        </w:rPr>
        <w:t> </w:t>
      </w:r>
      <w:r>
        <w:rPr>
          <w:rFonts w:ascii="Arial MT"/>
          <w:sz w:val="24"/>
        </w:rPr>
        <w:t>by</w:t>
      </w:r>
      <w:r>
        <w:rPr>
          <w:rFonts w:ascii="Arial MT"/>
          <w:spacing w:val="-6"/>
          <w:sz w:val="24"/>
        </w:rPr>
        <w:t> </w:t>
      </w:r>
      <w:r>
        <w:rPr>
          <w:rFonts w:ascii="Arial MT"/>
          <w:sz w:val="24"/>
        </w:rPr>
        <w:t>him</w:t>
      </w:r>
      <w:r>
        <w:rPr>
          <w:rFonts w:ascii="Arial MT"/>
          <w:spacing w:val="-9"/>
          <w:sz w:val="24"/>
        </w:rPr>
        <w:t> </w:t>
      </w:r>
      <w:r>
        <w:rPr>
          <w:rFonts w:ascii="Arial MT"/>
          <w:sz w:val="24"/>
        </w:rPr>
        <w:t>before</w:t>
      </w:r>
      <w:r>
        <w:rPr>
          <w:rFonts w:ascii="Arial MT"/>
          <w:spacing w:val="-5"/>
          <w:sz w:val="24"/>
        </w:rPr>
        <w:t> </w:t>
      </w:r>
      <w:r>
        <w:rPr>
          <w:rFonts w:ascii="Arial MT"/>
          <w:sz w:val="24"/>
        </w:rPr>
        <w:t>he</w:t>
      </w:r>
      <w:r>
        <w:rPr>
          <w:rFonts w:ascii="Arial MT"/>
          <w:spacing w:val="-1"/>
          <w:sz w:val="24"/>
        </w:rPr>
        <w:t> </w:t>
      </w:r>
      <w:r>
        <w:rPr>
          <w:rFonts w:ascii="Arial MT"/>
          <w:sz w:val="24"/>
        </w:rPr>
        <w:t>ceased</w:t>
      </w:r>
      <w:r>
        <w:rPr>
          <w:rFonts w:ascii="Arial MT"/>
          <w:spacing w:val="-5"/>
          <w:sz w:val="24"/>
        </w:rPr>
        <w:t> </w:t>
      </w:r>
      <w:r>
        <w:rPr>
          <w:rFonts w:ascii="Arial MT"/>
          <w:sz w:val="24"/>
        </w:rPr>
        <w:t>to be</w:t>
      </w:r>
      <w:r>
        <w:rPr>
          <w:rFonts w:ascii="Arial MT"/>
          <w:spacing w:val="-5"/>
          <w:sz w:val="24"/>
        </w:rPr>
        <w:t> </w:t>
      </w:r>
      <w:r>
        <w:rPr>
          <w:rFonts w:ascii="Arial MT"/>
          <w:sz w:val="24"/>
        </w:rPr>
        <w:t>a</w:t>
      </w:r>
      <w:r>
        <w:rPr>
          <w:rFonts w:ascii="Arial MT"/>
          <w:spacing w:val="-1"/>
          <w:sz w:val="24"/>
        </w:rPr>
        <w:t> </w:t>
      </w:r>
      <w:r>
        <w:rPr>
          <w:rFonts w:ascii="Arial MT"/>
          <w:sz w:val="24"/>
        </w:rPr>
        <w:t>director.</w:t>
      </w:r>
      <w:r>
        <w:rPr>
          <w:rFonts w:ascii="Arial MT"/>
          <w:spacing w:val="-5"/>
          <w:sz w:val="24"/>
        </w:rPr>
        <w:t> </w:t>
      </w:r>
      <w:r>
        <w:rPr>
          <w:rFonts w:ascii="Arial MT"/>
          <w:sz w:val="24"/>
        </w:rPr>
        <w:t>To</w:t>
      </w:r>
      <w:r>
        <w:rPr>
          <w:rFonts w:ascii="Arial MT"/>
          <w:spacing w:val="-1"/>
          <w:sz w:val="24"/>
        </w:rPr>
        <w:t> </w:t>
      </w:r>
      <w:r>
        <w:rPr>
          <w:rFonts w:ascii="Arial MT"/>
          <w:sz w:val="24"/>
        </w:rPr>
        <w:t>that extent those duties apply to a former director as to a director, subject to any necessary adaptations.</w:t>
      </w:r>
    </w:p>
    <w:p>
      <w:pPr>
        <w:pStyle w:val="ListParagraph"/>
        <w:numPr>
          <w:ilvl w:val="0"/>
          <w:numId w:val="25"/>
        </w:numPr>
        <w:tabs>
          <w:tab w:pos="669" w:val="left" w:leader="none"/>
        </w:tabs>
        <w:spacing w:line="276" w:lineRule="auto" w:before="0" w:after="0"/>
        <w:ind w:left="308" w:right="362" w:firstLine="0"/>
        <w:jc w:val="left"/>
        <w:rPr>
          <w:rFonts w:ascii="Arial MT"/>
          <w:sz w:val="24"/>
        </w:rPr>
      </w:pPr>
      <w:r>
        <w:rPr>
          <w:rFonts w:ascii="Arial MT"/>
          <w:sz w:val="24"/>
        </w:rPr>
        <w:t>The general duties are based on certain common law rules and equitable principles</w:t>
      </w:r>
      <w:r>
        <w:rPr>
          <w:rFonts w:ascii="Arial MT"/>
          <w:spacing w:val="-1"/>
          <w:sz w:val="24"/>
        </w:rPr>
        <w:t> </w:t>
      </w:r>
      <w:r>
        <w:rPr>
          <w:rFonts w:ascii="Arial MT"/>
          <w:sz w:val="24"/>
        </w:rPr>
        <w:t>as</w:t>
      </w:r>
      <w:r>
        <w:rPr>
          <w:rFonts w:ascii="Arial MT"/>
          <w:spacing w:val="-1"/>
          <w:sz w:val="24"/>
        </w:rPr>
        <w:t> </w:t>
      </w:r>
      <w:r>
        <w:rPr>
          <w:rFonts w:ascii="Arial MT"/>
          <w:sz w:val="24"/>
        </w:rPr>
        <w:t>they</w:t>
      </w:r>
      <w:r>
        <w:rPr>
          <w:rFonts w:ascii="Arial MT"/>
          <w:spacing w:val="-1"/>
          <w:sz w:val="24"/>
        </w:rPr>
        <w:t> </w:t>
      </w:r>
      <w:r>
        <w:rPr>
          <w:rFonts w:ascii="Arial MT"/>
          <w:sz w:val="24"/>
        </w:rPr>
        <w:t>apply</w:t>
      </w:r>
      <w:r>
        <w:rPr>
          <w:rFonts w:ascii="Arial MT"/>
          <w:spacing w:val="-6"/>
          <w:sz w:val="24"/>
        </w:rPr>
        <w:t> </w:t>
      </w:r>
      <w:r>
        <w:rPr>
          <w:rFonts w:ascii="Arial MT"/>
          <w:sz w:val="24"/>
        </w:rPr>
        <w:t>in</w:t>
      </w:r>
      <w:r>
        <w:rPr>
          <w:rFonts w:ascii="Arial MT"/>
          <w:spacing w:val="-1"/>
          <w:sz w:val="24"/>
        </w:rPr>
        <w:t> </w:t>
      </w:r>
      <w:r>
        <w:rPr>
          <w:rFonts w:ascii="Arial MT"/>
          <w:sz w:val="24"/>
        </w:rPr>
        <w:t>relation to</w:t>
      </w:r>
      <w:r>
        <w:rPr>
          <w:rFonts w:ascii="Arial MT"/>
          <w:spacing w:val="-1"/>
          <w:sz w:val="24"/>
        </w:rPr>
        <w:t> </w:t>
      </w:r>
      <w:r>
        <w:rPr>
          <w:rFonts w:ascii="Arial MT"/>
          <w:sz w:val="24"/>
        </w:rPr>
        <w:t>directors</w:t>
      </w:r>
      <w:r>
        <w:rPr>
          <w:rFonts w:ascii="Arial MT"/>
          <w:spacing w:val="-6"/>
          <w:sz w:val="24"/>
        </w:rPr>
        <w:t> </w:t>
      </w:r>
      <w:r>
        <w:rPr>
          <w:rFonts w:ascii="Arial MT"/>
          <w:sz w:val="24"/>
        </w:rPr>
        <w:t>and</w:t>
      </w:r>
      <w:r>
        <w:rPr>
          <w:rFonts w:ascii="Arial MT"/>
          <w:spacing w:val="-1"/>
          <w:sz w:val="24"/>
        </w:rPr>
        <w:t> </w:t>
      </w:r>
      <w:r>
        <w:rPr>
          <w:rFonts w:ascii="Arial MT"/>
          <w:sz w:val="24"/>
        </w:rPr>
        <w:t>have</w:t>
      </w:r>
      <w:r>
        <w:rPr>
          <w:rFonts w:ascii="Arial MT"/>
          <w:spacing w:val="-5"/>
          <w:sz w:val="24"/>
        </w:rPr>
        <w:t> </w:t>
      </w:r>
      <w:r>
        <w:rPr>
          <w:rFonts w:ascii="Arial MT"/>
          <w:sz w:val="24"/>
        </w:rPr>
        <w:t>effect</w:t>
      </w:r>
      <w:r>
        <w:rPr>
          <w:rFonts w:ascii="Arial MT"/>
          <w:spacing w:val="-5"/>
          <w:sz w:val="24"/>
        </w:rPr>
        <w:t> </w:t>
      </w:r>
      <w:r>
        <w:rPr>
          <w:rFonts w:ascii="Arial MT"/>
          <w:sz w:val="24"/>
        </w:rPr>
        <w:t>in</w:t>
      </w:r>
      <w:r>
        <w:rPr>
          <w:rFonts w:ascii="Arial MT"/>
          <w:spacing w:val="-5"/>
          <w:sz w:val="24"/>
        </w:rPr>
        <w:t> </w:t>
      </w:r>
      <w:r>
        <w:rPr>
          <w:rFonts w:ascii="Arial MT"/>
          <w:sz w:val="24"/>
        </w:rPr>
        <w:t>place</w:t>
      </w:r>
      <w:r>
        <w:rPr>
          <w:rFonts w:ascii="Arial MT"/>
          <w:spacing w:val="-1"/>
          <w:sz w:val="24"/>
        </w:rPr>
        <w:t> </w:t>
      </w:r>
      <w:r>
        <w:rPr>
          <w:rFonts w:ascii="Arial MT"/>
          <w:sz w:val="24"/>
        </w:rPr>
        <w:t>of</w:t>
      </w:r>
      <w:r>
        <w:rPr>
          <w:rFonts w:ascii="Arial MT"/>
          <w:spacing w:val="-6"/>
          <w:sz w:val="24"/>
        </w:rPr>
        <w:t> </w:t>
      </w:r>
      <w:r>
        <w:rPr>
          <w:rFonts w:ascii="Arial MT"/>
          <w:sz w:val="24"/>
        </w:rPr>
        <w:t>those rules and principles as regards the duties owed to a company by a director.</w:t>
      </w:r>
    </w:p>
    <w:p>
      <w:pPr>
        <w:pStyle w:val="ListParagraph"/>
        <w:numPr>
          <w:ilvl w:val="0"/>
          <w:numId w:val="25"/>
        </w:numPr>
        <w:tabs>
          <w:tab w:pos="669" w:val="left" w:leader="none"/>
        </w:tabs>
        <w:spacing w:line="276" w:lineRule="auto" w:before="0" w:after="0"/>
        <w:ind w:left="308" w:right="642" w:firstLine="0"/>
        <w:jc w:val="left"/>
        <w:rPr>
          <w:rFonts w:ascii="Arial MT"/>
          <w:sz w:val="24"/>
        </w:rPr>
      </w:pPr>
      <w:r>
        <w:rPr>
          <w:rFonts w:ascii="Arial MT"/>
          <w:sz w:val="24"/>
        </w:rPr>
        <w:t>The general duties shall be interpreted and applied in the same way as common law rules or equitable principles, and regard shall be had to the corresponding</w:t>
      </w:r>
      <w:r>
        <w:rPr>
          <w:rFonts w:ascii="Arial MT"/>
          <w:spacing w:val="-2"/>
          <w:sz w:val="24"/>
        </w:rPr>
        <w:t> </w:t>
      </w:r>
      <w:r>
        <w:rPr>
          <w:rFonts w:ascii="Arial MT"/>
          <w:sz w:val="24"/>
        </w:rPr>
        <w:t>common</w:t>
      </w:r>
      <w:r>
        <w:rPr>
          <w:rFonts w:ascii="Arial MT"/>
          <w:spacing w:val="-2"/>
          <w:sz w:val="24"/>
        </w:rPr>
        <w:t> </w:t>
      </w:r>
      <w:r>
        <w:rPr>
          <w:rFonts w:ascii="Arial MT"/>
          <w:sz w:val="24"/>
        </w:rPr>
        <w:t>law</w:t>
      </w:r>
      <w:r>
        <w:rPr>
          <w:rFonts w:ascii="Arial MT"/>
          <w:spacing w:val="-8"/>
          <w:sz w:val="24"/>
        </w:rPr>
        <w:t> </w:t>
      </w:r>
      <w:r>
        <w:rPr>
          <w:rFonts w:ascii="Arial MT"/>
          <w:sz w:val="24"/>
        </w:rPr>
        <w:t>rules</w:t>
      </w:r>
      <w:r>
        <w:rPr>
          <w:rFonts w:ascii="Arial MT"/>
          <w:spacing w:val="-7"/>
          <w:sz w:val="24"/>
        </w:rPr>
        <w:t> </w:t>
      </w:r>
      <w:r>
        <w:rPr>
          <w:rFonts w:ascii="Arial MT"/>
          <w:sz w:val="24"/>
        </w:rPr>
        <w:t>and</w:t>
      </w:r>
      <w:r>
        <w:rPr>
          <w:rFonts w:ascii="Arial MT"/>
          <w:spacing w:val="-2"/>
          <w:sz w:val="24"/>
        </w:rPr>
        <w:t> </w:t>
      </w:r>
      <w:r>
        <w:rPr>
          <w:rFonts w:ascii="Arial MT"/>
          <w:sz w:val="24"/>
        </w:rPr>
        <w:t>equitable</w:t>
      </w:r>
      <w:r>
        <w:rPr>
          <w:rFonts w:ascii="Arial MT"/>
          <w:spacing w:val="-2"/>
          <w:sz w:val="24"/>
        </w:rPr>
        <w:t> </w:t>
      </w:r>
      <w:r>
        <w:rPr>
          <w:rFonts w:ascii="Arial MT"/>
          <w:sz w:val="24"/>
        </w:rPr>
        <w:t>principles</w:t>
      </w:r>
      <w:r>
        <w:rPr>
          <w:rFonts w:ascii="Arial MT"/>
          <w:spacing w:val="-7"/>
          <w:sz w:val="24"/>
        </w:rPr>
        <w:t> </w:t>
      </w:r>
      <w:r>
        <w:rPr>
          <w:rFonts w:ascii="Arial MT"/>
          <w:sz w:val="24"/>
        </w:rPr>
        <w:t>in</w:t>
      </w:r>
      <w:r>
        <w:rPr>
          <w:rFonts w:ascii="Arial MT"/>
          <w:spacing w:val="-6"/>
          <w:sz w:val="24"/>
        </w:rPr>
        <w:t> </w:t>
      </w:r>
      <w:r>
        <w:rPr>
          <w:rFonts w:ascii="Arial MT"/>
          <w:sz w:val="24"/>
        </w:rPr>
        <w:t>interpreting</w:t>
      </w:r>
      <w:r>
        <w:rPr>
          <w:rFonts w:ascii="Arial MT"/>
          <w:spacing w:val="-6"/>
          <w:sz w:val="24"/>
        </w:rPr>
        <w:t> </w:t>
      </w:r>
      <w:r>
        <w:rPr>
          <w:rFonts w:ascii="Arial MT"/>
          <w:sz w:val="24"/>
        </w:rPr>
        <w:t>and applying the general duties.</w:t>
      </w:r>
    </w:p>
    <w:p>
      <w:pPr>
        <w:pStyle w:val="ListParagraph"/>
        <w:numPr>
          <w:ilvl w:val="0"/>
          <w:numId w:val="25"/>
        </w:numPr>
        <w:tabs>
          <w:tab w:pos="669" w:val="left" w:leader="none"/>
        </w:tabs>
        <w:spacing w:line="276" w:lineRule="auto" w:before="0" w:after="0"/>
        <w:ind w:left="308" w:right="432" w:firstLine="0"/>
        <w:jc w:val="left"/>
        <w:rPr>
          <w:rFonts w:ascii="Arial MT"/>
          <w:sz w:val="24"/>
        </w:rPr>
      </w:pPr>
      <w:r>
        <w:rPr>
          <w:rFonts w:ascii="Arial MT"/>
          <w:sz w:val="24"/>
        </w:rPr>
        <w:t>The</w:t>
      </w:r>
      <w:r>
        <w:rPr>
          <w:rFonts w:ascii="Arial MT"/>
          <w:spacing w:val="-3"/>
          <w:sz w:val="24"/>
        </w:rPr>
        <w:t> </w:t>
      </w:r>
      <w:r>
        <w:rPr>
          <w:rFonts w:ascii="Arial MT"/>
          <w:sz w:val="24"/>
        </w:rPr>
        <w:t>general</w:t>
      </w:r>
      <w:r>
        <w:rPr>
          <w:rFonts w:ascii="Arial MT"/>
          <w:spacing w:val="-4"/>
          <w:sz w:val="24"/>
        </w:rPr>
        <w:t> </w:t>
      </w:r>
      <w:r>
        <w:rPr>
          <w:rFonts w:ascii="Arial MT"/>
          <w:sz w:val="24"/>
        </w:rPr>
        <w:t>duties</w:t>
      </w:r>
      <w:r>
        <w:rPr>
          <w:rFonts w:ascii="Arial MT"/>
          <w:spacing w:val="-3"/>
          <w:sz w:val="24"/>
        </w:rPr>
        <w:t> </w:t>
      </w:r>
      <w:r>
        <w:rPr>
          <w:rFonts w:ascii="Arial MT"/>
          <w:sz w:val="24"/>
        </w:rPr>
        <w:t>apply</w:t>
      </w:r>
      <w:r>
        <w:rPr>
          <w:rFonts w:ascii="Arial MT"/>
          <w:spacing w:val="-3"/>
          <w:sz w:val="24"/>
        </w:rPr>
        <w:t> </w:t>
      </w:r>
      <w:r>
        <w:rPr>
          <w:rFonts w:ascii="Arial MT"/>
          <w:sz w:val="24"/>
        </w:rPr>
        <w:t>to</w:t>
      </w:r>
      <w:r>
        <w:rPr>
          <w:rFonts w:ascii="Arial MT"/>
          <w:spacing w:val="-3"/>
          <w:sz w:val="24"/>
        </w:rPr>
        <w:t> </w:t>
      </w:r>
      <w:r>
        <w:rPr>
          <w:rFonts w:ascii="Arial MT"/>
          <w:sz w:val="24"/>
        </w:rPr>
        <w:t>shadow</w:t>
      </w:r>
      <w:r>
        <w:rPr>
          <w:rFonts w:ascii="Arial MT"/>
          <w:spacing w:val="-9"/>
          <w:sz w:val="24"/>
        </w:rPr>
        <w:t> </w:t>
      </w:r>
      <w:r>
        <w:rPr>
          <w:rFonts w:ascii="Arial MT"/>
          <w:sz w:val="24"/>
        </w:rPr>
        <w:t>directors</w:t>
      </w:r>
      <w:r>
        <w:rPr>
          <w:rFonts w:ascii="Arial MT"/>
          <w:spacing w:val="-3"/>
          <w:sz w:val="24"/>
        </w:rPr>
        <w:t> </w:t>
      </w:r>
      <w:r>
        <w:rPr>
          <w:rFonts w:ascii="Arial MT"/>
          <w:sz w:val="24"/>
        </w:rPr>
        <w:t>where,</w:t>
      </w:r>
      <w:r>
        <w:rPr>
          <w:rFonts w:ascii="Arial MT"/>
          <w:spacing w:val="-3"/>
          <w:sz w:val="24"/>
        </w:rPr>
        <w:t> </w:t>
      </w:r>
      <w:r>
        <w:rPr>
          <w:rFonts w:ascii="Arial MT"/>
          <w:sz w:val="24"/>
        </w:rPr>
        <w:t>and</w:t>
      </w:r>
      <w:r>
        <w:rPr>
          <w:rFonts w:ascii="Arial MT"/>
          <w:spacing w:val="-7"/>
          <w:sz w:val="24"/>
        </w:rPr>
        <w:t> </w:t>
      </w:r>
      <w:r>
        <w:rPr>
          <w:rFonts w:ascii="Arial MT"/>
          <w:sz w:val="24"/>
        </w:rPr>
        <w:t>to</w:t>
      </w:r>
      <w:r>
        <w:rPr>
          <w:rFonts w:ascii="Arial MT"/>
          <w:spacing w:val="-2"/>
          <w:sz w:val="24"/>
        </w:rPr>
        <w:t> </w:t>
      </w:r>
      <w:r>
        <w:rPr>
          <w:rFonts w:ascii="Arial MT"/>
          <w:sz w:val="24"/>
        </w:rPr>
        <w:t>the</w:t>
      </w:r>
      <w:r>
        <w:rPr>
          <w:rFonts w:ascii="Arial MT"/>
          <w:spacing w:val="-7"/>
          <w:sz w:val="24"/>
        </w:rPr>
        <w:t> </w:t>
      </w:r>
      <w:r>
        <w:rPr>
          <w:rFonts w:ascii="Arial MT"/>
          <w:sz w:val="24"/>
        </w:rPr>
        <w:t>extent</w:t>
      </w:r>
      <w:r>
        <w:rPr>
          <w:rFonts w:ascii="Arial MT"/>
          <w:spacing w:val="-3"/>
          <w:sz w:val="24"/>
        </w:rPr>
        <w:t> </w:t>
      </w:r>
      <w:r>
        <w:rPr>
          <w:rFonts w:ascii="Arial MT"/>
          <w:sz w:val="24"/>
        </w:rPr>
        <w:t>that, the corresponding common law rules or equitable principles so apply.</w:t>
      </w:r>
    </w:p>
    <w:p>
      <w:pPr>
        <w:pStyle w:val="BodyText"/>
        <w:spacing w:before="30"/>
        <w:ind w:left="0"/>
        <w:rPr>
          <w:rFonts w:ascii="Arial MT"/>
        </w:rPr>
      </w:pPr>
    </w:p>
    <w:p>
      <w:pPr>
        <w:pStyle w:val="Heading2"/>
        <w:numPr>
          <w:ilvl w:val="0"/>
          <w:numId w:val="24"/>
        </w:numPr>
        <w:tabs>
          <w:tab w:pos="775" w:val="left" w:leader="none"/>
        </w:tabs>
        <w:spacing w:line="240" w:lineRule="auto" w:before="1" w:after="0"/>
        <w:ind w:left="775" w:right="0" w:hanging="467"/>
        <w:jc w:val="left"/>
        <w:rPr>
          <w:rFonts w:ascii="Arial"/>
        </w:rPr>
      </w:pPr>
      <w:r>
        <w:rPr>
          <w:rFonts w:ascii="Arial"/>
        </w:rPr>
        <w:t>Duty</w:t>
      </w:r>
      <w:r>
        <w:rPr>
          <w:rFonts w:ascii="Arial"/>
          <w:spacing w:val="-5"/>
        </w:rPr>
        <w:t> </w:t>
      </w:r>
      <w:r>
        <w:rPr>
          <w:rFonts w:ascii="Arial"/>
        </w:rPr>
        <w:t>to act</w:t>
      </w:r>
      <w:r>
        <w:rPr>
          <w:rFonts w:ascii="Arial"/>
          <w:spacing w:val="-4"/>
        </w:rPr>
        <w:t> </w:t>
      </w:r>
      <w:r>
        <w:rPr>
          <w:rFonts w:ascii="Arial"/>
        </w:rPr>
        <w:t>within</w:t>
      </w:r>
      <w:r>
        <w:rPr>
          <w:rFonts w:ascii="Arial"/>
          <w:spacing w:val="-3"/>
        </w:rPr>
        <w:t> </w:t>
      </w:r>
      <w:r>
        <w:rPr>
          <w:rFonts w:ascii="Arial"/>
          <w:spacing w:val="-2"/>
        </w:rPr>
        <w:t>powers</w:t>
      </w:r>
    </w:p>
    <w:p>
      <w:pPr>
        <w:pStyle w:val="BodyText"/>
        <w:spacing w:before="45"/>
        <w:rPr>
          <w:rFonts w:ascii="Arial MT" w:hAnsi="Arial MT"/>
        </w:rPr>
      </w:pPr>
      <w:r>
        <w:rPr>
          <w:rFonts w:ascii="Arial MT" w:hAnsi="Arial MT"/>
        </w:rPr>
        <w:t>A</w:t>
      </w:r>
      <w:r>
        <w:rPr>
          <w:rFonts w:ascii="Arial MT" w:hAnsi="Arial MT"/>
          <w:spacing w:val="-4"/>
        </w:rPr>
        <w:t> </w:t>
      </w:r>
      <w:r>
        <w:rPr>
          <w:rFonts w:ascii="Arial MT" w:hAnsi="Arial MT"/>
        </w:rPr>
        <w:t>director of</w:t>
      </w:r>
      <w:r>
        <w:rPr>
          <w:rFonts w:ascii="Arial MT" w:hAnsi="Arial MT"/>
          <w:spacing w:val="-6"/>
        </w:rPr>
        <w:t> </w:t>
      </w:r>
      <w:r>
        <w:rPr>
          <w:rFonts w:ascii="Arial MT" w:hAnsi="Arial MT"/>
        </w:rPr>
        <w:t>a company</w:t>
      </w:r>
      <w:r>
        <w:rPr>
          <w:rFonts w:ascii="Arial MT" w:hAnsi="Arial MT"/>
          <w:spacing w:val="-1"/>
        </w:rPr>
        <w:t> </w:t>
      </w:r>
      <w:r>
        <w:rPr>
          <w:rFonts w:ascii="Arial MT" w:hAnsi="Arial MT"/>
          <w:spacing w:val="-4"/>
        </w:rPr>
        <w:t>must—</w:t>
      </w:r>
    </w:p>
    <w:p>
      <w:pPr>
        <w:pStyle w:val="ListParagraph"/>
        <w:numPr>
          <w:ilvl w:val="1"/>
          <w:numId w:val="24"/>
        </w:numPr>
        <w:tabs>
          <w:tab w:pos="670" w:val="left" w:leader="none"/>
        </w:tabs>
        <w:spacing w:line="240" w:lineRule="auto" w:before="46" w:after="0"/>
        <w:ind w:left="670" w:right="0" w:hanging="362"/>
        <w:jc w:val="left"/>
        <w:rPr>
          <w:rFonts w:ascii="Arial MT" w:hAnsi="Arial MT"/>
          <w:sz w:val="24"/>
        </w:rPr>
      </w:pPr>
      <w:r>
        <w:rPr>
          <w:rFonts w:ascii="Arial MT" w:hAnsi="Arial MT"/>
          <w:sz w:val="24"/>
        </w:rPr>
        <w:t>act</w:t>
      </w:r>
      <w:r>
        <w:rPr>
          <w:rFonts w:ascii="Arial MT" w:hAnsi="Arial MT"/>
          <w:spacing w:val="-15"/>
          <w:sz w:val="24"/>
        </w:rPr>
        <w:t> </w:t>
      </w:r>
      <w:r>
        <w:rPr>
          <w:rFonts w:ascii="Arial MT" w:hAnsi="Arial MT"/>
          <w:sz w:val="24"/>
        </w:rPr>
        <w:t>in</w:t>
      </w:r>
      <w:r>
        <w:rPr>
          <w:rFonts w:ascii="Arial MT" w:hAnsi="Arial MT"/>
          <w:spacing w:val="-12"/>
          <w:sz w:val="24"/>
        </w:rPr>
        <w:t> </w:t>
      </w:r>
      <w:r>
        <w:rPr>
          <w:rFonts w:ascii="Arial MT" w:hAnsi="Arial MT"/>
          <w:sz w:val="24"/>
        </w:rPr>
        <w:t>accordance</w:t>
      </w:r>
      <w:r>
        <w:rPr>
          <w:rFonts w:ascii="Arial MT" w:hAnsi="Arial MT"/>
          <w:spacing w:val="-12"/>
          <w:sz w:val="24"/>
        </w:rPr>
        <w:t> </w:t>
      </w:r>
      <w:r>
        <w:rPr>
          <w:rFonts w:ascii="Arial MT" w:hAnsi="Arial MT"/>
          <w:sz w:val="24"/>
        </w:rPr>
        <w:t>with</w:t>
      </w:r>
      <w:r>
        <w:rPr>
          <w:rFonts w:ascii="Arial MT" w:hAnsi="Arial MT"/>
          <w:spacing w:val="-15"/>
          <w:sz w:val="24"/>
        </w:rPr>
        <w:t> </w:t>
      </w:r>
      <w:r>
        <w:rPr>
          <w:rFonts w:ascii="Arial MT" w:hAnsi="Arial MT"/>
          <w:sz w:val="24"/>
        </w:rPr>
        <w:t>the</w:t>
      </w:r>
      <w:r>
        <w:rPr>
          <w:rFonts w:ascii="Arial MT" w:hAnsi="Arial MT"/>
          <w:spacing w:val="-6"/>
          <w:sz w:val="24"/>
        </w:rPr>
        <w:t> </w:t>
      </w:r>
      <w:r>
        <w:rPr>
          <w:rFonts w:ascii="Arial MT" w:hAnsi="Arial MT"/>
          <w:sz w:val="24"/>
        </w:rPr>
        <w:t>company’s</w:t>
      </w:r>
      <w:r>
        <w:rPr>
          <w:rFonts w:ascii="Arial MT" w:hAnsi="Arial MT"/>
          <w:spacing w:val="-12"/>
          <w:sz w:val="24"/>
        </w:rPr>
        <w:t> </w:t>
      </w:r>
      <w:r>
        <w:rPr>
          <w:rFonts w:ascii="Arial MT" w:hAnsi="Arial MT"/>
          <w:sz w:val="24"/>
        </w:rPr>
        <w:t>constitution,</w:t>
      </w:r>
      <w:r>
        <w:rPr>
          <w:rFonts w:ascii="Arial MT" w:hAnsi="Arial MT"/>
          <w:spacing w:val="-12"/>
          <w:sz w:val="24"/>
        </w:rPr>
        <w:t> </w:t>
      </w:r>
      <w:r>
        <w:rPr>
          <w:rFonts w:ascii="Arial MT" w:hAnsi="Arial MT"/>
          <w:spacing w:val="-5"/>
          <w:sz w:val="24"/>
        </w:rPr>
        <w:t>and</w:t>
      </w:r>
    </w:p>
    <w:p>
      <w:pPr>
        <w:pStyle w:val="ListParagraph"/>
        <w:numPr>
          <w:ilvl w:val="1"/>
          <w:numId w:val="24"/>
        </w:numPr>
        <w:tabs>
          <w:tab w:pos="670" w:val="left" w:leader="none"/>
        </w:tabs>
        <w:spacing w:line="240" w:lineRule="auto" w:before="41" w:after="0"/>
        <w:ind w:left="670" w:right="0" w:hanging="362"/>
        <w:jc w:val="left"/>
        <w:rPr>
          <w:rFonts w:ascii="Arial MT"/>
          <w:sz w:val="24"/>
        </w:rPr>
      </w:pPr>
      <w:r>
        <w:rPr>
          <w:rFonts w:ascii="Arial MT"/>
          <w:sz w:val="24"/>
        </w:rPr>
        <w:t>only</w:t>
      </w:r>
      <w:r>
        <w:rPr>
          <w:rFonts w:ascii="Arial MT"/>
          <w:spacing w:val="-13"/>
          <w:sz w:val="24"/>
        </w:rPr>
        <w:t> </w:t>
      </w:r>
      <w:r>
        <w:rPr>
          <w:rFonts w:ascii="Arial MT"/>
          <w:sz w:val="24"/>
        </w:rPr>
        <w:t>exercise</w:t>
      </w:r>
      <w:r>
        <w:rPr>
          <w:rFonts w:ascii="Arial MT"/>
          <w:spacing w:val="-13"/>
          <w:sz w:val="24"/>
        </w:rPr>
        <w:t> </w:t>
      </w:r>
      <w:r>
        <w:rPr>
          <w:rFonts w:ascii="Arial MT"/>
          <w:sz w:val="24"/>
        </w:rPr>
        <w:t>powers</w:t>
      </w:r>
      <w:r>
        <w:rPr>
          <w:rFonts w:ascii="Arial MT"/>
          <w:spacing w:val="-8"/>
          <w:sz w:val="24"/>
        </w:rPr>
        <w:t> </w:t>
      </w:r>
      <w:r>
        <w:rPr>
          <w:rFonts w:ascii="Arial MT"/>
          <w:sz w:val="24"/>
        </w:rPr>
        <w:t>for</w:t>
      </w:r>
      <w:r>
        <w:rPr>
          <w:rFonts w:ascii="Arial MT"/>
          <w:spacing w:val="-8"/>
          <w:sz w:val="24"/>
        </w:rPr>
        <w:t> </w:t>
      </w:r>
      <w:r>
        <w:rPr>
          <w:rFonts w:ascii="Arial MT"/>
          <w:sz w:val="24"/>
        </w:rPr>
        <w:t>the</w:t>
      </w:r>
      <w:r>
        <w:rPr>
          <w:rFonts w:ascii="Arial MT"/>
          <w:spacing w:val="-9"/>
          <w:sz w:val="24"/>
        </w:rPr>
        <w:t> </w:t>
      </w:r>
      <w:r>
        <w:rPr>
          <w:rFonts w:ascii="Arial MT"/>
          <w:sz w:val="24"/>
        </w:rPr>
        <w:t>purposes</w:t>
      </w:r>
      <w:r>
        <w:rPr>
          <w:rFonts w:ascii="Arial MT"/>
          <w:spacing w:val="-8"/>
          <w:sz w:val="24"/>
        </w:rPr>
        <w:t> </w:t>
      </w:r>
      <w:r>
        <w:rPr>
          <w:rFonts w:ascii="Arial MT"/>
          <w:sz w:val="24"/>
        </w:rPr>
        <w:t>for</w:t>
      </w:r>
      <w:r>
        <w:rPr>
          <w:rFonts w:ascii="Arial MT"/>
          <w:spacing w:val="-11"/>
          <w:sz w:val="24"/>
        </w:rPr>
        <w:t> </w:t>
      </w:r>
      <w:r>
        <w:rPr>
          <w:rFonts w:ascii="Arial MT"/>
          <w:sz w:val="24"/>
        </w:rPr>
        <w:t>which</w:t>
      </w:r>
      <w:r>
        <w:rPr>
          <w:rFonts w:ascii="Arial MT"/>
          <w:spacing w:val="-9"/>
          <w:sz w:val="24"/>
        </w:rPr>
        <w:t> </w:t>
      </w:r>
      <w:r>
        <w:rPr>
          <w:rFonts w:ascii="Arial MT"/>
          <w:sz w:val="24"/>
        </w:rPr>
        <w:t>they</w:t>
      </w:r>
      <w:r>
        <w:rPr>
          <w:rFonts w:ascii="Arial MT"/>
          <w:spacing w:val="-9"/>
          <w:sz w:val="24"/>
        </w:rPr>
        <w:t> </w:t>
      </w:r>
      <w:r>
        <w:rPr>
          <w:rFonts w:ascii="Arial MT"/>
          <w:sz w:val="24"/>
        </w:rPr>
        <w:t>are</w:t>
      </w:r>
      <w:r>
        <w:rPr>
          <w:rFonts w:ascii="Arial MT"/>
          <w:spacing w:val="-8"/>
          <w:sz w:val="24"/>
        </w:rPr>
        <w:t> </w:t>
      </w:r>
      <w:r>
        <w:rPr>
          <w:rFonts w:ascii="Arial MT"/>
          <w:spacing w:val="-2"/>
          <w:sz w:val="24"/>
        </w:rPr>
        <w:t>conferred.</w:t>
      </w:r>
    </w:p>
    <w:p>
      <w:pPr>
        <w:pStyle w:val="BodyText"/>
        <w:spacing w:before="76"/>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Duty</w:t>
      </w:r>
      <w:r>
        <w:rPr>
          <w:rFonts w:ascii="Arial"/>
          <w:spacing w:val="-7"/>
        </w:rPr>
        <w:t> </w:t>
      </w:r>
      <w:r>
        <w:rPr>
          <w:rFonts w:ascii="Arial"/>
        </w:rPr>
        <w:t>to</w:t>
      </w:r>
      <w:r>
        <w:rPr>
          <w:rFonts w:ascii="Arial"/>
          <w:spacing w:val="-1"/>
        </w:rPr>
        <w:t> </w:t>
      </w:r>
      <w:r>
        <w:rPr>
          <w:rFonts w:ascii="Arial"/>
        </w:rPr>
        <w:t>promote</w:t>
      </w:r>
      <w:r>
        <w:rPr>
          <w:rFonts w:ascii="Arial"/>
          <w:spacing w:val="-2"/>
        </w:rPr>
        <w:t> </w:t>
      </w:r>
      <w:r>
        <w:rPr>
          <w:rFonts w:ascii="Arial"/>
        </w:rPr>
        <w:t>the</w:t>
      </w:r>
      <w:r>
        <w:rPr>
          <w:rFonts w:ascii="Arial"/>
          <w:spacing w:val="-2"/>
        </w:rPr>
        <w:t> </w:t>
      </w:r>
      <w:r>
        <w:rPr>
          <w:rFonts w:ascii="Arial"/>
        </w:rPr>
        <w:t>success</w:t>
      </w:r>
      <w:r>
        <w:rPr>
          <w:rFonts w:ascii="Arial"/>
          <w:spacing w:val="-2"/>
        </w:rPr>
        <w:t> </w:t>
      </w:r>
      <w:r>
        <w:rPr>
          <w:rFonts w:ascii="Arial"/>
        </w:rPr>
        <w:t>of</w:t>
      </w:r>
      <w:r>
        <w:rPr>
          <w:rFonts w:ascii="Arial"/>
          <w:spacing w:val="-6"/>
        </w:rPr>
        <w:t> </w:t>
      </w:r>
      <w:r>
        <w:rPr>
          <w:rFonts w:ascii="Arial"/>
        </w:rPr>
        <w:t>the</w:t>
      </w:r>
      <w:r>
        <w:rPr>
          <w:rFonts w:ascii="Arial"/>
          <w:spacing w:val="-2"/>
        </w:rPr>
        <w:t> company</w:t>
      </w:r>
    </w:p>
    <w:p>
      <w:pPr>
        <w:pStyle w:val="ListParagraph"/>
        <w:numPr>
          <w:ilvl w:val="0"/>
          <w:numId w:val="26"/>
        </w:numPr>
        <w:tabs>
          <w:tab w:pos="669" w:val="left" w:leader="none"/>
        </w:tabs>
        <w:spacing w:line="276" w:lineRule="auto" w:before="47" w:after="0"/>
        <w:ind w:left="308" w:right="489" w:firstLine="0"/>
        <w:jc w:val="left"/>
        <w:rPr>
          <w:rFonts w:ascii="Arial MT" w:hAnsi="Arial MT"/>
          <w:sz w:val="24"/>
        </w:rPr>
      </w:pPr>
      <w:r>
        <w:rPr>
          <w:rFonts w:ascii="Arial MT" w:hAnsi="Arial MT"/>
          <w:sz w:val="24"/>
        </w:rPr>
        <w:t>A director of a company must act in the way he considers, in good faith, would be most likely to promote the success of the company for the</w:t>
      </w:r>
      <w:r>
        <w:rPr>
          <w:rFonts w:ascii="Arial MT" w:hAnsi="Arial MT"/>
          <w:spacing w:val="-4"/>
          <w:sz w:val="24"/>
        </w:rPr>
        <w:t> </w:t>
      </w:r>
      <w:r>
        <w:rPr>
          <w:rFonts w:ascii="Arial MT" w:hAnsi="Arial MT"/>
          <w:sz w:val="24"/>
        </w:rPr>
        <w:t>benefit</w:t>
      </w:r>
      <w:r>
        <w:rPr>
          <w:rFonts w:ascii="Arial MT" w:hAnsi="Arial MT"/>
          <w:spacing w:val="-4"/>
          <w:sz w:val="24"/>
        </w:rPr>
        <w:t> </w:t>
      </w:r>
      <w:r>
        <w:rPr>
          <w:rFonts w:ascii="Arial MT" w:hAnsi="Arial MT"/>
          <w:sz w:val="24"/>
        </w:rPr>
        <w:t>of its</w:t>
      </w:r>
      <w:r>
        <w:rPr>
          <w:rFonts w:ascii="Arial MT" w:hAnsi="Arial MT"/>
          <w:spacing w:val="-3"/>
          <w:sz w:val="24"/>
        </w:rPr>
        <w:t> </w:t>
      </w:r>
      <w:r>
        <w:rPr>
          <w:rFonts w:ascii="Arial MT" w:hAnsi="Arial MT"/>
          <w:sz w:val="24"/>
        </w:rPr>
        <w:t>members</w:t>
      </w:r>
      <w:r>
        <w:rPr>
          <w:rFonts w:ascii="Arial MT" w:hAnsi="Arial MT"/>
          <w:spacing w:val="-3"/>
          <w:sz w:val="24"/>
        </w:rPr>
        <w:t> </w:t>
      </w:r>
      <w:r>
        <w:rPr>
          <w:rFonts w:ascii="Arial MT" w:hAnsi="Arial MT"/>
          <w:sz w:val="24"/>
        </w:rPr>
        <w:t>as</w:t>
      </w:r>
      <w:r>
        <w:rPr>
          <w:rFonts w:ascii="Arial MT" w:hAnsi="Arial MT"/>
          <w:spacing w:val="-3"/>
          <w:sz w:val="24"/>
        </w:rPr>
        <w:t> </w:t>
      </w:r>
      <w:r>
        <w:rPr>
          <w:rFonts w:ascii="Arial MT" w:hAnsi="Arial MT"/>
          <w:sz w:val="24"/>
        </w:rPr>
        <w:t>a</w:t>
      </w:r>
      <w:r>
        <w:rPr>
          <w:rFonts w:ascii="Arial MT" w:hAnsi="Arial MT"/>
          <w:spacing w:val="-2"/>
          <w:sz w:val="24"/>
        </w:rPr>
        <w:t> </w:t>
      </w:r>
      <w:r>
        <w:rPr>
          <w:rFonts w:ascii="Arial MT" w:hAnsi="Arial MT"/>
          <w:sz w:val="24"/>
        </w:rPr>
        <w:t>whole,</w:t>
      </w:r>
      <w:r>
        <w:rPr>
          <w:rFonts w:ascii="Arial MT" w:hAnsi="Arial MT"/>
          <w:spacing w:val="-3"/>
          <w:sz w:val="24"/>
        </w:rPr>
        <w:t> </w:t>
      </w:r>
      <w:r>
        <w:rPr>
          <w:rFonts w:ascii="Arial MT" w:hAnsi="Arial MT"/>
          <w:sz w:val="24"/>
        </w:rPr>
        <w:t>and</w:t>
      </w:r>
      <w:r>
        <w:rPr>
          <w:rFonts w:ascii="Arial MT" w:hAnsi="Arial MT"/>
          <w:spacing w:val="-7"/>
          <w:sz w:val="24"/>
        </w:rPr>
        <w:t> </w:t>
      </w:r>
      <w:r>
        <w:rPr>
          <w:rFonts w:ascii="Arial MT" w:hAnsi="Arial MT"/>
          <w:sz w:val="24"/>
        </w:rPr>
        <w:t>in</w:t>
      </w:r>
      <w:r>
        <w:rPr>
          <w:rFonts w:ascii="Arial MT" w:hAnsi="Arial MT"/>
          <w:spacing w:val="-3"/>
          <w:sz w:val="24"/>
        </w:rPr>
        <w:t> </w:t>
      </w:r>
      <w:r>
        <w:rPr>
          <w:rFonts w:ascii="Arial MT" w:hAnsi="Arial MT"/>
          <w:sz w:val="24"/>
        </w:rPr>
        <w:t>doing</w:t>
      </w:r>
      <w:r>
        <w:rPr>
          <w:rFonts w:ascii="Arial MT" w:hAnsi="Arial MT"/>
          <w:spacing w:val="-3"/>
          <w:sz w:val="24"/>
        </w:rPr>
        <w:t> </w:t>
      </w:r>
      <w:r>
        <w:rPr>
          <w:rFonts w:ascii="Arial MT" w:hAnsi="Arial MT"/>
          <w:sz w:val="24"/>
        </w:rPr>
        <w:t>so</w:t>
      </w:r>
      <w:r>
        <w:rPr>
          <w:rFonts w:ascii="Arial MT" w:hAnsi="Arial MT"/>
          <w:spacing w:val="-2"/>
          <w:sz w:val="24"/>
        </w:rPr>
        <w:t> </w:t>
      </w:r>
      <w:r>
        <w:rPr>
          <w:rFonts w:ascii="Arial MT" w:hAnsi="Arial MT"/>
          <w:sz w:val="24"/>
        </w:rPr>
        <w:t>have</w:t>
      </w:r>
      <w:r>
        <w:rPr>
          <w:rFonts w:ascii="Arial MT" w:hAnsi="Arial MT"/>
          <w:spacing w:val="-7"/>
          <w:sz w:val="24"/>
        </w:rPr>
        <w:t> </w:t>
      </w:r>
      <w:r>
        <w:rPr>
          <w:rFonts w:ascii="Arial MT" w:hAnsi="Arial MT"/>
          <w:sz w:val="24"/>
        </w:rPr>
        <w:t>regard</w:t>
      </w:r>
      <w:r>
        <w:rPr>
          <w:rFonts w:ascii="Arial MT" w:hAnsi="Arial MT"/>
          <w:spacing w:val="-3"/>
          <w:sz w:val="24"/>
        </w:rPr>
        <w:t> </w:t>
      </w:r>
      <w:r>
        <w:rPr>
          <w:rFonts w:ascii="Arial MT" w:hAnsi="Arial MT"/>
          <w:sz w:val="24"/>
        </w:rPr>
        <w:t>(amongst</w:t>
      </w:r>
      <w:r>
        <w:rPr>
          <w:rFonts w:ascii="Arial MT" w:hAnsi="Arial MT"/>
          <w:spacing w:val="-3"/>
          <w:sz w:val="24"/>
        </w:rPr>
        <w:t> </w:t>
      </w:r>
      <w:r>
        <w:rPr>
          <w:rFonts w:ascii="Arial MT" w:hAnsi="Arial MT"/>
          <w:sz w:val="24"/>
        </w:rPr>
        <w:t>other</w:t>
      </w:r>
      <w:r>
        <w:rPr>
          <w:rFonts w:ascii="Arial MT" w:hAnsi="Arial MT"/>
          <w:spacing w:val="-7"/>
          <w:sz w:val="24"/>
        </w:rPr>
        <w:t> </w:t>
      </w:r>
      <w:r>
        <w:rPr>
          <w:rFonts w:ascii="Arial MT" w:hAnsi="Arial MT"/>
          <w:sz w:val="24"/>
        </w:rPr>
        <w:t>matters) </w:t>
      </w:r>
      <w:r>
        <w:rPr>
          <w:rFonts w:ascii="Arial MT" w:hAnsi="Arial MT"/>
          <w:spacing w:val="-4"/>
          <w:sz w:val="24"/>
        </w:rPr>
        <w:t>to—</w:t>
      </w:r>
    </w:p>
    <w:p>
      <w:pPr>
        <w:pStyle w:val="ListParagraph"/>
        <w:numPr>
          <w:ilvl w:val="1"/>
          <w:numId w:val="26"/>
        </w:numPr>
        <w:tabs>
          <w:tab w:pos="670" w:val="left" w:leader="none"/>
        </w:tabs>
        <w:spacing w:line="240" w:lineRule="auto" w:before="2" w:after="0"/>
        <w:ind w:left="670" w:right="0" w:hanging="362"/>
        <w:jc w:val="left"/>
        <w:rPr>
          <w:rFonts w:ascii="Arial MT"/>
          <w:sz w:val="24"/>
        </w:rPr>
      </w:pPr>
      <w:r>
        <w:rPr>
          <w:rFonts w:ascii="Arial MT"/>
          <w:sz w:val="24"/>
        </w:rPr>
        <w:t>the</w:t>
      </w:r>
      <w:r>
        <w:rPr>
          <w:rFonts w:ascii="Arial MT"/>
          <w:spacing w:val="-11"/>
          <w:sz w:val="24"/>
        </w:rPr>
        <w:t> </w:t>
      </w:r>
      <w:r>
        <w:rPr>
          <w:rFonts w:ascii="Arial MT"/>
          <w:sz w:val="24"/>
        </w:rPr>
        <w:t>likely</w:t>
      </w:r>
      <w:r>
        <w:rPr>
          <w:rFonts w:ascii="Arial MT"/>
          <w:spacing w:val="-7"/>
          <w:sz w:val="24"/>
        </w:rPr>
        <w:t> </w:t>
      </w:r>
      <w:r>
        <w:rPr>
          <w:rFonts w:ascii="Arial MT"/>
          <w:sz w:val="24"/>
        </w:rPr>
        <w:t>consequences</w:t>
      </w:r>
      <w:r>
        <w:rPr>
          <w:rFonts w:ascii="Arial MT"/>
          <w:spacing w:val="-12"/>
          <w:sz w:val="24"/>
        </w:rPr>
        <w:t> </w:t>
      </w:r>
      <w:r>
        <w:rPr>
          <w:rFonts w:ascii="Arial MT"/>
          <w:sz w:val="24"/>
        </w:rPr>
        <w:t>of</w:t>
      </w:r>
      <w:r>
        <w:rPr>
          <w:rFonts w:ascii="Arial MT"/>
          <w:spacing w:val="-7"/>
          <w:sz w:val="24"/>
        </w:rPr>
        <w:t> </w:t>
      </w:r>
      <w:r>
        <w:rPr>
          <w:rFonts w:ascii="Arial MT"/>
          <w:sz w:val="24"/>
        </w:rPr>
        <w:t>any</w:t>
      </w:r>
      <w:r>
        <w:rPr>
          <w:rFonts w:ascii="Arial MT"/>
          <w:spacing w:val="-7"/>
          <w:sz w:val="24"/>
        </w:rPr>
        <w:t> </w:t>
      </w:r>
      <w:r>
        <w:rPr>
          <w:rFonts w:ascii="Arial MT"/>
          <w:sz w:val="24"/>
        </w:rPr>
        <w:t>decision</w:t>
      </w:r>
      <w:r>
        <w:rPr>
          <w:rFonts w:ascii="Arial MT"/>
          <w:spacing w:val="-11"/>
          <w:sz w:val="24"/>
        </w:rPr>
        <w:t> </w:t>
      </w:r>
      <w:r>
        <w:rPr>
          <w:rFonts w:ascii="Arial MT"/>
          <w:sz w:val="24"/>
        </w:rPr>
        <w:t>in</w:t>
      </w:r>
      <w:r>
        <w:rPr>
          <w:rFonts w:ascii="Arial MT"/>
          <w:spacing w:val="-10"/>
          <w:sz w:val="24"/>
        </w:rPr>
        <w:t> </w:t>
      </w:r>
      <w:r>
        <w:rPr>
          <w:rFonts w:ascii="Arial MT"/>
          <w:sz w:val="24"/>
        </w:rPr>
        <w:t>the</w:t>
      </w:r>
      <w:r>
        <w:rPr>
          <w:rFonts w:ascii="Arial MT"/>
          <w:spacing w:val="-11"/>
          <w:sz w:val="24"/>
        </w:rPr>
        <w:t> </w:t>
      </w:r>
      <w:r>
        <w:rPr>
          <w:rFonts w:ascii="Arial MT"/>
          <w:sz w:val="24"/>
        </w:rPr>
        <w:t>long</w:t>
      </w:r>
      <w:r>
        <w:rPr>
          <w:rFonts w:ascii="Arial MT"/>
          <w:spacing w:val="-7"/>
          <w:sz w:val="24"/>
        </w:rPr>
        <w:t> </w:t>
      </w:r>
      <w:r>
        <w:rPr>
          <w:rFonts w:ascii="Arial MT"/>
          <w:spacing w:val="-2"/>
          <w:sz w:val="24"/>
        </w:rPr>
        <w:t>term,</w:t>
      </w:r>
    </w:p>
    <w:p>
      <w:pPr>
        <w:pStyle w:val="ListParagraph"/>
        <w:numPr>
          <w:ilvl w:val="1"/>
          <w:numId w:val="26"/>
        </w:numPr>
        <w:tabs>
          <w:tab w:pos="670" w:val="left" w:leader="none"/>
        </w:tabs>
        <w:spacing w:line="240" w:lineRule="auto" w:before="41" w:after="0"/>
        <w:ind w:left="670" w:right="0" w:hanging="362"/>
        <w:jc w:val="left"/>
        <w:rPr>
          <w:rFonts w:ascii="Arial MT" w:hAnsi="Arial MT"/>
          <w:sz w:val="24"/>
        </w:rPr>
      </w:pPr>
      <w:r>
        <w:rPr>
          <w:rFonts w:ascii="Arial MT" w:hAnsi="Arial MT"/>
          <w:sz w:val="24"/>
        </w:rPr>
        <w:t>the</w:t>
      </w:r>
      <w:r>
        <w:rPr>
          <w:rFonts w:ascii="Arial MT" w:hAnsi="Arial MT"/>
          <w:spacing w:val="-8"/>
          <w:sz w:val="24"/>
        </w:rPr>
        <w:t> </w:t>
      </w:r>
      <w:r>
        <w:rPr>
          <w:rFonts w:ascii="Arial MT" w:hAnsi="Arial MT"/>
          <w:sz w:val="24"/>
        </w:rPr>
        <w:t>interests</w:t>
      </w:r>
      <w:r>
        <w:rPr>
          <w:rFonts w:ascii="Arial MT" w:hAnsi="Arial MT"/>
          <w:spacing w:val="-3"/>
          <w:sz w:val="24"/>
        </w:rPr>
        <w:t> </w:t>
      </w:r>
      <w:r>
        <w:rPr>
          <w:rFonts w:ascii="Arial MT" w:hAnsi="Arial MT"/>
          <w:sz w:val="24"/>
        </w:rPr>
        <w:t>of</w:t>
      </w:r>
      <w:r>
        <w:rPr>
          <w:rFonts w:ascii="Arial MT" w:hAnsi="Arial MT"/>
          <w:spacing w:val="-4"/>
          <w:sz w:val="24"/>
        </w:rPr>
        <w:t> </w:t>
      </w:r>
      <w:r>
        <w:rPr>
          <w:rFonts w:ascii="Arial MT" w:hAnsi="Arial MT"/>
          <w:sz w:val="24"/>
        </w:rPr>
        <w:t>the</w:t>
      </w:r>
      <w:r>
        <w:rPr>
          <w:rFonts w:ascii="Arial MT" w:hAnsi="Arial MT"/>
          <w:spacing w:val="-3"/>
          <w:sz w:val="24"/>
        </w:rPr>
        <w:t> </w:t>
      </w:r>
      <w:r>
        <w:rPr>
          <w:rFonts w:ascii="Arial MT" w:hAnsi="Arial MT"/>
          <w:sz w:val="24"/>
        </w:rPr>
        <w:t>company’s</w:t>
      </w:r>
      <w:r>
        <w:rPr>
          <w:rFonts w:ascii="Arial MT" w:hAnsi="Arial MT"/>
          <w:spacing w:val="-3"/>
          <w:sz w:val="24"/>
        </w:rPr>
        <w:t> </w:t>
      </w:r>
      <w:r>
        <w:rPr>
          <w:rFonts w:ascii="Arial MT" w:hAnsi="Arial MT"/>
          <w:spacing w:val="-2"/>
          <w:sz w:val="24"/>
        </w:rPr>
        <w:t>employees,</w:t>
      </w:r>
    </w:p>
    <w:p>
      <w:pPr>
        <w:pStyle w:val="ListParagraph"/>
        <w:numPr>
          <w:ilvl w:val="1"/>
          <w:numId w:val="26"/>
        </w:numPr>
        <w:tabs>
          <w:tab w:pos="656" w:val="left" w:leader="none"/>
        </w:tabs>
        <w:spacing w:line="276" w:lineRule="auto" w:before="41" w:after="0"/>
        <w:ind w:left="308" w:right="893" w:firstLine="0"/>
        <w:jc w:val="left"/>
        <w:rPr>
          <w:rFonts w:ascii="Arial MT" w:hAnsi="Arial MT"/>
          <w:sz w:val="24"/>
        </w:rPr>
      </w:pPr>
      <w:r>
        <w:rPr>
          <w:rFonts w:ascii="Arial MT" w:hAnsi="Arial MT"/>
          <w:sz w:val="24"/>
        </w:rPr>
        <w:t>the</w:t>
      </w:r>
      <w:r>
        <w:rPr>
          <w:rFonts w:ascii="Arial MT" w:hAnsi="Arial MT"/>
          <w:spacing w:val="-8"/>
          <w:sz w:val="24"/>
        </w:rPr>
        <w:t> </w:t>
      </w:r>
      <w:r>
        <w:rPr>
          <w:rFonts w:ascii="Arial MT" w:hAnsi="Arial MT"/>
          <w:sz w:val="24"/>
        </w:rPr>
        <w:t>need</w:t>
      </w:r>
      <w:r>
        <w:rPr>
          <w:rFonts w:ascii="Arial MT" w:hAnsi="Arial MT"/>
          <w:spacing w:val="-4"/>
          <w:sz w:val="24"/>
        </w:rPr>
        <w:t> </w:t>
      </w:r>
      <w:r>
        <w:rPr>
          <w:rFonts w:ascii="Arial MT" w:hAnsi="Arial MT"/>
          <w:sz w:val="24"/>
        </w:rPr>
        <w:t>to</w:t>
      </w:r>
      <w:r>
        <w:rPr>
          <w:rFonts w:ascii="Arial MT" w:hAnsi="Arial MT"/>
          <w:spacing w:val="-4"/>
          <w:sz w:val="24"/>
        </w:rPr>
        <w:t> </w:t>
      </w:r>
      <w:r>
        <w:rPr>
          <w:rFonts w:ascii="Arial MT" w:hAnsi="Arial MT"/>
          <w:sz w:val="24"/>
        </w:rPr>
        <w:t>foster</w:t>
      </w:r>
      <w:r>
        <w:rPr>
          <w:rFonts w:ascii="Arial MT" w:hAnsi="Arial MT"/>
          <w:spacing w:val="-3"/>
          <w:sz w:val="24"/>
        </w:rPr>
        <w:t> </w:t>
      </w:r>
      <w:r>
        <w:rPr>
          <w:rFonts w:ascii="Arial MT" w:hAnsi="Arial MT"/>
          <w:sz w:val="24"/>
        </w:rPr>
        <w:t>the</w:t>
      </w:r>
      <w:r>
        <w:rPr>
          <w:rFonts w:ascii="Arial MT" w:hAnsi="Arial MT"/>
          <w:spacing w:val="-4"/>
          <w:sz w:val="24"/>
        </w:rPr>
        <w:t> </w:t>
      </w:r>
      <w:r>
        <w:rPr>
          <w:rFonts w:ascii="Arial MT" w:hAnsi="Arial MT"/>
          <w:sz w:val="24"/>
        </w:rPr>
        <w:t>company’s</w:t>
      </w:r>
      <w:r>
        <w:rPr>
          <w:rFonts w:ascii="Arial MT" w:hAnsi="Arial MT"/>
          <w:spacing w:val="-4"/>
          <w:sz w:val="24"/>
        </w:rPr>
        <w:t> </w:t>
      </w:r>
      <w:r>
        <w:rPr>
          <w:rFonts w:ascii="Arial MT" w:hAnsi="Arial MT"/>
          <w:sz w:val="24"/>
        </w:rPr>
        <w:t>business</w:t>
      </w:r>
      <w:r>
        <w:rPr>
          <w:rFonts w:ascii="Arial MT" w:hAnsi="Arial MT"/>
          <w:spacing w:val="-9"/>
          <w:sz w:val="24"/>
        </w:rPr>
        <w:t> </w:t>
      </w:r>
      <w:r>
        <w:rPr>
          <w:rFonts w:ascii="Arial MT" w:hAnsi="Arial MT"/>
          <w:sz w:val="24"/>
        </w:rPr>
        <w:t>relationships</w:t>
      </w:r>
      <w:r>
        <w:rPr>
          <w:rFonts w:ascii="Arial MT" w:hAnsi="Arial MT"/>
          <w:spacing w:val="-4"/>
          <w:sz w:val="24"/>
        </w:rPr>
        <w:t> </w:t>
      </w:r>
      <w:r>
        <w:rPr>
          <w:rFonts w:ascii="Arial MT" w:hAnsi="Arial MT"/>
          <w:sz w:val="24"/>
        </w:rPr>
        <w:t>with</w:t>
      </w:r>
      <w:r>
        <w:rPr>
          <w:rFonts w:ascii="Arial MT" w:hAnsi="Arial MT"/>
          <w:spacing w:val="-4"/>
          <w:sz w:val="24"/>
        </w:rPr>
        <w:t> </w:t>
      </w:r>
      <w:r>
        <w:rPr>
          <w:rFonts w:ascii="Arial MT" w:hAnsi="Arial MT"/>
          <w:sz w:val="24"/>
        </w:rPr>
        <w:t>suppliers, customers and others,</w:t>
      </w:r>
    </w:p>
    <w:p>
      <w:pPr>
        <w:spacing w:after="0" w:line="276" w:lineRule="auto"/>
        <w:jc w:val="left"/>
        <w:rPr>
          <w:rFonts w:ascii="Arial MT" w:hAnsi="Arial MT"/>
          <w:sz w:val="24"/>
        </w:rPr>
        <w:sectPr>
          <w:type w:val="continuous"/>
          <w:pgSz w:w="11910" w:h="16840"/>
          <w:pgMar w:header="0" w:footer="998" w:top="1320" w:bottom="280" w:left="1680" w:right="1180"/>
        </w:sectPr>
      </w:pPr>
    </w:p>
    <w:p>
      <w:pPr>
        <w:pStyle w:val="ListParagraph"/>
        <w:numPr>
          <w:ilvl w:val="1"/>
          <w:numId w:val="26"/>
        </w:numPr>
        <w:tabs>
          <w:tab w:pos="670" w:val="left" w:leader="none"/>
        </w:tabs>
        <w:spacing w:line="276" w:lineRule="auto" w:before="69" w:after="0"/>
        <w:ind w:left="308" w:right="1376" w:firstLine="0"/>
        <w:jc w:val="left"/>
        <w:rPr>
          <w:rFonts w:ascii="Arial MT" w:hAnsi="Arial MT"/>
          <w:sz w:val="24"/>
        </w:rPr>
      </w:pPr>
      <w:r>
        <w:rPr>
          <w:rFonts w:ascii="Arial MT" w:hAnsi="Arial MT"/>
          <w:sz w:val="24"/>
        </w:rPr>
        <w:t>the</w:t>
      </w:r>
      <w:r>
        <w:rPr>
          <w:rFonts w:ascii="Arial MT" w:hAnsi="Arial MT"/>
          <w:spacing w:val="-7"/>
          <w:sz w:val="24"/>
        </w:rPr>
        <w:t> </w:t>
      </w:r>
      <w:r>
        <w:rPr>
          <w:rFonts w:ascii="Arial MT" w:hAnsi="Arial MT"/>
          <w:sz w:val="24"/>
        </w:rPr>
        <w:t>impact</w:t>
      </w:r>
      <w:r>
        <w:rPr>
          <w:rFonts w:ascii="Arial MT" w:hAnsi="Arial MT"/>
          <w:spacing w:val="-3"/>
          <w:sz w:val="24"/>
        </w:rPr>
        <w:t> </w:t>
      </w:r>
      <w:r>
        <w:rPr>
          <w:rFonts w:ascii="Arial MT" w:hAnsi="Arial MT"/>
          <w:sz w:val="24"/>
        </w:rPr>
        <w:t>of</w:t>
      </w:r>
      <w:r>
        <w:rPr>
          <w:rFonts w:ascii="Arial MT" w:hAnsi="Arial MT"/>
          <w:spacing w:val="-3"/>
          <w:sz w:val="24"/>
        </w:rPr>
        <w:t> </w:t>
      </w:r>
      <w:r>
        <w:rPr>
          <w:rFonts w:ascii="Arial MT" w:hAnsi="Arial MT"/>
          <w:sz w:val="24"/>
        </w:rPr>
        <w:t>the</w:t>
      </w:r>
      <w:r>
        <w:rPr>
          <w:rFonts w:ascii="Arial MT" w:hAnsi="Arial MT"/>
          <w:spacing w:val="-3"/>
          <w:sz w:val="24"/>
        </w:rPr>
        <w:t> </w:t>
      </w:r>
      <w:r>
        <w:rPr>
          <w:rFonts w:ascii="Arial MT" w:hAnsi="Arial MT"/>
          <w:sz w:val="24"/>
        </w:rPr>
        <w:t>company’s</w:t>
      </w:r>
      <w:r>
        <w:rPr>
          <w:rFonts w:ascii="Arial MT" w:hAnsi="Arial MT"/>
          <w:spacing w:val="-3"/>
          <w:sz w:val="24"/>
        </w:rPr>
        <w:t> </w:t>
      </w:r>
      <w:r>
        <w:rPr>
          <w:rFonts w:ascii="Arial MT" w:hAnsi="Arial MT"/>
          <w:sz w:val="24"/>
        </w:rPr>
        <w:t>operations</w:t>
      </w:r>
      <w:r>
        <w:rPr>
          <w:rFonts w:ascii="Arial MT" w:hAnsi="Arial MT"/>
          <w:spacing w:val="-8"/>
          <w:sz w:val="24"/>
        </w:rPr>
        <w:t> </w:t>
      </w:r>
      <w:r>
        <w:rPr>
          <w:rFonts w:ascii="Arial MT" w:hAnsi="Arial MT"/>
          <w:sz w:val="24"/>
        </w:rPr>
        <w:t>on</w:t>
      </w:r>
      <w:r>
        <w:rPr>
          <w:rFonts w:ascii="Arial MT" w:hAnsi="Arial MT"/>
          <w:spacing w:val="-7"/>
          <w:sz w:val="24"/>
        </w:rPr>
        <w:t> </w:t>
      </w:r>
      <w:r>
        <w:rPr>
          <w:rFonts w:ascii="Arial MT" w:hAnsi="Arial MT"/>
          <w:sz w:val="24"/>
        </w:rPr>
        <w:t>the</w:t>
      </w:r>
      <w:r>
        <w:rPr>
          <w:rFonts w:ascii="Arial MT" w:hAnsi="Arial MT"/>
          <w:spacing w:val="-3"/>
          <w:sz w:val="24"/>
        </w:rPr>
        <w:t> </w:t>
      </w:r>
      <w:r>
        <w:rPr>
          <w:rFonts w:ascii="Arial MT" w:hAnsi="Arial MT"/>
          <w:sz w:val="24"/>
        </w:rPr>
        <w:t>community</w:t>
      </w:r>
      <w:r>
        <w:rPr>
          <w:rFonts w:ascii="Arial MT" w:hAnsi="Arial MT"/>
          <w:spacing w:val="-3"/>
          <w:sz w:val="24"/>
        </w:rPr>
        <w:t> </w:t>
      </w:r>
      <w:r>
        <w:rPr>
          <w:rFonts w:ascii="Arial MT" w:hAnsi="Arial MT"/>
          <w:sz w:val="24"/>
        </w:rPr>
        <w:t>and</w:t>
      </w:r>
      <w:r>
        <w:rPr>
          <w:rFonts w:ascii="Arial MT" w:hAnsi="Arial MT"/>
          <w:spacing w:val="-3"/>
          <w:sz w:val="24"/>
        </w:rPr>
        <w:t> </w:t>
      </w:r>
      <w:r>
        <w:rPr>
          <w:rFonts w:ascii="Arial MT" w:hAnsi="Arial MT"/>
          <w:sz w:val="24"/>
        </w:rPr>
        <w:t>the </w:t>
      </w:r>
      <w:r>
        <w:rPr>
          <w:rFonts w:ascii="Arial MT" w:hAnsi="Arial MT"/>
          <w:spacing w:val="-2"/>
          <w:sz w:val="24"/>
        </w:rPr>
        <w:t>environment,</w:t>
      </w:r>
    </w:p>
    <w:p>
      <w:pPr>
        <w:pStyle w:val="ListParagraph"/>
        <w:numPr>
          <w:ilvl w:val="1"/>
          <w:numId w:val="26"/>
        </w:numPr>
        <w:tabs>
          <w:tab w:pos="670" w:val="left" w:leader="none"/>
        </w:tabs>
        <w:spacing w:line="276" w:lineRule="auto" w:before="0" w:after="0"/>
        <w:ind w:left="308" w:right="252" w:firstLine="0"/>
        <w:jc w:val="left"/>
        <w:rPr>
          <w:rFonts w:ascii="Arial MT"/>
          <w:sz w:val="24"/>
        </w:rPr>
      </w:pPr>
      <w:r>
        <w:rPr>
          <w:rFonts w:ascii="Arial MT"/>
          <w:sz w:val="24"/>
        </w:rPr>
        <w:t>the</w:t>
      </w:r>
      <w:r>
        <w:rPr>
          <w:rFonts w:ascii="Arial MT"/>
          <w:spacing w:val="-1"/>
          <w:sz w:val="24"/>
        </w:rPr>
        <w:t> </w:t>
      </w:r>
      <w:r>
        <w:rPr>
          <w:rFonts w:ascii="Arial MT"/>
          <w:sz w:val="24"/>
        </w:rPr>
        <w:t>desirability</w:t>
      </w:r>
      <w:r>
        <w:rPr>
          <w:rFonts w:ascii="Arial MT"/>
          <w:spacing w:val="-8"/>
          <w:sz w:val="24"/>
        </w:rPr>
        <w:t> </w:t>
      </w:r>
      <w:r>
        <w:rPr>
          <w:rFonts w:ascii="Arial MT"/>
          <w:sz w:val="24"/>
        </w:rPr>
        <w:t>of</w:t>
      </w:r>
      <w:r>
        <w:rPr>
          <w:rFonts w:ascii="Arial MT"/>
          <w:spacing w:val="-3"/>
          <w:sz w:val="24"/>
        </w:rPr>
        <w:t> </w:t>
      </w:r>
      <w:r>
        <w:rPr>
          <w:rFonts w:ascii="Arial MT"/>
          <w:sz w:val="24"/>
        </w:rPr>
        <w:t>the</w:t>
      </w:r>
      <w:r>
        <w:rPr>
          <w:rFonts w:ascii="Arial MT"/>
          <w:spacing w:val="-7"/>
          <w:sz w:val="24"/>
        </w:rPr>
        <w:t> </w:t>
      </w:r>
      <w:r>
        <w:rPr>
          <w:rFonts w:ascii="Arial MT"/>
          <w:sz w:val="24"/>
        </w:rPr>
        <w:t>company maintaining</w:t>
      </w:r>
      <w:r>
        <w:rPr>
          <w:rFonts w:ascii="Arial MT"/>
          <w:spacing w:val="-7"/>
          <w:sz w:val="24"/>
        </w:rPr>
        <w:t> </w:t>
      </w:r>
      <w:r>
        <w:rPr>
          <w:rFonts w:ascii="Arial MT"/>
          <w:sz w:val="24"/>
        </w:rPr>
        <w:t>a</w:t>
      </w:r>
      <w:r>
        <w:rPr>
          <w:rFonts w:ascii="Arial MT"/>
          <w:spacing w:val="-2"/>
          <w:sz w:val="24"/>
        </w:rPr>
        <w:t> </w:t>
      </w:r>
      <w:r>
        <w:rPr>
          <w:rFonts w:ascii="Arial MT"/>
          <w:sz w:val="24"/>
        </w:rPr>
        <w:t>reputation</w:t>
      </w:r>
      <w:r>
        <w:rPr>
          <w:rFonts w:ascii="Arial MT"/>
          <w:spacing w:val="-3"/>
          <w:sz w:val="24"/>
        </w:rPr>
        <w:t> </w:t>
      </w:r>
      <w:r>
        <w:rPr>
          <w:rFonts w:ascii="Arial MT"/>
          <w:sz w:val="24"/>
        </w:rPr>
        <w:t>for</w:t>
      </w:r>
      <w:r>
        <w:rPr>
          <w:rFonts w:ascii="Arial MT"/>
          <w:spacing w:val="-2"/>
          <w:sz w:val="24"/>
        </w:rPr>
        <w:t> </w:t>
      </w:r>
      <w:r>
        <w:rPr>
          <w:rFonts w:ascii="Arial MT"/>
          <w:sz w:val="24"/>
        </w:rPr>
        <w:t>high</w:t>
      </w:r>
      <w:r>
        <w:rPr>
          <w:rFonts w:ascii="Arial MT"/>
          <w:spacing w:val="-7"/>
          <w:sz w:val="24"/>
        </w:rPr>
        <w:t> </w:t>
      </w:r>
      <w:r>
        <w:rPr>
          <w:rFonts w:ascii="Arial MT"/>
          <w:sz w:val="24"/>
        </w:rPr>
        <w:t>standards</w:t>
      </w:r>
      <w:r>
        <w:rPr>
          <w:rFonts w:ascii="Arial MT"/>
          <w:spacing w:val="-3"/>
          <w:sz w:val="24"/>
        </w:rPr>
        <w:t> </w:t>
      </w:r>
      <w:r>
        <w:rPr>
          <w:rFonts w:ascii="Arial MT"/>
          <w:sz w:val="24"/>
        </w:rPr>
        <w:t>of business conduct, and</w:t>
      </w:r>
    </w:p>
    <w:p>
      <w:pPr>
        <w:pStyle w:val="ListParagraph"/>
        <w:numPr>
          <w:ilvl w:val="1"/>
          <w:numId w:val="26"/>
        </w:numPr>
        <w:tabs>
          <w:tab w:pos="603" w:val="left" w:leader="none"/>
        </w:tabs>
        <w:spacing w:line="275" w:lineRule="exact" w:before="0" w:after="0"/>
        <w:ind w:left="603" w:right="0" w:hanging="295"/>
        <w:jc w:val="left"/>
        <w:rPr>
          <w:rFonts w:ascii="Arial MT"/>
          <w:sz w:val="24"/>
        </w:rPr>
      </w:pPr>
      <w:r>
        <w:rPr>
          <w:rFonts w:ascii="Arial MT"/>
          <w:sz w:val="24"/>
        </w:rPr>
        <w:t>the</w:t>
      </w:r>
      <w:r>
        <w:rPr>
          <w:rFonts w:ascii="Arial MT"/>
          <w:spacing w:val="-11"/>
          <w:sz w:val="24"/>
        </w:rPr>
        <w:t> </w:t>
      </w:r>
      <w:r>
        <w:rPr>
          <w:rFonts w:ascii="Arial MT"/>
          <w:sz w:val="24"/>
        </w:rPr>
        <w:t>need</w:t>
      </w:r>
      <w:r>
        <w:rPr>
          <w:rFonts w:ascii="Arial MT"/>
          <w:spacing w:val="-11"/>
          <w:sz w:val="24"/>
        </w:rPr>
        <w:t> </w:t>
      </w:r>
      <w:r>
        <w:rPr>
          <w:rFonts w:ascii="Arial MT"/>
          <w:sz w:val="24"/>
        </w:rPr>
        <w:t>to</w:t>
      </w:r>
      <w:r>
        <w:rPr>
          <w:rFonts w:ascii="Arial MT"/>
          <w:spacing w:val="-6"/>
          <w:sz w:val="24"/>
        </w:rPr>
        <w:t> </w:t>
      </w:r>
      <w:r>
        <w:rPr>
          <w:rFonts w:ascii="Arial MT"/>
          <w:sz w:val="24"/>
        </w:rPr>
        <w:t>act</w:t>
      </w:r>
      <w:r>
        <w:rPr>
          <w:rFonts w:ascii="Arial MT"/>
          <w:spacing w:val="-7"/>
          <w:sz w:val="24"/>
        </w:rPr>
        <w:t> </w:t>
      </w:r>
      <w:r>
        <w:rPr>
          <w:rFonts w:ascii="Arial MT"/>
          <w:sz w:val="24"/>
        </w:rPr>
        <w:t>fairly</w:t>
      </w:r>
      <w:r>
        <w:rPr>
          <w:rFonts w:ascii="Arial MT"/>
          <w:spacing w:val="-7"/>
          <w:sz w:val="24"/>
        </w:rPr>
        <w:t> </w:t>
      </w:r>
      <w:r>
        <w:rPr>
          <w:rFonts w:ascii="Arial MT"/>
          <w:sz w:val="24"/>
        </w:rPr>
        <w:t>as</w:t>
      </w:r>
      <w:r>
        <w:rPr>
          <w:rFonts w:ascii="Arial MT"/>
          <w:spacing w:val="-8"/>
          <w:sz w:val="24"/>
        </w:rPr>
        <w:t> </w:t>
      </w:r>
      <w:r>
        <w:rPr>
          <w:rFonts w:ascii="Arial MT"/>
          <w:sz w:val="24"/>
        </w:rPr>
        <w:t>between</w:t>
      </w:r>
      <w:r>
        <w:rPr>
          <w:rFonts w:ascii="Arial MT"/>
          <w:spacing w:val="-7"/>
          <w:sz w:val="24"/>
        </w:rPr>
        <w:t> </w:t>
      </w:r>
      <w:r>
        <w:rPr>
          <w:rFonts w:ascii="Arial MT"/>
          <w:sz w:val="24"/>
        </w:rPr>
        <w:t>members</w:t>
      </w:r>
      <w:r>
        <w:rPr>
          <w:rFonts w:ascii="Arial MT"/>
          <w:spacing w:val="-7"/>
          <w:sz w:val="24"/>
        </w:rPr>
        <w:t> </w:t>
      </w:r>
      <w:r>
        <w:rPr>
          <w:rFonts w:ascii="Arial MT"/>
          <w:sz w:val="24"/>
        </w:rPr>
        <w:t>of</w:t>
      </w:r>
      <w:r>
        <w:rPr>
          <w:rFonts w:ascii="Arial MT"/>
          <w:spacing w:val="-7"/>
          <w:sz w:val="24"/>
        </w:rPr>
        <w:t> </w:t>
      </w:r>
      <w:r>
        <w:rPr>
          <w:rFonts w:ascii="Arial MT"/>
          <w:sz w:val="24"/>
        </w:rPr>
        <w:t>the</w:t>
      </w:r>
      <w:r>
        <w:rPr>
          <w:rFonts w:ascii="Arial MT"/>
          <w:spacing w:val="-7"/>
          <w:sz w:val="24"/>
        </w:rPr>
        <w:t> </w:t>
      </w:r>
      <w:r>
        <w:rPr>
          <w:rFonts w:ascii="Arial MT"/>
          <w:spacing w:val="-2"/>
          <w:sz w:val="24"/>
        </w:rPr>
        <w:t>company.</w:t>
      </w:r>
    </w:p>
    <w:p>
      <w:pPr>
        <w:pStyle w:val="ListParagraph"/>
        <w:numPr>
          <w:ilvl w:val="0"/>
          <w:numId w:val="26"/>
        </w:numPr>
        <w:tabs>
          <w:tab w:pos="660" w:val="left" w:leader="none"/>
        </w:tabs>
        <w:spacing w:line="276" w:lineRule="auto" w:before="44" w:after="0"/>
        <w:ind w:left="308" w:right="848" w:firstLine="0"/>
        <w:jc w:val="left"/>
        <w:rPr>
          <w:rFonts w:ascii="Arial MT"/>
          <w:sz w:val="24"/>
        </w:rPr>
      </w:pPr>
      <w:r>
        <w:rPr>
          <w:rFonts w:ascii="Arial MT"/>
          <w:sz w:val="24"/>
        </w:rPr>
        <w:t>Where or to the extent that the purposes of the company consist of or include</w:t>
      </w:r>
      <w:r>
        <w:rPr>
          <w:rFonts w:ascii="Arial MT"/>
          <w:spacing w:val="-3"/>
          <w:sz w:val="24"/>
        </w:rPr>
        <w:t> </w:t>
      </w:r>
      <w:r>
        <w:rPr>
          <w:rFonts w:ascii="Arial MT"/>
          <w:sz w:val="24"/>
        </w:rPr>
        <w:t>purposes</w:t>
      </w:r>
      <w:r>
        <w:rPr>
          <w:rFonts w:ascii="Arial MT"/>
          <w:spacing w:val="-3"/>
          <w:sz w:val="24"/>
        </w:rPr>
        <w:t> </w:t>
      </w:r>
      <w:r>
        <w:rPr>
          <w:rFonts w:ascii="Arial MT"/>
          <w:sz w:val="24"/>
        </w:rPr>
        <w:t>other than</w:t>
      </w:r>
      <w:r>
        <w:rPr>
          <w:rFonts w:ascii="Arial MT"/>
          <w:spacing w:val="-3"/>
          <w:sz w:val="24"/>
        </w:rPr>
        <w:t> </w:t>
      </w:r>
      <w:r>
        <w:rPr>
          <w:rFonts w:ascii="Arial MT"/>
          <w:sz w:val="24"/>
        </w:rPr>
        <w:t>the</w:t>
      </w:r>
      <w:r>
        <w:rPr>
          <w:rFonts w:ascii="Arial MT"/>
          <w:spacing w:val="-3"/>
          <w:sz w:val="24"/>
        </w:rPr>
        <w:t> </w:t>
      </w:r>
      <w:r>
        <w:rPr>
          <w:rFonts w:ascii="Arial MT"/>
          <w:sz w:val="24"/>
        </w:rPr>
        <w:t>benefit</w:t>
      </w:r>
      <w:r>
        <w:rPr>
          <w:rFonts w:ascii="Arial MT"/>
          <w:spacing w:val="-3"/>
          <w:sz w:val="24"/>
        </w:rPr>
        <w:t> </w:t>
      </w:r>
      <w:r>
        <w:rPr>
          <w:rFonts w:ascii="Arial MT"/>
          <w:sz w:val="24"/>
        </w:rPr>
        <w:t>of</w:t>
      </w:r>
      <w:r>
        <w:rPr>
          <w:rFonts w:ascii="Arial MT"/>
          <w:spacing w:val="-7"/>
          <w:sz w:val="24"/>
        </w:rPr>
        <w:t> </w:t>
      </w:r>
      <w:r>
        <w:rPr>
          <w:rFonts w:ascii="Arial MT"/>
          <w:sz w:val="24"/>
        </w:rPr>
        <w:t>its</w:t>
      </w:r>
      <w:r>
        <w:rPr>
          <w:rFonts w:ascii="Arial MT"/>
          <w:spacing w:val="-7"/>
          <w:sz w:val="24"/>
        </w:rPr>
        <w:t> </w:t>
      </w:r>
      <w:r>
        <w:rPr>
          <w:rFonts w:ascii="Arial MT"/>
          <w:sz w:val="24"/>
        </w:rPr>
        <w:t>members,</w:t>
      </w:r>
      <w:r>
        <w:rPr>
          <w:rFonts w:ascii="Arial MT"/>
          <w:spacing w:val="-3"/>
          <w:sz w:val="24"/>
        </w:rPr>
        <w:t> </w:t>
      </w:r>
      <w:r>
        <w:rPr>
          <w:rFonts w:ascii="Arial MT"/>
          <w:sz w:val="24"/>
        </w:rPr>
        <w:t>subsection</w:t>
      </w:r>
      <w:r>
        <w:rPr>
          <w:rFonts w:ascii="Arial MT"/>
          <w:spacing w:val="-3"/>
          <w:sz w:val="24"/>
        </w:rPr>
        <w:t> </w:t>
      </w:r>
      <w:r>
        <w:rPr>
          <w:rFonts w:ascii="Arial MT"/>
          <w:sz w:val="24"/>
        </w:rPr>
        <w:t>(1)</w:t>
      </w:r>
      <w:r>
        <w:rPr>
          <w:rFonts w:ascii="Arial MT"/>
          <w:spacing w:val="-3"/>
          <w:sz w:val="24"/>
        </w:rPr>
        <w:t> </w:t>
      </w:r>
      <w:r>
        <w:rPr>
          <w:rFonts w:ascii="Arial MT"/>
          <w:sz w:val="24"/>
        </w:rPr>
        <w:t>has effect as if the reference to promoting the success of the company for the benefit of its members were to achieving those purposes.</w:t>
      </w:r>
    </w:p>
    <w:p>
      <w:pPr>
        <w:pStyle w:val="ListParagraph"/>
        <w:numPr>
          <w:ilvl w:val="0"/>
          <w:numId w:val="26"/>
        </w:numPr>
        <w:tabs>
          <w:tab w:pos="669" w:val="left" w:leader="none"/>
        </w:tabs>
        <w:spacing w:line="276" w:lineRule="auto" w:before="0" w:after="0"/>
        <w:ind w:left="308" w:right="285" w:firstLine="0"/>
        <w:jc w:val="left"/>
        <w:rPr>
          <w:rFonts w:ascii="Arial MT"/>
          <w:sz w:val="24"/>
        </w:rPr>
      </w:pPr>
      <w:r>
        <w:rPr>
          <w:rFonts w:ascii="Arial MT"/>
          <w:sz w:val="24"/>
        </w:rPr>
        <w:t>The</w:t>
      </w:r>
      <w:r>
        <w:rPr>
          <w:rFonts w:ascii="Arial MT"/>
          <w:spacing w:val="-2"/>
          <w:sz w:val="24"/>
        </w:rPr>
        <w:t> </w:t>
      </w:r>
      <w:r>
        <w:rPr>
          <w:rFonts w:ascii="Arial MT"/>
          <w:sz w:val="24"/>
        </w:rPr>
        <w:t>duty</w:t>
      </w:r>
      <w:r>
        <w:rPr>
          <w:rFonts w:ascii="Arial MT"/>
          <w:spacing w:val="-7"/>
          <w:sz w:val="24"/>
        </w:rPr>
        <w:t> </w:t>
      </w:r>
      <w:r>
        <w:rPr>
          <w:rFonts w:ascii="Arial MT"/>
          <w:sz w:val="24"/>
        </w:rPr>
        <w:t>imposed</w:t>
      </w:r>
      <w:r>
        <w:rPr>
          <w:rFonts w:ascii="Arial MT"/>
          <w:spacing w:val="-2"/>
          <w:sz w:val="24"/>
        </w:rPr>
        <w:t> </w:t>
      </w:r>
      <w:r>
        <w:rPr>
          <w:rFonts w:ascii="Arial MT"/>
          <w:sz w:val="24"/>
        </w:rPr>
        <w:t>by</w:t>
      </w:r>
      <w:r>
        <w:rPr>
          <w:rFonts w:ascii="Arial MT"/>
          <w:spacing w:val="-2"/>
          <w:sz w:val="24"/>
        </w:rPr>
        <w:t> </w:t>
      </w:r>
      <w:r>
        <w:rPr>
          <w:rFonts w:ascii="Arial MT"/>
          <w:sz w:val="24"/>
        </w:rPr>
        <w:t>this</w:t>
      </w:r>
      <w:r>
        <w:rPr>
          <w:rFonts w:ascii="Arial MT"/>
          <w:spacing w:val="-2"/>
          <w:sz w:val="24"/>
        </w:rPr>
        <w:t> </w:t>
      </w:r>
      <w:r>
        <w:rPr>
          <w:rFonts w:ascii="Arial MT"/>
          <w:sz w:val="24"/>
        </w:rPr>
        <w:t>section</w:t>
      </w:r>
      <w:r>
        <w:rPr>
          <w:rFonts w:ascii="Arial MT"/>
          <w:spacing w:val="-2"/>
          <w:sz w:val="24"/>
        </w:rPr>
        <w:t> </w:t>
      </w:r>
      <w:r>
        <w:rPr>
          <w:rFonts w:ascii="Arial MT"/>
          <w:sz w:val="24"/>
        </w:rPr>
        <w:t>has</w:t>
      </w:r>
      <w:r>
        <w:rPr>
          <w:rFonts w:ascii="Arial MT"/>
          <w:spacing w:val="-7"/>
          <w:sz w:val="24"/>
        </w:rPr>
        <w:t> </w:t>
      </w:r>
      <w:r>
        <w:rPr>
          <w:rFonts w:ascii="Arial MT"/>
          <w:sz w:val="24"/>
        </w:rPr>
        <w:t>effect</w:t>
      </w:r>
      <w:r>
        <w:rPr>
          <w:rFonts w:ascii="Arial MT"/>
          <w:spacing w:val="-2"/>
          <w:sz w:val="24"/>
        </w:rPr>
        <w:t> </w:t>
      </w:r>
      <w:r>
        <w:rPr>
          <w:rFonts w:ascii="Arial MT"/>
          <w:sz w:val="24"/>
        </w:rPr>
        <w:t>subject</w:t>
      </w:r>
      <w:r>
        <w:rPr>
          <w:rFonts w:ascii="Arial MT"/>
          <w:spacing w:val="-2"/>
          <w:sz w:val="24"/>
        </w:rPr>
        <w:t> </w:t>
      </w:r>
      <w:r>
        <w:rPr>
          <w:rFonts w:ascii="Arial MT"/>
          <w:sz w:val="24"/>
        </w:rPr>
        <w:t>to</w:t>
      </w:r>
      <w:r>
        <w:rPr>
          <w:rFonts w:ascii="Arial MT"/>
          <w:spacing w:val="-1"/>
          <w:sz w:val="24"/>
        </w:rPr>
        <w:t> </w:t>
      </w:r>
      <w:r>
        <w:rPr>
          <w:rFonts w:ascii="Arial MT"/>
          <w:sz w:val="24"/>
        </w:rPr>
        <w:t>any</w:t>
      </w:r>
      <w:r>
        <w:rPr>
          <w:rFonts w:ascii="Arial MT"/>
          <w:spacing w:val="-2"/>
          <w:sz w:val="24"/>
        </w:rPr>
        <w:t> </w:t>
      </w:r>
      <w:r>
        <w:rPr>
          <w:rFonts w:ascii="Arial MT"/>
          <w:sz w:val="24"/>
        </w:rPr>
        <w:t>enactment</w:t>
      </w:r>
      <w:r>
        <w:rPr>
          <w:rFonts w:ascii="Arial MT"/>
          <w:spacing w:val="-2"/>
          <w:sz w:val="24"/>
        </w:rPr>
        <w:t> </w:t>
      </w:r>
      <w:r>
        <w:rPr>
          <w:rFonts w:ascii="Arial MT"/>
          <w:sz w:val="24"/>
        </w:rPr>
        <w:t>or</w:t>
      </w:r>
      <w:r>
        <w:rPr>
          <w:rFonts w:ascii="Arial MT"/>
          <w:spacing w:val="-1"/>
          <w:sz w:val="24"/>
        </w:rPr>
        <w:t> </w:t>
      </w:r>
      <w:r>
        <w:rPr>
          <w:rFonts w:ascii="Arial MT"/>
          <w:sz w:val="24"/>
        </w:rPr>
        <w:t>rule of law requiring directors, in certain circumstances, to consider or act in the interests of creditors of the company.</w:t>
      </w:r>
    </w:p>
    <w:p>
      <w:pPr>
        <w:pStyle w:val="BodyText"/>
        <w:spacing w:before="37"/>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Duty</w:t>
      </w:r>
      <w:r>
        <w:rPr>
          <w:rFonts w:ascii="Arial"/>
          <w:spacing w:val="-7"/>
        </w:rPr>
        <w:t> </w:t>
      </w:r>
      <w:r>
        <w:rPr>
          <w:rFonts w:ascii="Arial"/>
        </w:rPr>
        <w:t>to</w:t>
      </w:r>
      <w:r>
        <w:rPr>
          <w:rFonts w:ascii="Arial"/>
          <w:spacing w:val="-2"/>
        </w:rPr>
        <w:t> </w:t>
      </w:r>
      <w:r>
        <w:rPr>
          <w:rFonts w:ascii="Arial"/>
        </w:rPr>
        <w:t>exercise</w:t>
      </w:r>
      <w:r>
        <w:rPr>
          <w:rFonts w:ascii="Arial"/>
          <w:spacing w:val="-7"/>
        </w:rPr>
        <w:t> </w:t>
      </w:r>
      <w:r>
        <w:rPr>
          <w:rFonts w:ascii="Arial"/>
        </w:rPr>
        <w:t>independent</w:t>
      </w:r>
      <w:r>
        <w:rPr>
          <w:rFonts w:ascii="Arial"/>
          <w:spacing w:val="-2"/>
        </w:rPr>
        <w:t> judgment</w:t>
      </w:r>
    </w:p>
    <w:p>
      <w:pPr>
        <w:pStyle w:val="ListParagraph"/>
        <w:numPr>
          <w:ilvl w:val="0"/>
          <w:numId w:val="27"/>
        </w:numPr>
        <w:tabs>
          <w:tab w:pos="669" w:val="left" w:leader="none"/>
        </w:tabs>
        <w:spacing w:line="240" w:lineRule="auto" w:before="46" w:after="0"/>
        <w:ind w:left="669" w:right="0" w:hanging="361"/>
        <w:jc w:val="left"/>
        <w:rPr>
          <w:rFonts w:ascii="Arial MT"/>
          <w:sz w:val="24"/>
        </w:rPr>
      </w:pPr>
      <w:r>
        <w:rPr>
          <w:rFonts w:ascii="Arial MT"/>
          <w:sz w:val="24"/>
        </w:rPr>
        <w:t>A</w:t>
      </w:r>
      <w:r>
        <w:rPr>
          <w:rFonts w:ascii="Arial MT"/>
          <w:spacing w:val="-11"/>
          <w:sz w:val="24"/>
        </w:rPr>
        <w:t> </w:t>
      </w:r>
      <w:r>
        <w:rPr>
          <w:rFonts w:ascii="Arial MT"/>
          <w:sz w:val="24"/>
        </w:rPr>
        <w:t>director</w:t>
      </w:r>
      <w:r>
        <w:rPr>
          <w:rFonts w:ascii="Arial MT"/>
          <w:spacing w:val="-9"/>
          <w:sz w:val="24"/>
        </w:rPr>
        <w:t> </w:t>
      </w:r>
      <w:r>
        <w:rPr>
          <w:rFonts w:ascii="Arial MT"/>
          <w:sz w:val="24"/>
        </w:rPr>
        <w:t>of</w:t>
      </w:r>
      <w:r>
        <w:rPr>
          <w:rFonts w:ascii="Arial MT"/>
          <w:spacing w:val="-13"/>
          <w:sz w:val="24"/>
        </w:rPr>
        <w:t> </w:t>
      </w:r>
      <w:r>
        <w:rPr>
          <w:rFonts w:ascii="Arial MT"/>
          <w:sz w:val="24"/>
        </w:rPr>
        <w:t>a</w:t>
      </w:r>
      <w:r>
        <w:rPr>
          <w:rFonts w:ascii="Arial MT"/>
          <w:spacing w:val="-8"/>
          <w:sz w:val="24"/>
        </w:rPr>
        <w:t> </w:t>
      </w:r>
      <w:r>
        <w:rPr>
          <w:rFonts w:ascii="Arial MT"/>
          <w:sz w:val="24"/>
        </w:rPr>
        <w:t>company</w:t>
      </w:r>
      <w:r>
        <w:rPr>
          <w:rFonts w:ascii="Arial MT"/>
          <w:spacing w:val="-10"/>
          <w:sz w:val="24"/>
        </w:rPr>
        <w:t> </w:t>
      </w:r>
      <w:r>
        <w:rPr>
          <w:rFonts w:ascii="Arial MT"/>
          <w:sz w:val="24"/>
        </w:rPr>
        <w:t>must</w:t>
      </w:r>
      <w:r>
        <w:rPr>
          <w:rFonts w:ascii="Arial MT"/>
          <w:spacing w:val="-9"/>
          <w:sz w:val="24"/>
        </w:rPr>
        <w:t> </w:t>
      </w:r>
      <w:r>
        <w:rPr>
          <w:rFonts w:ascii="Arial MT"/>
          <w:sz w:val="24"/>
        </w:rPr>
        <w:t>exercise</w:t>
      </w:r>
      <w:r>
        <w:rPr>
          <w:rFonts w:ascii="Arial MT"/>
          <w:spacing w:val="-12"/>
          <w:sz w:val="24"/>
        </w:rPr>
        <w:t> </w:t>
      </w:r>
      <w:r>
        <w:rPr>
          <w:rFonts w:ascii="Arial MT"/>
          <w:sz w:val="24"/>
        </w:rPr>
        <w:t>independent</w:t>
      </w:r>
      <w:r>
        <w:rPr>
          <w:rFonts w:ascii="Arial MT"/>
          <w:spacing w:val="-14"/>
          <w:sz w:val="24"/>
        </w:rPr>
        <w:t> </w:t>
      </w:r>
      <w:r>
        <w:rPr>
          <w:rFonts w:ascii="Arial MT"/>
          <w:spacing w:val="-2"/>
          <w:sz w:val="24"/>
        </w:rPr>
        <w:t>judgment.</w:t>
      </w:r>
    </w:p>
    <w:p>
      <w:pPr>
        <w:pStyle w:val="ListParagraph"/>
        <w:numPr>
          <w:ilvl w:val="0"/>
          <w:numId w:val="27"/>
        </w:numPr>
        <w:tabs>
          <w:tab w:pos="669" w:val="left" w:leader="none"/>
        </w:tabs>
        <w:spacing w:line="240" w:lineRule="auto" w:before="41" w:after="0"/>
        <w:ind w:left="669" w:right="0" w:hanging="361"/>
        <w:jc w:val="left"/>
        <w:rPr>
          <w:rFonts w:ascii="Arial MT" w:hAnsi="Arial MT"/>
          <w:sz w:val="24"/>
        </w:rPr>
      </w:pPr>
      <w:r>
        <w:rPr>
          <w:rFonts w:ascii="Arial MT" w:hAnsi="Arial MT"/>
          <w:sz w:val="24"/>
        </w:rPr>
        <w:t>This duty</w:t>
      </w:r>
      <w:r>
        <w:rPr>
          <w:rFonts w:ascii="Arial MT" w:hAnsi="Arial MT"/>
          <w:spacing w:val="-4"/>
          <w:sz w:val="24"/>
        </w:rPr>
        <w:t> </w:t>
      </w:r>
      <w:r>
        <w:rPr>
          <w:rFonts w:ascii="Arial MT" w:hAnsi="Arial MT"/>
          <w:sz w:val="24"/>
        </w:rPr>
        <w:t>is</w:t>
      </w:r>
      <w:r>
        <w:rPr>
          <w:rFonts w:ascii="Arial MT" w:hAnsi="Arial MT"/>
          <w:spacing w:val="-4"/>
          <w:sz w:val="24"/>
        </w:rPr>
        <w:t> </w:t>
      </w:r>
      <w:r>
        <w:rPr>
          <w:rFonts w:ascii="Arial MT" w:hAnsi="Arial MT"/>
          <w:sz w:val="24"/>
        </w:rPr>
        <w:t>not</w:t>
      </w:r>
      <w:r>
        <w:rPr>
          <w:rFonts w:ascii="Arial MT" w:hAnsi="Arial MT"/>
          <w:spacing w:val="-2"/>
          <w:sz w:val="24"/>
        </w:rPr>
        <w:t> </w:t>
      </w:r>
      <w:r>
        <w:rPr>
          <w:rFonts w:ascii="Arial MT" w:hAnsi="Arial MT"/>
          <w:sz w:val="24"/>
        </w:rPr>
        <w:t>infringed</w:t>
      </w:r>
      <w:r>
        <w:rPr>
          <w:rFonts w:ascii="Arial MT" w:hAnsi="Arial MT"/>
          <w:spacing w:val="1"/>
          <w:sz w:val="24"/>
        </w:rPr>
        <w:t> </w:t>
      </w:r>
      <w:r>
        <w:rPr>
          <w:rFonts w:ascii="Arial MT" w:hAnsi="Arial MT"/>
          <w:sz w:val="24"/>
        </w:rPr>
        <w:t>by</w:t>
      </w:r>
      <w:r>
        <w:rPr>
          <w:rFonts w:ascii="Arial MT" w:hAnsi="Arial MT"/>
          <w:spacing w:val="-5"/>
          <w:sz w:val="24"/>
        </w:rPr>
        <w:t> </w:t>
      </w:r>
      <w:r>
        <w:rPr>
          <w:rFonts w:ascii="Arial MT" w:hAnsi="Arial MT"/>
          <w:sz w:val="24"/>
        </w:rPr>
        <w:t>his</w:t>
      </w:r>
      <w:r>
        <w:rPr>
          <w:rFonts w:ascii="Arial MT" w:hAnsi="Arial MT"/>
          <w:spacing w:val="1"/>
          <w:sz w:val="24"/>
        </w:rPr>
        <w:t> </w:t>
      </w:r>
      <w:r>
        <w:rPr>
          <w:rFonts w:ascii="Arial MT" w:hAnsi="Arial MT"/>
          <w:spacing w:val="-2"/>
          <w:sz w:val="24"/>
        </w:rPr>
        <w:t>acting—</w:t>
      </w:r>
    </w:p>
    <w:p>
      <w:pPr>
        <w:pStyle w:val="ListParagraph"/>
        <w:numPr>
          <w:ilvl w:val="1"/>
          <w:numId w:val="27"/>
        </w:numPr>
        <w:tabs>
          <w:tab w:pos="666" w:val="left" w:leader="none"/>
        </w:tabs>
        <w:spacing w:line="276" w:lineRule="auto" w:before="41" w:after="0"/>
        <w:ind w:left="308" w:right="781" w:firstLine="0"/>
        <w:jc w:val="left"/>
        <w:rPr>
          <w:rFonts w:ascii="Arial MT"/>
          <w:sz w:val="24"/>
        </w:rPr>
      </w:pPr>
      <w:r>
        <w:rPr>
          <w:rFonts w:ascii="Arial MT"/>
          <w:sz w:val="24"/>
        </w:rPr>
        <w:t>in</w:t>
      </w:r>
      <w:r>
        <w:rPr>
          <w:rFonts w:ascii="Arial MT"/>
          <w:spacing w:val="-3"/>
          <w:sz w:val="24"/>
        </w:rPr>
        <w:t> </w:t>
      </w:r>
      <w:r>
        <w:rPr>
          <w:rFonts w:ascii="Arial MT"/>
          <w:sz w:val="24"/>
        </w:rPr>
        <w:t>accordance</w:t>
      </w:r>
      <w:r>
        <w:rPr>
          <w:rFonts w:ascii="Arial MT"/>
          <w:spacing w:val="-3"/>
          <w:sz w:val="24"/>
        </w:rPr>
        <w:t> </w:t>
      </w:r>
      <w:r>
        <w:rPr>
          <w:rFonts w:ascii="Arial MT"/>
          <w:sz w:val="24"/>
        </w:rPr>
        <w:t>with</w:t>
      </w:r>
      <w:r>
        <w:rPr>
          <w:rFonts w:ascii="Arial MT"/>
          <w:spacing w:val="-2"/>
          <w:sz w:val="24"/>
        </w:rPr>
        <w:t> </w:t>
      </w:r>
      <w:r>
        <w:rPr>
          <w:rFonts w:ascii="Arial MT"/>
          <w:sz w:val="24"/>
        </w:rPr>
        <w:t>an</w:t>
      </w:r>
      <w:r>
        <w:rPr>
          <w:rFonts w:ascii="Arial MT"/>
          <w:spacing w:val="-7"/>
          <w:sz w:val="24"/>
        </w:rPr>
        <w:t> </w:t>
      </w:r>
      <w:r>
        <w:rPr>
          <w:rFonts w:ascii="Arial MT"/>
          <w:sz w:val="24"/>
        </w:rPr>
        <w:t>agreement</w:t>
      </w:r>
      <w:r>
        <w:rPr>
          <w:rFonts w:ascii="Arial MT"/>
          <w:spacing w:val="-3"/>
          <w:sz w:val="24"/>
        </w:rPr>
        <w:t> </w:t>
      </w:r>
      <w:r>
        <w:rPr>
          <w:rFonts w:ascii="Arial MT"/>
          <w:sz w:val="24"/>
        </w:rPr>
        <w:t>duly</w:t>
      </w:r>
      <w:r>
        <w:rPr>
          <w:rFonts w:ascii="Arial MT"/>
          <w:spacing w:val="-3"/>
          <w:sz w:val="24"/>
        </w:rPr>
        <w:t> </w:t>
      </w:r>
      <w:r>
        <w:rPr>
          <w:rFonts w:ascii="Arial MT"/>
          <w:sz w:val="24"/>
        </w:rPr>
        <w:t>entered</w:t>
      </w:r>
      <w:r>
        <w:rPr>
          <w:rFonts w:ascii="Arial MT"/>
          <w:spacing w:val="-7"/>
          <w:sz w:val="24"/>
        </w:rPr>
        <w:t> </w:t>
      </w:r>
      <w:r>
        <w:rPr>
          <w:rFonts w:ascii="Arial MT"/>
          <w:sz w:val="24"/>
        </w:rPr>
        <w:t>into</w:t>
      </w:r>
      <w:r>
        <w:rPr>
          <w:rFonts w:ascii="Arial MT"/>
          <w:spacing w:val="-7"/>
          <w:sz w:val="24"/>
        </w:rPr>
        <w:t> </w:t>
      </w:r>
      <w:r>
        <w:rPr>
          <w:rFonts w:ascii="Arial MT"/>
          <w:sz w:val="24"/>
        </w:rPr>
        <w:t>by</w:t>
      </w:r>
      <w:r>
        <w:rPr>
          <w:rFonts w:ascii="Arial MT"/>
          <w:spacing w:val="-3"/>
          <w:sz w:val="24"/>
        </w:rPr>
        <w:t> </w:t>
      </w:r>
      <w:r>
        <w:rPr>
          <w:rFonts w:ascii="Arial MT"/>
          <w:sz w:val="24"/>
        </w:rPr>
        <w:t>the</w:t>
      </w:r>
      <w:r>
        <w:rPr>
          <w:rFonts w:ascii="Arial MT"/>
          <w:spacing w:val="-3"/>
          <w:sz w:val="24"/>
        </w:rPr>
        <w:t> </w:t>
      </w:r>
      <w:r>
        <w:rPr>
          <w:rFonts w:ascii="Arial MT"/>
          <w:sz w:val="24"/>
        </w:rPr>
        <w:t>company</w:t>
      </w:r>
      <w:r>
        <w:rPr>
          <w:rFonts w:ascii="Arial MT"/>
          <w:spacing w:val="-3"/>
          <w:sz w:val="24"/>
        </w:rPr>
        <w:t> </w:t>
      </w:r>
      <w:r>
        <w:rPr>
          <w:rFonts w:ascii="Arial MT"/>
          <w:sz w:val="24"/>
        </w:rPr>
        <w:t>that restricts the future exercise of discretion by its directors, or</w:t>
      </w:r>
    </w:p>
    <w:p>
      <w:pPr>
        <w:pStyle w:val="ListParagraph"/>
        <w:numPr>
          <w:ilvl w:val="1"/>
          <w:numId w:val="27"/>
        </w:numPr>
        <w:tabs>
          <w:tab w:pos="666" w:val="left" w:leader="none"/>
        </w:tabs>
        <w:spacing w:line="275" w:lineRule="exact" w:before="0" w:after="0"/>
        <w:ind w:left="666" w:right="0" w:hanging="358"/>
        <w:jc w:val="left"/>
        <w:rPr>
          <w:rFonts w:ascii="Arial MT" w:hAnsi="Arial MT"/>
          <w:sz w:val="24"/>
        </w:rPr>
      </w:pPr>
      <w:r>
        <w:rPr>
          <w:rFonts w:ascii="Arial MT" w:hAnsi="Arial MT"/>
          <w:sz w:val="24"/>
        </w:rPr>
        <w:t>in</w:t>
      </w:r>
      <w:r>
        <w:rPr>
          <w:rFonts w:ascii="Arial MT" w:hAnsi="Arial MT"/>
          <w:spacing w:val="-3"/>
          <w:sz w:val="24"/>
        </w:rPr>
        <w:t> </w:t>
      </w:r>
      <w:r>
        <w:rPr>
          <w:rFonts w:ascii="Arial MT" w:hAnsi="Arial MT"/>
          <w:sz w:val="24"/>
        </w:rPr>
        <w:t>a</w:t>
      </w:r>
      <w:r>
        <w:rPr>
          <w:rFonts w:ascii="Arial MT" w:hAnsi="Arial MT"/>
          <w:spacing w:val="-5"/>
          <w:sz w:val="24"/>
        </w:rPr>
        <w:t> </w:t>
      </w:r>
      <w:r>
        <w:rPr>
          <w:rFonts w:ascii="Arial MT" w:hAnsi="Arial MT"/>
          <w:sz w:val="24"/>
        </w:rPr>
        <w:t>way</w:t>
      </w:r>
      <w:r>
        <w:rPr>
          <w:rFonts w:ascii="Arial MT" w:hAnsi="Arial MT"/>
          <w:spacing w:val="-2"/>
          <w:sz w:val="24"/>
        </w:rPr>
        <w:t> </w:t>
      </w:r>
      <w:r>
        <w:rPr>
          <w:rFonts w:ascii="Arial MT" w:hAnsi="Arial MT"/>
          <w:sz w:val="24"/>
        </w:rPr>
        <w:t>authorised</w:t>
      </w:r>
      <w:r>
        <w:rPr>
          <w:rFonts w:ascii="Arial MT" w:hAnsi="Arial MT"/>
          <w:spacing w:val="-6"/>
          <w:sz w:val="24"/>
        </w:rPr>
        <w:t> </w:t>
      </w:r>
      <w:r>
        <w:rPr>
          <w:rFonts w:ascii="Arial MT" w:hAnsi="Arial MT"/>
          <w:sz w:val="24"/>
        </w:rPr>
        <w:t>by</w:t>
      </w:r>
      <w:r>
        <w:rPr>
          <w:rFonts w:ascii="Arial MT" w:hAnsi="Arial MT"/>
          <w:spacing w:val="-2"/>
          <w:sz w:val="24"/>
        </w:rPr>
        <w:t> </w:t>
      </w:r>
      <w:r>
        <w:rPr>
          <w:rFonts w:ascii="Arial MT" w:hAnsi="Arial MT"/>
          <w:sz w:val="24"/>
        </w:rPr>
        <w:t>the</w:t>
      </w:r>
      <w:r>
        <w:rPr>
          <w:rFonts w:ascii="Arial MT" w:hAnsi="Arial MT"/>
          <w:spacing w:val="-2"/>
          <w:sz w:val="24"/>
        </w:rPr>
        <w:t> </w:t>
      </w:r>
      <w:r>
        <w:rPr>
          <w:rFonts w:ascii="Arial MT" w:hAnsi="Arial MT"/>
          <w:sz w:val="24"/>
        </w:rPr>
        <w:t>company’s</w:t>
      </w:r>
      <w:r>
        <w:rPr>
          <w:rFonts w:ascii="Arial MT" w:hAnsi="Arial MT"/>
          <w:spacing w:val="-2"/>
          <w:sz w:val="24"/>
        </w:rPr>
        <w:t> constitution.</w:t>
      </w:r>
    </w:p>
    <w:p>
      <w:pPr>
        <w:pStyle w:val="BodyText"/>
        <w:spacing w:before="77"/>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Duty</w:t>
      </w:r>
      <w:r>
        <w:rPr>
          <w:rFonts w:ascii="Arial"/>
          <w:spacing w:val="-6"/>
        </w:rPr>
        <w:t> </w:t>
      </w:r>
      <w:r>
        <w:rPr>
          <w:rFonts w:ascii="Arial"/>
        </w:rPr>
        <w:t>to</w:t>
      </w:r>
      <w:r>
        <w:rPr>
          <w:rFonts w:ascii="Arial"/>
          <w:spacing w:val="-1"/>
        </w:rPr>
        <w:t> </w:t>
      </w:r>
      <w:r>
        <w:rPr>
          <w:rFonts w:ascii="Arial"/>
        </w:rPr>
        <w:t>exercise</w:t>
      </w:r>
      <w:r>
        <w:rPr>
          <w:rFonts w:ascii="Arial"/>
          <w:spacing w:val="-6"/>
        </w:rPr>
        <w:t> </w:t>
      </w:r>
      <w:r>
        <w:rPr>
          <w:rFonts w:ascii="Arial"/>
        </w:rPr>
        <w:t>reasonable</w:t>
      </w:r>
      <w:r>
        <w:rPr>
          <w:rFonts w:ascii="Arial"/>
          <w:spacing w:val="-2"/>
        </w:rPr>
        <w:t> </w:t>
      </w:r>
      <w:r>
        <w:rPr>
          <w:rFonts w:ascii="Arial"/>
        </w:rPr>
        <w:t>care,</w:t>
      </w:r>
      <w:r>
        <w:rPr>
          <w:rFonts w:ascii="Arial"/>
          <w:spacing w:val="-2"/>
        </w:rPr>
        <w:t> </w:t>
      </w:r>
      <w:r>
        <w:rPr>
          <w:rFonts w:ascii="Arial"/>
        </w:rPr>
        <w:t>skill</w:t>
      </w:r>
      <w:r>
        <w:rPr>
          <w:rFonts w:ascii="Arial"/>
          <w:spacing w:val="-6"/>
        </w:rPr>
        <w:t> </w:t>
      </w:r>
      <w:r>
        <w:rPr>
          <w:rFonts w:ascii="Arial"/>
        </w:rPr>
        <w:t>and </w:t>
      </w:r>
      <w:r>
        <w:rPr>
          <w:rFonts w:ascii="Arial"/>
          <w:spacing w:val="-2"/>
        </w:rPr>
        <w:t>diligence</w:t>
      </w:r>
    </w:p>
    <w:p>
      <w:pPr>
        <w:pStyle w:val="ListParagraph"/>
        <w:numPr>
          <w:ilvl w:val="0"/>
          <w:numId w:val="28"/>
        </w:numPr>
        <w:tabs>
          <w:tab w:pos="669" w:val="left" w:leader="none"/>
        </w:tabs>
        <w:spacing w:line="240" w:lineRule="auto" w:before="46" w:after="0"/>
        <w:ind w:left="669" w:right="0" w:hanging="361"/>
        <w:jc w:val="left"/>
        <w:rPr>
          <w:rFonts w:ascii="Arial MT"/>
          <w:sz w:val="24"/>
        </w:rPr>
      </w:pPr>
      <w:r>
        <w:rPr>
          <w:rFonts w:ascii="Arial MT"/>
          <w:sz w:val="24"/>
        </w:rPr>
        <w:t>A</w:t>
      </w:r>
      <w:r>
        <w:rPr>
          <w:rFonts w:ascii="Arial MT"/>
          <w:spacing w:val="-11"/>
          <w:sz w:val="24"/>
        </w:rPr>
        <w:t> </w:t>
      </w:r>
      <w:r>
        <w:rPr>
          <w:rFonts w:ascii="Arial MT"/>
          <w:sz w:val="24"/>
        </w:rPr>
        <w:t>director</w:t>
      </w:r>
      <w:r>
        <w:rPr>
          <w:rFonts w:ascii="Arial MT"/>
          <w:spacing w:val="-8"/>
          <w:sz w:val="24"/>
        </w:rPr>
        <w:t> </w:t>
      </w:r>
      <w:r>
        <w:rPr>
          <w:rFonts w:ascii="Arial MT"/>
          <w:sz w:val="24"/>
        </w:rPr>
        <w:t>of</w:t>
      </w:r>
      <w:r>
        <w:rPr>
          <w:rFonts w:ascii="Arial MT"/>
          <w:spacing w:val="-13"/>
          <w:sz w:val="24"/>
        </w:rPr>
        <w:t> </w:t>
      </w:r>
      <w:r>
        <w:rPr>
          <w:rFonts w:ascii="Arial MT"/>
          <w:sz w:val="24"/>
        </w:rPr>
        <w:t>a</w:t>
      </w:r>
      <w:r>
        <w:rPr>
          <w:rFonts w:ascii="Arial MT"/>
          <w:spacing w:val="-7"/>
          <w:sz w:val="24"/>
        </w:rPr>
        <w:t> </w:t>
      </w:r>
      <w:r>
        <w:rPr>
          <w:rFonts w:ascii="Arial MT"/>
          <w:sz w:val="24"/>
        </w:rPr>
        <w:t>company</w:t>
      </w:r>
      <w:r>
        <w:rPr>
          <w:rFonts w:ascii="Arial MT"/>
          <w:spacing w:val="-9"/>
          <w:sz w:val="24"/>
        </w:rPr>
        <w:t> </w:t>
      </w:r>
      <w:r>
        <w:rPr>
          <w:rFonts w:ascii="Arial MT"/>
          <w:sz w:val="24"/>
        </w:rPr>
        <w:t>must</w:t>
      </w:r>
      <w:r>
        <w:rPr>
          <w:rFonts w:ascii="Arial MT"/>
          <w:spacing w:val="-9"/>
          <w:sz w:val="24"/>
        </w:rPr>
        <w:t> </w:t>
      </w:r>
      <w:r>
        <w:rPr>
          <w:rFonts w:ascii="Arial MT"/>
          <w:sz w:val="24"/>
        </w:rPr>
        <w:t>exercise</w:t>
      </w:r>
      <w:r>
        <w:rPr>
          <w:rFonts w:ascii="Arial MT"/>
          <w:spacing w:val="-8"/>
          <w:sz w:val="24"/>
        </w:rPr>
        <w:t> </w:t>
      </w:r>
      <w:r>
        <w:rPr>
          <w:rFonts w:ascii="Arial MT"/>
          <w:sz w:val="24"/>
        </w:rPr>
        <w:t>reasonable</w:t>
      </w:r>
      <w:r>
        <w:rPr>
          <w:rFonts w:ascii="Arial MT"/>
          <w:spacing w:val="-9"/>
          <w:sz w:val="24"/>
        </w:rPr>
        <w:t> </w:t>
      </w:r>
      <w:r>
        <w:rPr>
          <w:rFonts w:ascii="Arial MT"/>
          <w:sz w:val="24"/>
        </w:rPr>
        <w:t>care,</w:t>
      </w:r>
      <w:r>
        <w:rPr>
          <w:rFonts w:ascii="Arial MT"/>
          <w:spacing w:val="-8"/>
          <w:sz w:val="24"/>
        </w:rPr>
        <w:t> </w:t>
      </w:r>
      <w:r>
        <w:rPr>
          <w:rFonts w:ascii="Arial MT"/>
          <w:sz w:val="24"/>
        </w:rPr>
        <w:t>skill</w:t>
      </w:r>
      <w:r>
        <w:rPr>
          <w:rFonts w:ascii="Arial MT"/>
          <w:spacing w:val="-5"/>
          <w:sz w:val="24"/>
        </w:rPr>
        <w:t> </w:t>
      </w:r>
      <w:r>
        <w:rPr>
          <w:rFonts w:ascii="Arial MT"/>
          <w:sz w:val="24"/>
        </w:rPr>
        <w:t>and</w:t>
      </w:r>
      <w:r>
        <w:rPr>
          <w:rFonts w:ascii="Arial MT"/>
          <w:spacing w:val="-11"/>
          <w:sz w:val="24"/>
        </w:rPr>
        <w:t> </w:t>
      </w:r>
      <w:r>
        <w:rPr>
          <w:rFonts w:ascii="Arial MT"/>
          <w:spacing w:val="-2"/>
          <w:sz w:val="24"/>
        </w:rPr>
        <w:t>diligence.</w:t>
      </w:r>
    </w:p>
    <w:p>
      <w:pPr>
        <w:pStyle w:val="ListParagraph"/>
        <w:numPr>
          <w:ilvl w:val="0"/>
          <w:numId w:val="28"/>
        </w:numPr>
        <w:tabs>
          <w:tab w:pos="669" w:val="left" w:leader="none"/>
        </w:tabs>
        <w:spacing w:line="276" w:lineRule="auto" w:before="46" w:after="0"/>
        <w:ind w:left="308" w:right="1083" w:firstLine="0"/>
        <w:jc w:val="left"/>
        <w:rPr>
          <w:rFonts w:ascii="Arial MT" w:hAnsi="Arial MT"/>
          <w:sz w:val="24"/>
        </w:rPr>
      </w:pPr>
      <w:r>
        <w:rPr>
          <w:rFonts w:ascii="Arial MT" w:hAnsi="Arial MT"/>
          <w:sz w:val="24"/>
        </w:rPr>
        <w:t>This</w:t>
      </w:r>
      <w:r>
        <w:rPr>
          <w:rFonts w:ascii="Arial MT" w:hAnsi="Arial MT"/>
          <w:spacing w:val="-3"/>
          <w:sz w:val="24"/>
        </w:rPr>
        <w:t> </w:t>
      </w:r>
      <w:r>
        <w:rPr>
          <w:rFonts w:ascii="Arial MT" w:hAnsi="Arial MT"/>
          <w:sz w:val="24"/>
        </w:rPr>
        <w:t>means</w:t>
      </w:r>
      <w:r>
        <w:rPr>
          <w:rFonts w:ascii="Arial MT" w:hAnsi="Arial MT"/>
          <w:spacing w:val="-3"/>
          <w:sz w:val="24"/>
        </w:rPr>
        <w:t> </w:t>
      </w:r>
      <w:r>
        <w:rPr>
          <w:rFonts w:ascii="Arial MT" w:hAnsi="Arial MT"/>
          <w:sz w:val="24"/>
        </w:rPr>
        <w:t>the</w:t>
      </w:r>
      <w:r>
        <w:rPr>
          <w:rFonts w:ascii="Arial MT" w:hAnsi="Arial MT"/>
          <w:spacing w:val="-3"/>
          <w:sz w:val="24"/>
        </w:rPr>
        <w:t> </w:t>
      </w:r>
      <w:r>
        <w:rPr>
          <w:rFonts w:ascii="Arial MT" w:hAnsi="Arial MT"/>
          <w:sz w:val="24"/>
        </w:rPr>
        <w:t>care,</w:t>
      </w:r>
      <w:r>
        <w:rPr>
          <w:rFonts w:ascii="Arial MT" w:hAnsi="Arial MT"/>
          <w:spacing w:val="-3"/>
          <w:sz w:val="24"/>
        </w:rPr>
        <w:t> </w:t>
      </w:r>
      <w:r>
        <w:rPr>
          <w:rFonts w:ascii="Arial MT" w:hAnsi="Arial MT"/>
          <w:sz w:val="24"/>
        </w:rPr>
        <w:t>skill and</w:t>
      </w:r>
      <w:r>
        <w:rPr>
          <w:rFonts w:ascii="Arial MT" w:hAnsi="Arial MT"/>
          <w:spacing w:val="-3"/>
          <w:sz w:val="24"/>
        </w:rPr>
        <w:t> </w:t>
      </w:r>
      <w:r>
        <w:rPr>
          <w:rFonts w:ascii="Arial MT" w:hAnsi="Arial MT"/>
          <w:sz w:val="24"/>
        </w:rPr>
        <w:t>diligence</w:t>
      </w:r>
      <w:r>
        <w:rPr>
          <w:rFonts w:ascii="Arial MT" w:hAnsi="Arial MT"/>
          <w:spacing w:val="-7"/>
          <w:sz w:val="24"/>
        </w:rPr>
        <w:t> </w:t>
      </w:r>
      <w:r>
        <w:rPr>
          <w:rFonts w:ascii="Arial MT" w:hAnsi="Arial MT"/>
          <w:sz w:val="24"/>
        </w:rPr>
        <w:t>that</w:t>
      </w:r>
      <w:r>
        <w:rPr>
          <w:rFonts w:ascii="Arial MT" w:hAnsi="Arial MT"/>
          <w:spacing w:val="-3"/>
          <w:sz w:val="24"/>
        </w:rPr>
        <w:t> </w:t>
      </w:r>
      <w:r>
        <w:rPr>
          <w:rFonts w:ascii="Arial MT" w:hAnsi="Arial MT"/>
          <w:sz w:val="24"/>
        </w:rPr>
        <w:t>would</w:t>
      </w:r>
      <w:r>
        <w:rPr>
          <w:rFonts w:ascii="Arial MT" w:hAnsi="Arial MT"/>
          <w:spacing w:val="-3"/>
          <w:sz w:val="24"/>
        </w:rPr>
        <w:t> </w:t>
      </w:r>
      <w:r>
        <w:rPr>
          <w:rFonts w:ascii="Arial MT" w:hAnsi="Arial MT"/>
          <w:sz w:val="24"/>
        </w:rPr>
        <w:t>be</w:t>
      </w:r>
      <w:r>
        <w:rPr>
          <w:rFonts w:ascii="Arial MT" w:hAnsi="Arial MT"/>
          <w:spacing w:val="-7"/>
          <w:sz w:val="24"/>
        </w:rPr>
        <w:t> </w:t>
      </w:r>
      <w:r>
        <w:rPr>
          <w:rFonts w:ascii="Arial MT" w:hAnsi="Arial MT"/>
          <w:sz w:val="24"/>
        </w:rPr>
        <w:t>exercised</w:t>
      </w:r>
      <w:r>
        <w:rPr>
          <w:rFonts w:ascii="Arial MT" w:hAnsi="Arial MT"/>
          <w:spacing w:val="-7"/>
          <w:sz w:val="24"/>
        </w:rPr>
        <w:t> </w:t>
      </w:r>
      <w:r>
        <w:rPr>
          <w:rFonts w:ascii="Arial MT" w:hAnsi="Arial MT"/>
          <w:sz w:val="24"/>
        </w:rPr>
        <w:t>by</w:t>
      </w:r>
      <w:r>
        <w:rPr>
          <w:rFonts w:ascii="Arial MT" w:hAnsi="Arial MT"/>
          <w:spacing w:val="-3"/>
          <w:sz w:val="24"/>
        </w:rPr>
        <w:t> </w:t>
      </w:r>
      <w:r>
        <w:rPr>
          <w:rFonts w:ascii="Arial MT" w:hAnsi="Arial MT"/>
          <w:sz w:val="24"/>
        </w:rPr>
        <w:t>a reasonably diligent person with—</w:t>
      </w:r>
    </w:p>
    <w:p>
      <w:pPr>
        <w:pStyle w:val="ListParagraph"/>
        <w:numPr>
          <w:ilvl w:val="1"/>
          <w:numId w:val="28"/>
        </w:numPr>
        <w:tabs>
          <w:tab w:pos="670" w:val="left" w:leader="none"/>
        </w:tabs>
        <w:spacing w:line="276" w:lineRule="auto" w:before="0" w:after="0"/>
        <w:ind w:left="308" w:right="709" w:firstLine="0"/>
        <w:jc w:val="left"/>
        <w:rPr>
          <w:rFonts w:ascii="Arial MT"/>
          <w:sz w:val="24"/>
        </w:rPr>
      </w:pPr>
      <w:r>
        <w:rPr>
          <w:rFonts w:ascii="Arial MT"/>
          <w:sz w:val="24"/>
        </w:rPr>
        <w:t>the general knowledge, skill and experience that may reasonably be expected</w:t>
      </w:r>
      <w:r>
        <w:rPr>
          <w:rFonts w:ascii="Arial MT"/>
          <w:spacing w:val="-3"/>
          <w:sz w:val="24"/>
        </w:rPr>
        <w:t> </w:t>
      </w:r>
      <w:r>
        <w:rPr>
          <w:rFonts w:ascii="Arial MT"/>
          <w:sz w:val="24"/>
        </w:rPr>
        <w:t>of</w:t>
      </w:r>
      <w:r>
        <w:rPr>
          <w:rFonts w:ascii="Arial MT"/>
          <w:spacing w:val="-3"/>
          <w:sz w:val="24"/>
        </w:rPr>
        <w:t> </w:t>
      </w:r>
      <w:r>
        <w:rPr>
          <w:rFonts w:ascii="Arial MT"/>
          <w:sz w:val="24"/>
        </w:rPr>
        <w:t>a</w:t>
      </w:r>
      <w:r>
        <w:rPr>
          <w:rFonts w:ascii="Arial MT"/>
          <w:spacing w:val="-3"/>
          <w:sz w:val="24"/>
        </w:rPr>
        <w:t> </w:t>
      </w:r>
      <w:r>
        <w:rPr>
          <w:rFonts w:ascii="Arial MT"/>
          <w:sz w:val="24"/>
        </w:rPr>
        <w:t>person</w:t>
      </w:r>
      <w:r>
        <w:rPr>
          <w:rFonts w:ascii="Arial MT"/>
          <w:spacing w:val="-3"/>
          <w:sz w:val="24"/>
        </w:rPr>
        <w:t> </w:t>
      </w:r>
      <w:r>
        <w:rPr>
          <w:rFonts w:ascii="Arial MT"/>
          <w:sz w:val="24"/>
        </w:rPr>
        <w:t>carrying</w:t>
      </w:r>
      <w:r>
        <w:rPr>
          <w:rFonts w:ascii="Arial MT"/>
          <w:spacing w:val="-6"/>
          <w:sz w:val="24"/>
        </w:rPr>
        <w:t> </w:t>
      </w:r>
      <w:r>
        <w:rPr>
          <w:rFonts w:ascii="Arial MT"/>
          <w:sz w:val="24"/>
        </w:rPr>
        <w:t>out</w:t>
      </w:r>
      <w:r>
        <w:rPr>
          <w:rFonts w:ascii="Arial MT"/>
          <w:spacing w:val="-3"/>
          <w:sz w:val="24"/>
        </w:rPr>
        <w:t> </w:t>
      </w:r>
      <w:r>
        <w:rPr>
          <w:rFonts w:ascii="Arial MT"/>
          <w:sz w:val="24"/>
        </w:rPr>
        <w:t>the</w:t>
      </w:r>
      <w:r>
        <w:rPr>
          <w:rFonts w:ascii="Arial MT"/>
          <w:spacing w:val="-3"/>
          <w:sz w:val="24"/>
        </w:rPr>
        <w:t> </w:t>
      </w:r>
      <w:r>
        <w:rPr>
          <w:rFonts w:ascii="Arial MT"/>
          <w:sz w:val="24"/>
        </w:rPr>
        <w:t>functions</w:t>
      </w:r>
      <w:r>
        <w:rPr>
          <w:rFonts w:ascii="Arial MT"/>
          <w:spacing w:val="-3"/>
          <w:sz w:val="24"/>
        </w:rPr>
        <w:t> </w:t>
      </w:r>
      <w:r>
        <w:rPr>
          <w:rFonts w:ascii="Arial MT"/>
          <w:sz w:val="24"/>
        </w:rPr>
        <w:t>carried</w:t>
      </w:r>
      <w:r>
        <w:rPr>
          <w:rFonts w:ascii="Arial MT"/>
          <w:spacing w:val="-6"/>
          <w:sz w:val="24"/>
        </w:rPr>
        <w:t> </w:t>
      </w:r>
      <w:r>
        <w:rPr>
          <w:rFonts w:ascii="Arial MT"/>
          <w:sz w:val="24"/>
        </w:rPr>
        <w:t>out</w:t>
      </w:r>
      <w:r>
        <w:rPr>
          <w:rFonts w:ascii="Arial MT"/>
          <w:spacing w:val="-3"/>
          <w:sz w:val="24"/>
        </w:rPr>
        <w:t> </w:t>
      </w:r>
      <w:r>
        <w:rPr>
          <w:rFonts w:ascii="Arial MT"/>
          <w:sz w:val="24"/>
        </w:rPr>
        <w:t>by</w:t>
      </w:r>
      <w:r>
        <w:rPr>
          <w:rFonts w:ascii="Arial MT"/>
          <w:spacing w:val="-3"/>
          <w:sz w:val="24"/>
        </w:rPr>
        <w:t> </w:t>
      </w:r>
      <w:r>
        <w:rPr>
          <w:rFonts w:ascii="Arial MT"/>
          <w:sz w:val="24"/>
        </w:rPr>
        <w:t>the</w:t>
      </w:r>
      <w:r>
        <w:rPr>
          <w:rFonts w:ascii="Arial MT"/>
          <w:spacing w:val="-3"/>
          <w:sz w:val="24"/>
        </w:rPr>
        <w:t> </w:t>
      </w:r>
      <w:r>
        <w:rPr>
          <w:rFonts w:ascii="Arial MT"/>
          <w:sz w:val="24"/>
        </w:rPr>
        <w:t>director</w:t>
      </w:r>
      <w:r>
        <w:rPr>
          <w:rFonts w:ascii="Arial MT"/>
          <w:spacing w:val="-6"/>
          <w:sz w:val="24"/>
        </w:rPr>
        <w:t> </w:t>
      </w:r>
      <w:r>
        <w:rPr>
          <w:rFonts w:ascii="Arial MT"/>
          <w:sz w:val="24"/>
        </w:rPr>
        <w:t>in relation to the company, and</w:t>
      </w:r>
    </w:p>
    <w:p>
      <w:pPr>
        <w:pStyle w:val="ListParagraph"/>
        <w:numPr>
          <w:ilvl w:val="1"/>
          <w:numId w:val="28"/>
        </w:numPr>
        <w:tabs>
          <w:tab w:pos="737" w:val="left" w:leader="none"/>
        </w:tabs>
        <w:spacing w:line="274" w:lineRule="exact" w:before="0" w:after="0"/>
        <w:ind w:left="737" w:right="0" w:hanging="362"/>
        <w:jc w:val="left"/>
        <w:rPr>
          <w:rFonts w:ascii="Arial MT"/>
          <w:sz w:val="24"/>
        </w:rPr>
      </w:pPr>
      <w:r>
        <w:rPr>
          <w:rFonts w:ascii="Arial MT"/>
          <w:sz w:val="24"/>
        </w:rPr>
        <w:t>the</w:t>
      </w:r>
      <w:r>
        <w:rPr>
          <w:rFonts w:ascii="Arial MT"/>
          <w:spacing w:val="-8"/>
          <w:sz w:val="24"/>
        </w:rPr>
        <w:t> </w:t>
      </w:r>
      <w:r>
        <w:rPr>
          <w:rFonts w:ascii="Arial MT"/>
          <w:sz w:val="24"/>
        </w:rPr>
        <w:t>general</w:t>
      </w:r>
      <w:r>
        <w:rPr>
          <w:rFonts w:ascii="Arial MT"/>
          <w:spacing w:val="-5"/>
          <w:sz w:val="24"/>
        </w:rPr>
        <w:t> </w:t>
      </w:r>
      <w:r>
        <w:rPr>
          <w:rFonts w:ascii="Arial MT"/>
          <w:sz w:val="24"/>
        </w:rPr>
        <w:t>knowledge,</w:t>
      </w:r>
      <w:r>
        <w:rPr>
          <w:rFonts w:ascii="Arial MT"/>
          <w:spacing w:val="-7"/>
          <w:sz w:val="24"/>
        </w:rPr>
        <w:t> </w:t>
      </w:r>
      <w:r>
        <w:rPr>
          <w:rFonts w:ascii="Arial MT"/>
          <w:sz w:val="24"/>
        </w:rPr>
        <w:t>skill</w:t>
      </w:r>
      <w:r>
        <w:rPr>
          <w:rFonts w:ascii="Arial MT"/>
          <w:spacing w:val="-4"/>
          <w:sz w:val="24"/>
        </w:rPr>
        <w:t> </w:t>
      </w:r>
      <w:r>
        <w:rPr>
          <w:rFonts w:ascii="Arial MT"/>
          <w:sz w:val="24"/>
        </w:rPr>
        <w:t>and</w:t>
      </w:r>
      <w:r>
        <w:rPr>
          <w:rFonts w:ascii="Arial MT"/>
          <w:spacing w:val="-7"/>
          <w:sz w:val="24"/>
        </w:rPr>
        <w:t> </w:t>
      </w:r>
      <w:r>
        <w:rPr>
          <w:rFonts w:ascii="Arial MT"/>
          <w:sz w:val="24"/>
        </w:rPr>
        <w:t>experience</w:t>
      </w:r>
      <w:r>
        <w:rPr>
          <w:rFonts w:ascii="Arial MT"/>
          <w:spacing w:val="-8"/>
          <w:sz w:val="24"/>
        </w:rPr>
        <w:t> </w:t>
      </w:r>
      <w:r>
        <w:rPr>
          <w:rFonts w:ascii="Arial MT"/>
          <w:sz w:val="24"/>
        </w:rPr>
        <w:t>that</w:t>
      </w:r>
      <w:r>
        <w:rPr>
          <w:rFonts w:ascii="Arial MT"/>
          <w:spacing w:val="-7"/>
          <w:sz w:val="24"/>
        </w:rPr>
        <w:t> </w:t>
      </w:r>
      <w:r>
        <w:rPr>
          <w:rFonts w:ascii="Arial MT"/>
          <w:sz w:val="24"/>
        </w:rPr>
        <w:t>the</w:t>
      </w:r>
      <w:r>
        <w:rPr>
          <w:rFonts w:ascii="Arial MT"/>
          <w:spacing w:val="-7"/>
          <w:sz w:val="24"/>
        </w:rPr>
        <w:t> </w:t>
      </w:r>
      <w:r>
        <w:rPr>
          <w:rFonts w:ascii="Arial MT"/>
          <w:sz w:val="24"/>
        </w:rPr>
        <w:t>director</w:t>
      </w:r>
      <w:r>
        <w:rPr>
          <w:rFonts w:ascii="Arial MT"/>
          <w:spacing w:val="-7"/>
          <w:sz w:val="24"/>
        </w:rPr>
        <w:t> </w:t>
      </w:r>
      <w:r>
        <w:rPr>
          <w:rFonts w:ascii="Arial MT"/>
          <w:spacing w:val="-4"/>
          <w:sz w:val="24"/>
        </w:rPr>
        <w:t>has.</w:t>
      </w:r>
    </w:p>
    <w:p>
      <w:pPr>
        <w:pStyle w:val="BodyText"/>
        <w:spacing w:before="76"/>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Duty</w:t>
      </w:r>
      <w:r>
        <w:rPr>
          <w:rFonts w:ascii="Arial"/>
          <w:spacing w:val="-7"/>
        </w:rPr>
        <w:t> </w:t>
      </w:r>
      <w:r>
        <w:rPr>
          <w:rFonts w:ascii="Arial"/>
        </w:rPr>
        <w:t>to</w:t>
      </w:r>
      <w:r>
        <w:rPr>
          <w:rFonts w:ascii="Arial"/>
          <w:spacing w:val="-2"/>
        </w:rPr>
        <w:t> </w:t>
      </w:r>
      <w:r>
        <w:rPr>
          <w:rFonts w:ascii="Arial"/>
        </w:rPr>
        <w:t>avoid</w:t>
      </w:r>
      <w:r>
        <w:rPr>
          <w:rFonts w:ascii="Arial"/>
          <w:spacing w:val="-1"/>
        </w:rPr>
        <w:t> </w:t>
      </w:r>
      <w:r>
        <w:rPr>
          <w:rFonts w:ascii="Arial"/>
        </w:rPr>
        <w:t>conflicts</w:t>
      </w:r>
      <w:r>
        <w:rPr>
          <w:rFonts w:ascii="Arial"/>
          <w:spacing w:val="-3"/>
        </w:rPr>
        <w:t> </w:t>
      </w:r>
      <w:r>
        <w:rPr>
          <w:rFonts w:ascii="Arial"/>
        </w:rPr>
        <w:t>of</w:t>
      </w:r>
      <w:r>
        <w:rPr>
          <w:rFonts w:ascii="Arial"/>
          <w:spacing w:val="-2"/>
        </w:rPr>
        <w:t> interest</w:t>
      </w:r>
    </w:p>
    <w:p>
      <w:pPr>
        <w:pStyle w:val="ListParagraph"/>
        <w:numPr>
          <w:ilvl w:val="0"/>
          <w:numId w:val="29"/>
        </w:numPr>
        <w:tabs>
          <w:tab w:pos="669" w:val="left" w:leader="none"/>
        </w:tabs>
        <w:spacing w:line="276" w:lineRule="auto" w:before="51" w:after="0"/>
        <w:ind w:left="308" w:right="279" w:firstLine="0"/>
        <w:jc w:val="left"/>
        <w:rPr>
          <w:rFonts w:ascii="Arial MT"/>
          <w:sz w:val="24"/>
        </w:rPr>
      </w:pPr>
      <w:r>
        <w:rPr>
          <w:rFonts w:ascii="Arial MT"/>
          <w:sz w:val="24"/>
        </w:rPr>
        <w:t>A</w:t>
      </w:r>
      <w:r>
        <w:rPr>
          <w:rFonts w:ascii="Arial MT"/>
          <w:spacing w:val="-4"/>
          <w:sz w:val="24"/>
        </w:rPr>
        <w:t> </w:t>
      </w:r>
      <w:r>
        <w:rPr>
          <w:rFonts w:ascii="Arial MT"/>
          <w:sz w:val="24"/>
        </w:rPr>
        <w:t>director</w:t>
      </w:r>
      <w:r>
        <w:rPr>
          <w:rFonts w:ascii="Arial MT"/>
          <w:spacing w:val="-1"/>
          <w:sz w:val="24"/>
        </w:rPr>
        <w:t> </w:t>
      </w:r>
      <w:r>
        <w:rPr>
          <w:rFonts w:ascii="Arial MT"/>
          <w:sz w:val="24"/>
        </w:rPr>
        <w:t>of</w:t>
      </w:r>
      <w:r>
        <w:rPr>
          <w:rFonts w:ascii="Arial MT"/>
          <w:spacing w:val="-7"/>
          <w:sz w:val="24"/>
        </w:rPr>
        <w:t> </w:t>
      </w:r>
      <w:r>
        <w:rPr>
          <w:rFonts w:ascii="Arial MT"/>
          <w:sz w:val="24"/>
        </w:rPr>
        <w:t>a</w:t>
      </w:r>
      <w:r>
        <w:rPr>
          <w:rFonts w:ascii="Arial MT"/>
          <w:spacing w:val="-1"/>
          <w:sz w:val="24"/>
        </w:rPr>
        <w:t> </w:t>
      </w:r>
      <w:r>
        <w:rPr>
          <w:rFonts w:ascii="Arial MT"/>
          <w:sz w:val="24"/>
        </w:rPr>
        <w:t>company</w:t>
      </w:r>
      <w:r>
        <w:rPr>
          <w:rFonts w:ascii="Arial MT"/>
          <w:spacing w:val="-2"/>
          <w:sz w:val="24"/>
        </w:rPr>
        <w:t> </w:t>
      </w:r>
      <w:r>
        <w:rPr>
          <w:rFonts w:ascii="Arial MT"/>
          <w:sz w:val="24"/>
        </w:rPr>
        <w:t>must</w:t>
      </w:r>
      <w:r>
        <w:rPr>
          <w:rFonts w:ascii="Arial MT"/>
          <w:spacing w:val="-2"/>
          <w:sz w:val="24"/>
        </w:rPr>
        <w:t> </w:t>
      </w:r>
      <w:r>
        <w:rPr>
          <w:rFonts w:ascii="Arial MT"/>
          <w:sz w:val="24"/>
        </w:rPr>
        <w:t>avoid</w:t>
      </w:r>
      <w:r>
        <w:rPr>
          <w:rFonts w:ascii="Arial MT"/>
          <w:spacing w:val="-2"/>
          <w:sz w:val="24"/>
        </w:rPr>
        <w:t> </w:t>
      </w:r>
      <w:r>
        <w:rPr>
          <w:rFonts w:ascii="Arial MT"/>
          <w:sz w:val="24"/>
        </w:rPr>
        <w:t>a</w:t>
      </w:r>
      <w:r>
        <w:rPr>
          <w:rFonts w:ascii="Arial MT"/>
          <w:spacing w:val="-1"/>
          <w:sz w:val="24"/>
        </w:rPr>
        <w:t> </w:t>
      </w:r>
      <w:r>
        <w:rPr>
          <w:rFonts w:ascii="Arial MT"/>
          <w:sz w:val="24"/>
        </w:rPr>
        <w:t>situation</w:t>
      </w:r>
      <w:r>
        <w:rPr>
          <w:rFonts w:ascii="Arial MT"/>
          <w:spacing w:val="-6"/>
          <w:sz w:val="24"/>
        </w:rPr>
        <w:t> </w:t>
      </w:r>
      <w:r>
        <w:rPr>
          <w:rFonts w:ascii="Arial MT"/>
          <w:sz w:val="24"/>
        </w:rPr>
        <w:t>in</w:t>
      </w:r>
      <w:r>
        <w:rPr>
          <w:rFonts w:ascii="Arial MT"/>
          <w:spacing w:val="-2"/>
          <w:sz w:val="24"/>
        </w:rPr>
        <w:t> </w:t>
      </w:r>
      <w:r>
        <w:rPr>
          <w:rFonts w:ascii="Arial MT"/>
          <w:sz w:val="24"/>
        </w:rPr>
        <w:t>which</w:t>
      </w:r>
      <w:r>
        <w:rPr>
          <w:rFonts w:ascii="Arial MT"/>
          <w:spacing w:val="-2"/>
          <w:sz w:val="24"/>
        </w:rPr>
        <w:t> </w:t>
      </w:r>
      <w:r>
        <w:rPr>
          <w:rFonts w:ascii="Arial MT"/>
          <w:sz w:val="24"/>
        </w:rPr>
        <w:t>he</w:t>
      </w:r>
      <w:r>
        <w:rPr>
          <w:rFonts w:ascii="Arial MT"/>
          <w:spacing w:val="-6"/>
          <w:sz w:val="24"/>
        </w:rPr>
        <w:t> </w:t>
      </w:r>
      <w:r>
        <w:rPr>
          <w:rFonts w:ascii="Arial MT"/>
          <w:sz w:val="24"/>
        </w:rPr>
        <w:t>has,</w:t>
      </w:r>
      <w:r>
        <w:rPr>
          <w:rFonts w:ascii="Arial MT"/>
          <w:spacing w:val="-2"/>
          <w:sz w:val="24"/>
        </w:rPr>
        <w:t> </w:t>
      </w:r>
      <w:r>
        <w:rPr>
          <w:rFonts w:ascii="Arial MT"/>
          <w:sz w:val="24"/>
        </w:rPr>
        <w:t>or</w:t>
      </w:r>
      <w:r>
        <w:rPr>
          <w:rFonts w:ascii="Arial MT"/>
          <w:spacing w:val="-1"/>
          <w:sz w:val="24"/>
        </w:rPr>
        <w:t> </w:t>
      </w:r>
      <w:r>
        <w:rPr>
          <w:rFonts w:ascii="Arial MT"/>
          <w:sz w:val="24"/>
        </w:rPr>
        <w:t>can</w:t>
      </w:r>
      <w:r>
        <w:rPr>
          <w:rFonts w:ascii="Arial MT"/>
          <w:spacing w:val="-2"/>
          <w:sz w:val="24"/>
        </w:rPr>
        <w:t> </w:t>
      </w:r>
      <w:r>
        <w:rPr>
          <w:rFonts w:ascii="Arial MT"/>
          <w:sz w:val="24"/>
        </w:rPr>
        <w:t>have, a direct or indirect interest that conflicts, or possibly may conflict, with the interests of the company.</w:t>
      </w:r>
    </w:p>
    <w:p>
      <w:pPr>
        <w:pStyle w:val="ListParagraph"/>
        <w:numPr>
          <w:ilvl w:val="0"/>
          <w:numId w:val="29"/>
        </w:numPr>
        <w:tabs>
          <w:tab w:pos="669" w:val="left" w:leader="none"/>
        </w:tabs>
        <w:spacing w:line="276" w:lineRule="auto" w:before="0" w:after="0"/>
        <w:ind w:left="308" w:right="427" w:firstLine="0"/>
        <w:jc w:val="left"/>
        <w:rPr>
          <w:rFonts w:ascii="Arial MT"/>
          <w:sz w:val="24"/>
        </w:rPr>
      </w:pPr>
      <w:r>
        <w:rPr>
          <w:rFonts w:ascii="Arial MT"/>
          <w:sz w:val="24"/>
        </w:rPr>
        <w:t>This applies in particular to the exploitation of any property, information or opportunity</w:t>
      </w:r>
      <w:r>
        <w:rPr>
          <w:rFonts w:ascii="Arial MT"/>
          <w:spacing w:val="-3"/>
          <w:sz w:val="24"/>
        </w:rPr>
        <w:t> </w:t>
      </w:r>
      <w:r>
        <w:rPr>
          <w:rFonts w:ascii="Arial MT"/>
          <w:sz w:val="24"/>
        </w:rPr>
        <w:t>(and</w:t>
      </w:r>
      <w:r>
        <w:rPr>
          <w:rFonts w:ascii="Arial MT"/>
          <w:spacing w:val="-7"/>
          <w:sz w:val="24"/>
        </w:rPr>
        <w:t> </w:t>
      </w:r>
      <w:r>
        <w:rPr>
          <w:rFonts w:ascii="Arial MT"/>
          <w:sz w:val="24"/>
        </w:rPr>
        <w:t>it</w:t>
      </w:r>
      <w:r>
        <w:rPr>
          <w:rFonts w:ascii="Arial MT"/>
          <w:spacing w:val="-7"/>
          <w:sz w:val="24"/>
        </w:rPr>
        <w:t> </w:t>
      </w:r>
      <w:r>
        <w:rPr>
          <w:rFonts w:ascii="Arial MT"/>
          <w:sz w:val="24"/>
        </w:rPr>
        <w:t>is</w:t>
      </w:r>
      <w:r>
        <w:rPr>
          <w:rFonts w:ascii="Arial MT"/>
          <w:spacing w:val="-8"/>
          <w:sz w:val="24"/>
        </w:rPr>
        <w:t> </w:t>
      </w:r>
      <w:r>
        <w:rPr>
          <w:rFonts w:ascii="Arial MT"/>
          <w:sz w:val="24"/>
        </w:rPr>
        <w:t>immaterial whether</w:t>
      </w:r>
      <w:r>
        <w:rPr>
          <w:rFonts w:ascii="Arial MT"/>
          <w:spacing w:val="-2"/>
          <w:sz w:val="24"/>
        </w:rPr>
        <w:t> </w:t>
      </w:r>
      <w:r>
        <w:rPr>
          <w:rFonts w:ascii="Arial MT"/>
          <w:sz w:val="24"/>
        </w:rPr>
        <w:t>the</w:t>
      </w:r>
      <w:r>
        <w:rPr>
          <w:rFonts w:ascii="Arial MT"/>
          <w:spacing w:val="-3"/>
          <w:sz w:val="24"/>
        </w:rPr>
        <w:t> </w:t>
      </w:r>
      <w:r>
        <w:rPr>
          <w:rFonts w:ascii="Arial MT"/>
          <w:sz w:val="24"/>
        </w:rPr>
        <w:t>company</w:t>
      </w:r>
      <w:r>
        <w:rPr>
          <w:rFonts w:ascii="Arial MT"/>
          <w:spacing w:val="-3"/>
          <w:sz w:val="24"/>
        </w:rPr>
        <w:t> </w:t>
      </w:r>
      <w:r>
        <w:rPr>
          <w:rFonts w:ascii="Arial MT"/>
          <w:sz w:val="24"/>
        </w:rPr>
        <w:t>could</w:t>
      </w:r>
      <w:r>
        <w:rPr>
          <w:rFonts w:ascii="Arial MT"/>
          <w:spacing w:val="-3"/>
          <w:sz w:val="24"/>
        </w:rPr>
        <w:t> </w:t>
      </w:r>
      <w:r>
        <w:rPr>
          <w:rFonts w:ascii="Arial MT"/>
          <w:sz w:val="24"/>
        </w:rPr>
        <w:t>take</w:t>
      </w:r>
      <w:r>
        <w:rPr>
          <w:rFonts w:ascii="Arial MT"/>
          <w:spacing w:val="-7"/>
          <w:sz w:val="24"/>
        </w:rPr>
        <w:t> </w:t>
      </w:r>
      <w:r>
        <w:rPr>
          <w:rFonts w:ascii="Arial MT"/>
          <w:sz w:val="24"/>
        </w:rPr>
        <w:t>advantage</w:t>
      </w:r>
      <w:r>
        <w:rPr>
          <w:rFonts w:ascii="Arial MT"/>
          <w:spacing w:val="-3"/>
          <w:sz w:val="24"/>
        </w:rPr>
        <w:t> </w:t>
      </w:r>
      <w:r>
        <w:rPr>
          <w:rFonts w:ascii="Arial MT"/>
          <w:sz w:val="24"/>
        </w:rPr>
        <w:t>of the property, information or opportunity).</w:t>
      </w:r>
    </w:p>
    <w:p>
      <w:pPr>
        <w:pStyle w:val="ListParagraph"/>
        <w:numPr>
          <w:ilvl w:val="0"/>
          <w:numId w:val="29"/>
        </w:numPr>
        <w:tabs>
          <w:tab w:pos="669" w:val="left" w:leader="none"/>
        </w:tabs>
        <w:spacing w:line="276" w:lineRule="auto" w:before="0" w:after="0"/>
        <w:ind w:left="308" w:right="1030" w:firstLine="0"/>
        <w:jc w:val="left"/>
        <w:rPr>
          <w:rFonts w:ascii="Arial MT"/>
          <w:sz w:val="24"/>
        </w:rPr>
      </w:pPr>
      <w:r>
        <w:rPr>
          <w:rFonts w:ascii="Arial MT"/>
          <w:sz w:val="24"/>
        </w:rPr>
        <w:t>This</w:t>
      </w:r>
      <w:r>
        <w:rPr>
          <w:rFonts w:ascii="Arial MT"/>
          <w:spacing w:val="-2"/>
          <w:sz w:val="24"/>
        </w:rPr>
        <w:t> </w:t>
      </w:r>
      <w:r>
        <w:rPr>
          <w:rFonts w:ascii="Arial MT"/>
          <w:sz w:val="24"/>
        </w:rPr>
        <w:t>duty</w:t>
      </w:r>
      <w:r>
        <w:rPr>
          <w:rFonts w:ascii="Arial MT"/>
          <w:spacing w:val="-2"/>
          <w:sz w:val="24"/>
        </w:rPr>
        <w:t> </w:t>
      </w:r>
      <w:r>
        <w:rPr>
          <w:rFonts w:ascii="Arial MT"/>
          <w:sz w:val="24"/>
        </w:rPr>
        <w:t>does</w:t>
      </w:r>
      <w:r>
        <w:rPr>
          <w:rFonts w:ascii="Arial MT"/>
          <w:spacing w:val="-2"/>
          <w:sz w:val="24"/>
        </w:rPr>
        <w:t> </w:t>
      </w:r>
      <w:r>
        <w:rPr>
          <w:rFonts w:ascii="Arial MT"/>
          <w:sz w:val="24"/>
        </w:rPr>
        <w:t>not</w:t>
      </w:r>
      <w:r>
        <w:rPr>
          <w:rFonts w:ascii="Arial MT"/>
          <w:spacing w:val="-2"/>
          <w:sz w:val="24"/>
        </w:rPr>
        <w:t> </w:t>
      </w:r>
      <w:r>
        <w:rPr>
          <w:rFonts w:ascii="Arial MT"/>
          <w:sz w:val="24"/>
        </w:rPr>
        <w:t>apply</w:t>
      </w:r>
      <w:r>
        <w:rPr>
          <w:rFonts w:ascii="Arial MT"/>
          <w:spacing w:val="-2"/>
          <w:sz w:val="24"/>
        </w:rPr>
        <w:t> </w:t>
      </w:r>
      <w:r>
        <w:rPr>
          <w:rFonts w:ascii="Arial MT"/>
          <w:sz w:val="24"/>
        </w:rPr>
        <w:t>to</w:t>
      </w:r>
      <w:r>
        <w:rPr>
          <w:rFonts w:ascii="Arial MT"/>
          <w:spacing w:val="-2"/>
          <w:sz w:val="24"/>
        </w:rPr>
        <w:t> </w:t>
      </w:r>
      <w:r>
        <w:rPr>
          <w:rFonts w:ascii="Arial MT"/>
          <w:sz w:val="24"/>
        </w:rPr>
        <w:t>a</w:t>
      </w:r>
      <w:r>
        <w:rPr>
          <w:rFonts w:ascii="Arial MT"/>
          <w:spacing w:val="-1"/>
          <w:sz w:val="24"/>
        </w:rPr>
        <w:t> </w:t>
      </w:r>
      <w:r>
        <w:rPr>
          <w:rFonts w:ascii="Arial MT"/>
          <w:sz w:val="24"/>
        </w:rPr>
        <w:t>conflict</w:t>
      </w:r>
      <w:r>
        <w:rPr>
          <w:rFonts w:ascii="Arial MT"/>
          <w:spacing w:val="-6"/>
          <w:sz w:val="24"/>
        </w:rPr>
        <w:t> </w:t>
      </w:r>
      <w:r>
        <w:rPr>
          <w:rFonts w:ascii="Arial MT"/>
          <w:sz w:val="24"/>
        </w:rPr>
        <w:t>of</w:t>
      </w:r>
      <w:r>
        <w:rPr>
          <w:rFonts w:ascii="Arial MT"/>
          <w:spacing w:val="-6"/>
          <w:sz w:val="24"/>
        </w:rPr>
        <w:t> </w:t>
      </w:r>
      <w:r>
        <w:rPr>
          <w:rFonts w:ascii="Arial MT"/>
          <w:sz w:val="24"/>
        </w:rPr>
        <w:t>interest</w:t>
      </w:r>
      <w:r>
        <w:rPr>
          <w:rFonts w:ascii="Arial MT"/>
          <w:spacing w:val="-2"/>
          <w:sz w:val="24"/>
        </w:rPr>
        <w:t> </w:t>
      </w:r>
      <w:r>
        <w:rPr>
          <w:rFonts w:ascii="Arial MT"/>
          <w:sz w:val="24"/>
        </w:rPr>
        <w:t>arising</w:t>
      </w:r>
      <w:r>
        <w:rPr>
          <w:rFonts w:ascii="Arial MT"/>
          <w:spacing w:val="-6"/>
          <w:sz w:val="24"/>
        </w:rPr>
        <w:t> </w:t>
      </w:r>
      <w:r>
        <w:rPr>
          <w:rFonts w:ascii="Arial MT"/>
          <w:sz w:val="24"/>
        </w:rPr>
        <w:t>in</w:t>
      </w:r>
      <w:r>
        <w:rPr>
          <w:rFonts w:ascii="Arial MT"/>
          <w:spacing w:val="-2"/>
          <w:sz w:val="24"/>
        </w:rPr>
        <w:t> </w:t>
      </w:r>
      <w:r>
        <w:rPr>
          <w:rFonts w:ascii="Arial MT"/>
          <w:sz w:val="24"/>
        </w:rPr>
        <w:t>relation</w:t>
      </w:r>
      <w:r>
        <w:rPr>
          <w:rFonts w:ascii="Arial MT"/>
          <w:spacing w:val="-2"/>
          <w:sz w:val="24"/>
        </w:rPr>
        <w:t> </w:t>
      </w:r>
      <w:r>
        <w:rPr>
          <w:rFonts w:ascii="Arial MT"/>
          <w:sz w:val="24"/>
        </w:rPr>
        <w:t>to</w:t>
      </w:r>
      <w:r>
        <w:rPr>
          <w:rFonts w:ascii="Arial MT"/>
          <w:spacing w:val="-6"/>
          <w:sz w:val="24"/>
        </w:rPr>
        <w:t> </w:t>
      </w:r>
      <w:r>
        <w:rPr>
          <w:rFonts w:ascii="Arial MT"/>
          <w:sz w:val="24"/>
        </w:rPr>
        <w:t>a transaction or arrangement with the company.</w:t>
      </w:r>
    </w:p>
    <w:p>
      <w:pPr>
        <w:pStyle w:val="ListParagraph"/>
        <w:numPr>
          <w:ilvl w:val="0"/>
          <w:numId w:val="29"/>
        </w:numPr>
        <w:tabs>
          <w:tab w:pos="669" w:val="left" w:leader="none"/>
        </w:tabs>
        <w:spacing w:line="275" w:lineRule="exact" w:before="0" w:after="0"/>
        <w:ind w:left="669" w:right="0" w:hanging="361"/>
        <w:jc w:val="left"/>
        <w:rPr>
          <w:rFonts w:ascii="Arial MT" w:hAnsi="Arial MT"/>
          <w:sz w:val="24"/>
        </w:rPr>
      </w:pPr>
      <w:r>
        <w:rPr>
          <w:rFonts w:ascii="Arial MT" w:hAnsi="Arial MT"/>
          <w:sz w:val="24"/>
        </w:rPr>
        <w:t>This duty</w:t>
      </w:r>
      <w:r>
        <w:rPr>
          <w:rFonts w:ascii="Arial MT" w:hAnsi="Arial MT"/>
          <w:spacing w:val="-3"/>
          <w:sz w:val="24"/>
        </w:rPr>
        <w:t> </w:t>
      </w:r>
      <w:r>
        <w:rPr>
          <w:rFonts w:ascii="Arial MT" w:hAnsi="Arial MT"/>
          <w:sz w:val="24"/>
        </w:rPr>
        <w:t>is</w:t>
      </w:r>
      <w:r>
        <w:rPr>
          <w:rFonts w:ascii="Arial MT" w:hAnsi="Arial MT"/>
          <w:spacing w:val="-4"/>
          <w:sz w:val="24"/>
        </w:rPr>
        <w:t> </w:t>
      </w:r>
      <w:r>
        <w:rPr>
          <w:rFonts w:ascii="Arial MT" w:hAnsi="Arial MT"/>
          <w:sz w:val="24"/>
        </w:rPr>
        <w:t>not</w:t>
      </w:r>
      <w:r>
        <w:rPr>
          <w:rFonts w:ascii="Arial MT" w:hAnsi="Arial MT"/>
          <w:spacing w:val="-3"/>
          <w:sz w:val="24"/>
        </w:rPr>
        <w:t> </w:t>
      </w:r>
      <w:r>
        <w:rPr>
          <w:rFonts w:ascii="Arial MT" w:hAnsi="Arial MT"/>
          <w:spacing w:val="-2"/>
          <w:sz w:val="24"/>
        </w:rPr>
        <w:t>infringed—</w:t>
      </w:r>
    </w:p>
    <w:p>
      <w:pPr>
        <w:pStyle w:val="ListParagraph"/>
        <w:numPr>
          <w:ilvl w:val="1"/>
          <w:numId w:val="29"/>
        </w:numPr>
        <w:tabs>
          <w:tab w:pos="666" w:val="left" w:leader="none"/>
        </w:tabs>
        <w:spacing w:line="276" w:lineRule="auto" w:before="42" w:after="0"/>
        <w:ind w:left="308" w:right="896" w:firstLine="0"/>
        <w:jc w:val="left"/>
        <w:rPr>
          <w:rFonts w:ascii="Arial MT"/>
          <w:sz w:val="24"/>
        </w:rPr>
      </w:pPr>
      <w:r>
        <w:rPr>
          <w:rFonts w:ascii="Arial MT"/>
          <w:sz w:val="24"/>
        </w:rPr>
        <w:t>if</w:t>
      </w:r>
      <w:r>
        <w:rPr>
          <w:rFonts w:ascii="Arial MT"/>
          <w:spacing w:val="-3"/>
          <w:sz w:val="24"/>
        </w:rPr>
        <w:t> </w:t>
      </w:r>
      <w:r>
        <w:rPr>
          <w:rFonts w:ascii="Arial MT"/>
          <w:sz w:val="24"/>
        </w:rPr>
        <w:t>the</w:t>
      </w:r>
      <w:r>
        <w:rPr>
          <w:rFonts w:ascii="Arial MT"/>
          <w:spacing w:val="-3"/>
          <w:sz w:val="24"/>
        </w:rPr>
        <w:t> </w:t>
      </w:r>
      <w:r>
        <w:rPr>
          <w:rFonts w:ascii="Arial MT"/>
          <w:sz w:val="24"/>
        </w:rPr>
        <w:t>situation</w:t>
      </w:r>
      <w:r>
        <w:rPr>
          <w:rFonts w:ascii="Arial MT"/>
          <w:spacing w:val="-3"/>
          <w:sz w:val="24"/>
        </w:rPr>
        <w:t> </w:t>
      </w:r>
      <w:r>
        <w:rPr>
          <w:rFonts w:ascii="Arial MT"/>
          <w:sz w:val="24"/>
        </w:rPr>
        <w:t>cannot</w:t>
      </w:r>
      <w:r>
        <w:rPr>
          <w:rFonts w:ascii="Arial MT"/>
          <w:spacing w:val="-3"/>
          <w:sz w:val="24"/>
        </w:rPr>
        <w:t> </w:t>
      </w:r>
      <w:r>
        <w:rPr>
          <w:rFonts w:ascii="Arial MT"/>
          <w:sz w:val="24"/>
        </w:rPr>
        <w:t>reasonably</w:t>
      </w:r>
      <w:r>
        <w:rPr>
          <w:rFonts w:ascii="Arial MT"/>
          <w:spacing w:val="-3"/>
          <w:sz w:val="24"/>
        </w:rPr>
        <w:t> </w:t>
      </w:r>
      <w:r>
        <w:rPr>
          <w:rFonts w:ascii="Arial MT"/>
          <w:sz w:val="24"/>
        </w:rPr>
        <w:t>be</w:t>
      </w:r>
      <w:r>
        <w:rPr>
          <w:rFonts w:ascii="Arial MT"/>
          <w:spacing w:val="-3"/>
          <w:sz w:val="24"/>
        </w:rPr>
        <w:t> </w:t>
      </w:r>
      <w:r>
        <w:rPr>
          <w:rFonts w:ascii="Arial MT"/>
          <w:sz w:val="24"/>
        </w:rPr>
        <w:t>regarded</w:t>
      </w:r>
      <w:r>
        <w:rPr>
          <w:rFonts w:ascii="Arial MT"/>
          <w:spacing w:val="-3"/>
          <w:sz w:val="24"/>
        </w:rPr>
        <w:t> </w:t>
      </w:r>
      <w:r>
        <w:rPr>
          <w:rFonts w:ascii="Arial MT"/>
          <w:sz w:val="24"/>
        </w:rPr>
        <w:t>as</w:t>
      </w:r>
      <w:r>
        <w:rPr>
          <w:rFonts w:ascii="Arial MT"/>
          <w:spacing w:val="-8"/>
          <w:sz w:val="24"/>
        </w:rPr>
        <w:t> </w:t>
      </w:r>
      <w:r>
        <w:rPr>
          <w:rFonts w:ascii="Arial MT"/>
          <w:sz w:val="24"/>
        </w:rPr>
        <w:t>likely</w:t>
      </w:r>
      <w:r>
        <w:rPr>
          <w:rFonts w:ascii="Arial MT"/>
          <w:spacing w:val="-3"/>
          <w:sz w:val="24"/>
        </w:rPr>
        <w:t> </w:t>
      </w:r>
      <w:r>
        <w:rPr>
          <w:rFonts w:ascii="Arial MT"/>
          <w:sz w:val="24"/>
        </w:rPr>
        <w:t>to</w:t>
      </w:r>
      <w:r>
        <w:rPr>
          <w:rFonts w:ascii="Arial MT"/>
          <w:spacing w:val="-7"/>
          <w:sz w:val="24"/>
        </w:rPr>
        <w:t> </w:t>
      </w:r>
      <w:r>
        <w:rPr>
          <w:rFonts w:ascii="Arial MT"/>
          <w:sz w:val="24"/>
        </w:rPr>
        <w:t>give</w:t>
      </w:r>
      <w:r>
        <w:rPr>
          <w:rFonts w:ascii="Arial MT"/>
          <w:spacing w:val="-3"/>
          <w:sz w:val="24"/>
        </w:rPr>
        <w:t> </w:t>
      </w:r>
      <w:r>
        <w:rPr>
          <w:rFonts w:ascii="Arial MT"/>
          <w:sz w:val="24"/>
        </w:rPr>
        <w:t>rise</w:t>
      </w:r>
      <w:r>
        <w:rPr>
          <w:rFonts w:ascii="Arial MT"/>
          <w:spacing w:val="-3"/>
          <w:sz w:val="24"/>
        </w:rPr>
        <w:t> </w:t>
      </w:r>
      <w:r>
        <w:rPr>
          <w:rFonts w:ascii="Arial MT"/>
          <w:sz w:val="24"/>
        </w:rPr>
        <w:t>to</w:t>
      </w:r>
      <w:r>
        <w:rPr>
          <w:rFonts w:ascii="Arial MT"/>
          <w:spacing w:val="-3"/>
          <w:sz w:val="24"/>
        </w:rPr>
        <w:t> </w:t>
      </w:r>
      <w:r>
        <w:rPr>
          <w:rFonts w:ascii="Arial MT"/>
          <w:sz w:val="24"/>
        </w:rPr>
        <w:t>a conflict of interest; or</w:t>
      </w:r>
    </w:p>
    <w:p>
      <w:pPr>
        <w:pStyle w:val="ListParagraph"/>
        <w:numPr>
          <w:ilvl w:val="1"/>
          <w:numId w:val="29"/>
        </w:numPr>
        <w:tabs>
          <w:tab w:pos="666" w:val="left" w:leader="none"/>
        </w:tabs>
        <w:spacing w:line="275" w:lineRule="exact" w:before="0" w:after="0"/>
        <w:ind w:left="666" w:right="0" w:hanging="358"/>
        <w:jc w:val="left"/>
        <w:rPr>
          <w:rFonts w:ascii="Arial MT"/>
          <w:sz w:val="24"/>
        </w:rPr>
      </w:pPr>
      <w:r>
        <w:rPr>
          <w:rFonts w:ascii="Arial MT"/>
          <w:sz w:val="24"/>
        </w:rPr>
        <w:t>if</w:t>
      </w:r>
      <w:r>
        <w:rPr>
          <w:rFonts w:ascii="Arial MT"/>
          <w:spacing w:val="-7"/>
          <w:sz w:val="24"/>
        </w:rPr>
        <w:t> </w:t>
      </w:r>
      <w:r>
        <w:rPr>
          <w:rFonts w:ascii="Arial MT"/>
          <w:sz w:val="24"/>
        </w:rPr>
        <w:t>the</w:t>
      </w:r>
      <w:r>
        <w:rPr>
          <w:rFonts w:ascii="Arial MT"/>
          <w:spacing w:val="-7"/>
          <w:sz w:val="24"/>
        </w:rPr>
        <w:t> </w:t>
      </w:r>
      <w:r>
        <w:rPr>
          <w:rFonts w:ascii="Arial MT"/>
          <w:sz w:val="24"/>
        </w:rPr>
        <w:t>matter</w:t>
      </w:r>
      <w:r>
        <w:rPr>
          <w:rFonts w:ascii="Arial MT"/>
          <w:spacing w:val="-6"/>
          <w:sz w:val="24"/>
        </w:rPr>
        <w:t> </w:t>
      </w:r>
      <w:r>
        <w:rPr>
          <w:rFonts w:ascii="Arial MT"/>
          <w:sz w:val="24"/>
        </w:rPr>
        <w:t>has</w:t>
      </w:r>
      <w:r>
        <w:rPr>
          <w:rFonts w:ascii="Arial MT"/>
          <w:spacing w:val="-6"/>
          <w:sz w:val="24"/>
        </w:rPr>
        <w:t> </w:t>
      </w:r>
      <w:r>
        <w:rPr>
          <w:rFonts w:ascii="Arial MT"/>
          <w:sz w:val="24"/>
        </w:rPr>
        <w:t>been</w:t>
      </w:r>
      <w:r>
        <w:rPr>
          <w:rFonts w:ascii="Arial MT"/>
          <w:spacing w:val="-11"/>
          <w:sz w:val="24"/>
        </w:rPr>
        <w:t> </w:t>
      </w:r>
      <w:r>
        <w:rPr>
          <w:rFonts w:ascii="Arial MT"/>
          <w:sz w:val="24"/>
        </w:rPr>
        <w:t>authorised</w:t>
      </w:r>
      <w:r>
        <w:rPr>
          <w:rFonts w:ascii="Arial MT"/>
          <w:spacing w:val="-6"/>
          <w:sz w:val="24"/>
        </w:rPr>
        <w:t> </w:t>
      </w:r>
      <w:r>
        <w:rPr>
          <w:rFonts w:ascii="Arial MT"/>
          <w:sz w:val="24"/>
        </w:rPr>
        <w:t>by</w:t>
      </w:r>
      <w:r>
        <w:rPr>
          <w:rFonts w:ascii="Arial MT"/>
          <w:spacing w:val="-12"/>
          <w:sz w:val="24"/>
        </w:rPr>
        <w:t> </w:t>
      </w:r>
      <w:r>
        <w:rPr>
          <w:rFonts w:ascii="Arial MT"/>
          <w:sz w:val="24"/>
        </w:rPr>
        <w:t>the</w:t>
      </w:r>
      <w:r>
        <w:rPr>
          <w:rFonts w:ascii="Arial MT"/>
          <w:spacing w:val="-6"/>
          <w:sz w:val="24"/>
        </w:rPr>
        <w:t> </w:t>
      </w:r>
      <w:r>
        <w:rPr>
          <w:rFonts w:ascii="Arial MT"/>
          <w:spacing w:val="-2"/>
          <w:sz w:val="24"/>
        </w:rPr>
        <w:t>directors.</w:t>
      </w:r>
    </w:p>
    <w:p>
      <w:pPr>
        <w:pStyle w:val="ListParagraph"/>
        <w:numPr>
          <w:ilvl w:val="0"/>
          <w:numId w:val="29"/>
        </w:numPr>
        <w:tabs>
          <w:tab w:pos="669" w:val="left" w:leader="none"/>
        </w:tabs>
        <w:spacing w:line="240" w:lineRule="auto" w:before="41" w:after="0"/>
        <w:ind w:left="669" w:right="0" w:hanging="361"/>
        <w:jc w:val="left"/>
        <w:rPr>
          <w:rFonts w:ascii="Arial MT" w:hAnsi="Arial MT"/>
          <w:sz w:val="24"/>
        </w:rPr>
      </w:pPr>
      <w:r>
        <w:rPr>
          <w:rFonts w:ascii="Arial MT" w:hAnsi="Arial MT"/>
          <w:sz w:val="24"/>
        </w:rPr>
        <w:t>Authorisation</w:t>
      </w:r>
      <w:r>
        <w:rPr>
          <w:rFonts w:ascii="Arial MT" w:hAnsi="Arial MT"/>
          <w:spacing w:val="-9"/>
          <w:sz w:val="24"/>
        </w:rPr>
        <w:t> </w:t>
      </w:r>
      <w:r>
        <w:rPr>
          <w:rFonts w:ascii="Arial MT" w:hAnsi="Arial MT"/>
          <w:sz w:val="24"/>
        </w:rPr>
        <w:t>may</w:t>
      </w:r>
      <w:r>
        <w:rPr>
          <w:rFonts w:ascii="Arial MT" w:hAnsi="Arial MT"/>
          <w:spacing w:val="-9"/>
          <w:sz w:val="24"/>
        </w:rPr>
        <w:t> </w:t>
      </w:r>
      <w:r>
        <w:rPr>
          <w:rFonts w:ascii="Arial MT" w:hAnsi="Arial MT"/>
          <w:sz w:val="24"/>
        </w:rPr>
        <w:t>be</w:t>
      </w:r>
      <w:r>
        <w:rPr>
          <w:rFonts w:ascii="Arial MT" w:hAnsi="Arial MT"/>
          <w:spacing w:val="-9"/>
          <w:sz w:val="24"/>
        </w:rPr>
        <w:t> </w:t>
      </w:r>
      <w:r>
        <w:rPr>
          <w:rFonts w:ascii="Arial MT" w:hAnsi="Arial MT"/>
          <w:sz w:val="24"/>
        </w:rPr>
        <w:t>given</w:t>
      </w:r>
      <w:r>
        <w:rPr>
          <w:rFonts w:ascii="Arial MT" w:hAnsi="Arial MT"/>
          <w:spacing w:val="-8"/>
          <w:sz w:val="24"/>
        </w:rPr>
        <w:t> </w:t>
      </w:r>
      <w:r>
        <w:rPr>
          <w:rFonts w:ascii="Arial MT" w:hAnsi="Arial MT"/>
          <w:sz w:val="24"/>
        </w:rPr>
        <w:t>by</w:t>
      </w:r>
      <w:r>
        <w:rPr>
          <w:rFonts w:ascii="Arial MT" w:hAnsi="Arial MT"/>
          <w:spacing w:val="-14"/>
          <w:sz w:val="24"/>
        </w:rPr>
        <w:t> </w:t>
      </w:r>
      <w:r>
        <w:rPr>
          <w:rFonts w:ascii="Arial MT" w:hAnsi="Arial MT"/>
          <w:sz w:val="24"/>
        </w:rPr>
        <w:t>the</w:t>
      </w:r>
      <w:r>
        <w:rPr>
          <w:rFonts w:ascii="Arial MT" w:hAnsi="Arial MT"/>
          <w:spacing w:val="-8"/>
          <w:sz w:val="24"/>
        </w:rPr>
        <w:t> </w:t>
      </w:r>
      <w:r>
        <w:rPr>
          <w:rFonts w:ascii="Arial MT" w:hAnsi="Arial MT"/>
          <w:spacing w:val="-2"/>
          <w:sz w:val="24"/>
        </w:rPr>
        <w:t>directors—</w:t>
      </w:r>
    </w:p>
    <w:p>
      <w:pPr>
        <w:spacing w:after="0" w:line="240" w:lineRule="auto"/>
        <w:jc w:val="left"/>
        <w:rPr>
          <w:rFonts w:ascii="Arial MT" w:hAnsi="Arial MT"/>
          <w:sz w:val="24"/>
        </w:rPr>
        <w:sectPr>
          <w:pgSz w:w="11910" w:h="16840"/>
          <w:pgMar w:header="0" w:footer="998" w:top="1320" w:bottom="1180" w:left="1680" w:right="1180"/>
        </w:sectPr>
      </w:pPr>
    </w:p>
    <w:p>
      <w:pPr>
        <w:pStyle w:val="ListParagraph"/>
        <w:numPr>
          <w:ilvl w:val="1"/>
          <w:numId w:val="29"/>
        </w:numPr>
        <w:tabs>
          <w:tab w:pos="670" w:val="left" w:leader="none"/>
        </w:tabs>
        <w:spacing w:line="276" w:lineRule="auto" w:before="69" w:after="0"/>
        <w:ind w:left="308" w:right="321" w:firstLine="0"/>
        <w:jc w:val="left"/>
        <w:rPr>
          <w:rFonts w:ascii="Arial MT" w:hAnsi="Arial MT"/>
          <w:sz w:val="24"/>
        </w:rPr>
      </w:pPr>
      <w:r>
        <w:rPr>
          <w:rFonts w:ascii="Arial MT" w:hAnsi="Arial MT"/>
          <w:sz w:val="24"/>
        </w:rPr>
        <w:t>where the company is a private company and nothing in the company’s constitution</w:t>
      </w:r>
      <w:r>
        <w:rPr>
          <w:rFonts w:ascii="Arial MT" w:hAnsi="Arial MT"/>
          <w:spacing w:val="-7"/>
          <w:sz w:val="24"/>
        </w:rPr>
        <w:t> </w:t>
      </w:r>
      <w:r>
        <w:rPr>
          <w:rFonts w:ascii="Arial MT" w:hAnsi="Arial MT"/>
          <w:sz w:val="24"/>
        </w:rPr>
        <w:t>invalidates</w:t>
      </w:r>
      <w:r>
        <w:rPr>
          <w:rFonts w:ascii="Arial MT" w:hAnsi="Arial MT"/>
          <w:spacing w:val="-3"/>
          <w:sz w:val="24"/>
        </w:rPr>
        <w:t> </w:t>
      </w:r>
      <w:r>
        <w:rPr>
          <w:rFonts w:ascii="Arial MT" w:hAnsi="Arial MT"/>
          <w:sz w:val="24"/>
        </w:rPr>
        <w:t>such</w:t>
      </w:r>
      <w:r>
        <w:rPr>
          <w:rFonts w:ascii="Arial MT" w:hAnsi="Arial MT"/>
          <w:spacing w:val="-3"/>
          <w:sz w:val="24"/>
        </w:rPr>
        <w:t> </w:t>
      </w:r>
      <w:r>
        <w:rPr>
          <w:rFonts w:ascii="Arial MT" w:hAnsi="Arial MT"/>
          <w:sz w:val="24"/>
        </w:rPr>
        <w:t>authorisation,</w:t>
      </w:r>
      <w:r>
        <w:rPr>
          <w:rFonts w:ascii="Arial MT" w:hAnsi="Arial MT"/>
          <w:spacing w:val="-7"/>
          <w:sz w:val="24"/>
        </w:rPr>
        <w:t> </w:t>
      </w:r>
      <w:r>
        <w:rPr>
          <w:rFonts w:ascii="Arial MT" w:hAnsi="Arial MT"/>
          <w:sz w:val="24"/>
        </w:rPr>
        <w:t>by</w:t>
      </w:r>
      <w:r>
        <w:rPr>
          <w:rFonts w:ascii="Arial MT" w:hAnsi="Arial MT"/>
          <w:spacing w:val="-7"/>
          <w:sz w:val="24"/>
        </w:rPr>
        <w:t> </w:t>
      </w:r>
      <w:r>
        <w:rPr>
          <w:rFonts w:ascii="Arial MT" w:hAnsi="Arial MT"/>
          <w:sz w:val="24"/>
        </w:rPr>
        <w:t>the</w:t>
      </w:r>
      <w:r>
        <w:rPr>
          <w:rFonts w:ascii="Arial MT" w:hAnsi="Arial MT"/>
          <w:spacing w:val="-3"/>
          <w:sz w:val="24"/>
        </w:rPr>
        <w:t> </w:t>
      </w:r>
      <w:r>
        <w:rPr>
          <w:rFonts w:ascii="Arial MT" w:hAnsi="Arial MT"/>
          <w:sz w:val="24"/>
        </w:rPr>
        <w:t>matter</w:t>
      </w:r>
      <w:r>
        <w:rPr>
          <w:rFonts w:ascii="Arial MT" w:hAnsi="Arial MT"/>
          <w:spacing w:val="-2"/>
          <w:sz w:val="24"/>
        </w:rPr>
        <w:t> </w:t>
      </w:r>
      <w:r>
        <w:rPr>
          <w:rFonts w:ascii="Arial MT" w:hAnsi="Arial MT"/>
          <w:sz w:val="24"/>
        </w:rPr>
        <w:t>being</w:t>
      </w:r>
      <w:r>
        <w:rPr>
          <w:rFonts w:ascii="Arial MT" w:hAnsi="Arial MT"/>
          <w:spacing w:val="-2"/>
          <w:sz w:val="24"/>
        </w:rPr>
        <w:t> </w:t>
      </w:r>
      <w:r>
        <w:rPr>
          <w:rFonts w:ascii="Arial MT" w:hAnsi="Arial MT"/>
          <w:sz w:val="24"/>
        </w:rPr>
        <w:t>proposed</w:t>
      </w:r>
      <w:r>
        <w:rPr>
          <w:rFonts w:ascii="Arial MT" w:hAnsi="Arial MT"/>
          <w:spacing w:val="-6"/>
          <w:sz w:val="24"/>
        </w:rPr>
        <w:t> </w:t>
      </w:r>
      <w:r>
        <w:rPr>
          <w:rFonts w:ascii="Arial MT" w:hAnsi="Arial MT"/>
          <w:sz w:val="24"/>
        </w:rPr>
        <w:t>to</w:t>
      </w:r>
      <w:r>
        <w:rPr>
          <w:rFonts w:ascii="Arial MT" w:hAnsi="Arial MT"/>
          <w:spacing w:val="-2"/>
          <w:sz w:val="24"/>
        </w:rPr>
        <w:t> </w:t>
      </w:r>
      <w:r>
        <w:rPr>
          <w:rFonts w:ascii="Arial MT" w:hAnsi="Arial MT"/>
          <w:sz w:val="24"/>
        </w:rPr>
        <w:t>and authorised by the directors; or</w:t>
      </w:r>
    </w:p>
    <w:p>
      <w:pPr>
        <w:pStyle w:val="ListParagraph"/>
        <w:numPr>
          <w:ilvl w:val="1"/>
          <w:numId w:val="29"/>
        </w:numPr>
        <w:tabs>
          <w:tab w:pos="670" w:val="left" w:leader="none"/>
        </w:tabs>
        <w:spacing w:line="278" w:lineRule="auto" w:before="0" w:after="0"/>
        <w:ind w:left="308" w:right="759" w:firstLine="0"/>
        <w:jc w:val="left"/>
        <w:rPr>
          <w:rFonts w:ascii="Arial MT"/>
          <w:sz w:val="24"/>
        </w:rPr>
      </w:pPr>
      <w:r>
        <w:rPr>
          <w:rFonts w:ascii="Arial MT"/>
          <w:sz w:val="24"/>
        </w:rPr>
        <w:t>where the company is a public company and its constitution includes provision</w:t>
      </w:r>
      <w:r>
        <w:rPr>
          <w:rFonts w:ascii="Arial MT"/>
          <w:spacing w:val="-4"/>
          <w:sz w:val="24"/>
        </w:rPr>
        <w:t> </w:t>
      </w:r>
      <w:r>
        <w:rPr>
          <w:rFonts w:ascii="Arial MT"/>
          <w:sz w:val="24"/>
        </w:rPr>
        <w:t>enabling the</w:t>
      </w:r>
      <w:r>
        <w:rPr>
          <w:rFonts w:ascii="Arial MT"/>
          <w:spacing w:val="-4"/>
          <w:sz w:val="24"/>
        </w:rPr>
        <w:t> </w:t>
      </w:r>
      <w:r>
        <w:rPr>
          <w:rFonts w:ascii="Arial MT"/>
          <w:sz w:val="24"/>
        </w:rPr>
        <w:t>directors</w:t>
      </w:r>
      <w:r>
        <w:rPr>
          <w:rFonts w:ascii="Arial MT"/>
          <w:spacing w:val="-4"/>
          <w:sz w:val="24"/>
        </w:rPr>
        <w:t> </w:t>
      </w:r>
      <w:r>
        <w:rPr>
          <w:rFonts w:ascii="Arial MT"/>
          <w:sz w:val="24"/>
        </w:rPr>
        <w:t>to</w:t>
      </w:r>
      <w:r>
        <w:rPr>
          <w:rFonts w:ascii="Arial MT"/>
          <w:spacing w:val="-8"/>
          <w:sz w:val="24"/>
        </w:rPr>
        <w:t> </w:t>
      </w:r>
      <w:r>
        <w:rPr>
          <w:rFonts w:ascii="Arial MT"/>
          <w:sz w:val="24"/>
        </w:rPr>
        <w:t>authorise</w:t>
      </w:r>
      <w:r>
        <w:rPr>
          <w:rFonts w:ascii="Arial MT"/>
          <w:spacing w:val="-4"/>
          <w:sz w:val="24"/>
        </w:rPr>
        <w:t> </w:t>
      </w:r>
      <w:r>
        <w:rPr>
          <w:rFonts w:ascii="Arial MT"/>
          <w:sz w:val="24"/>
        </w:rPr>
        <w:t>the</w:t>
      </w:r>
      <w:r>
        <w:rPr>
          <w:rFonts w:ascii="Arial MT"/>
          <w:spacing w:val="-4"/>
          <w:sz w:val="24"/>
        </w:rPr>
        <w:t> </w:t>
      </w:r>
      <w:r>
        <w:rPr>
          <w:rFonts w:ascii="Arial MT"/>
          <w:sz w:val="24"/>
        </w:rPr>
        <w:t>matter,</w:t>
      </w:r>
      <w:r>
        <w:rPr>
          <w:rFonts w:ascii="Arial MT"/>
          <w:spacing w:val="-3"/>
          <w:sz w:val="24"/>
        </w:rPr>
        <w:t> </w:t>
      </w:r>
      <w:r>
        <w:rPr>
          <w:rFonts w:ascii="Arial MT"/>
          <w:sz w:val="24"/>
        </w:rPr>
        <w:t>by</w:t>
      </w:r>
      <w:r>
        <w:rPr>
          <w:rFonts w:ascii="Arial MT"/>
          <w:spacing w:val="-3"/>
          <w:sz w:val="24"/>
        </w:rPr>
        <w:t> </w:t>
      </w:r>
      <w:r>
        <w:rPr>
          <w:rFonts w:ascii="Arial MT"/>
          <w:sz w:val="24"/>
        </w:rPr>
        <w:t>the</w:t>
      </w:r>
      <w:r>
        <w:rPr>
          <w:rFonts w:ascii="Arial MT"/>
          <w:spacing w:val="-3"/>
          <w:sz w:val="24"/>
        </w:rPr>
        <w:t> </w:t>
      </w:r>
      <w:r>
        <w:rPr>
          <w:rFonts w:ascii="Arial MT"/>
          <w:sz w:val="24"/>
        </w:rPr>
        <w:t>matter</w:t>
      </w:r>
      <w:r>
        <w:rPr>
          <w:rFonts w:ascii="Arial MT"/>
          <w:spacing w:val="-2"/>
          <w:sz w:val="24"/>
        </w:rPr>
        <w:t> </w:t>
      </w:r>
      <w:r>
        <w:rPr>
          <w:rFonts w:ascii="Arial MT"/>
          <w:sz w:val="24"/>
        </w:rPr>
        <w:t>being proposed to and authorised by them in accordance with the constitution.</w:t>
      </w:r>
    </w:p>
    <w:p>
      <w:pPr>
        <w:pStyle w:val="ListParagraph"/>
        <w:numPr>
          <w:ilvl w:val="0"/>
          <w:numId w:val="29"/>
        </w:numPr>
        <w:tabs>
          <w:tab w:pos="669" w:val="left" w:leader="none"/>
        </w:tabs>
        <w:spacing w:line="271" w:lineRule="exact" w:before="0" w:after="0"/>
        <w:ind w:left="669" w:right="0" w:hanging="361"/>
        <w:jc w:val="left"/>
        <w:rPr>
          <w:rFonts w:ascii="Arial MT" w:hAnsi="Arial MT"/>
          <w:sz w:val="24"/>
        </w:rPr>
      </w:pPr>
      <w:r>
        <w:rPr>
          <w:rFonts w:ascii="Arial MT" w:hAnsi="Arial MT"/>
          <w:sz w:val="24"/>
        </w:rPr>
        <w:t>The</w:t>
      </w:r>
      <w:r>
        <w:rPr>
          <w:rFonts w:ascii="Arial MT" w:hAnsi="Arial MT"/>
          <w:spacing w:val="-4"/>
          <w:sz w:val="24"/>
        </w:rPr>
        <w:t> </w:t>
      </w:r>
      <w:r>
        <w:rPr>
          <w:rFonts w:ascii="Arial MT" w:hAnsi="Arial MT"/>
          <w:sz w:val="24"/>
        </w:rPr>
        <w:t>authorisation</w:t>
      </w:r>
      <w:r>
        <w:rPr>
          <w:rFonts w:ascii="Arial MT" w:hAnsi="Arial MT"/>
          <w:spacing w:val="-7"/>
          <w:sz w:val="24"/>
        </w:rPr>
        <w:t> </w:t>
      </w:r>
      <w:r>
        <w:rPr>
          <w:rFonts w:ascii="Arial MT" w:hAnsi="Arial MT"/>
          <w:sz w:val="24"/>
        </w:rPr>
        <w:t>is</w:t>
      </w:r>
      <w:r>
        <w:rPr>
          <w:rFonts w:ascii="Arial MT" w:hAnsi="Arial MT"/>
          <w:spacing w:val="-3"/>
          <w:sz w:val="24"/>
        </w:rPr>
        <w:t> </w:t>
      </w:r>
      <w:r>
        <w:rPr>
          <w:rFonts w:ascii="Arial MT" w:hAnsi="Arial MT"/>
          <w:sz w:val="24"/>
        </w:rPr>
        <w:t>effective</w:t>
      </w:r>
      <w:r>
        <w:rPr>
          <w:rFonts w:ascii="Arial MT" w:hAnsi="Arial MT"/>
          <w:spacing w:val="-3"/>
          <w:sz w:val="24"/>
        </w:rPr>
        <w:t> </w:t>
      </w:r>
      <w:r>
        <w:rPr>
          <w:rFonts w:ascii="Arial MT" w:hAnsi="Arial MT"/>
          <w:sz w:val="24"/>
        </w:rPr>
        <w:t>only</w:t>
      </w:r>
      <w:r>
        <w:rPr>
          <w:rFonts w:ascii="Arial MT" w:hAnsi="Arial MT"/>
          <w:spacing w:val="-8"/>
          <w:sz w:val="24"/>
        </w:rPr>
        <w:t> </w:t>
      </w:r>
      <w:r>
        <w:rPr>
          <w:rFonts w:ascii="Arial MT" w:hAnsi="Arial MT"/>
          <w:spacing w:val="-5"/>
          <w:sz w:val="24"/>
        </w:rPr>
        <w:t>if—</w:t>
      </w:r>
    </w:p>
    <w:p>
      <w:pPr>
        <w:pStyle w:val="ListParagraph"/>
        <w:numPr>
          <w:ilvl w:val="1"/>
          <w:numId w:val="29"/>
        </w:numPr>
        <w:tabs>
          <w:tab w:pos="670" w:val="left" w:leader="none"/>
        </w:tabs>
        <w:spacing w:line="276" w:lineRule="auto" w:before="39" w:after="0"/>
        <w:ind w:left="308" w:right="858" w:firstLine="0"/>
        <w:jc w:val="left"/>
        <w:rPr>
          <w:rFonts w:ascii="Arial MT"/>
          <w:sz w:val="24"/>
        </w:rPr>
      </w:pPr>
      <w:r>
        <w:rPr>
          <w:rFonts w:ascii="Arial MT"/>
          <w:sz w:val="24"/>
        </w:rPr>
        <w:t>any</w:t>
      </w:r>
      <w:r>
        <w:rPr>
          <w:rFonts w:ascii="Arial MT"/>
          <w:spacing w:val="-7"/>
          <w:sz w:val="24"/>
        </w:rPr>
        <w:t> </w:t>
      </w:r>
      <w:r>
        <w:rPr>
          <w:rFonts w:ascii="Arial MT"/>
          <w:sz w:val="24"/>
        </w:rPr>
        <w:t>requirement</w:t>
      </w:r>
      <w:r>
        <w:rPr>
          <w:rFonts w:ascii="Arial MT"/>
          <w:spacing w:val="-3"/>
          <w:sz w:val="24"/>
        </w:rPr>
        <w:t> </w:t>
      </w:r>
      <w:r>
        <w:rPr>
          <w:rFonts w:ascii="Arial MT"/>
          <w:sz w:val="24"/>
        </w:rPr>
        <w:t>as</w:t>
      </w:r>
      <w:r>
        <w:rPr>
          <w:rFonts w:ascii="Arial MT"/>
          <w:spacing w:val="-3"/>
          <w:sz w:val="24"/>
        </w:rPr>
        <w:t> </w:t>
      </w:r>
      <w:r>
        <w:rPr>
          <w:rFonts w:ascii="Arial MT"/>
          <w:sz w:val="24"/>
        </w:rPr>
        <w:t>to</w:t>
      </w:r>
      <w:r>
        <w:rPr>
          <w:rFonts w:ascii="Arial MT"/>
          <w:spacing w:val="-3"/>
          <w:sz w:val="24"/>
        </w:rPr>
        <w:t> </w:t>
      </w:r>
      <w:r>
        <w:rPr>
          <w:rFonts w:ascii="Arial MT"/>
          <w:sz w:val="24"/>
        </w:rPr>
        <w:t>the</w:t>
      </w:r>
      <w:r>
        <w:rPr>
          <w:rFonts w:ascii="Arial MT"/>
          <w:spacing w:val="-3"/>
          <w:sz w:val="24"/>
        </w:rPr>
        <w:t> </w:t>
      </w:r>
      <w:r>
        <w:rPr>
          <w:rFonts w:ascii="Arial MT"/>
          <w:sz w:val="24"/>
        </w:rPr>
        <w:t>quorum</w:t>
      </w:r>
      <w:r>
        <w:rPr>
          <w:rFonts w:ascii="Arial MT"/>
          <w:spacing w:val="-10"/>
          <w:sz w:val="24"/>
        </w:rPr>
        <w:t> </w:t>
      </w:r>
      <w:r>
        <w:rPr>
          <w:rFonts w:ascii="Arial MT"/>
          <w:sz w:val="24"/>
        </w:rPr>
        <w:t>at</w:t>
      </w:r>
      <w:r>
        <w:rPr>
          <w:rFonts w:ascii="Arial MT"/>
          <w:spacing w:val="-3"/>
          <w:sz w:val="24"/>
        </w:rPr>
        <w:t> </w:t>
      </w:r>
      <w:r>
        <w:rPr>
          <w:rFonts w:ascii="Arial MT"/>
          <w:sz w:val="24"/>
        </w:rPr>
        <w:t>the</w:t>
      </w:r>
      <w:r>
        <w:rPr>
          <w:rFonts w:ascii="Arial MT"/>
          <w:spacing w:val="-3"/>
          <w:sz w:val="24"/>
        </w:rPr>
        <w:t> </w:t>
      </w:r>
      <w:r>
        <w:rPr>
          <w:rFonts w:ascii="Arial MT"/>
          <w:sz w:val="24"/>
        </w:rPr>
        <w:t>meeting</w:t>
      </w:r>
      <w:r>
        <w:rPr>
          <w:rFonts w:ascii="Arial MT"/>
          <w:spacing w:val="-3"/>
          <w:sz w:val="24"/>
        </w:rPr>
        <w:t> </w:t>
      </w:r>
      <w:r>
        <w:rPr>
          <w:rFonts w:ascii="Arial MT"/>
          <w:sz w:val="24"/>
        </w:rPr>
        <w:t>at</w:t>
      </w:r>
      <w:r>
        <w:rPr>
          <w:rFonts w:ascii="Arial MT"/>
          <w:spacing w:val="-3"/>
          <w:sz w:val="24"/>
        </w:rPr>
        <w:t> </w:t>
      </w:r>
      <w:r>
        <w:rPr>
          <w:rFonts w:ascii="Arial MT"/>
          <w:sz w:val="24"/>
        </w:rPr>
        <w:t>which</w:t>
      </w:r>
      <w:r>
        <w:rPr>
          <w:rFonts w:ascii="Arial MT"/>
          <w:spacing w:val="-3"/>
          <w:sz w:val="24"/>
        </w:rPr>
        <w:t> </w:t>
      </w:r>
      <w:r>
        <w:rPr>
          <w:rFonts w:ascii="Arial MT"/>
          <w:sz w:val="24"/>
        </w:rPr>
        <w:t>the</w:t>
      </w:r>
      <w:r>
        <w:rPr>
          <w:rFonts w:ascii="Arial MT"/>
          <w:spacing w:val="-3"/>
          <w:sz w:val="24"/>
        </w:rPr>
        <w:t> </w:t>
      </w:r>
      <w:r>
        <w:rPr>
          <w:rFonts w:ascii="Arial MT"/>
          <w:sz w:val="24"/>
        </w:rPr>
        <w:t>matter</w:t>
      </w:r>
      <w:r>
        <w:rPr>
          <w:rFonts w:ascii="Arial MT"/>
          <w:spacing w:val="-5"/>
          <w:sz w:val="24"/>
        </w:rPr>
        <w:t> </w:t>
      </w:r>
      <w:r>
        <w:rPr>
          <w:rFonts w:ascii="Arial MT"/>
          <w:sz w:val="24"/>
        </w:rPr>
        <w:t>is considered is met without counting the director in question or any other interested director, and</w:t>
      </w:r>
    </w:p>
    <w:p>
      <w:pPr>
        <w:pStyle w:val="ListParagraph"/>
        <w:numPr>
          <w:ilvl w:val="1"/>
          <w:numId w:val="29"/>
        </w:numPr>
        <w:tabs>
          <w:tab w:pos="670" w:val="left" w:leader="none"/>
        </w:tabs>
        <w:spacing w:line="276" w:lineRule="auto" w:before="0" w:after="0"/>
        <w:ind w:left="308" w:right="417" w:firstLine="0"/>
        <w:jc w:val="left"/>
        <w:rPr>
          <w:rFonts w:ascii="Arial MT"/>
          <w:sz w:val="24"/>
        </w:rPr>
      </w:pPr>
      <w:r>
        <w:rPr>
          <w:rFonts w:ascii="Arial MT"/>
          <w:sz w:val="24"/>
        </w:rPr>
        <w:t>the</w:t>
      </w:r>
      <w:r>
        <w:rPr>
          <w:rFonts w:ascii="Arial MT"/>
          <w:spacing w:val="-4"/>
          <w:sz w:val="24"/>
        </w:rPr>
        <w:t> </w:t>
      </w:r>
      <w:r>
        <w:rPr>
          <w:rFonts w:ascii="Arial MT"/>
          <w:sz w:val="24"/>
        </w:rPr>
        <w:t>matter</w:t>
      </w:r>
      <w:r>
        <w:rPr>
          <w:rFonts w:ascii="Arial MT"/>
          <w:spacing w:val="-3"/>
          <w:sz w:val="24"/>
        </w:rPr>
        <w:t> </w:t>
      </w:r>
      <w:r>
        <w:rPr>
          <w:rFonts w:ascii="Arial MT"/>
          <w:sz w:val="24"/>
        </w:rPr>
        <w:t>was</w:t>
      </w:r>
      <w:r>
        <w:rPr>
          <w:rFonts w:ascii="Arial MT"/>
          <w:spacing w:val="-4"/>
          <w:sz w:val="24"/>
        </w:rPr>
        <w:t> </w:t>
      </w:r>
      <w:r>
        <w:rPr>
          <w:rFonts w:ascii="Arial MT"/>
          <w:sz w:val="24"/>
        </w:rPr>
        <w:t>agreed</w:t>
      </w:r>
      <w:r>
        <w:rPr>
          <w:rFonts w:ascii="Arial MT"/>
          <w:spacing w:val="-4"/>
          <w:sz w:val="24"/>
        </w:rPr>
        <w:t> </w:t>
      </w:r>
      <w:r>
        <w:rPr>
          <w:rFonts w:ascii="Arial MT"/>
          <w:sz w:val="24"/>
        </w:rPr>
        <w:t>to</w:t>
      </w:r>
      <w:r>
        <w:rPr>
          <w:rFonts w:ascii="Arial MT"/>
          <w:spacing w:val="-4"/>
          <w:sz w:val="24"/>
        </w:rPr>
        <w:t> </w:t>
      </w:r>
      <w:r>
        <w:rPr>
          <w:rFonts w:ascii="Arial MT"/>
          <w:sz w:val="24"/>
        </w:rPr>
        <w:t>without</w:t>
      </w:r>
      <w:r>
        <w:rPr>
          <w:rFonts w:ascii="Arial MT"/>
          <w:spacing w:val="-4"/>
          <w:sz w:val="24"/>
        </w:rPr>
        <w:t> </w:t>
      </w:r>
      <w:r>
        <w:rPr>
          <w:rFonts w:ascii="Arial MT"/>
          <w:sz w:val="24"/>
        </w:rPr>
        <w:t>their</w:t>
      </w:r>
      <w:r>
        <w:rPr>
          <w:rFonts w:ascii="Arial MT"/>
          <w:spacing w:val="-3"/>
          <w:sz w:val="24"/>
        </w:rPr>
        <w:t> </w:t>
      </w:r>
      <w:r>
        <w:rPr>
          <w:rFonts w:ascii="Arial MT"/>
          <w:sz w:val="24"/>
        </w:rPr>
        <w:t>voting</w:t>
      </w:r>
      <w:r>
        <w:rPr>
          <w:rFonts w:ascii="Arial MT"/>
          <w:spacing w:val="-3"/>
          <w:sz w:val="24"/>
        </w:rPr>
        <w:t> </w:t>
      </w:r>
      <w:r>
        <w:rPr>
          <w:rFonts w:ascii="Arial MT"/>
          <w:sz w:val="24"/>
        </w:rPr>
        <w:t>or</w:t>
      </w:r>
      <w:r>
        <w:rPr>
          <w:rFonts w:ascii="Arial MT"/>
          <w:spacing w:val="-3"/>
          <w:sz w:val="24"/>
        </w:rPr>
        <w:t> </w:t>
      </w:r>
      <w:r>
        <w:rPr>
          <w:rFonts w:ascii="Arial MT"/>
          <w:sz w:val="24"/>
        </w:rPr>
        <w:t>would</w:t>
      </w:r>
      <w:r>
        <w:rPr>
          <w:rFonts w:ascii="Arial MT"/>
          <w:spacing w:val="-4"/>
          <w:sz w:val="24"/>
        </w:rPr>
        <w:t> </w:t>
      </w:r>
      <w:r>
        <w:rPr>
          <w:rFonts w:ascii="Arial MT"/>
          <w:sz w:val="24"/>
        </w:rPr>
        <w:t>have</w:t>
      </w:r>
      <w:r>
        <w:rPr>
          <w:rFonts w:ascii="Arial MT"/>
          <w:spacing w:val="-8"/>
          <w:sz w:val="24"/>
        </w:rPr>
        <w:t> </w:t>
      </w:r>
      <w:r>
        <w:rPr>
          <w:rFonts w:ascii="Arial MT"/>
          <w:sz w:val="24"/>
        </w:rPr>
        <w:t>been</w:t>
      </w:r>
      <w:r>
        <w:rPr>
          <w:rFonts w:ascii="Arial MT"/>
          <w:spacing w:val="-4"/>
          <w:sz w:val="24"/>
        </w:rPr>
        <w:t> </w:t>
      </w:r>
      <w:r>
        <w:rPr>
          <w:rFonts w:ascii="Arial MT"/>
          <w:sz w:val="24"/>
        </w:rPr>
        <w:t>agreed</w:t>
      </w:r>
      <w:r>
        <w:rPr>
          <w:rFonts w:ascii="Arial MT"/>
          <w:spacing w:val="-4"/>
          <w:sz w:val="24"/>
        </w:rPr>
        <w:t> </w:t>
      </w:r>
      <w:r>
        <w:rPr>
          <w:rFonts w:ascii="Arial MT"/>
          <w:sz w:val="24"/>
        </w:rPr>
        <w:t>to if their votes had not been counted.</w:t>
      </w:r>
    </w:p>
    <w:p>
      <w:pPr>
        <w:pStyle w:val="ListParagraph"/>
        <w:numPr>
          <w:ilvl w:val="0"/>
          <w:numId w:val="29"/>
        </w:numPr>
        <w:tabs>
          <w:tab w:pos="669" w:val="left" w:leader="none"/>
        </w:tabs>
        <w:spacing w:line="280" w:lineRule="auto" w:before="0" w:after="0"/>
        <w:ind w:left="308" w:right="730" w:firstLine="0"/>
        <w:jc w:val="left"/>
        <w:rPr>
          <w:rFonts w:ascii="Arial MT"/>
          <w:sz w:val="24"/>
        </w:rPr>
      </w:pPr>
      <w:r>
        <w:rPr>
          <w:rFonts w:ascii="Arial MT"/>
          <w:sz w:val="24"/>
        </w:rPr>
        <w:t>Any</w:t>
      </w:r>
      <w:r>
        <w:rPr>
          <w:rFonts w:ascii="Arial MT"/>
          <w:spacing w:val="-2"/>
          <w:sz w:val="24"/>
        </w:rPr>
        <w:t> </w:t>
      </w:r>
      <w:r>
        <w:rPr>
          <w:rFonts w:ascii="Arial MT"/>
          <w:sz w:val="24"/>
        </w:rPr>
        <w:t>reference</w:t>
      </w:r>
      <w:r>
        <w:rPr>
          <w:rFonts w:ascii="Arial MT"/>
          <w:spacing w:val="-6"/>
          <w:sz w:val="24"/>
        </w:rPr>
        <w:t> </w:t>
      </w:r>
      <w:r>
        <w:rPr>
          <w:rFonts w:ascii="Arial MT"/>
          <w:sz w:val="24"/>
        </w:rPr>
        <w:t>in</w:t>
      </w:r>
      <w:r>
        <w:rPr>
          <w:rFonts w:ascii="Arial MT"/>
          <w:spacing w:val="-2"/>
          <w:sz w:val="24"/>
        </w:rPr>
        <w:t> </w:t>
      </w:r>
      <w:r>
        <w:rPr>
          <w:rFonts w:ascii="Arial MT"/>
          <w:sz w:val="24"/>
        </w:rPr>
        <w:t>this</w:t>
      </w:r>
      <w:r>
        <w:rPr>
          <w:rFonts w:ascii="Arial MT"/>
          <w:spacing w:val="-2"/>
          <w:sz w:val="24"/>
        </w:rPr>
        <w:t> </w:t>
      </w:r>
      <w:r>
        <w:rPr>
          <w:rFonts w:ascii="Arial MT"/>
          <w:sz w:val="24"/>
        </w:rPr>
        <w:t>section</w:t>
      </w:r>
      <w:r>
        <w:rPr>
          <w:rFonts w:ascii="Arial MT"/>
          <w:spacing w:val="-2"/>
          <w:sz w:val="24"/>
        </w:rPr>
        <w:t> </w:t>
      </w:r>
      <w:r>
        <w:rPr>
          <w:rFonts w:ascii="Arial MT"/>
          <w:sz w:val="24"/>
        </w:rPr>
        <w:t>to</w:t>
      </w:r>
      <w:r>
        <w:rPr>
          <w:rFonts w:ascii="Arial MT"/>
          <w:spacing w:val="-6"/>
          <w:sz w:val="24"/>
        </w:rPr>
        <w:t> </w:t>
      </w:r>
      <w:r>
        <w:rPr>
          <w:rFonts w:ascii="Arial MT"/>
          <w:sz w:val="24"/>
        </w:rPr>
        <w:t>a</w:t>
      </w:r>
      <w:r>
        <w:rPr>
          <w:rFonts w:ascii="Arial MT"/>
          <w:spacing w:val="-1"/>
          <w:sz w:val="24"/>
        </w:rPr>
        <w:t> </w:t>
      </w:r>
      <w:r>
        <w:rPr>
          <w:rFonts w:ascii="Arial MT"/>
          <w:sz w:val="24"/>
        </w:rPr>
        <w:t>conflict</w:t>
      </w:r>
      <w:r>
        <w:rPr>
          <w:rFonts w:ascii="Arial MT"/>
          <w:spacing w:val="-6"/>
          <w:sz w:val="24"/>
        </w:rPr>
        <w:t> </w:t>
      </w:r>
      <w:r>
        <w:rPr>
          <w:rFonts w:ascii="Arial MT"/>
          <w:sz w:val="24"/>
        </w:rPr>
        <w:t>of</w:t>
      </w:r>
      <w:r>
        <w:rPr>
          <w:rFonts w:ascii="Arial MT"/>
          <w:spacing w:val="-2"/>
          <w:sz w:val="24"/>
        </w:rPr>
        <w:t> </w:t>
      </w:r>
      <w:r>
        <w:rPr>
          <w:rFonts w:ascii="Arial MT"/>
          <w:sz w:val="24"/>
        </w:rPr>
        <w:t>interest</w:t>
      </w:r>
      <w:r>
        <w:rPr>
          <w:rFonts w:ascii="Arial MT"/>
          <w:spacing w:val="-6"/>
          <w:sz w:val="24"/>
        </w:rPr>
        <w:t> </w:t>
      </w:r>
      <w:r>
        <w:rPr>
          <w:rFonts w:ascii="Arial MT"/>
          <w:sz w:val="24"/>
        </w:rPr>
        <w:t>includes</w:t>
      </w:r>
      <w:r>
        <w:rPr>
          <w:rFonts w:ascii="Arial MT"/>
          <w:spacing w:val="-2"/>
          <w:sz w:val="24"/>
        </w:rPr>
        <w:t> </w:t>
      </w:r>
      <w:r>
        <w:rPr>
          <w:rFonts w:ascii="Arial MT"/>
          <w:sz w:val="24"/>
        </w:rPr>
        <w:t>a</w:t>
      </w:r>
      <w:r>
        <w:rPr>
          <w:rFonts w:ascii="Arial MT"/>
          <w:spacing w:val="-1"/>
          <w:sz w:val="24"/>
        </w:rPr>
        <w:t> </w:t>
      </w:r>
      <w:r>
        <w:rPr>
          <w:rFonts w:ascii="Arial MT"/>
          <w:sz w:val="24"/>
        </w:rPr>
        <w:t>conflict</w:t>
      </w:r>
      <w:r>
        <w:rPr>
          <w:rFonts w:ascii="Arial MT"/>
          <w:spacing w:val="-2"/>
          <w:sz w:val="24"/>
        </w:rPr>
        <w:t> </w:t>
      </w:r>
      <w:r>
        <w:rPr>
          <w:rFonts w:ascii="Arial MT"/>
          <w:sz w:val="24"/>
        </w:rPr>
        <w:t>of interest and duty and a conflict of duties.</w:t>
      </w:r>
    </w:p>
    <w:p>
      <w:pPr>
        <w:pStyle w:val="BodyText"/>
        <w:spacing w:before="27"/>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Duty</w:t>
      </w:r>
      <w:r>
        <w:rPr>
          <w:rFonts w:ascii="Arial"/>
          <w:spacing w:val="-7"/>
        </w:rPr>
        <w:t> </w:t>
      </w:r>
      <w:r>
        <w:rPr>
          <w:rFonts w:ascii="Arial"/>
        </w:rPr>
        <w:t>not</w:t>
      </w:r>
      <w:r>
        <w:rPr>
          <w:rFonts w:ascii="Arial"/>
          <w:spacing w:val="-2"/>
        </w:rPr>
        <w:t> </w:t>
      </w:r>
      <w:r>
        <w:rPr>
          <w:rFonts w:ascii="Arial"/>
        </w:rPr>
        <w:t>to</w:t>
      </w:r>
      <w:r>
        <w:rPr>
          <w:rFonts w:ascii="Arial"/>
          <w:spacing w:val="-1"/>
        </w:rPr>
        <w:t> </w:t>
      </w:r>
      <w:r>
        <w:rPr>
          <w:rFonts w:ascii="Arial"/>
        </w:rPr>
        <w:t>accept</w:t>
      </w:r>
      <w:r>
        <w:rPr>
          <w:rFonts w:ascii="Arial"/>
          <w:spacing w:val="-2"/>
        </w:rPr>
        <w:t> </w:t>
      </w:r>
      <w:r>
        <w:rPr>
          <w:rFonts w:ascii="Arial"/>
        </w:rPr>
        <w:t>benefits</w:t>
      </w:r>
      <w:r>
        <w:rPr>
          <w:rFonts w:ascii="Arial"/>
          <w:spacing w:val="-6"/>
        </w:rPr>
        <w:t> </w:t>
      </w:r>
      <w:r>
        <w:rPr>
          <w:rFonts w:ascii="Arial"/>
        </w:rPr>
        <w:t>from</w:t>
      </w:r>
      <w:r>
        <w:rPr>
          <w:rFonts w:ascii="Arial"/>
          <w:spacing w:val="-6"/>
        </w:rPr>
        <w:t> </w:t>
      </w:r>
      <w:r>
        <w:rPr>
          <w:rFonts w:ascii="Arial"/>
        </w:rPr>
        <w:t>third</w:t>
      </w:r>
      <w:r>
        <w:rPr>
          <w:rFonts w:ascii="Arial"/>
          <w:spacing w:val="-1"/>
        </w:rPr>
        <w:t> </w:t>
      </w:r>
      <w:r>
        <w:rPr>
          <w:rFonts w:ascii="Arial"/>
          <w:spacing w:val="-2"/>
        </w:rPr>
        <w:t>parties</w:t>
      </w:r>
    </w:p>
    <w:p>
      <w:pPr>
        <w:pStyle w:val="ListParagraph"/>
        <w:numPr>
          <w:ilvl w:val="0"/>
          <w:numId w:val="30"/>
        </w:numPr>
        <w:tabs>
          <w:tab w:pos="669" w:val="left" w:leader="none"/>
        </w:tabs>
        <w:spacing w:line="276" w:lineRule="auto" w:before="46" w:after="0"/>
        <w:ind w:left="308" w:right="1217" w:firstLine="0"/>
        <w:jc w:val="left"/>
        <w:rPr>
          <w:rFonts w:ascii="Arial MT" w:hAnsi="Arial MT"/>
          <w:sz w:val="24"/>
        </w:rPr>
      </w:pPr>
      <w:r>
        <w:rPr>
          <w:rFonts w:ascii="Arial MT" w:hAnsi="Arial MT"/>
          <w:sz w:val="24"/>
        </w:rPr>
        <w:t>A</w:t>
      </w:r>
      <w:r>
        <w:rPr>
          <w:rFonts w:ascii="Arial MT" w:hAnsi="Arial MT"/>
          <w:spacing w:val="-4"/>
          <w:sz w:val="24"/>
        </w:rPr>
        <w:t> </w:t>
      </w:r>
      <w:r>
        <w:rPr>
          <w:rFonts w:ascii="Arial MT" w:hAnsi="Arial MT"/>
          <w:sz w:val="24"/>
        </w:rPr>
        <w:t>director</w:t>
      </w:r>
      <w:r>
        <w:rPr>
          <w:rFonts w:ascii="Arial MT" w:hAnsi="Arial MT"/>
          <w:spacing w:val="-1"/>
          <w:sz w:val="24"/>
        </w:rPr>
        <w:t> </w:t>
      </w:r>
      <w:r>
        <w:rPr>
          <w:rFonts w:ascii="Arial MT" w:hAnsi="Arial MT"/>
          <w:sz w:val="24"/>
        </w:rPr>
        <w:t>of</w:t>
      </w:r>
      <w:r>
        <w:rPr>
          <w:rFonts w:ascii="Arial MT" w:hAnsi="Arial MT"/>
          <w:spacing w:val="-7"/>
          <w:sz w:val="24"/>
        </w:rPr>
        <w:t> </w:t>
      </w:r>
      <w:r>
        <w:rPr>
          <w:rFonts w:ascii="Arial MT" w:hAnsi="Arial MT"/>
          <w:sz w:val="24"/>
        </w:rPr>
        <w:t>a</w:t>
      </w:r>
      <w:r>
        <w:rPr>
          <w:rFonts w:ascii="Arial MT" w:hAnsi="Arial MT"/>
          <w:spacing w:val="-1"/>
          <w:sz w:val="24"/>
        </w:rPr>
        <w:t> </w:t>
      </w:r>
      <w:r>
        <w:rPr>
          <w:rFonts w:ascii="Arial MT" w:hAnsi="Arial MT"/>
          <w:sz w:val="24"/>
        </w:rPr>
        <w:t>company</w:t>
      </w:r>
      <w:r>
        <w:rPr>
          <w:rFonts w:ascii="Arial MT" w:hAnsi="Arial MT"/>
          <w:spacing w:val="-2"/>
          <w:sz w:val="24"/>
        </w:rPr>
        <w:t> </w:t>
      </w:r>
      <w:r>
        <w:rPr>
          <w:rFonts w:ascii="Arial MT" w:hAnsi="Arial MT"/>
          <w:sz w:val="24"/>
        </w:rPr>
        <w:t>must</w:t>
      </w:r>
      <w:r>
        <w:rPr>
          <w:rFonts w:ascii="Arial MT" w:hAnsi="Arial MT"/>
          <w:spacing w:val="-2"/>
          <w:sz w:val="24"/>
        </w:rPr>
        <w:t> </w:t>
      </w:r>
      <w:r>
        <w:rPr>
          <w:rFonts w:ascii="Arial MT" w:hAnsi="Arial MT"/>
          <w:sz w:val="24"/>
        </w:rPr>
        <w:t>not</w:t>
      </w:r>
      <w:r>
        <w:rPr>
          <w:rFonts w:ascii="Arial MT" w:hAnsi="Arial MT"/>
          <w:spacing w:val="-2"/>
          <w:sz w:val="24"/>
        </w:rPr>
        <w:t> </w:t>
      </w:r>
      <w:r>
        <w:rPr>
          <w:rFonts w:ascii="Arial MT" w:hAnsi="Arial MT"/>
          <w:sz w:val="24"/>
        </w:rPr>
        <w:t>accept</w:t>
      </w:r>
      <w:r>
        <w:rPr>
          <w:rFonts w:ascii="Arial MT" w:hAnsi="Arial MT"/>
          <w:spacing w:val="-2"/>
          <w:sz w:val="24"/>
        </w:rPr>
        <w:t> </w:t>
      </w:r>
      <w:r>
        <w:rPr>
          <w:rFonts w:ascii="Arial MT" w:hAnsi="Arial MT"/>
          <w:sz w:val="24"/>
        </w:rPr>
        <w:t>a</w:t>
      </w:r>
      <w:r>
        <w:rPr>
          <w:rFonts w:ascii="Arial MT" w:hAnsi="Arial MT"/>
          <w:spacing w:val="-6"/>
          <w:sz w:val="24"/>
        </w:rPr>
        <w:t> </w:t>
      </w:r>
      <w:r>
        <w:rPr>
          <w:rFonts w:ascii="Arial MT" w:hAnsi="Arial MT"/>
          <w:sz w:val="24"/>
        </w:rPr>
        <w:t>benefit</w:t>
      </w:r>
      <w:r>
        <w:rPr>
          <w:rFonts w:ascii="Arial MT" w:hAnsi="Arial MT"/>
          <w:spacing w:val="-2"/>
          <w:sz w:val="24"/>
        </w:rPr>
        <w:t> </w:t>
      </w:r>
      <w:r>
        <w:rPr>
          <w:rFonts w:ascii="Arial MT" w:hAnsi="Arial MT"/>
          <w:sz w:val="24"/>
        </w:rPr>
        <w:t>from</w:t>
      </w:r>
      <w:r>
        <w:rPr>
          <w:rFonts w:ascii="Arial MT" w:hAnsi="Arial MT"/>
          <w:spacing w:val="-10"/>
          <w:sz w:val="24"/>
        </w:rPr>
        <w:t> </w:t>
      </w:r>
      <w:r>
        <w:rPr>
          <w:rFonts w:ascii="Arial MT" w:hAnsi="Arial MT"/>
          <w:sz w:val="24"/>
        </w:rPr>
        <w:t>a</w:t>
      </w:r>
      <w:r>
        <w:rPr>
          <w:rFonts w:ascii="Arial MT" w:hAnsi="Arial MT"/>
          <w:spacing w:val="-1"/>
          <w:sz w:val="24"/>
        </w:rPr>
        <w:t> </w:t>
      </w:r>
      <w:r>
        <w:rPr>
          <w:rFonts w:ascii="Arial MT" w:hAnsi="Arial MT"/>
          <w:sz w:val="24"/>
        </w:rPr>
        <w:t>third</w:t>
      </w:r>
      <w:r>
        <w:rPr>
          <w:rFonts w:ascii="Arial MT" w:hAnsi="Arial MT"/>
          <w:spacing w:val="-6"/>
          <w:sz w:val="24"/>
        </w:rPr>
        <w:t> </w:t>
      </w:r>
      <w:r>
        <w:rPr>
          <w:rFonts w:ascii="Arial MT" w:hAnsi="Arial MT"/>
          <w:sz w:val="24"/>
        </w:rPr>
        <w:t>party conferred by reason of—</w:t>
      </w:r>
    </w:p>
    <w:p>
      <w:pPr>
        <w:pStyle w:val="ListParagraph"/>
        <w:numPr>
          <w:ilvl w:val="1"/>
          <w:numId w:val="30"/>
        </w:numPr>
        <w:tabs>
          <w:tab w:pos="670" w:val="left" w:leader="none"/>
        </w:tabs>
        <w:spacing w:line="275" w:lineRule="exact" w:before="0" w:after="0"/>
        <w:ind w:left="670" w:right="0" w:hanging="362"/>
        <w:jc w:val="left"/>
        <w:rPr>
          <w:rFonts w:ascii="Arial MT"/>
          <w:sz w:val="24"/>
        </w:rPr>
      </w:pPr>
      <w:r>
        <w:rPr>
          <w:rFonts w:ascii="Arial MT"/>
          <w:sz w:val="24"/>
        </w:rPr>
        <w:t>his</w:t>
      </w:r>
      <w:r>
        <w:rPr>
          <w:rFonts w:ascii="Arial MT"/>
          <w:spacing w:val="-7"/>
          <w:sz w:val="24"/>
        </w:rPr>
        <w:t> </w:t>
      </w:r>
      <w:r>
        <w:rPr>
          <w:rFonts w:ascii="Arial MT"/>
          <w:sz w:val="24"/>
        </w:rPr>
        <w:t>being</w:t>
      </w:r>
      <w:r>
        <w:rPr>
          <w:rFonts w:ascii="Arial MT"/>
          <w:spacing w:val="-6"/>
          <w:sz w:val="24"/>
        </w:rPr>
        <w:t> </w:t>
      </w:r>
      <w:r>
        <w:rPr>
          <w:rFonts w:ascii="Arial MT"/>
          <w:sz w:val="24"/>
        </w:rPr>
        <w:t>a</w:t>
      </w:r>
      <w:r>
        <w:rPr>
          <w:rFonts w:ascii="Arial MT"/>
          <w:spacing w:val="-10"/>
          <w:sz w:val="24"/>
        </w:rPr>
        <w:t> </w:t>
      </w:r>
      <w:r>
        <w:rPr>
          <w:rFonts w:ascii="Arial MT"/>
          <w:sz w:val="24"/>
        </w:rPr>
        <w:t>director,</w:t>
      </w:r>
      <w:r>
        <w:rPr>
          <w:rFonts w:ascii="Arial MT"/>
          <w:spacing w:val="-6"/>
          <w:sz w:val="24"/>
        </w:rPr>
        <w:t> </w:t>
      </w:r>
      <w:r>
        <w:rPr>
          <w:rFonts w:ascii="Arial MT"/>
          <w:spacing w:val="-5"/>
          <w:sz w:val="24"/>
        </w:rPr>
        <w:t>or</w:t>
      </w:r>
    </w:p>
    <w:p>
      <w:pPr>
        <w:pStyle w:val="ListParagraph"/>
        <w:numPr>
          <w:ilvl w:val="1"/>
          <w:numId w:val="30"/>
        </w:numPr>
        <w:tabs>
          <w:tab w:pos="670" w:val="left" w:leader="none"/>
        </w:tabs>
        <w:spacing w:line="240" w:lineRule="auto" w:before="41" w:after="0"/>
        <w:ind w:left="670" w:right="0" w:hanging="362"/>
        <w:jc w:val="left"/>
        <w:rPr>
          <w:rFonts w:ascii="Arial MT"/>
          <w:sz w:val="24"/>
        </w:rPr>
      </w:pPr>
      <w:r>
        <w:rPr>
          <w:rFonts w:ascii="Arial MT"/>
          <w:sz w:val="24"/>
        </w:rPr>
        <w:t>his</w:t>
      </w:r>
      <w:r>
        <w:rPr>
          <w:rFonts w:ascii="Arial MT"/>
          <w:spacing w:val="-9"/>
          <w:sz w:val="24"/>
        </w:rPr>
        <w:t> </w:t>
      </w:r>
      <w:r>
        <w:rPr>
          <w:rFonts w:ascii="Arial MT"/>
          <w:sz w:val="24"/>
        </w:rPr>
        <w:t>doing</w:t>
      </w:r>
      <w:r>
        <w:rPr>
          <w:rFonts w:ascii="Arial MT"/>
          <w:spacing w:val="-8"/>
          <w:sz w:val="24"/>
        </w:rPr>
        <w:t> </w:t>
      </w:r>
      <w:r>
        <w:rPr>
          <w:rFonts w:ascii="Arial MT"/>
          <w:sz w:val="24"/>
        </w:rPr>
        <w:t>(or</w:t>
      </w:r>
      <w:r>
        <w:rPr>
          <w:rFonts w:ascii="Arial MT"/>
          <w:spacing w:val="-7"/>
          <w:sz w:val="24"/>
        </w:rPr>
        <w:t> </w:t>
      </w:r>
      <w:r>
        <w:rPr>
          <w:rFonts w:ascii="Arial MT"/>
          <w:sz w:val="24"/>
        </w:rPr>
        <w:t>not</w:t>
      </w:r>
      <w:r>
        <w:rPr>
          <w:rFonts w:ascii="Arial MT"/>
          <w:spacing w:val="-9"/>
          <w:sz w:val="24"/>
        </w:rPr>
        <w:t> </w:t>
      </w:r>
      <w:r>
        <w:rPr>
          <w:rFonts w:ascii="Arial MT"/>
          <w:sz w:val="24"/>
        </w:rPr>
        <w:t>doing)</w:t>
      </w:r>
      <w:r>
        <w:rPr>
          <w:rFonts w:ascii="Arial MT"/>
          <w:spacing w:val="-7"/>
          <w:sz w:val="24"/>
        </w:rPr>
        <w:t> </w:t>
      </w:r>
      <w:r>
        <w:rPr>
          <w:rFonts w:ascii="Arial MT"/>
          <w:sz w:val="24"/>
        </w:rPr>
        <w:t>anything</w:t>
      </w:r>
      <w:r>
        <w:rPr>
          <w:rFonts w:ascii="Arial MT"/>
          <w:spacing w:val="-7"/>
          <w:sz w:val="24"/>
        </w:rPr>
        <w:t> </w:t>
      </w:r>
      <w:r>
        <w:rPr>
          <w:rFonts w:ascii="Arial MT"/>
          <w:sz w:val="24"/>
        </w:rPr>
        <w:t>as</w:t>
      </w:r>
      <w:r>
        <w:rPr>
          <w:rFonts w:ascii="Arial MT"/>
          <w:spacing w:val="-9"/>
          <w:sz w:val="24"/>
        </w:rPr>
        <w:t> </w:t>
      </w:r>
      <w:r>
        <w:rPr>
          <w:rFonts w:ascii="Arial MT"/>
          <w:spacing w:val="-2"/>
          <w:sz w:val="24"/>
        </w:rPr>
        <w:t>director.</w:t>
      </w:r>
    </w:p>
    <w:p>
      <w:pPr>
        <w:pStyle w:val="ListParagraph"/>
        <w:numPr>
          <w:ilvl w:val="0"/>
          <w:numId w:val="30"/>
        </w:numPr>
        <w:tabs>
          <w:tab w:pos="670" w:val="left" w:leader="none"/>
        </w:tabs>
        <w:spacing w:line="278" w:lineRule="auto" w:before="41" w:after="0"/>
        <w:ind w:left="308" w:right="349" w:firstLine="0"/>
        <w:jc w:val="left"/>
        <w:rPr>
          <w:rFonts w:ascii="Arial MT" w:hAnsi="Arial MT"/>
          <w:sz w:val="24"/>
        </w:rPr>
      </w:pPr>
      <w:r>
        <w:rPr>
          <w:rFonts w:ascii="Arial MT" w:hAnsi="Arial MT"/>
          <w:sz w:val="24"/>
        </w:rPr>
        <w:t>A</w:t>
      </w:r>
      <w:r>
        <w:rPr>
          <w:rFonts w:ascii="Arial MT" w:hAnsi="Arial MT"/>
          <w:spacing w:val="-6"/>
          <w:sz w:val="24"/>
        </w:rPr>
        <w:t> </w:t>
      </w:r>
      <w:r>
        <w:rPr>
          <w:rFonts w:ascii="Arial MT" w:hAnsi="Arial MT"/>
          <w:sz w:val="24"/>
        </w:rPr>
        <w:t>“third</w:t>
      </w:r>
      <w:r>
        <w:rPr>
          <w:rFonts w:ascii="Arial MT" w:hAnsi="Arial MT"/>
          <w:spacing w:val="-4"/>
          <w:sz w:val="24"/>
        </w:rPr>
        <w:t> </w:t>
      </w:r>
      <w:r>
        <w:rPr>
          <w:rFonts w:ascii="Arial MT" w:hAnsi="Arial MT"/>
          <w:sz w:val="24"/>
        </w:rPr>
        <w:t>party”</w:t>
      </w:r>
      <w:r>
        <w:rPr>
          <w:rFonts w:ascii="Arial MT" w:hAnsi="Arial MT"/>
          <w:spacing w:val="-3"/>
          <w:sz w:val="24"/>
        </w:rPr>
        <w:t> </w:t>
      </w:r>
      <w:r>
        <w:rPr>
          <w:rFonts w:ascii="Arial MT" w:hAnsi="Arial MT"/>
          <w:sz w:val="24"/>
        </w:rPr>
        <w:t>means</w:t>
      </w:r>
      <w:r>
        <w:rPr>
          <w:rFonts w:ascii="Arial MT" w:hAnsi="Arial MT"/>
          <w:spacing w:val="-4"/>
          <w:sz w:val="24"/>
        </w:rPr>
        <w:t> </w:t>
      </w:r>
      <w:r>
        <w:rPr>
          <w:rFonts w:ascii="Arial MT" w:hAnsi="Arial MT"/>
          <w:sz w:val="24"/>
        </w:rPr>
        <w:t>a</w:t>
      </w:r>
      <w:r>
        <w:rPr>
          <w:rFonts w:ascii="Arial MT" w:hAnsi="Arial MT"/>
          <w:spacing w:val="-3"/>
          <w:sz w:val="24"/>
        </w:rPr>
        <w:t> </w:t>
      </w:r>
      <w:r>
        <w:rPr>
          <w:rFonts w:ascii="Arial MT" w:hAnsi="Arial MT"/>
          <w:sz w:val="24"/>
        </w:rPr>
        <w:t>person</w:t>
      </w:r>
      <w:r>
        <w:rPr>
          <w:rFonts w:ascii="Arial MT" w:hAnsi="Arial MT"/>
          <w:spacing w:val="-4"/>
          <w:sz w:val="24"/>
        </w:rPr>
        <w:t> </w:t>
      </w:r>
      <w:r>
        <w:rPr>
          <w:rFonts w:ascii="Arial MT" w:hAnsi="Arial MT"/>
          <w:sz w:val="24"/>
        </w:rPr>
        <w:t>other</w:t>
      </w:r>
      <w:r>
        <w:rPr>
          <w:rFonts w:ascii="Arial MT" w:hAnsi="Arial MT"/>
          <w:spacing w:val="-3"/>
          <w:sz w:val="24"/>
        </w:rPr>
        <w:t> </w:t>
      </w:r>
      <w:r>
        <w:rPr>
          <w:rFonts w:ascii="Arial MT" w:hAnsi="Arial MT"/>
          <w:sz w:val="24"/>
        </w:rPr>
        <w:t>than</w:t>
      </w:r>
      <w:r>
        <w:rPr>
          <w:rFonts w:ascii="Arial MT" w:hAnsi="Arial MT"/>
          <w:spacing w:val="-4"/>
          <w:sz w:val="24"/>
        </w:rPr>
        <w:t> </w:t>
      </w:r>
      <w:r>
        <w:rPr>
          <w:rFonts w:ascii="Arial MT" w:hAnsi="Arial MT"/>
          <w:sz w:val="24"/>
        </w:rPr>
        <w:t>the</w:t>
      </w:r>
      <w:r>
        <w:rPr>
          <w:rFonts w:ascii="Arial MT" w:hAnsi="Arial MT"/>
          <w:spacing w:val="-4"/>
          <w:sz w:val="24"/>
        </w:rPr>
        <w:t> </w:t>
      </w:r>
      <w:r>
        <w:rPr>
          <w:rFonts w:ascii="Arial MT" w:hAnsi="Arial MT"/>
          <w:sz w:val="24"/>
        </w:rPr>
        <w:t>company,</w:t>
      </w:r>
      <w:r>
        <w:rPr>
          <w:rFonts w:ascii="Arial MT" w:hAnsi="Arial MT"/>
          <w:spacing w:val="-4"/>
          <w:sz w:val="24"/>
        </w:rPr>
        <w:t> </w:t>
      </w:r>
      <w:r>
        <w:rPr>
          <w:rFonts w:ascii="Arial MT" w:hAnsi="Arial MT"/>
          <w:sz w:val="24"/>
        </w:rPr>
        <w:t>an</w:t>
      </w:r>
      <w:r>
        <w:rPr>
          <w:rFonts w:ascii="Arial MT" w:hAnsi="Arial MT"/>
          <w:spacing w:val="-4"/>
          <w:sz w:val="24"/>
        </w:rPr>
        <w:t> </w:t>
      </w:r>
      <w:r>
        <w:rPr>
          <w:rFonts w:ascii="Arial MT" w:hAnsi="Arial MT"/>
          <w:sz w:val="24"/>
        </w:rPr>
        <w:t>associated</w:t>
      </w:r>
      <w:r>
        <w:rPr>
          <w:rFonts w:ascii="Arial MT" w:hAnsi="Arial MT"/>
          <w:spacing w:val="-7"/>
          <w:sz w:val="24"/>
        </w:rPr>
        <w:t> </w:t>
      </w:r>
      <w:r>
        <w:rPr>
          <w:rFonts w:ascii="Arial MT" w:hAnsi="Arial MT"/>
          <w:sz w:val="24"/>
        </w:rPr>
        <w:t>body corporate or a person acting on behalf of the company or an associated body </w:t>
      </w:r>
      <w:r>
        <w:rPr>
          <w:rFonts w:ascii="Arial MT" w:hAnsi="Arial MT"/>
          <w:spacing w:val="-2"/>
          <w:sz w:val="24"/>
        </w:rPr>
        <w:t>corporate.</w:t>
      </w:r>
    </w:p>
    <w:p>
      <w:pPr>
        <w:pStyle w:val="ListParagraph"/>
        <w:numPr>
          <w:ilvl w:val="0"/>
          <w:numId w:val="30"/>
        </w:numPr>
        <w:tabs>
          <w:tab w:pos="669" w:val="left" w:leader="none"/>
        </w:tabs>
        <w:spacing w:line="276" w:lineRule="auto" w:before="0" w:after="0"/>
        <w:ind w:left="308" w:right="651" w:firstLine="0"/>
        <w:jc w:val="left"/>
        <w:rPr>
          <w:rFonts w:ascii="Arial MT"/>
          <w:sz w:val="24"/>
        </w:rPr>
      </w:pPr>
      <w:r>
        <w:rPr>
          <w:rFonts w:ascii="Arial MT"/>
          <w:sz w:val="24"/>
        </w:rPr>
        <w:t>Benefits</w:t>
      </w:r>
      <w:r>
        <w:rPr>
          <w:rFonts w:ascii="Arial MT"/>
          <w:spacing w:val="-5"/>
          <w:sz w:val="24"/>
        </w:rPr>
        <w:t> </w:t>
      </w:r>
      <w:r>
        <w:rPr>
          <w:rFonts w:ascii="Arial MT"/>
          <w:sz w:val="24"/>
        </w:rPr>
        <w:t>received</w:t>
      </w:r>
      <w:r>
        <w:rPr>
          <w:rFonts w:ascii="Arial MT"/>
          <w:spacing w:val="-1"/>
          <w:sz w:val="24"/>
        </w:rPr>
        <w:t> </w:t>
      </w:r>
      <w:r>
        <w:rPr>
          <w:rFonts w:ascii="Arial MT"/>
          <w:sz w:val="24"/>
        </w:rPr>
        <w:t>by</w:t>
      </w:r>
      <w:r>
        <w:rPr>
          <w:rFonts w:ascii="Arial MT"/>
          <w:spacing w:val="-1"/>
          <w:sz w:val="24"/>
        </w:rPr>
        <w:t> </w:t>
      </w:r>
      <w:r>
        <w:rPr>
          <w:rFonts w:ascii="Arial MT"/>
          <w:sz w:val="24"/>
        </w:rPr>
        <w:t>a director from</w:t>
      </w:r>
      <w:r>
        <w:rPr>
          <w:rFonts w:ascii="Arial MT"/>
          <w:spacing w:val="-9"/>
          <w:sz w:val="24"/>
        </w:rPr>
        <w:t> </w:t>
      </w:r>
      <w:r>
        <w:rPr>
          <w:rFonts w:ascii="Arial MT"/>
          <w:sz w:val="24"/>
        </w:rPr>
        <w:t>a person</w:t>
      </w:r>
      <w:r>
        <w:rPr>
          <w:rFonts w:ascii="Arial MT"/>
          <w:spacing w:val="-1"/>
          <w:sz w:val="24"/>
        </w:rPr>
        <w:t> </w:t>
      </w:r>
      <w:r>
        <w:rPr>
          <w:rFonts w:ascii="Arial MT"/>
          <w:sz w:val="24"/>
        </w:rPr>
        <w:t>by</w:t>
      </w:r>
      <w:r>
        <w:rPr>
          <w:rFonts w:ascii="Arial MT"/>
          <w:spacing w:val="-1"/>
          <w:sz w:val="24"/>
        </w:rPr>
        <w:t> </w:t>
      </w:r>
      <w:r>
        <w:rPr>
          <w:rFonts w:ascii="Arial MT"/>
          <w:sz w:val="24"/>
        </w:rPr>
        <w:t>whom</w:t>
      </w:r>
      <w:r>
        <w:rPr>
          <w:rFonts w:ascii="Arial MT"/>
          <w:spacing w:val="-9"/>
          <w:sz w:val="24"/>
        </w:rPr>
        <w:t> </w:t>
      </w:r>
      <w:r>
        <w:rPr>
          <w:rFonts w:ascii="Arial MT"/>
          <w:sz w:val="24"/>
        </w:rPr>
        <w:t>his</w:t>
      </w:r>
      <w:r>
        <w:rPr>
          <w:rFonts w:ascii="Arial MT"/>
          <w:spacing w:val="-1"/>
          <w:sz w:val="24"/>
        </w:rPr>
        <w:t> </w:t>
      </w:r>
      <w:r>
        <w:rPr>
          <w:rFonts w:ascii="Arial MT"/>
          <w:sz w:val="24"/>
        </w:rPr>
        <w:t>services</w:t>
      </w:r>
      <w:r>
        <w:rPr>
          <w:rFonts w:ascii="Arial MT"/>
          <w:spacing w:val="-6"/>
          <w:sz w:val="24"/>
        </w:rPr>
        <w:t> </w:t>
      </w:r>
      <w:r>
        <w:rPr>
          <w:rFonts w:ascii="Arial MT"/>
          <w:sz w:val="24"/>
        </w:rPr>
        <w:t>(as</w:t>
      </w:r>
      <w:r>
        <w:rPr>
          <w:rFonts w:ascii="Arial MT"/>
          <w:spacing w:val="-1"/>
          <w:sz w:val="24"/>
        </w:rPr>
        <w:t> </w:t>
      </w:r>
      <w:r>
        <w:rPr>
          <w:rFonts w:ascii="Arial MT"/>
          <w:sz w:val="24"/>
        </w:rPr>
        <w:t>a director or otherwise) are provided to the company are not regarded as conferred by a third party.</w:t>
      </w:r>
    </w:p>
    <w:p>
      <w:pPr>
        <w:pStyle w:val="ListParagraph"/>
        <w:numPr>
          <w:ilvl w:val="0"/>
          <w:numId w:val="30"/>
        </w:numPr>
        <w:tabs>
          <w:tab w:pos="669" w:val="left" w:leader="none"/>
        </w:tabs>
        <w:spacing w:line="276" w:lineRule="auto" w:before="0" w:after="0"/>
        <w:ind w:left="308" w:right="411" w:firstLine="0"/>
        <w:jc w:val="left"/>
        <w:rPr>
          <w:rFonts w:ascii="Arial MT"/>
          <w:sz w:val="24"/>
        </w:rPr>
      </w:pPr>
      <w:r>
        <w:rPr>
          <w:rFonts w:ascii="Arial MT"/>
          <w:sz w:val="24"/>
        </w:rPr>
        <w:t>This</w:t>
      </w:r>
      <w:r>
        <w:rPr>
          <w:rFonts w:ascii="Arial MT"/>
          <w:spacing w:val="-2"/>
          <w:sz w:val="24"/>
        </w:rPr>
        <w:t> </w:t>
      </w:r>
      <w:r>
        <w:rPr>
          <w:rFonts w:ascii="Arial MT"/>
          <w:sz w:val="24"/>
        </w:rPr>
        <w:t>duty</w:t>
      </w:r>
      <w:r>
        <w:rPr>
          <w:rFonts w:ascii="Arial MT"/>
          <w:spacing w:val="-6"/>
          <w:sz w:val="24"/>
        </w:rPr>
        <w:t> </w:t>
      </w:r>
      <w:r>
        <w:rPr>
          <w:rFonts w:ascii="Arial MT"/>
          <w:sz w:val="24"/>
        </w:rPr>
        <w:t>is</w:t>
      </w:r>
      <w:r>
        <w:rPr>
          <w:rFonts w:ascii="Arial MT"/>
          <w:spacing w:val="-7"/>
          <w:sz w:val="24"/>
        </w:rPr>
        <w:t> </w:t>
      </w:r>
      <w:r>
        <w:rPr>
          <w:rFonts w:ascii="Arial MT"/>
          <w:sz w:val="24"/>
        </w:rPr>
        <w:t>not</w:t>
      </w:r>
      <w:r>
        <w:rPr>
          <w:rFonts w:ascii="Arial MT"/>
          <w:spacing w:val="-6"/>
          <w:sz w:val="24"/>
        </w:rPr>
        <w:t> </w:t>
      </w:r>
      <w:r>
        <w:rPr>
          <w:rFonts w:ascii="Arial MT"/>
          <w:sz w:val="24"/>
        </w:rPr>
        <w:t>infringed</w:t>
      </w:r>
      <w:r>
        <w:rPr>
          <w:rFonts w:ascii="Arial MT"/>
          <w:spacing w:val="-6"/>
          <w:sz w:val="24"/>
        </w:rPr>
        <w:t> </w:t>
      </w:r>
      <w:r>
        <w:rPr>
          <w:rFonts w:ascii="Arial MT"/>
          <w:sz w:val="24"/>
        </w:rPr>
        <w:t>if</w:t>
      </w:r>
      <w:r>
        <w:rPr>
          <w:rFonts w:ascii="Arial MT"/>
          <w:spacing w:val="-2"/>
          <w:sz w:val="24"/>
        </w:rPr>
        <w:t> </w:t>
      </w:r>
      <w:r>
        <w:rPr>
          <w:rFonts w:ascii="Arial MT"/>
          <w:sz w:val="24"/>
        </w:rPr>
        <w:t>the</w:t>
      </w:r>
      <w:r>
        <w:rPr>
          <w:rFonts w:ascii="Arial MT"/>
          <w:spacing w:val="-2"/>
          <w:sz w:val="24"/>
        </w:rPr>
        <w:t> </w:t>
      </w:r>
      <w:r>
        <w:rPr>
          <w:rFonts w:ascii="Arial MT"/>
          <w:sz w:val="24"/>
        </w:rPr>
        <w:t>acceptance</w:t>
      </w:r>
      <w:r>
        <w:rPr>
          <w:rFonts w:ascii="Arial MT"/>
          <w:spacing w:val="-6"/>
          <w:sz w:val="24"/>
        </w:rPr>
        <w:t> </w:t>
      </w:r>
      <w:r>
        <w:rPr>
          <w:rFonts w:ascii="Arial MT"/>
          <w:sz w:val="24"/>
        </w:rPr>
        <w:t>of</w:t>
      </w:r>
      <w:r>
        <w:rPr>
          <w:rFonts w:ascii="Arial MT"/>
          <w:spacing w:val="-2"/>
          <w:sz w:val="24"/>
        </w:rPr>
        <w:t> </w:t>
      </w:r>
      <w:r>
        <w:rPr>
          <w:rFonts w:ascii="Arial MT"/>
          <w:sz w:val="24"/>
        </w:rPr>
        <w:t>the</w:t>
      </w:r>
      <w:r>
        <w:rPr>
          <w:rFonts w:ascii="Arial MT"/>
          <w:spacing w:val="-2"/>
          <w:sz w:val="24"/>
        </w:rPr>
        <w:t> </w:t>
      </w:r>
      <w:r>
        <w:rPr>
          <w:rFonts w:ascii="Arial MT"/>
          <w:sz w:val="24"/>
        </w:rPr>
        <w:t>benefit</w:t>
      </w:r>
      <w:r>
        <w:rPr>
          <w:rFonts w:ascii="Arial MT"/>
          <w:spacing w:val="-2"/>
          <w:sz w:val="24"/>
        </w:rPr>
        <w:t> </w:t>
      </w:r>
      <w:r>
        <w:rPr>
          <w:rFonts w:ascii="Arial MT"/>
          <w:sz w:val="24"/>
        </w:rPr>
        <w:t>cannot</w:t>
      </w:r>
      <w:r>
        <w:rPr>
          <w:rFonts w:ascii="Arial MT"/>
          <w:spacing w:val="-2"/>
          <w:sz w:val="24"/>
        </w:rPr>
        <w:t> </w:t>
      </w:r>
      <w:r>
        <w:rPr>
          <w:rFonts w:ascii="Arial MT"/>
          <w:sz w:val="24"/>
        </w:rPr>
        <w:t>reasonably be regarded as likely to give rise to a conflict of interest.</w:t>
      </w:r>
    </w:p>
    <w:p>
      <w:pPr>
        <w:pStyle w:val="ListParagraph"/>
        <w:numPr>
          <w:ilvl w:val="0"/>
          <w:numId w:val="30"/>
        </w:numPr>
        <w:tabs>
          <w:tab w:pos="669" w:val="left" w:leader="none"/>
        </w:tabs>
        <w:spacing w:line="276" w:lineRule="auto" w:before="0" w:after="0"/>
        <w:ind w:left="308" w:right="737" w:firstLine="0"/>
        <w:jc w:val="left"/>
        <w:rPr>
          <w:rFonts w:ascii="Arial MT"/>
          <w:sz w:val="24"/>
        </w:rPr>
      </w:pPr>
      <w:r>
        <w:rPr>
          <w:rFonts w:ascii="Arial MT"/>
          <w:sz w:val="24"/>
        </w:rPr>
        <w:t>Any</w:t>
      </w:r>
      <w:r>
        <w:rPr>
          <w:rFonts w:ascii="Arial MT"/>
          <w:spacing w:val="-3"/>
          <w:sz w:val="24"/>
        </w:rPr>
        <w:t> </w:t>
      </w:r>
      <w:r>
        <w:rPr>
          <w:rFonts w:ascii="Arial MT"/>
          <w:sz w:val="24"/>
        </w:rPr>
        <w:t>reference</w:t>
      </w:r>
      <w:r>
        <w:rPr>
          <w:rFonts w:ascii="Arial MT"/>
          <w:spacing w:val="-6"/>
          <w:sz w:val="24"/>
        </w:rPr>
        <w:t> </w:t>
      </w:r>
      <w:r>
        <w:rPr>
          <w:rFonts w:ascii="Arial MT"/>
          <w:sz w:val="24"/>
        </w:rPr>
        <w:t>in</w:t>
      </w:r>
      <w:r>
        <w:rPr>
          <w:rFonts w:ascii="Arial MT"/>
          <w:spacing w:val="-3"/>
          <w:sz w:val="24"/>
        </w:rPr>
        <w:t> </w:t>
      </w:r>
      <w:r>
        <w:rPr>
          <w:rFonts w:ascii="Arial MT"/>
          <w:sz w:val="24"/>
        </w:rPr>
        <w:t>this</w:t>
      </w:r>
      <w:r>
        <w:rPr>
          <w:rFonts w:ascii="Arial MT"/>
          <w:spacing w:val="-3"/>
          <w:sz w:val="24"/>
        </w:rPr>
        <w:t> </w:t>
      </w:r>
      <w:r>
        <w:rPr>
          <w:rFonts w:ascii="Arial MT"/>
          <w:sz w:val="24"/>
        </w:rPr>
        <w:t>section</w:t>
      </w:r>
      <w:r>
        <w:rPr>
          <w:rFonts w:ascii="Arial MT"/>
          <w:spacing w:val="-3"/>
          <w:sz w:val="24"/>
        </w:rPr>
        <w:t> </w:t>
      </w:r>
      <w:r>
        <w:rPr>
          <w:rFonts w:ascii="Arial MT"/>
          <w:sz w:val="24"/>
        </w:rPr>
        <w:t>to</w:t>
      </w:r>
      <w:r>
        <w:rPr>
          <w:rFonts w:ascii="Arial MT"/>
          <w:spacing w:val="-6"/>
          <w:sz w:val="24"/>
        </w:rPr>
        <w:t> </w:t>
      </w:r>
      <w:r>
        <w:rPr>
          <w:rFonts w:ascii="Arial MT"/>
          <w:sz w:val="24"/>
        </w:rPr>
        <w:t>a</w:t>
      </w:r>
      <w:r>
        <w:rPr>
          <w:rFonts w:ascii="Arial MT"/>
          <w:spacing w:val="-2"/>
          <w:sz w:val="24"/>
        </w:rPr>
        <w:t> </w:t>
      </w:r>
      <w:r>
        <w:rPr>
          <w:rFonts w:ascii="Arial MT"/>
          <w:sz w:val="24"/>
        </w:rPr>
        <w:t>conflict</w:t>
      </w:r>
      <w:r>
        <w:rPr>
          <w:rFonts w:ascii="Arial MT"/>
          <w:spacing w:val="-6"/>
          <w:sz w:val="24"/>
        </w:rPr>
        <w:t> </w:t>
      </w:r>
      <w:r>
        <w:rPr>
          <w:rFonts w:ascii="Arial MT"/>
          <w:sz w:val="24"/>
        </w:rPr>
        <w:t>of</w:t>
      </w:r>
      <w:r>
        <w:rPr>
          <w:rFonts w:ascii="Arial MT"/>
          <w:spacing w:val="-3"/>
          <w:sz w:val="24"/>
        </w:rPr>
        <w:t> </w:t>
      </w:r>
      <w:r>
        <w:rPr>
          <w:rFonts w:ascii="Arial MT"/>
          <w:sz w:val="24"/>
        </w:rPr>
        <w:t>interest</w:t>
      </w:r>
      <w:r>
        <w:rPr>
          <w:rFonts w:ascii="Arial MT"/>
          <w:spacing w:val="-6"/>
          <w:sz w:val="24"/>
        </w:rPr>
        <w:t> </w:t>
      </w:r>
      <w:r>
        <w:rPr>
          <w:rFonts w:ascii="Arial MT"/>
          <w:sz w:val="24"/>
        </w:rPr>
        <w:t>includes</w:t>
      </w:r>
      <w:r>
        <w:rPr>
          <w:rFonts w:ascii="Arial MT"/>
          <w:spacing w:val="-3"/>
          <w:sz w:val="24"/>
        </w:rPr>
        <w:t> </w:t>
      </w:r>
      <w:r>
        <w:rPr>
          <w:rFonts w:ascii="Arial MT"/>
          <w:sz w:val="24"/>
        </w:rPr>
        <w:t>a</w:t>
      </w:r>
      <w:r>
        <w:rPr>
          <w:rFonts w:ascii="Arial MT"/>
          <w:spacing w:val="-2"/>
          <w:sz w:val="24"/>
        </w:rPr>
        <w:t> </w:t>
      </w:r>
      <w:r>
        <w:rPr>
          <w:rFonts w:ascii="Arial MT"/>
          <w:sz w:val="24"/>
        </w:rPr>
        <w:t>conflict</w:t>
      </w:r>
      <w:r>
        <w:rPr>
          <w:rFonts w:ascii="Arial MT"/>
          <w:spacing w:val="-3"/>
          <w:sz w:val="24"/>
        </w:rPr>
        <w:t> </w:t>
      </w:r>
      <w:r>
        <w:rPr>
          <w:rFonts w:ascii="Arial MT"/>
          <w:sz w:val="24"/>
        </w:rPr>
        <w:t>of interest and duty and a conflict of duties.</w:t>
      </w:r>
    </w:p>
    <w:p>
      <w:pPr>
        <w:pStyle w:val="BodyText"/>
        <w:spacing w:before="32"/>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Duty</w:t>
      </w:r>
      <w:r>
        <w:rPr>
          <w:rFonts w:ascii="Arial"/>
          <w:spacing w:val="-8"/>
        </w:rPr>
        <w:t> </w:t>
      </w:r>
      <w:r>
        <w:rPr>
          <w:rFonts w:ascii="Arial"/>
        </w:rPr>
        <w:t>to</w:t>
      </w:r>
      <w:r>
        <w:rPr>
          <w:rFonts w:ascii="Arial"/>
          <w:spacing w:val="-2"/>
        </w:rPr>
        <w:t> </w:t>
      </w:r>
      <w:r>
        <w:rPr>
          <w:rFonts w:ascii="Arial"/>
        </w:rPr>
        <w:t>declare</w:t>
      </w:r>
      <w:r>
        <w:rPr>
          <w:rFonts w:ascii="Arial"/>
          <w:spacing w:val="-2"/>
        </w:rPr>
        <w:t> </w:t>
      </w:r>
      <w:r>
        <w:rPr>
          <w:rFonts w:ascii="Arial"/>
        </w:rPr>
        <w:t>interest</w:t>
      </w:r>
      <w:r>
        <w:rPr>
          <w:rFonts w:ascii="Arial"/>
          <w:spacing w:val="-1"/>
        </w:rPr>
        <w:t> </w:t>
      </w:r>
      <w:r>
        <w:rPr>
          <w:rFonts w:ascii="Arial"/>
        </w:rPr>
        <w:t>in</w:t>
      </w:r>
      <w:r>
        <w:rPr>
          <w:rFonts w:ascii="Arial"/>
          <w:spacing w:val="-5"/>
        </w:rPr>
        <w:t> </w:t>
      </w:r>
      <w:r>
        <w:rPr>
          <w:rFonts w:ascii="Arial"/>
        </w:rPr>
        <w:t>proposed</w:t>
      </w:r>
      <w:r>
        <w:rPr>
          <w:rFonts w:ascii="Arial"/>
          <w:spacing w:val="-5"/>
        </w:rPr>
        <w:t> </w:t>
      </w:r>
      <w:r>
        <w:rPr>
          <w:rFonts w:ascii="Arial"/>
        </w:rPr>
        <w:t>transaction</w:t>
      </w:r>
      <w:r>
        <w:rPr>
          <w:rFonts w:ascii="Arial"/>
          <w:spacing w:val="-5"/>
        </w:rPr>
        <w:t> </w:t>
      </w:r>
      <w:r>
        <w:rPr>
          <w:rFonts w:ascii="Arial"/>
        </w:rPr>
        <w:t>or</w:t>
      </w:r>
      <w:r>
        <w:rPr>
          <w:rFonts w:ascii="Arial"/>
          <w:spacing w:val="-4"/>
        </w:rPr>
        <w:t> </w:t>
      </w:r>
      <w:r>
        <w:rPr>
          <w:rFonts w:ascii="Arial"/>
          <w:spacing w:val="-2"/>
        </w:rPr>
        <w:t>arrangement</w:t>
      </w:r>
    </w:p>
    <w:p>
      <w:pPr>
        <w:pStyle w:val="ListParagraph"/>
        <w:numPr>
          <w:ilvl w:val="0"/>
          <w:numId w:val="31"/>
        </w:numPr>
        <w:tabs>
          <w:tab w:pos="669" w:val="left" w:leader="none"/>
        </w:tabs>
        <w:spacing w:line="276" w:lineRule="auto" w:before="46" w:after="0"/>
        <w:ind w:left="308" w:right="402" w:firstLine="0"/>
        <w:jc w:val="left"/>
        <w:rPr>
          <w:rFonts w:ascii="Arial MT"/>
          <w:sz w:val="24"/>
        </w:rPr>
      </w:pPr>
      <w:r>
        <w:rPr>
          <w:rFonts w:ascii="Arial MT"/>
          <w:sz w:val="24"/>
        </w:rPr>
        <w:t>If</w:t>
      </w:r>
      <w:r>
        <w:rPr>
          <w:rFonts w:ascii="Arial MT"/>
          <w:spacing w:val="-5"/>
          <w:sz w:val="24"/>
        </w:rPr>
        <w:t> </w:t>
      </w:r>
      <w:r>
        <w:rPr>
          <w:rFonts w:ascii="Arial MT"/>
          <w:sz w:val="24"/>
        </w:rPr>
        <w:t>a</w:t>
      </w:r>
      <w:r>
        <w:rPr>
          <w:rFonts w:ascii="Arial MT"/>
          <w:spacing w:val="-1"/>
          <w:sz w:val="24"/>
        </w:rPr>
        <w:t> </w:t>
      </w:r>
      <w:r>
        <w:rPr>
          <w:rFonts w:ascii="Arial MT"/>
          <w:sz w:val="24"/>
        </w:rPr>
        <w:t>director of</w:t>
      </w:r>
      <w:r>
        <w:rPr>
          <w:rFonts w:ascii="Arial MT"/>
          <w:spacing w:val="-5"/>
          <w:sz w:val="24"/>
        </w:rPr>
        <w:t> </w:t>
      </w:r>
      <w:r>
        <w:rPr>
          <w:rFonts w:ascii="Arial MT"/>
          <w:sz w:val="24"/>
        </w:rPr>
        <w:t>a</w:t>
      </w:r>
      <w:r>
        <w:rPr>
          <w:rFonts w:ascii="Arial MT"/>
          <w:spacing w:val="-1"/>
          <w:sz w:val="24"/>
        </w:rPr>
        <w:t> </w:t>
      </w:r>
      <w:r>
        <w:rPr>
          <w:rFonts w:ascii="Arial MT"/>
          <w:sz w:val="24"/>
        </w:rPr>
        <w:t>company</w:t>
      </w:r>
      <w:r>
        <w:rPr>
          <w:rFonts w:ascii="Arial MT"/>
          <w:spacing w:val="-1"/>
          <w:sz w:val="24"/>
        </w:rPr>
        <w:t> </w:t>
      </w:r>
      <w:r>
        <w:rPr>
          <w:rFonts w:ascii="Arial MT"/>
          <w:sz w:val="24"/>
        </w:rPr>
        <w:t>is</w:t>
      </w:r>
      <w:r>
        <w:rPr>
          <w:rFonts w:ascii="Arial MT"/>
          <w:spacing w:val="-6"/>
          <w:sz w:val="24"/>
        </w:rPr>
        <w:t> </w:t>
      </w:r>
      <w:r>
        <w:rPr>
          <w:rFonts w:ascii="Arial MT"/>
          <w:sz w:val="24"/>
        </w:rPr>
        <w:t>in</w:t>
      </w:r>
      <w:r>
        <w:rPr>
          <w:rFonts w:ascii="Arial MT"/>
          <w:spacing w:val="-1"/>
          <w:sz w:val="24"/>
        </w:rPr>
        <w:t> </w:t>
      </w:r>
      <w:r>
        <w:rPr>
          <w:rFonts w:ascii="Arial MT"/>
          <w:sz w:val="24"/>
        </w:rPr>
        <w:t>any</w:t>
      </w:r>
      <w:r>
        <w:rPr>
          <w:rFonts w:ascii="Arial MT"/>
          <w:spacing w:val="-1"/>
          <w:sz w:val="24"/>
        </w:rPr>
        <w:t> </w:t>
      </w:r>
      <w:r>
        <w:rPr>
          <w:rFonts w:ascii="Arial MT"/>
          <w:sz w:val="24"/>
        </w:rPr>
        <w:t>way,</w:t>
      </w:r>
      <w:r>
        <w:rPr>
          <w:rFonts w:ascii="Arial MT"/>
          <w:spacing w:val="-1"/>
          <w:sz w:val="24"/>
        </w:rPr>
        <w:t> </w:t>
      </w:r>
      <w:r>
        <w:rPr>
          <w:rFonts w:ascii="Arial MT"/>
          <w:sz w:val="24"/>
        </w:rPr>
        <w:t>directly</w:t>
      </w:r>
      <w:r>
        <w:rPr>
          <w:rFonts w:ascii="Arial MT"/>
          <w:spacing w:val="-6"/>
          <w:sz w:val="24"/>
        </w:rPr>
        <w:t> </w:t>
      </w:r>
      <w:r>
        <w:rPr>
          <w:rFonts w:ascii="Arial MT"/>
          <w:sz w:val="24"/>
        </w:rPr>
        <w:t>or</w:t>
      </w:r>
      <w:r>
        <w:rPr>
          <w:rFonts w:ascii="Arial MT"/>
          <w:spacing w:val="-4"/>
          <w:sz w:val="24"/>
        </w:rPr>
        <w:t> </w:t>
      </w:r>
      <w:r>
        <w:rPr>
          <w:rFonts w:ascii="Arial MT"/>
          <w:sz w:val="24"/>
        </w:rPr>
        <w:t>indirectly,</w:t>
      </w:r>
      <w:r>
        <w:rPr>
          <w:rFonts w:ascii="Arial MT"/>
          <w:spacing w:val="-5"/>
          <w:sz w:val="24"/>
        </w:rPr>
        <w:t> </w:t>
      </w:r>
      <w:r>
        <w:rPr>
          <w:rFonts w:ascii="Arial MT"/>
          <w:sz w:val="24"/>
        </w:rPr>
        <w:t>interested</w:t>
      </w:r>
      <w:r>
        <w:rPr>
          <w:rFonts w:ascii="Arial MT"/>
          <w:spacing w:val="-5"/>
          <w:sz w:val="24"/>
        </w:rPr>
        <w:t> </w:t>
      </w:r>
      <w:r>
        <w:rPr>
          <w:rFonts w:ascii="Arial MT"/>
          <w:sz w:val="24"/>
        </w:rPr>
        <w:t>in</w:t>
      </w:r>
      <w:r>
        <w:rPr>
          <w:rFonts w:ascii="Arial MT"/>
          <w:spacing w:val="-1"/>
          <w:sz w:val="24"/>
        </w:rPr>
        <w:t> </w:t>
      </w:r>
      <w:r>
        <w:rPr>
          <w:rFonts w:ascii="Arial MT"/>
          <w:sz w:val="24"/>
        </w:rPr>
        <w:t>a proposed transaction or arrangement with the company, he must declare the nature and extent of that interest to the other directors.</w:t>
      </w:r>
    </w:p>
    <w:p>
      <w:pPr>
        <w:pStyle w:val="ListParagraph"/>
        <w:numPr>
          <w:ilvl w:val="0"/>
          <w:numId w:val="31"/>
        </w:numPr>
        <w:tabs>
          <w:tab w:pos="669" w:val="left" w:leader="none"/>
        </w:tabs>
        <w:spacing w:line="275" w:lineRule="exact" w:before="0" w:after="0"/>
        <w:ind w:left="669" w:right="0" w:hanging="361"/>
        <w:jc w:val="left"/>
        <w:rPr>
          <w:rFonts w:ascii="Arial MT" w:hAnsi="Arial MT"/>
          <w:sz w:val="24"/>
        </w:rPr>
      </w:pPr>
      <w:r>
        <w:rPr>
          <w:rFonts w:ascii="Arial MT" w:hAnsi="Arial MT"/>
          <w:sz w:val="24"/>
        </w:rPr>
        <w:t>The</w:t>
      </w:r>
      <w:r>
        <w:rPr>
          <w:rFonts w:ascii="Arial MT" w:hAnsi="Arial MT"/>
          <w:spacing w:val="-3"/>
          <w:sz w:val="24"/>
        </w:rPr>
        <w:t> </w:t>
      </w:r>
      <w:r>
        <w:rPr>
          <w:rFonts w:ascii="Arial MT" w:hAnsi="Arial MT"/>
          <w:sz w:val="24"/>
        </w:rPr>
        <w:t>declaration</w:t>
      </w:r>
      <w:r>
        <w:rPr>
          <w:rFonts w:ascii="Arial MT" w:hAnsi="Arial MT"/>
          <w:spacing w:val="-6"/>
          <w:sz w:val="24"/>
        </w:rPr>
        <w:t> </w:t>
      </w:r>
      <w:r>
        <w:rPr>
          <w:rFonts w:ascii="Arial MT" w:hAnsi="Arial MT"/>
          <w:sz w:val="24"/>
        </w:rPr>
        <w:t>may</w:t>
      </w:r>
      <w:r>
        <w:rPr>
          <w:rFonts w:ascii="Arial MT" w:hAnsi="Arial MT"/>
          <w:spacing w:val="-2"/>
          <w:sz w:val="24"/>
        </w:rPr>
        <w:t> </w:t>
      </w:r>
      <w:r>
        <w:rPr>
          <w:rFonts w:ascii="Arial MT" w:hAnsi="Arial MT"/>
          <w:sz w:val="24"/>
        </w:rPr>
        <w:t>(but</w:t>
      </w:r>
      <w:r>
        <w:rPr>
          <w:rFonts w:ascii="Arial MT" w:hAnsi="Arial MT"/>
          <w:spacing w:val="-3"/>
          <w:sz w:val="24"/>
        </w:rPr>
        <w:t> </w:t>
      </w:r>
      <w:r>
        <w:rPr>
          <w:rFonts w:ascii="Arial MT" w:hAnsi="Arial MT"/>
          <w:sz w:val="24"/>
        </w:rPr>
        <w:t>need</w:t>
      </w:r>
      <w:r>
        <w:rPr>
          <w:rFonts w:ascii="Arial MT" w:hAnsi="Arial MT"/>
          <w:spacing w:val="-2"/>
          <w:sz w:val="24"/>
        </w:rPr>
        <w:t> </w:t>
      </w:r>
      <w:r>
        <w:rPr>
          <w:rFonts w:ascii="Arial MT" w:hAnsi="Arial MT"/>
          <w:sz w:val="24"/>
        </w:rPr>
        <w:t>not)</w:t>
      </w:r>
      <w:r>
        <w:rPr>
          <w:rFonts w:ascii="Arial MT" w:hAnsi="Arial MT"/>
          <w:spacing w:val="-1"/>
          <w:sz w:val="24"/>
        </w:rPr>
        <w:t> </w:t>
      </w:r>
      <w:r>
        <w:rPr>
          <w:rFonts w:ascii="Arial MT" w:hAnsi="Arial MT"/>
          <w:sz w:val="24"/>
        </w:rPr>
        <w:t>be</w:t>
      </w:r>
      <w:r>
        <w:rPr>
          <w:rFonts w:ascii="Arial MT" w:hAnsi="Arial MT"/>
          <w:spacing w:val="-6"/>
          <w:sz w:val="24"/>
        </w:rPr>
        <w:t> </w:t>
      </w:r>
      <w:r>
        <w:rPr>
          <w:rFonts w:ascii="Arial MT" w:hAnsi="Arial MT"/>
          <w:spacing w:val="-4"/>
          <w:sz w:val="24"/>
        </w:rPr>
        <w:t>made—</w:t>
      </w:r>
    </w:p>
    <w:p>
      <w:pPr>
        <w:pStyle w:val="ListParagraph"/>
        <w:numPr>
          <w:ilvl w:val="1"/>
          <w:numId w:val="31"/>
        </w:numPr>
        <w:tabs>
          <w:tab w:pos="670" w:val="left" w:leader="none"/>
        </w:tabs>
        <w:spacing w:line="240" w:lineRule="auto" w:before="41" w:after="0"/>
        <w:ind w:left="670" w:right="0" w:hanging="362"/>
        <w:jc w:val="left"/>
        <w:rPr>
          <w:rFonts w:ascii="Arial MT"/>
          <w:sz w:val="24"/>
        </w:rPr>
      </w:pPr>
      <w:r>
        <w:rPr>
          <w:rFonts w:ascii="Arial MT"/>
          <w:sz w:val="24"/>
        </w:rPr>
        <w:t>at</w:t>
      </w:r>
      <w:r>
        <w:rPr>
          <w:rFonts w:ascii="Arial MT"/>
          <w:spacing w:val="-10"/>
          <w:sz w:val="24"/>
        </w:rPr>
        <w:t> </w:t>
      </w:r>
      <w:r>
        <w:rPr>
          <w:rFonts w:ascii="Arial MT"/>
          <w:sz w:val="24"/>
        </w:rPr>
        <w:t>a</w:t>
      </w:r>
      <w:r>
        <w:rPr>
          <w:rFonts w:ascii="Arial MT"/>
          <w:spacing w:val="-6"/>
          <w:sz w:val="24"/>
        </w:rPr>
        <w:t> </w:t>
      </w:r>
      <w:r>
        <w:rPr>
          <w:rFonts w:ascii="Arial MT"/>
          <w:sz w:val="24"/>
        </w:rPr>
        <w:t>meeting</w:t>
      </w:r>
      <w:r>
        <w:rPr>
          <w:rFonts w:ascii="Arial MT"/>
          <w:spacing w:val="-5"/>
          <w:sz w:val="24"/>
        </w:rPr>
        <w:t> </w:t>
      </w:r>
      <w:r>
        <w:rPr>
          <w:rFonts w:ascii="Arial MT"/>
          <w:sz w:val="24"/>
        </w:rPr>
        <w:t>of</w:t>
      </w:r>
      <w:r>
        <w:rPr>
          <w:rFonts w:ascii="Arial MT"/>
          <w:spacing w:val="-10"/>
          <w:sz w:val="24"/>
        </w:rPr>
        <w:t> </w:t>
      </w:r>
      <w:r>
        <w:rPr>
          <w:rFonts w:ascii="Arial MT"/>
          <w:sz w:val="24"/>
        </w:rPr>
        <w:t>the</w:t>
      </w:r>
      <w:r>
        <w:rPr>
          <w:rFonts w:ascii="Arial MT"/>
          <w:spacing w:val="-5"/>
          <w:sz w:val="24"/>
        </w:rPr>
        <w:t> </w:t>
      </w:r>
      <w:r>
        <w:rPr>
          <w:rFonts w:ascii="Arial MT"/>
          <w:sz w:val="24"/>
        </w:rPr>
        <w:t>directors,</w:t>
      </w:r>
      <w:r>
        <w:rPr>
          <w:rFonts w:ascii="Arial MT"/>
          <w:spacing w:val="-10"/>
          <w:sz w:val="24"/>
        </w:rPr>
        <w:t> </w:t>
      </w:r>
      <w:r>
        <w:rPr>
          <w:rFonts w:ascii="Arial MT"/>
          <w:spacing w:val="-5"/>
          <w:sz w:val="24"/>
        </w:rPr>
        <w:t>or</w:t>
      </w:r>
    </w:p>
    <w:p>
      <w:pPr>
        <w:pStyle w:val="ListParagraph"/>
        <w:numPr>
          <w:ilvl w:val="1"/>
          <w:numId w:val="31"/>
        </w:numPr>
        <w:tabs>
          <w:tab w:pos="670" w:val="left" w:leader="none"/>
        </w:tabs>
        <w:spacing w:line="240" w:lineRule="auto" w:before="41" w:after="0"/>
        <w:ind w:left="670" w:right="0" w:hanging="362"/>
        <w:jc w:val="left"/>
        <w:rPr>
          <w:rFonts w:ascii="Arial MT" w:hAnsi="Arial MT"/>
          <w:sz w:val="24"/>
        </w:rPr>
      </w:pPr>
      <w:r>
        <w:rPr>
          <w:rFonts w:ascii="Arial MT" w:hAnsi="Arial MT"/>
          <w:sz w:val="24"/>
        </w:rPr>
        <w:t>by</w:t>
      </w:r>
      <w:r>
        <w:rPr>
          <w:rFonts w:ascii="Arial MT" w:hAnsi="Arial MT"/>
          <w:spacing w:val="-13"/>
          <w:sz w:val="24"/>
        </w:rPr>
        <w:t> </w:t>
      </w:r>
      <w:r>
        <w:rPr>
          <w:rFonts w:ascii="Arial MT" w:hAnsi="Arial MT"/>
          <w:sz w:val="24"/>
        </w:rPr>
        <w:t>notice</w:t>
      </w:r>
      <w:r>
        <w:rPr>
          <w:rFonts w:ascii="Arial MT" w:hAnsi="Arial MT"/>
          <w:spacing w:val="-8"/>
          <w:sz w:val="24"/>
        </w:rPr>
        <w:t> </w:t>
      </w:r>
      <w:r>
        <w:rPr>
          <w:rFonts w:ascii="Arial MT" w:hAnsi="Arial MT"/>
          <w:sz w:val="24"/>
        </w:rPr>
        <w:t>to</w:t>
      </w:r>
      <w:r>
        <w:rPr>
          <w:rFonts w:ascii="Arial MT" w:hAnsi="Arial MT"/>
          <w:spacing w:val="-12"/>
          <w:sz w:val="24"/>
        </w:rPr>
        <w:t> </w:t>
      </w:r>
      <w:r>
        <w:rPr>
          <w:rFonts w:ascii="Arial MT" w:hAnsi="Arial MT"/>
          <w:sz w:val="24"/>
        </w:rPr>
        <w:t>the</w:t>
      </w:r>
      <w:r>
        <w:rPr>
          <w:rFonts w:ascii="Arial MT" w:hAnsi="Arial MT"/>
          <w:spacing w:val="-8"/>
          <w:sz w:val="24"/>
        </w:rPr>
        <w:t> </w:t>
      </w:r>
      <w:r>
        <w:rPr>
          <w:rFonts w:ascii="Arial MT" w:hAnsi="Arial MT"/>
          <w:sz w:val="24"/>
        </w:rPr>
        <w:t>directors</w:t>
      </w:r>
      <w:r>
        <w:rPr>
          <w:rFonts w:ascii="Arial MT" w:hAnsi="Arial MT"/>
          <w:spacing w:val="-13"/>
          <w:sz w:val="24"/>
        </w:rPr>
        <w:t> </w:t>
      </w:r>
      <w:r>
        <w:rPr>
          <w:rFonts w:ascii="Arial MT" w:hAnsi="Arial MT"/>
          <w:sz w:val="24"/>
        </w:rPr>
        <w:t>in</w:t>
      </w:r>
      <w:r>
        <w:rPr>
          <w:rFonts w:ascii="Arial MT" w:hAnsi="Arial MT"/>
          <w:spacing w:val="-8"/>
          <w:sz w:val="24"/>
        </w:rPr>
        <w:t> </w:t>
      </w:r>
      <w:r>
        <w:rPr>
          <w:rFonts w:ascii="Arial MT" w:hAnsi="Arial MT"/>
          <w:sz w:val="24"/>
        </w:rPr>
        <w:t>accordance</w:t>
      </w:r>
      <w:r>
        <w:rPr>
          <w:rFonts w:ascii="Arial MT" w:hAnsi="Arial MT"/>
          <w:spacing w:val="-8"/>
          <w:sz w:val="24"/>
        </w:rPr>
        <w:t> </w:t>
      </w:r>
      <w:r>
        <w:rPr>
          <w:rFonts w:ascii="Arial MT" w:hAnsi="Arial MT"/>
          <w:spacing w:val="-4"/>
          <w:sz w:val="24"/>
        </w:rPr>
        <w:t>with—</w:t>
      </w:r>
    </w:p>
    <w:p>
      <w:pPr>
        <w:pStyle w:val="ListParagraph"/>
        <w:numPr>
          <w:ilvl w:val="2"/>
          <w:numId w:val="31"/>
        </w:numPr>
        <w:tabs>
          <w:tab w:pos="589" w:val="left" w:leader="none"/>
        </w:tabs>
        <w:spacing w:line="240" w:lineRule="auto" w:before="40" w:after="0"/>
        <w:ind w:left="589" w:right="0" w:hanging="281"/>
        <w:jc w:val="left"/>
        <w:rPr>
          <w:rFonts w:ascii="Arial MT"/>
          <w:sz w:val="24"/>
        </w:rPr>
      </w:pPr>
      <w:r>
        <w:rPr>
          <w:rFonts w:ascii="Arial MT"/>
          <w:sz w:val="24"/>
        </w:rPr>
        <w:t>section</w:t>
      </w:r>
      <w:r>
        <w:rPr>
          <w:rFonts w:ascii="Arial MT"/>
          <w:spacing w:val="-9"/>
          <w:sz w:val="24"/>
        </w:rPr>
        <w:t> </w:t>
      </w:r>
      <w:r>
        <w:rPr>
          <w:rFonts w:ascii="Arial MT"/>
          <w:sz w:val="24"/>
        </w:rPr>
        <w:t>184</w:t>
      </w:r>
      <w:r>
        <w:rPr>
          <w:rFonts w:ascii="Arial MT"/>
          <w:spacing w:val="-4"/>
          <w:sz w:val="24"/>
        </w:rPr>
        <w:t> </w:t>
      </w:r>
      <w:r>
        <w:rPr>
          <w:rFonts w:ascii="Arial MT"/>
          <w:sz w:val="24"/>
        </w:rPr>
        <w:t>(notice</w:t>
      </w:r>
      <w:r>
        <w:rPr>
          <w:rFonts w:ascii="Arial MT"/>
          <w:spacing w:val="-7"/>
          <w:sz w:val="24"/>
        </w:rPr>
        <w:t> </w:t>
      </w:r>
      <w:r>
        <w:rPr>
          <w:rFonts w:ascii="Arial MT"/>
          <w:sz w:val="24"/>
        </w:rPr>
        <w:t>in</w:t>
      </w:r>
      <w:r>
        <w:rPr>
          <w:rFonts w:ascii="Arial MT"/>
          <w:spacing w:val="-4"/>
          <w:sz w:val="24"/>
        </w:rPr>
        <w:t> </w:t>
      </w:r>
      <w:r>
        <w:rPr>
          <w:rFonts w:ascii="Arial MT"/>
          <w:sz w:val="24"/>
        </w:rPr>
        <w:t>writing),</w:t>
      </w:r>
      <w:r>
        <w:rPr>
          <w:rFonts w:ascii="Arial MT"/>
          <w:spacing w:val="-8"/>
          <w:sz w:val="24"/>
        </w:rPr>
        <w:t> </w:t>
      </w:r>
      <w:r>
        <w:rPr>
          <w:rFonts w:ascii="Arial MT"/>
          <w:spacing w:val="-5"/>
          <w:sz w:val="24"/>
        </w:rPr>
        <w:t>or</w:t>
      </w:r>
    </w:p>
    <w:p>
      <w:pPr>
        <w:pStyle w:val="ListParagraph"/>
        <w:numPr>
          <w:ilvl w:val="2"/>
          <w:numId w:val="31"/>
        </w:numPr>
        <w:tabs>
          <w:tab w:pos="640" w:val="left" w:leader="none"/>
        </w:tabs>
        <w:spacing w:line="240" w:lineRule="auto" w:before="46" w:after="0"/>
        <w:ind w:left="640" w:right="0" w:hanging="332"/>
        <w:jc w:val="left"/>
        <w:rPr>
          <w:rFonts w:ascii="Arial MT"/>
          <w:sz w:val="24"/>
        </w:rPr>
      </w:pPr>
      <w:r>
        <w:rPr>
          <w:rFonts w:ascii="Arial MT"/>
          <w:sz w:val="24"/>
        </w:rPr>
        <w:t>section</w:t>
      </w:r>
      <w:r>
        <w:rPr>
          <w:rFonts w:ascii="Arial MT"/>
          <w:spacing w:val="-12"/>
          <w:sz w:val="24"/>
        </w:rPr>
        <w:t> </w:t>
      </w:r>
      <w:r>
        <w:rPr>
          <w:rFonts w:ascii="Arial MT"/>
          <w:sz w:val="24"/>
        </w:rPr>
        <w:t>185</w:t>
      </w:r>
      <w:r>
        <w:rPr>
          <w:rFonts w:ascii="Arial MT"/>
          <w:spacing w:val="-8"/>
          <w:sz w:val="24"/>
        </w:rPr>
        <w:t> </w:t>
      </w:r>
      <w:r>
        <w:rPr>
          <w:rFonts w:ascii="Arial MT"/>
          <w:sz w:val="24"/>
        </w:rPr>
        <w:t>(general</w:t>
      </w:r>
      <w:r>
        <w:rPr>
          <w:rFonts w:ascii="Arial MT"/>
          <w:spacing w:val="-4"/>
          <w:sz w:val="24"/>
        </w:rPr>
        <w:t> </w:t>
      </w:r>
      <w:r>
        <w:rPr>
          <w:rFonts w:ascii="Arial MT"/>
          <w:spacing w:val="-2"/>
          <w:sz w:val="24"/>
        </w:rPr>
        <w:t>notice).</w:t>
      </w:r>
    </w:p>
    <w:p>
      <w:pPr>
        <w:pStyle w:val="ListParagraph"/>
        <w:numPr>
          <w:ilvl w:val="0"/>
          <w:numId w:val="31"/>
        </w:numPr>
        <w:tabs>
          <w:tab w:pos="669" w:val="left" w:leader="none"/>
        </w:tabs>
        <w:spacing w:line="276" w:lineRule="auto" w:before="41" w:after="0"/>
        <w:ind w:left="308" w:right="905" w:firstLine="0"/>
        <w:jc w:val="left"/>
        <w:rPr>
          <w:rFonts w:ascii="Arial MT"/>
          <w:sz w:val="24"/>
        </w:rPr>
      </w:pPr>
      <w:r>
        <w:rPr>
          <w:rFonts w:ascii="Arial MT"/>
          <w:sz w:val="24"/>
        </w:rPr>
        <w:t>If</w:t>
      </w:r>
      <w:r>
        <w:rPr>
          <w:rFonts w:ascii="Arial MT"/>
          <w:spacing w:val="-8"/>
          <w:sz w:val="24"/>
        </w:rPr>
        <w:t> </w:t>
      </w:r>
      <w:r>
        <w:rPr>
          <w:rFonts w:ascii="Arial MT"/>
          <w:sz w:val="24"/>
        </w:rPr>
        <w:t>a</w:t>
      </w:r>
      <w:r>
        <w:rPr>
          <w:rFonts w:ascii="Arial MT"/>
          <w:spacing w:val="-4"/>
          <w:sz w:val="24"/>
        </w:rPr>
        <w:t> </w:t>
      </w:r>
      <w:r>
        <w:rPr>
          <w:rFonts w:ascii="Arial MT"/>
          <w:sz w:val="24"/>
        </w:rPr>
        <w:t>declaration</w:t>
      </w:r>
      <w:r>
        <w:rPr>
          <w:rFonts w:ascii="Arial MT"/>
          <w:spacing w:val="-4"/>
          <w:sz w:val="24"/>
        </w:rPr>
        <w:t> </w:t>
      </w:r>
      <w:r>
        <w:rPr>
          <w:rFonts w:ascii="Arial MT"/>
          <w:sz w:val="24"/>
        </w:rPr>
        <w:t>of</w:t>
      </w:r>
      <w:r>
        <w:rPr>
          <w:rFonts w:ascii="Arial MT"/>
          <w:spacing w:val="-8"/>
          <w:sz w:val="24"/>
        </w:rPr>
        <w:t> </w:t>
      </w:r>
      <w:r>
        <w:rPr>
          <w:rFonts w:ascii="Arial MT"/>
          <w:sz w:val="24"/>
        </w:rPr>
        <w:t>interest</w:t>
      </w:r>
      <w:r>
        <w:rPr>
          <w:rFonts w:ascii="Arial MT"/>
          <w:spacing w:val="-4"/>
          <w:sz w:val="24"/>
        </w:rPr>
        <w:t> </w:t>
      </w:r>
      <w:r>
        <w:rPr>
          <w:rFonts w:ascii="Arial MT"/>
          <w:sz w:val="24"/>
        </w:rPr>
        <w:t>under</w:t>
      </w:r>
      <w:r>
        <w:rPr>
          <w:rFonts w:ascii="Arial MT"/>
          <w:spacing w:val="-3"/>
          <w:sz w:val="24"/>
        </w:rPr>
        <w:t> </w:t>
      </w:r>
      <w:r>
        <w:rPr>
          <w:rFonts w:ascii="Arial MT"/>
          <w:sz w:val="24"/>
        </w:rPr>
        <w:t>this</w:t>
      </w:r>
      <w:r>
        <w:rPr>
          <w:rFonts w:ascii="Arial MT"/>
          <w:spacing w:val="-4"/>
          <w:sz w:val="24"/>
        </w:rPr>
        <w:t> </w:t>
      </w:r>
      <w:r>
        <w:rPr>
          <w:rFonts w:ascii="Arial MT"/>
          <w:sz w:val="24"/>
        </w:rPr>
        <w:t>section</w:t>
      </w:r>
      <w:r>
        <w:rPr>
          <w:rFonts w:ascii="Arial MT"/>
          <w:spacing w:val="-4"/>
          <w:sz w:val="24"/>
        </w:rPr>
        <w:t> </w:t>
      </w:r>
      <w:r>
        <w:rPr>
          <w:rFonts w:ascii="Arial MT"/>
          <w:sz w:val="24"/>
        </w:rPr>
        <w:t>proves</w:t>
      </w:r>
      <w:r>
        <w:rPr>
          <w:rFonts w:ascii="Arial MT"/>
          <w:spacing w:val="-4"/>
          <w:sz w:val="24"/>
        </w:rPr>
        <w:t> </w:t>
      </w:r>
      <w:r>
        <w:rPr>
          <w:rFonts w:ascii="Arial MT"/>
          <w:sz w:val="24"/>
        </w:rPr>
        <w:t>to</w:t>
      </w:r>
      <w:r>
        <w:rPr>
          <w:rFonts w:ascii="Arial MT"/>
          <w:spacing w:val="-4"/>
          <w:sz w:val="24"/>
        </w:rPr>
        <w:t> </w:t>
      </w:r>
      <w:r>
        <w:rPr>
          <w:rFonts w:ascii="Arial MT"/>
          <w:sz w:val="24"/>
        </w:rPr>
        <w:t>be,</w:t>
      </w:r>
      <w:r>
        <w:rPr>
          <w:rFonts w:ascii="Arial MT"/>
          <w:spacing w:val="-8"/>
          <w:sz w:val="24"/>
        </w:rPr>
        <w:t> </w:t>
      </w:r>
      <w:r>
        <w:rPr>
          <w:rFonts w:ascii="Arial MT"/>
          <w:sz w:val="24"/>
        </w:rPr>
        <w:t>or</w:t>
      </w:r>
      <w:r>
        <w:rPr>
          <w:rFonts w:ascii="Arial MT"/>
          <w:spacing w:val="-3"/>
          <w:sz w:val="24"/>
        </w:rPr>
        <w:t> </w:t>
      </w:r>
      <w:r>
        <w:rPr>
          <w:rFonts w:ascii="Arial MT"/>
          <w:sz w:val="24"/>
        </w:rPr>
        <w:t>becomes, inaccurate or incomplete, a further declaration must be made.</w:t>
      </w:r>
    </w:p>
    <w:p>
      <w:pPr>
        <w:pStyle w:val="ListParagraph"/>
        <w:numPr>
          <w:ilvl w:val="0"/>
          <w:numId w:val="31"/>
        </w:numPr>
        <w:tabs>
          <w:tab w:pos="669" w:val="left" w:leader="none"/>
        </w:tabs>
        <w:spacing w:line="276" w:lineRule="auto" w:before="0" w:after="0"/>
        <w:ind w:left="308" w:right="420" w:firstLine="0"/>
        <w:jc w:val="left"/>
        <w:rPr>
          <w:rFonts w:ascii="Arial MT"/>
          <w:sz w:val="24"/>
        </w:rPr>
      </w:pPr>
      <w:r>
        <w:rPr>
          <w:rFonts w:ascii="Arial MT"/>
          <w:sz w:val="24"/>
        </w:rPr>
        <w:t>Any</w:t>
      </w:r>
      <w:r>
        <w:rPr>
          <w:rFonts w:ascii="Arial MT"/>
          <w:spacing w:val="-3"/>
          <w:sz w:val="24"/>
        </w:rPr>
        <w:t> </w:t>
      </w:r>
      <w:r>
        <w:rPr>
          <w:rFonts w:ascii="Arial MT"/>
          <w:sz w:val="24"/>
        </w:rPr>
        <w:t>declaration</w:t>
      </w:r>
      <w:r>
        <w:rPr>
          <w:rFonts w:ascii="Arial MT"/>
          <w:spacing w:val="-7"/>
          <w:sz w:val="24"/>
        </w:rPr>
        <w:t> </w:t>
      </w:r>
      <w:r>
        <w:rPr>
          <w:rFonts w:ascii="Arial MT"/>
          <w:sz w:val="24"/>
        </w:rPr>
        <w:t>required</w:t>
      </w:r>
      <w:r>
        <w:rPr>
          <w:rFonts w:ascii="Arial MT"/>
          <w:spacing w:val="-3"/>
          <w:sz w:val="24"/>
        </w:rPr>
        <w:t> </w:t>
      </w:r>
      <w:r>
        <w:rPr>
          <w:rFonts w:ascii="Arial MT"/>
          <w:sz w:val="24"/>
        </w:rPr>
        <w:t>by</w:t>
      </w:r>
      <w:r>
        <w:rPr>
          <w:rFonts w:ascii="Arial MT"/>
          <w:spacing w:val="-8"/>
          <w:sz w:val="24"/>
        </w:rPr>
        <w:t> </w:t>
      </w:r>
      <w:r>
        <w:rPr>
          <w:rFonts w:ascii="Arial MT"/>
          <w:sz w:val="24"/>
        </w:rPr>
        <w:t>this</w:t>
      </w:r>
      <w:r>
        <w:rPr>
          <w:rFonts w:ascii="Arial MT"/>
          <w:spacing w:val="-3"/>
          <w:sz w:val="24"/>
        </w:rPr>
        <w:t> </w:t>
      </w:r>
      <w:r>
        <w:rPr>
          <w:rFonts w:ascii="Arial MT"/>
          <w:sz w:val="24"/>
        </w:rPr>
        <w:t>section</w:t>
      </w:r>
      <w:r>
        <w:rPr>
          <w:rFonts w:ascii="Arial MT"/>
          <w:spacing w:val="-7"/>
          <w:sz w:val="24"/>
        </w:rPr>
        <w:t> </w:t>
      </w:r>
      <w:r>
        <w:rPr>
          <w:rFonts w:ascii="Arial MT"/>
          <w:sz w:val="24"/>
        </w:rPr>
        <w:t>must</w:t>
      </w:r>
      <w:r>
        <w:rPr>
          <w:rFonts w:ascii="Arial MT"/>
          <w:spacing w:val="-3"/>
          <w:sz w:val="24"/>
        </w:rPr>
        <w:t> </w:t>
      </w:r>
      <w:r>
        <w:rPr>
          <w:rFonts w:ascii="Arial MT"/>
          <w:sz w:val="24"/>
        </w:rPr>
        <w:t>be</w:t>
      </w:r>
      <w:r>
        <w:rPr>
          <w:rFonts w:ascii="Arial MT"/>
          <w:spacing w:val="-3"/>
          <w:sz w:val="24"/>
        </w:rPr>
        <w:t> </w:t>
      </w:r>
      <w:r>
        <w:rPr>
          <w:rFonts w:ascii="Arial MT"/>
          <w:sz w:val="24"/>
        </w:rPr>
        <w:t>made</w:t>
      </w:r>
      <w:r>
        <w:rPr>
          <w:rFonts w:ascii="Arial MT"/>
          <w:spacing w:val="-3"/>
          <w:sz w:val="24"/>
        </w:rPr>
        <w:t> </w:t>
      </w:r>
      <w:r>
        <w:rPr>
          <w:rFonts w:ascii="Arial MT"/>
          <w:sz w:val="24"/>
        </w:rPr>
        <w:t>before</w:t>
      </w:r>
      <w:r>
        <w:rPr>
          <w:rFonts w:ascii="Arial MT"/>
          <w:spacing w:val="-3"/>
          <w:sz w:val="24"/>
        </w:rPr>
        <w:t> </w:t>
      </w:r>
      <w:r>
        <w:rPr>
          <w:rFonts w:ascii="Arial MT"/>
          <w:sz w:val="24"/>
        </w:rPr>
        <w:t>the</w:t>
      </w:r>
      <w:r>
        <w:rPr>
          <w:rFonts w:ascii="Arial MT"/>
          <w:spacing w:val="-3"/>
          <w:sz w:val="24"/>
        </w:rPr>
        <w:t> </w:t>
      </w:r>
      <w:r>
        <w:rPr>
          <w:rFonts w:ascii="Arial MT"/>
          <w:sz w:val="24"/>
        </w:rPr>
        <w:t>company enters into the transaction or arrangement.</w:t>
      </w:r>
    </w:p>
    <w:p>
      <w:pPr>
        <w:spacing w:after="0" w:line="276" w:lineRule="auto"/>
        <w:jc w:val="left"/>
        <w:rPr>
          <w:rFonts w:ascii="Arial MT"/>
          <w:sz w:val="24"/>
        </w:rPr>
        <w:sectPr>
          <w:pgSz w:w="11910" w:h="16840"/>
          <w:pgMar w:header="0" w:footer="998" w:top="1320" w:bottom="1180" w:left="1680" w:right="1180"/>
        </w:sectPr>
      </w:pPr>
    </w:p>
    <w:p>
      <w:pPr>
        <w:pStyle w:val="ListParagraph"/>
        <w:numPr>
          <w:ilvl w:val="0"/>
          <w:numId w:val="31"/>
        </w:numPr>
        <w:tabs>
          <w:tab w:pos="669" w:val="left" w:leader="none"/>
        </w:tabs>
        <w:spacing w:line="276" w:lineRule="auto" w:before="69" w:after="0"/>
        <w:ind w:left="308" w:right="469" w:firstLine="0"/>
        <w:jc w:val="left"/>
        <w:rPr>
          <w:rFonts w:ascii="Arial MT"/>
          <w:sz w:val="24"/>
        </w:rPr>
      </w:pPr>
      <w:r>
        <w:rPr>
          <w:rFonts w:ascii="Arial MT"/>
          <w:sz w:val="24"/>
        </w:rPr>
        <w:t>This section does not require a declaration of an interest of which the director is not aware or where the director is not aware of the transaction or arrangement</w:t>
      </w:r>
      <w:r>
        <w:rPr>
          <w:rFonts w:ascii="Arial MT"/>
          <w:spacing w:val="-3"/>
          <w:sz w:val="24"/>
        </w:rPr>
        <w:t> </w:t>
      </w:r>
      <w:r>
        <w:rPr>
          <w:rFonts w:ascii="Arial MT"/>
          <w:sz w:val="24"/>
        </w:rPr>
        <w:t>in</w:t>
      </w:r>
      <w:r>
        <w:rPr>
          <w:rFonts w:ascii="Arial MT"/>
          <w:spacing w:val="-3"/>
          <w:sz w:val="24"/>
        </w:rPr>
        <w:t> </w:t>
      </w:r>
      <w:r>
        <w:rPr>
          <w:rFonts w:ascii="Arial MT"/>
          <w:sz w:val="24"/>
        </w:rPr>
        <w:t>question.</w:t>
      </w:r>
      <w:r>
        <w:rPr>
          <w:rFonts w:ascii="Arial MT"/>
          <w:spacing w:val="-7"/>
          <w:sz w:val="24"/>
        </w:rPr>
        <w:t> </w:t>
      </w:r>
      <w:r>
        <w:rPr>
          <w:rFonts w:ascii="Arial MT"/>
          <w:sz w:val="24"/>
        </w:rPr>
        <w:t>For</w:t>
      </w:r>
      <w:r>
        <w:rPr>
          <w:rFonts w:ascii="Arial MT"/>
          <w:spacing w:val="-2"/>
          <w:sz w:val="24"/>
        </w:rPr>
        <w:t> </w:t>
      </w:r>
      <w:r>
        <w:rPr>
          <w:rFonts w:ascii="Arial MT"/>
          <w:sz w:val="24"/>
        </w:rPr>
        <w:t>this</w:t>
      </w:r>
      <w:r>
        <w:rPr>
          <w:rFonts w:ascii="Arial MT"/>
          <w:spacing w:val="-8"/>
          <w:sz w:val="24"/>
        </w:rPr>
        <w:t> </w:t>
      </w:r>
      <w:r>
        <w:rPr>
          <w:rFonts w:ascii="Arial MT"/>
          <w:sz w:val="24"/>
        </w:rPr>
        <w:t>purpose</w:t>
      </w:r>
      <w:r>
        <w:rPr>
          <w:rFonts w:ascii="Arial MT"/>
          <w:spacing w:val="-3"/>
          <w:sz w:val="24"/>
        </w:rPr>
        <w:t> </w:t>
      </w:r>
      <w:r>
        <w:rPr>
          <w:rFonts w:ascii="Arial MT"/>
          <w:sz w:val="24"/>
        </w:rPr>
        <w:t>a</w:t>
      </w:r>
      <w:r>
        <w:rPr>
          <w:rFonts w:ascii="Arial MT"/>
          <w:spacing w:val="-2"/>
          <w:sz w:val="24"/>
        </w:rPr>
        <w:t> </w:t>
      </w:r>
      <w:r>
        <w:rPr>
          <w:rFonts w:ascii="Arial MT"/>
          <w:sz w:val="24"/>
        </w:rPr>
        <w:t>director</w:t>
      </w:r>
      <w:r>
        <w:rPr>
          <w:rFonts w:ascii="Arial MT"/>
          <w:spacing w:val="-6"/>
          <w:sz w:val="24"/>
        </w:rPr>
        <w:t> </w:t>
      </w:r>
      <w:r>
        <w:rPr>
          <w:rFonts w:ascii="Arial MT"/>
          <w:sz w:val="24"/>
        </w:rPr>
        <w:t>is</w:t>
      </w:r>
      <w:r>
        <w:rPr>
          <w:rFonts w:ascii="Arial MT"/>
          <w:spacing w:val="-3"/>
          <w:sz w:val="24"/>
        </w:rPr>
        <w:t> </w:t>
      </w:r>
      <w:r>
        <w:rPr>
          <w:rFonts w:ascii="Arial MT"/>
          <w:sz w:val="24"/>
        </w:rPr>
        <w:t>treated</w:t>
      </w:r>
      <w:r>
        <w:rPr>
          <w:rFonts w:ascii="Arial MT"/>
          <w:spacing w:val="-3"/>
          <w:sz w:val="24"/>
        </w:rPr>
        <w:t> </w:t>
      </w:r>
      <w:r>
        <w:rPr>
          <w:rFonts w:ascii="Arial MT"/>
          <w:sz w:val="24"/>
        </w:rPr>
        <w:t>as</w:t>
      </w:r>
      <w:r>
        <w:rPr>
          <w:rFonts w:ascii="Arial MT"/>
          <w:spacing w:val="-3"/>
          <w:sz w:val="24"/>
        </w:rPr>
        <w:t> </w:t>
      </w:r>
      <w:r>
        <w:rPr>
          <w:rFonts w:ascii="Arial MT"/>
          <w:sz w:val="24"/>
        </w:rPr>
        <w:t>being</w:t>
      </w:r>
      <w:r>
        <w:rPr>
          <w:rFonts w:ascii="Arial MT"/>
          <w:spacing w:val="-2"/>
          <w:sz w:val="24"/>
        </w:rPr>
        <w:t> </w:t>
      </w:r>
      <w:r>
        <w:rPr>
          <w:rFonts w:ascii="Arial MT"/>
          <w:sz w:val="24"/>
        </w:rPr>
        <w:t>aware of matters of which he ought reasonably to be aware.</w:t>
      </w:r>
    </w:p>
    <w:p>
      <w:pPr>
        <w:pStyle w:val="ListParagraph"/>
        <w:numPr>
          <w:ilvl w:val="0"/>
          <w:numId w:val="31"/>
        </w:numPr>
        <w:tabs>
          <w:tab w:pos="669" w:val="left" w:leader="none"/>
        </w:tabs>
        <w:spacing w:line="274" w:lineRule="exact" w:before="0" w:after="0"/>
        <w:ind w:left="669" w:right="0" w:hanging="361"/>
        <w:jc w:val="left"/>
        <w:rPr>
          <w:rFonts w:ascii="Arial MT" w:hAnsi="Arial MT"/>
          <w:sz w:val="24"/>
        </w:rPr>
      </w:pPr>
      <w:r>
        <w:rPr>
          <w:rFonts w:ascii="Arial MT" w:hAnsi="Arial MT"/>
          <w:sz w:val="24"/>
        </w:rPr>
        <w:t>A</w:t>
      </w:r>
      <w:r>
        <w:rPr>
          <w:rFonts w:ascii="Arial MT" w:hAnsi="Arial MT"/>
          <w:spacing w:val="-10"/>
          <w:sz w:val="24"/>
        </w:rPr>
        <w:t> </w:t>
      </w:r>
      <w:r>
        <w:rPr>
          <w:rFonts w:ascii="Arial MT" w:hAnsi="Arial MT"/>
          <w:sz w:val="24"/>
        </w:rPr>
        <w:t>director</w:t>
      </w:r>
      <w:r>
        <w:rPr>
          <w:rFonts w:ascii="Arial MT" w:hAnsi="Arial MT"/>
          <w:spacing w:val="-7"/>
          <w:sz w:val="24"/>
        </w:rPr>
        <w:t> </w:t>
      </w:r>
      <w:r>
        <w:rPr>
          <w:rFonts w:ascii="Arial MT" w:hAnsi="Arial MT"/>
          <w:sz w:val="24"/>
        </w:rPr>
        <w:t>need</w:t>
      </w:r>
      <w:r>
        <w:rPr>
          <w:rFonts w:ascii="Arial MT" w:hAnsi="Arial MT"/>
          <w:spacing w:val="-8"/>
          <w:sz w:val="24"/>
        </w:rPr>
        <w:t> </w:t>
      </w:r>
      <w:r>
        <w:rPr>
          <w:rFonts w:ascii="Arial MT" w:hAnsi="Arial MT"/>
          <w:sz w:val="24"/>
        </w:rPr>
        <w:t>not</w:t>
      </w:r>
      <w:r>
        <w:rPr>
          <w:rFonts w:ascii="Arial MT" w:hAnsi="Arial MT"/>
          <w:spacing w:val="-8"/>
          <w:sz w:val="24"/>
        </w:rPr>
        <w:t> </w:t>
      </w:r>
      <w:r>
        <w:rPr>
          <w:rFonts w:ascii="Arial MT" w:hAnsi="Arial MT"/>
          <w:sz w:val="24"/>
        </w:rPr>
        <w:t>declare</w:t>
      </w:r>
      <w:r>
        <w:rPr>
          <w:rFonts w:ascii="Arial MT" w:hAnsi="Arial MT"/>
          <w:spacing w:val="-8"/>
          <w:sz w:val="24"/>
        </w:rPr>
        <w:t> </w:t>
      </w:r>
      <w:r>
        <w:rPr>
          <w:rFonts w:ascii="Arial MT" w:hAnsi="Arial MT"/>
          <w:sz w:val="24"/>
        </w:rPr>
        <w:t>an</w:t>
      </w:r>
      <w:r>
        <w:rPr>
          <w:rFonts w:ascii="Arial MT" w:hAnsi="Arial MT"/>
          <w:spacing w:val="-11"/>
          <w:sz w:val="24"/>
        </w:rPr>
        <w:t> </w:t>
      </w:r>
      <w:r>
        <w:rPr>
          <w:rFonts w:ascii="Arial MT" w:hAnsi="Arial MT"/>
          <w:spacing w:val="-2"/>
          <w:sz w:val="24"/>
        </w:rPr>
        <w:t>interest—</w:t>
      </w:r>
    </w:p>
    <w:p>
      <w:pPr>
        <w:pStyle w:val="ListParagraph"/>
        <w:numPr>
          <w:ilvl w:val="1"/>
          <w:numId w:val="31"/>
        </w:numPr>
        <w:tabs>
          <w:tab w:pos="666" w:val="left" w:leader="none"/>
        </w:tabs>
        <w:spacing w:line="276" w:lineRule="auto" w:before="45" w:after="0"/>
        <w:ind w:left="308" w:right="982" w:firstLine="0"/>
        <w:jc w:val="left"/>
        <w:rPr>
          <w:rFonts w:ascii="Arial MT"/>
          <w:sz w:val="24"/>
        </w:rPr>
      </w:pPr>
      <w:r>
        <w:rPr>
          <w:rFonts w:ascii="Arial MT"/>
          <w:sz w:val="24"/>
        </w:rPr>
        <w:t>if</w:t>
      </w:r>
      <w:r>
        <w:rPr>
          <w:rFonts w:ascii="Arial MT"/>
          <w:spacing w:val="-5"/>
          <w:sz w:val="24"/>
        </w:rPr>
        <w:t> </w:t>
      </w:r>
      <w:r>
        <w:rPr>
          <w:rFonts w:ascii="Arial MT"/>
          <w:sz w:val="24"/>
        </w:rPr>
        <w:t>it</w:t>
      </w:r>
      <w:r>
        <w:rPr>
          <w:rFonts w:ascii="Arial MT"/>
          <w:spacing w:val="-1"/>
          <w:sz w:val="24"/>
        </w:rPr>
        <w:t> </w:t>
      </w:r>
      <w:r>
        <w:rPr>
          <w:rFonts w:ascii="Arial MT"/>
          <w:sz w:val="24"/>
        </w:rPr>
        <w:t>cannot</w:t>
      </w:r>
      <w:r>
        <w:rPr>
          <w:rFonts w:ascii="Arial MT"/>
          <w:spacing w:val="-5"/>
          <w:sz w:val="24"/>
        </w:rPr>
        <w:t> </w:t>
      </w:r>
      <w:r>
        <w:rPr>
          <w:rFonts w:ascii="Arial MT"/>
          <w:sz w:val="24"/>
        </w:rPr>
        <w:t>reasonably</w:t>
      </w:r>
      <w:r>
        <w:rPr>
          <w:rFonts w:ascii="Arial MT"/>
          <w:spacing w:val="-1"/>
          <w:sz w:val="24"/>
        </w:rPr>
        <w:t> </w:t>
      </w:r>
      <w:r>
        <w:rPr>
          <w:rFonts w:ascii="Arial MT"/>
          <w:sz w:val="24"/>
        </w:rPr>
        <w:t>be</w:t>
      </w:r>
      <w:r>
        <w:rPr>
          <w:rFonts w:ascii="Arial MT"/>
          <w:spacing w:val="-5"/>
          <w:sz w:val="24"/>
        </w:rPr>
        <w:t> </w:t>
      </w:r>
      <w:r>
        <w:rPr>
          <w:rFonts w:ascii="Arial MT"/>
          <w:sz w:val="24"/>
        </w:rPr>
        <w:t>regarded</w:t>
      </w:r>
      <w:r>
        <w:rPr>
          <w:rFonts w:ascii="Arial MT"/>
          <w:spacing w:val="-1"/>
          <w:sz w:val="24"/>
        </w:rPr>
        <w:t> </w:t>
      </w:r>
      <w:r>
        <w:rPr>
          <w:rFonts w:ascii="Arial MT"/>
          <w:sz w:val="24"/>
        </w:rPr>
        <w:t>as</w:t>
      </w:r>
      <w:r>
        <w:rPr>
          <w:rFonts w:ascii="Arial MT"/>
          <w:spacing w:val="-11"/>
          <w:sz w:val="24"/>
        </w:rPr>
        <w:t> </w:t>
      </w:r>
      <w:r>
        <w:rPr>
          <w:rFonts w:ascii="Arial MT"/>
          <w:sz w:val="24"/>
        </w:rPr>
        <w:t>likely</w:t>
      </w:r>
      <w:r>
        <w:rPr>
          <w:rFonts w:ascii="Arial MT"/>
          <w:spacing w:val="-1"/>
          <w:sz w:val="24"/>
        </w:rPr>
        <w:t> </w:t>
      </w:r>
      <w:r>
        <w:rPr>
          <w:rFonts w:ascii="Arial MT"/>
          <w:sz w:val="24"/>
        </w:rPr>
        <w:t>to give</w:t>
      </w:r>
      <w:r>
        <w:rPr>
          <w:rFonts w:ascii="Arial MT"/>
          <w:spacing w:val="-1"/>
          <w:sz w:val="24"/>
        </w:rPr>
        <w:t> </w:t>
      </w:r>
      <w:r>
        <w:rPr>
          <w:rFonts w:ascii="Arial MT"/>
          <w:sz w:val="24"/>
        </w:rPr>
        <w:t>rise</w:t>
      </w:r>
      <w:r>
        <w:rPr>
          <w:rFonts w:ascii="Arial MT"/>
          <w:spacing w:val="-5"/>
          <w:sz w:val="24"/>
        </w:rPr>
        <w:t> </w:t>
      </w:r>
      <w:r>
        <w:rPr>
          <w:rFonts w:ascii="Arial MT"/>
          <w:sz w:val="24"/>
        </w:rPr>
        <w:t>to a conflict</w:t>
      </w:r>
      <w:r>
        <w:rPr>
          <w:rFonts w:ascii="Arial MT"/>
          <w:spacing w:val="-1"/>
          <w:sz w:val="24"/>
        </w:rPr>
        <w:t> </w:t>
      </w:r>
      <w:r>
        <w:rPr>
          <w:rFonts w:ascii="Arial MT"/>
          <w:sz w:val="24"/>
        </w:rPr>
        <w:t>of </w:t>
      </w:r>
      <w:r>
        <w:rPr>
          <w:rFonts w:ascii="Arial MT"/>
          <w:spacing w:val="-2"/>
          <w:sz w:val="24"/>
        </w:rPr>
        <w:t>interest;</w:t>
      </w:r>
    </w:p>
    <w:p>
      <w:pPr>
        <w:pStyle w:val="ListParagraph"/>
        <w:numPr>
          <w:ilvl w:val="1"/>
          <w:numId w:val="31"/>
        </w:numPr>
        <w:tabs>
          <w:tab w:pos="666" w:val="left" w:leader="none"/>
        </w:tabs>
        <w:spacing w:line="276" w:lineRule="auto" w:before="0" w:after="0"/>
        <w:ind w:left="308" w:right="455" w:firstLine="0"/>
        <w:jc w:val="left"/>
        <w:rPr>
          <w:rFonts w:ascii="Arial MT"/>
          <w:sz w:val="24"/>
        </w:rPr>
      </w:pPr>
      <w:r>
        <w:rPr>
          <w:rFonts w:ascii="Arial MT"/>
          <w:sz w:val="24"/>
        </w:rPr>
        <w:t>if, or to the extent that, the other directors are already aware of it (and for this</w:t>
      </w:r>
      <w:r>
        <w:rPr>
          <w:rFonts w:ascii="Arial MT"/>
          <w:spacing w:val="-7"/>
          <w:sz w:val="24"/>
        </w:rPr>
        <w:t> </w:t>
      </w:r>
      <w:r>
        <w:rPr>
          <w:rFonts w:ascii="Arial MT"/>
          <w:sz w:val="24"/>
        </w:rPr>
        <w:t>purpose</w:t>
      </w:r>
      <w:r>
        <w:rPr>
          <w:rFonts w:ascii="Arial MT"/>
          <w:spacing w:val="-2"/>
          <w:sz w:val="24"/>
        </w:rPr>
        <w:t> </w:t>
      </w:r>
      <w:r>
        <w:rPr>
          <w:rFonts w:ascii="Arial MT"/>
          <w:sz w:val="24"/>
        </w:rPr>
        <w:t>the</w:t>
      </w:r>
      <w:r>
        <w:rPr>
          <w:rFonts w:ascii="Arial MT"/>
          <w:spacing w:val="-6"/>
          <w:sz w:val="24"/>
        </w:rPr>
        <w:t> </w:t>
      </w:r>
      <w:r>
        <w:rPr>
          <w:rFonts w:ascii="Arial MT"/>
          <w:sz w:val="24"/>
        </w:rPr>
        <w:t>other</w:t>
      </w:r>
      <w:r>
        <w:rPr>
          <w:rFonts w:ascii="Arial MT"/>
          <w:spacing w:val="-6"/>
          <w:sz w:val="24"/>
        </w:rPr>
        <w:t> </w:t>
      </w:r>
      <w:r>
        <w:rPr>
          <w:rFonts w:ascii="Arial MT"/>
          <w:sz w:val="24"/>
        </w:rPr>
        <w:t>directors</w:t>
      </w:r>
      <w:r>
        <w:rPr>
          <w:rFonts w:ascii="Arial MT"/>
          <w:spacing w:val="-2"/>
          <w:sz w:val="24"/>
        </w:rPr>
        <w:t> </w:t>
      </w:r>
      <w:r>
        <w:rPr>
          <w:rFonts w:ascii="Arial MT"/>
          <w:sz w:val="24"/>
        </w:rPr>
        <w:t>are</w:t>
      </w:r>
      <w:r>
        <w:rPr>
          <w:rFonts w:ascii="Arial MT"/>
          <w:spacing w:val="-2"/>
          <w:sz w:val="24"/>
        </w:rPr>
        <w:t> </w:t>
      </w:r>
      <w:r>
        <w:rPr>
          <w:rFonts w:ascii="Arial MT"/>
          <w:sz w:val="24"/>
        </w:rPr>
        <w:t>treated</w:t>
      </w:r>
      <w:r>
        <w:rPr>
          <w:rFonts w:ascii="Arial MT"/>
          <w:spacing w:val="-2"/>
          <w:sz w:val="24"/>
        </w:rPr>
        <w:t> </w:t>
      </w:r>
      <w:r>
        <w:rPr>
          <w:rFonts w:ascii="Arial MT"/>
          <w:sz w:val="24"/>
        </w:rPr>
        <w:t>as</w:t>
      </w:r>
      <w:r>
        <w:rPr>
          <w:rFonts w:ascii="Arial MT"/>
          <w:spacing w:val="-7"/>
          <w:sz w:val="24"/>
        </w:rPr>
        <w:t> </w:t>
      </w:r>
      <w:r>
        <w:rPr>
          <w:rFonts w:ascii="Arial MT"/>
          <w:sz w:val="24"/>
        </w:rPr>
        <w:t>aware</w:t>
      </w:r>
      <w:r>
        <w:rPr>
          <w:rFonts w:ascii="Arial MT"/>
          <w:spacing w:val="-2"/>
          <w:sz w:val="24"/>
        </w:rPr>
        <w:t> </w:t>
      </w:r>
      <w:r>
        <w:rPr>
          <w:rFonts w:ascii="Arial MT"/>
          <w:sz w:val="24"/>
        </w:rPr>
        <w:t>of</w:t>
      </w:r>
      <w:r>
        <w:rPr>
          <w:rFonts w:ascii="Arial MT"/>
          <w:spacing w:val="-2"/>
          <w:sz w:val="24"/>
        </w:rPr>
        <w:t> </w:t>
      </w:r>
      <w:r>
        <w:rPr>
          <w:rFonts w:ascii="Arial MT"/>
          <w:sz w:val="24"/>
        </w:rPr>
        <w:t>anything</w:t>
      </w:r>
      <w:r>
        <w:rPr>
          <w:rFonts w:ascii="Arial MT"/>
          <w:spacing w:val="-6"/>
          <w:sz w:val="24"/>
        </w:rPr>
        <w:t> </w:t>
      </w:r>
      <w:r>
        <w:rPr>
          <w:rFonts w:ascii="Arial MT"/>
          <w:sz w:val="24"/>
        </w:rPr>
        <w:t>of</w:t>
      </w:r>
      <w:r>
        <w:rPr>
          <w:rFonts w:ascii="Arial MT"/>
          <w:spacing w:val="-2"/>
          <w:sz w:val="24"/>
        </w:rPr>
        <w:t> </w:t>
      </w:r>
      <w:r>
        <w:rPr>
          <w:rFonts w:ascii="Arial MT"/>
          <w:sz w:val="24"/>
        </w:rPr>
        <w:t>which</w:t>
      </w:r>
      <w:r>
        <w:rPr>
          <w:rFonts w:ascii="Arial MT"/>
          <w:spacing w:val="-2"/>
          <w:sz w:val="24"/>
        </w:rPr>
        <w:t> </w:t>
      </w:r>
      <w:r>
        <w:rPr>
          <w:rFonts w:ascii="Arial MT"/>
          <w:sz w:val="24"/>
        </w:rPr>
        <w:t>they ought reasonably to be aware); or</w:t>
      </w:r>
    </w:p>
    <w:p>
      <w:pPr>
        <w:pStyle w:val="ListParagraph"/>
        <w:numPr>
          <w:ilvl w:val="1"/>
          <w:numId w:val="31"/>
        </w:numPr>
        <w:tabs>
          <w:tab w:pos="652" w:val="left" w:leader="none"/>
        </w:tabs>
        <w:spacing w:line="276" w:lineRule="auto" w:before="0" w:after="0"/>
        <w:ind w:left="308" w:right="670" w:firstLine="0"/>
        <w:jc w:val="left"/>
        <w:rPr>
          <w:rFonts w:ascii="Arial MT" w:hAnsi="Arial MT"/>
          <w:sz w:val="24"/>
        </w:rPr>
      </w:pPr>
      <w:r>
        <w:rPr>
          <w:rFonts w:ascii="Arial MT" w:hAnsi="Arial MT"/>
          <w:sz w:val="24"/>
        </w:rPr>
        <w:t>if,</w:t>
      </w:r>
      <w:r>
        <w:rPr>
          <w:rFonts w:ascii="Arial MT" w:hAnsi="Arial MT"/>
          <w:spacing w:val="-3"/>
          <w:sz w:val="24"/>
        </w:rPr>
        <w:t> </w:t>
      </w:r>
      <w:r>
        <w:rPr>
          <w:rFonts w:ascii="Arial MT" w:hAnsi="Arial MT"/>
          <w:sz w:val="24"/>
        </w:rPr>
        <w:t>or</w:t>
      </w:r>
      <w:r>
        <w:rPr>
          <w:rFonts w:ascii="Arial MT" w:hAnsi="Arial MT"/>
          <w:spacing w:val="-2"/>
          <w:sz w:val="24"/>
        </w:rPr>
        <w:t> </w:t>
      </w:r>
      <w:r>
        <w:rPr>
          <w:rFonts w:ascii="Arial MT" w:hAnsi="Arial MT"/>
          <w:sz w:val="24"/>
        </w:rPr>
        <w:t>to</w:t>
      </w:r>
      <w:r>
        <w:rPr>
          <w:rFonts w:ascii="Arial MT" w:hAnsi="Arial MT"/>
          <w:spacing w:val="-3"/>
          <w:sz w:val="24"/>
        </w:rPr>
        <w:t> </w:t>
      </w:r>
      <w:r>
        <w:rPr>
          <w:rFonts w:ascii="Arial MT" w:hAnsi="Arial MT"/>
          <w:sz w:val="24"/>
        </w:rPr>
        <w:t>the</w:t>
      </w:r>
      <w:r>
        <w:rPr>
          <w:rFonts w:ascii="Arial MT" w:hAnsi="Arial MT"/>
          <w:spacing w:val="-3"/>
          <w:sz w:val="24"/>
        </w:rPr>
        <w:t> </w:t>
      </w:r>
      <w:r>
        <w:rPr>
          <w:rFonts w:ascii="Arial MT" w:hAnsi="Arial MT"/>
          <w:sz w:val="24"/>
        </w:rPr>
        <w:t>extent</w:t>
      </w:r>
      <w:r>
        <w:rPr>
          <w:rFonts w:ascii="Arial MT" w:hAnsi="Arial MT"/>
          <w:spacing w:val="-3"/>
          <w:sz w:val="24"/>
        </w:rPr>
        <w:t> </w:t>
      </w:r>
      <w:r>
        <w:rPr>
          <w:rFonts w:ascii="Arial MT" w:hAnsi="Arial MT"/>
          <w:sz w:val="24"/>
        </w:rPr>
        <w:t>that,</w:t>
      </w:r>
      <w:r>
        <w:rPr>
          <w:rFonts w:ascii="Arial MT" w:hAnsi="Arial MT"/>
          <w:spacing w:val="-7"/>
          <w:sz w:val="24"/>
        </w:rPr>
        <w:t> </w:t>
      </w:r>
      <w:r>
        <w:rPr>
          <w:rFonts w:ascii="Arial MT" w:hAnsi="Arial MT"/>
          <w:sz w:val="24"/>
        </w:rPr>
        <w:t>it</w:t>
      </w:r>
      <w:r>
        <w:rPr>
          <w:rFonts w:ascii="Arial MT" w:hAnsi="Arial MT"/>
          <w:spacing w:val="-3"/>
          <w:sz w:val="24"/>
        </w:rPr>
        <w:t> </w:t>
      </w:r>
      <w:r>
        <w:rPr>
          <w:rFonts w:ascii="Arial MT" w:hAnsi="Arial MT"/>
          <w:sz w:val="24"/>
        </w:rPr>
        <w:t>concerns</w:t>
      </w:r>
      <w:r>
        <w:rPr>
          <w:rFonts w:ascii="Arial MT" w:hAnsi="Arial MT"/>
          <w:spacing w:val="-3"/>
          <w:sz w:val="24"/>
        </w:rPr>
        <w:t> </w:t>
      </w:r>
      <w:r>
        <w:rPr>
          <w:rFonts w:ascii="Arial MT" w:hAnsi="Arial MT"/>
          <w:sz w:val="24"/>
        </w:rPr>
        <w:t>terms</w:t>
      </w:r>
      <w:r>
        <w:rPr>
          <w:rFonts w:ascii="Arial MT" w:hAnsi="Arial MT"/>
          <w:spacing w:val="-3"/>
          <w:sz w:val="24"/>
        </w:rPr>
        <w:t> </w:t>
      </w:r>
      <w:r>
        <w:rPr>
          <w:rFonts w:ascii="Arial MT" w:hAnsi="Arial MT"/>
          <w:sz w:val="24"/>
        </w:rPr>
        <w:t>of his</w:t>
      </w:r>
      <w:r>
        <w:rPr>
          <w:rFonts w:ascii="Arial MT" w:hAnsi="Arial MT"/>
          <w:spacing w:val="-3"/>
          <w:sz w:val="24"/>
        </w:rPr>
        <w:t> </w:t>
      </w:r>
      <w:r>
        <w:rPr>
          <w:rFonts w:ascii="Arial MT" w:hAnsi="Arial MT"/>
          <w:sz w:val="24"/>
        </w:rPr>
        <w:t>service</w:t>
      </w:r>
      <w:r>
        <w:rPr>
          <w:rFonts w:ascii="Arial MT" w:hAnsi="Arial MT"/>
          <w:spacing w:val="-3"/>
          <w:sz w:val="24"/>
        </w:rPr>
        <w:t> </w:t>
      </w:r>
      <w:r>
        <w:rPr>
          <w:rFonts w:ascii="Arial MT" w:hAnsi="Arial MT"/>
          <w:sz w:val="24"/>
        </w:rPr>
        <w:t>contract</w:t>
      </w:r>
      <w:r>
        <w:rPr>
          <w:rFonts w:ascii="Arial MT" w:hAnsi="Arial MT"/>
          <w:spacing w:val="-3"/>
          <w:sz w:val="24"/>
        </w:rPr>
        <w:t> </w:t>
      </w:r>
      <w:r>
        <w:rPr>
          <w:rFonts w:ascii="Arial MT" w:hAnsi="Arial MT"/>
          <w:sz w:val="24"/>
        </w:rPr>
        <w:t>that</w:t>
      </w:r>
      <w:r>
        <w:rPr>
          <w:rFonts w:ascii="Arial MT" w:hAnsi="Arial MT"/>
          <w:spacing w:val="-3"/>
          <w:sz w:val="24"/>
        </w:rPr>
        <w:t> </w:t>
      </w:r>
      <w:r>
        <w:rPr>
          <w:rFonts w:ascii="Arial MT" w:hAnsi="Arial MT"/>
          <w:sz w:val="24"/>
        </w:rPr>
        <w:t>have been or are to be considered—</w:t>
      </w:r>
    </w:p>
    <w:p>
      <w:pPr>
        <w:pStyle w:val="ListParagraph"/>
        <w:numPr>
          <w:ilvl w:val="2"/>
          <w:numId w:val="31"/>
        </w:numPr>
        <w:tabs>
          <w:tab w:pos="589" w:val="left" w:leader="none"/>
        </w:tabs>
        <w:spacing w:line="275" w:lineRule="exact" w:before="0" w:after="0"/>
        <w:ind w:left="589" w:right="0" w:hanging="281"/>
        <w:jc w:val="left"/>
        <w:rPr>
          <w:rFonts w:ascii="Arial MT"/>
          <w:sz w:val="24"/>
        </w:rPr>
      </w:pPr>
      <w:r>
        <w:rPr>
          <w:rFonts w:ascii="Arial MT"/>
          <w:sz w:val="24"/>
        </w:rPr>
        <w:t>by</w:t>
      </w:r>
      <w:r>
        <w:rPr>
          <w:rFonts w:ascii="Arial MT"/>
          <w:spacing w:val="-7"/>
          <w:sz w:val="24"/>
        </w:rPr>
        <w:t> </w:t>
      </w:r>
      <w:r>
        <w:rPr>
          <w:rFonts w:ascii="Arial MT"/>
          <w:sz w:val="24"/>
        </w:rPr>
        <w:t>a</w:t>
      </w:r>
      <w:r>
        <w:rPr>
          <w:rFonts w:ascii="Arial MT"/>
          <w:spacing w:val="-6"/>
          <w:sz w:val="24"/>
        </w:rPr>
        <w:t> </w:t>
      </w:r>
      <w:r>
        <w:rPr>
          <w:rFonts w:ascii="Arial MT"/>
          <w:sz w:val="24"/>
        </w:rPr>
        <w:t>meeting</w:t>
      </w:r>
      <w:r>
        <w:rPr>
          <w:rFonts w:ascii="Arial MT"/>
          <w:spacing w:val="-11"/>
          <w:sz w:val="24"/>
        </w:rPr>
        <w:t> </w:t>
      </w:r>
      <w:r>
        <w:rPr>
          <w:rFonts w:ascii="Arial MT"/>
          <w:sz w:val="24"/>
        </w:rPr>
        <w:t>of</w:t>
      </w:r>
      <w:r>
        <w:rPr>
          <w:rFonts w:ascii="Arial MT"/>
          <w:spacing w:val="-7"/>
          <w:sz w:val="24"/>
        </w:rPr>
        <w:t> </w:t>
      </w:r>
      <w:r>
        <w:rPr>
          <w:rFonts w:ascii="Arial MT"/>
          <w:sz w:val="24"/>
        </w:rPr>
        <w:t>the</w:t>
      </w:r>
      <w:r>
        <w:rPr>
          <w:rFonts w:ascii="Arial MT"/>
          <w:spacing w:val="-6"/>
          <w:sz w:val="24"/>
        </w:rPr>
        <w:t> </w:t>
      </w:r>
      <w:r>
        <w:rPr>
          <w:rFonts w:ascii="Arial MT"/>
          <w:sz w:val="24"/>
        </w:rPr>
        <w:t>directors,</w:t>
      </w:r>
      <w:r>
        <w:rPr>
          <w:rFonts w:ascii="Arial MT"/>
          <w:spacing w:val="-7"/>
          <w:sz w:val="24"/>
        </w:rPr>
        <w:t> </w:t>
      </w:r>
      <w:r>
        <w:rPr>
          <w:rFonts w:ascii="Arial MT"/>
          <w:spacing w:val="-5"/>
          <w:sz w:val="24"/>
        </w:rPr>
        <w:t>or</w:t>
      </w:r>
    </w:p>
    <w:p>
      <w:pPr>
        <w:pStyle w:val="ListParagraph"/>
        <w:numPr>
          <w:ilvl w:val="2"/>
          <w:numId w:val="31"/>
        </w:numPr>
        <w:tabs>
          <w:tab w:pos="640" w:val="left" w:leader="none"/>
        </w:tabs>
        <w:spacing w:line="276" w:lineRule="auto" w:before="43" w:after="0"/>
        <w:ind w:left="308" w:right="1241" w:firstLine="0"/>
        <w:jc w:val="left"/>
        <w:rPr>
          <w:rFonts w:ascii="Arial MT" w:hAnsi="Arial MT"/>
          <w:sz w:val="24"/>
        </w:rPr>
      </w:pPr>
      <w:r>
        <w:rPr>
          <w:rFonts w:ascii="Arial MT" w:hAnsi="Arial MT"/>
          <w:sz w:val="24"/>
        </w:rPr>
        <w:t>by</w:t>
      </w:r>
      <w:r>
        <w:rPr>
          <w:rFonts w:ascii="Arial MT" w:hAnsi="Arial MT"/>
          <w:spacing w:val="-4"/>
          <w:sz w:val="24"/>
        </w:rPr>
        <w:t> </w:t>
      </w:r>
      <w:r>
        <w:rPr>
          <w:rFonts w:ascii="Arial MT" w:hAnsi="Arial MT"/>
          <w:sz w:val="24"/>
        </w:rPr>
        <w:t>a</w:t>
      </w:r>
      <w:r>
        <w:rPr>
          <w:rFonts w:ascii="Arial MT" w:hAnsi="Arial MT"/>
          <w:spacing w:val="-3"/>
          <w:sz w:val="24"/>
        </w:rPr>
        <w:t> </w:t>
      </w:r>
      <w:r>
        <w:rPr>
          <w:rFonts w:ascii="Arial MT" w:hAnsi="Arial MT"/>
          <w:sz w:val="24"/>
        </w:rPr>
        <w:t>committee</w:t>
      </w:r>
      <w:r>
        <w:rPr>
          <w:rFonts w:ascii="Arial MT" w:hAnsi="Arial MT"/>
          <w:spacing w:val="-4"/>
          <w:sz w:val="24"/>
        </w:rPr>
        <w:t> </w:t>
      </w:r>
      <w:r>
        <w:rPr>
          <w:rFonts w:ascii="Arial MT" w:hAnsi="Arial MT"/>
          <w:sz w:val="24"/>
        </w:rPr>
        <w:t>of</w:t>
      </w:r>
      <w:r>
        <w:rPr>
          <w:rFonts w:ascii="Arial MT" w:hAnsi="Arial MT"/>
          <w:spacing w:val="-4"/>
          <w:sz w:val="24"/>
        </w:rPr>
        <w:t> </w:t>
      </w:r>
      <w:r>
        <w:rPr>
          <w:rFonts w:ascii="Arial MT" w:hAnsi="Arial MT"/>
          <w:sz w:val="24"/>
        </w:rPr>
        <w:t>the</w:t>
      </w:r>
      <w:r>
        <w:rPr>
          <w:rFonts w:ascii="Arial MT" w:hAnsi="Arial MT"/>
          <w:spacing w:val="-4"/>
          <w:sz w:val="24"/>
        </w:rPr>
        <w:t> </w:t>
      </w:r>
      <w:r>
        <w:rPr>
          <w:rFonts w:ascii="Arial MT" w:hAnsi="Arial MT"/>
          <w:sz w:val="24"/>
        </w:rPr>
        <w:t>directors</w:t>
      </w:r>
      <w:r>
        <w:rPr>
          <w:rFonts w:ascii="Arial MT" w:hAnsi="Arial MT"/>
          <w:spacing w:val="-4"/>
          <w:sz w:val="24"/>
        </w:rPr>
        <w:t> </w:t>
      </w:r>
      <w:r>
        <w:rPr>
          <w:rFonts w:ascii="Arial MT" w:hAnsi="Arial MT"/>
          <w:sz w:val="24"/>
        </w:rPr>
        <w:t>appointed</w:t>
      </w:r>
      <w:r>
        <w:rPr>
          <w:rFonts w:ascii="Arial MT" w:hAnsi="Arial MT"/>
          <w:spacing w:val="-4"/>
          <w:sz w:val="24"/>
        </w:rPr>
        <w:t> </w:t>
      </w:r>
      <w:r>
        <w:rPr>
          <w:rFonts w:ascii="Arial MT" w:hAnsi="Arial MT"/>
          <w:sz w:val="24"/>
        </w:rPr>
        <w:t>for</w:t>
      </w:r>
      <w:r>
        <w:rPr>
          <w:rFonts w:ascii="Arial MT" w:hAnsi="Arial MT"/>
          <w:spacing w:val="-3"/>
          <w:sz w:val="24"/>
        </w:rPr>
        <w:t> </w:t>
      </w:r>
      <w:r>
        <w:rPr>
          <w:rFonts w:ascii="Arial MT" w:hAnsi="Arial MT"/>
          <w:sz w:val="24"/>
        </w:rPr>
        <w:t>the</w:t>
      </w:r>
      <w:r>
        <w:rPr>
          <w:rFonts w:ascii="Arial MT" w:hAnsi="Arial MT"/>
          <w:spacing w:val="-4"/>
          <w:sz w:val="24"/>
        </w:rPr>
        <w:t> </w:t>
      </w:r>
      <w:r>
        <w:rPr>
          <w:rFonts w:ascii="Arial MT" w:hAnsi="Arial MT"/>
          <w:sz w:val="24"/>
        </w:rPr>
        <w:t>purpose</w:t>
      </w:r>
      <w:r>
        <w:rPr>
          <w:rFonts w:ascii="Arial MT" w:hAnsi="Arial MT"/>
          <w:spacing w:val="-4"/>
          <w:sz w:val="24"/>
        </w:rPr>
        <w:t> </w:t>
      </w:r>
      <w:r>
        <w:rPr>
          <w:rFonts w:ascii="Arial MT" w:hAnsi="Arial MT"/>
          <w:sz w:val="24"/>
        </w:rPr>
        <w:t>under</w:t>
      </w:r>
      <w:r>
        <w:rPr>
          <w:rFonts w:ascii="Arial MT" w:hAnsi="Arial MT"/>
          <w:spacing w:val="-3"/>
          <w:sz w:val="24"/>
        </w:rPr>
        <w:t> </w:t>
      </w:r>
      <w:r>
        <w:rPr>
          <w:rFonts w:ascii="Arial MT" w:hAnsi="Arial MT"/>
          <w:sz w:val="24"/>
        </w:rPr>
        <w:t>the company’s constitution.</w:t>
      </w:r>
    </w:p>
    <w:p>
      <w:pPr>
        <w:spacing w:before="0"/>
        <w:ind w:left="72" w:right="0" w:firstLine="0"/>
        <w:jc w:val="center"/>
        <w:rPr>
          <w:rFonts w:ascii="Arial"/>
          <w:i/>
          <w:sz w:val="24"/>
        </w:rPr>
      </w:pPr>
      <w:r>
        <w:rPr>
          <w:rFonts w:ascii="Arial"/>
          <w:i/>
          <w:sz w:val="24"/>
        </w:rPr>
        <w:t>Supplementary</w:t>
      </w:r>
      <w:r>
        <w:rPr>
          <w:rFonts w:ascii="Arial"/>
          <w:i/>
          <w:spacing w:val="-4"/>
          <w:sz w:val="24"/>
        </w:rPr>
        <w:t> </w:t>
      </w:r>
      <w:r>
        <w:rPr>
          <w:rFonts w:ascii="Arial"/>
          <w:i/>
          <w:spacing w:val="-2"/>
          <w:sz w:val="24"/>
        </w:rPr>
        <w:t>provisions</w:t>
      </w:r>
    </w:p>
    <w:p>
      <w:pPr>
        <w:pStyle w:val="BodyText"/>
        <w:spacing w:before="76"/>
        <w:ind w:left="0"/>
        <w:rPr>
          <w:rFonts w:ascii="Arial"/>
          <w:i/>
        </w:rPr>
      </w:pPr>
    </w:p>
    <w:p>
      <w:pPr>
        <w:pStyle w:val="Heading2"/>
        <w:numPr>
          <w:ilvl w:val="0"/>
          <w:numId w:val="24"/>
        </w:numPr>
        <w:tabs>
          <w:tab w:pos="775" w:val="left" w:leader="none"/>
        </w:tabs>
        <w:spacing w:line="240" w:lineRule="auto" w:before="1" w:after="0"/>
        <w:ind w:left="775" w:right="0" w:hanging="467"/>
        <w:jc w:val="left"/>
        <w:rPr>
          <w:rFonts w:ascii="Arial"/>
        </w:rPr>
      </w:pPr>
      <w:r>
        <w:rPr>
          <w:rFonts w:ascii="Arial"/>
        </w:rPr>
        <w:t>Civil</w:t>
      </w:r>
      <w:r>
        <w:rPr>
          <w:rFonts w:ascii="Arial"/>
          <w:spacing w:val="-5"/>
        </w:rPr>
        <w:t> </w:t>
      </w:r>
      <w:r>
        <w:rPr>
          <w:rFonts w:ascii="Arial"/>
        </w:rPr>
        <w:t>consequences</w:t>
      </w:r>
      <w:r>
        <w:rPr>
          <w:rFonts w:ascii="Arial"/>
          <w:spacing w:val="-7"/>
        </w:rPr>
        <w:t> </w:t>
      </w:r>
      <w:r>
        <w:rPr>
          <w:rFonts w:ascii="Arial"/>
        </w:rPr>
        <w:t>of</w:t>
      </w:r>
      <w:r>
        <w:rPr>
          <w:rFonts w:ascii="Arial"/>
          <w:spacing w:val="-2"/>
        </w:rPr>
        <w:t> </w:t>
      </w:r>
      <w:r>
        <w:rPr>
          <w:rFonts w:ascii="Arial"/>
        </w:rPr>
        <w:t>breach</w:t>
      </w:r>
      <w:r>
        <w:rPr>
          <w:rFonts w:ascii="Arial"/>
          <w:spacing w:val="-6"/>
        </w:rPr>
        <w:t> </w:t>
      </w:r>
      <w:r>
        <w:rPr>
          <w:rFonts w:ascii="Arial"/>
        </w:rPr>
        <w:t>of</w:t>
      </w:r>
      <w:r>
        <w:rPr>
          <w:rFonts w:ascii="Arial"/>
          <w:spacing w:val="-6"/>
        </w:rPr>
        <w:t> </w:t>
      </w:r>
      <w:r>
        <w:rPr>
          <w:rFonts w:ascii="Arial"/>
        </w:rPr>
        <w:t>general</w:t>
      </w:r>
      <w:r>
        <w:rPr>
          <w:rFonts w:ascii="Arial"/>
          <w:spacing w:val="-2"/>
        </w:rPr>
        <w:t> duties</w:t>
      </w:r>
    </w:p>
    <w:p>
      <w:pPr>
        <w:pStyle w:val="ListParagraph"/>
        <w:numPr>
          <w:ilvl w:val="0"/>
          <w:numId w:val="32"/>
        </w:numPr>
        <w:tabs>
          <w:tab w:pos="669" w:val="left" w:leader="none"/>
        </w:tabs>
        <w:spacing w:line="276" w:lineRule="auto" w:before="45" w:after="0"/>
        <w:ind w:left="308" w:right="307" w:firstLine="0"/>
        <w:jc w:val="left"/>
        <w:rPr>
          <w:rFonts w:ascii="Arial MT"/>
          <w:sz w:val="24"/>
        </w:rPr>
      </w:pPr>
      <w:r>
        <w:rPr>
          <w:rFonts w:ascii="Arial MT"/>
          <w:sz w:val="24"/>
        </w:rPr>
        <w:t>The consequences of breach (or threatened breach) of sections 171 to 177 are</w:t>
      </w:r>
      <w:r>
        <w:rPr>
          <w:rFonts w:ascii="Arial MT"/>
          <w:spacing w:val="-2"/>
          <w:sz w:val="24"/>
        </w:rPr>
        <w:t> </w:t>
      </w:r>
      <w:r>
        <w:rPr>
          <w:rFonts w:ascii="Arial MT"/>
          <w:sz w:val="24"/>
        </w:rPr>
        <w:t>the</w:t>
      </w:r>
      <w:r>
        <w:rPr>
          <w:rFonts w:ascii="Arial MT"/>
          <w:spacing w:val="-2"/>
          <w:sz w:val="24"/>
        </w:rPr>
        <w:t> </w:t>
      </w:r>
      <w:r>
        <w:rPr>
          <w:rFonts w:ascii="Arial MT"/>
          <w:sz w:val="24"/>
        </w:rPr>
        <w:t>same</w:t>
      </w:r>
      <w:r>
        <w:rPr>
          <w:rFonts w:ascii="Arial MT"/>
          <w:spacing w:val="-2"/>
          <w:sz w:val="24"/>
        </w:rPr>
        <w:t> </w:t>
      </w:r>
      <w:r>
        <w:rPr>
          <w:rFonts w:ascii="Arial MT"/>
          <w:sz w:val="24"/>
        </w:rPr>
        <w:t>as</w:t>
      </w:r>
      <w:r>
        <w:rPr>
          <w:rFonts w:ascii="Arial MT"/>
          <w:spacing w:val="-2"/>
          <w:sz w:val="24"/>
        </w:rPr>
        <w:t> </w:t>
      </w:r>
      <w:r>
        <w:rPr>
          <w:rFonts w:ascii="Arial MT"/>
          <w:sz w:val="24"/>
        </w:rPr>
        <w:t>would</w:t>
      </w:r>
      <w:r>
        <w:rPr>
          <w:rFonts w:ascii="Arial MT"/>
          <w:spacing w:val="-2"/>
          <w:sz w:val="24"/>
        </w:rPr>
        <w:t> </w:t>
      </w:r>
      <w:r>
        <w:rPr>
          <w:rFonts w:ascii="Arial MT"/>
          <w:sz w:val="24"/>
        </w:rPr>
        <w:t>apply</w:t>
      </w:r>
      <w:r>
        <w:rPr>
          <w:rFonts w:ascii="Arial MT"/>
          <w:spacing w:val="-7"/>
          <w:sz w:val="24"/>
        </w:rPr>
        <w:t> </w:t>
      </w:r>
      <w:r>
        <w:rPr>
          <w:rFonts w:ascii="Arial MT"/>
          <w:sz w:val="24"/>
        </w:rPr>
        <w:t>if</w:t>
      </w:r>
      <w:r>
        <w:rPr>
          <w:rFonts w:ascii="Arial MT"/>
          <w:spacing w:val="-2"/>
          <w:sz w:val="24"/>
        </w:rPr>
        <w:t> </w:t>
      </w:r>
      <w:r>
        <w:rPr>
          <w:rFonts w:ascii="Arial MT"/>
          <w:sz w:val="24"/>
        </w:rPr>
        <w:t>the</w:t>
      </w:r>
      <w:r>
        <w:rPr>
          <w:rFonts w:ascii="Arial MT"/>
          <w:spacing w:val="-2"/>
          <w:sz w:val="24"/>
        </w:rPr>
        <w:t> </w:t>
      </w:r>
      <w:r>
        <w:rPr>
          <w:rFonts w:ascii="Arial MT"/>
          <w:sz w:val="24"/>
        </w:rPr>
        <w:t>corresponding</w:t>
      </w:r>
      <w:r>
        <w:rPr>
          <w:rFonts w:ascii="Arial MT"/>
          <w:spacing w:val="-2"/>
          <w:sz w:val="24"/>
        </w:rPr>
        <w:t> </w:t>
      </w:r>
      <w:r>
        <w:rPr>
          <w:rFonts w:ascii="Arial MT"/>
          <w:sz w:val="24"/>
        </w:rPr>
        <w:t>common</w:t>
      </w:r>
      <w:r>
        <w:rPr>
          <w:rFonts w:ascii="Arial MT"/>
          <w:spacing w:val="-2"/>
          <w:sz w:val="24"/>
        </w:rPr>
        <w:t> </w:t>
      </w:r>
      <w:r>
        <w:rPr>
          <w:rFonts w:ascii="Arial MT"/>
          <w:sz w:val="24"/>
        </w:rPr>
        <w:t>law</w:t>
      </w:r>
      <w:r>
        <w:rPr>
          <w:rFonts w:ascii="Arial MT"/>
          <w:spacing w:val="-8"/>
          <w:sz w:val="24"/>
        </w:rPr>
        <w:t> </w:t>
      </w:r>
      <w:r>
        <w:rPr>
          <w:rFonts w:ascii="Arial MT"/>
          <w:sz w:val="24"/>
        </w:rPr>
        <w:t>rule</w:t>
      </w:r>
      <w:r>
        <w:rPr>
          <w:rFonts w:ascii="Arial MT"/>
          <w:spacing w:val="-2"/>
          <w:sz w:val="24"/>
        </w:rPr>
        <w:t> </w:t>
      </w:r>
      <w:r>
        <w:rPr>
          <w:rFonts w:ascii="Arial MT"/>
          <w:sz w:val="24"/>
        </w:rPr>
        <w:t>or</w:t>
      </w:r>
      <w:r>
        <w:rPr>
          <w:rFonts w:ascii="Arial MT"/>
          <w:spacing w:val="-5"/>
          <w:sz w:val="24"/>
        </w:rPr>
        <w:t> </w:t>
      </w:r>
      <w:r>
        <w:rPr>
          <w:rFonts w:ascii="Arial MT"/>
          <w:sz w:val="24"/>
        </w:rPr>
        <w:t>equitable principle applied.</w:t>
      </w:r>
    </w:p>
    <w:p>
      <w:pPr>
        <w:pStyle w:val="ListParagraph"/>
        <w:numPr>
          <w:ilvl w:val="0"/>
          <w:numId w:val="32"/>
        </w:numPr>
        <w:tabs>
          <w:tab w:pos="670" w:val="left" w:leader="none"/>
        </w:tabs>
        <w:spacing w:line="278" w:lineRule="auto" w:before="0" w:after="0"/>
        <w:ind w:left="308" w:right="484" w:firstLine="0"/>
        <w:jc w:val="left"/>
        <w:rPr>
          <w:rFonts w:ascii="Arial MT"/>
          <w:sz w:val="24"/>
        </w:rPr>
      </w:pPr>
      <w:r>
        <w:rPr>
          <w:rFonts w:ascii="Arial MT"/>
          <w:sz w:val="24"/>
        </w:rPr>
        <w:t>The duties in those sections (with the exception of section 174 (duty to exercise</w:t>
      </w:r>
      <w:r>
        <w:rPr>
          <w:rFonts w:ascii="Arial MT"/>
          <w:spacing w:val="-4"/>
          <w:sz w:val="24"/>
        </w:rPr>
        <w:t> </w:t>
      </w:r>
      <w:r>
        <w:rPr>
          <w:rFonts w:ascii="Arial MT"/>
          <w:sz w:val="24"/>
        </w:rPr>
        <w:t>reasonable</w:t>
      </w:r>
      <w:r>
        <w:rPr>
          <w:rFonts w:ascii="Arial MT"/>
          <w:spacing w:val="-4"/>
          <w:sz w:val="24"/>
        </w:rPr>
        <w:t> </w:t>
      </w:r>
      <w:r>
        <w:rPr>
          <w:rFonts w:ascii="Arial MT"/>
          <w:sz w:val="24"/>
        </w:rPr>
        <w:t>care,</w:t>
      </w:r>
      <w:r>
        <w:rPr>
          <w:rFonts w:ascii="Arial MT"/>
          <w:spacing w:val="-4"/>
          <w:sz w:val="24"/>
        </w:rPr>
        <w:t> </w:t>
      </w:r>
      <w:r>
        <w:rPr>
          <w:rFonts w:ascii="Arial MT"/>
          <w:sz w:val="24"/>
        </w:rPr>
        <w:t>skill</w:t>
      </w:r>
      <w:r>
        <w:rPr>
          <w:rFonts w:ascii="Arial MT"/>
          <w:spacing w:val="-5"/>
          <w:sz w:val="24"/>
        </w:rPr>
        <w:t> </w:t>
      </w:r>
      <w:r>
        <w:rPr>
          <w:rFonts w:ascii="Arial MT"/>
          <w:sz w:val="24"/>
        </w:rPr>
        <w:t>and</w:t>
      </w:r>
      <w:r>
        <w:rPr>
          <w:rFonts w:ascii="Arial MT"/>
          <w:spacing w:val="-4"/>
          <w:sz w:val="24"/>
        </w:rPr>
        <w:t> </w:t>
      </w:r>
      <w:r>
        <w:rPr>
          <w:rFonts w:ascii="Arial MT"/>
          <w:sz w:val="24"/>
        </w:rPr>
        <w:t>diligence))</w:t>
      </w:r>
      <w:r>
        <w:rPr>
          <w:rFonts w:ascii="Arial MT"/>
          <w:spacing w:val="-7"/>
          <w:sz w:val="24"/>
        </w:rPr>
        <w:t> </w:t>
      </w:r>
      <w:r>
        <w:rPr>
          <w:rFonts w:ascii="Arial MT"/>
          <w:sz w:val="24"/>
        </w:rPr>
        <w:t>are,</w:t>
      </w:r>
      <w:r>
        <w:rPr>
          <w:rFonts w:ascii="Arial MT"/>
          <w:spacing w:val="-4"/>
          <w:sz w:val="24"/>
        </w:rPr>
        <w:t> </w:t>
      </w:r>
      <w:r>
        <w:rPr>
          <w:rFonts w:ascii="Arial MT"/>
          <w:sz w:val="24"/>
        </w:rPr>
        <w:t>accordingly,</w:t>
      </w:r>
      <w:r>
        <w:rPr>
          <w:rFonts w:ascii="Arial MT"/>
          <w:spacing w:val="-7"/>
          <w:sz w:val="24"/>
        </w:rPr>
        <w:t> </w:t>
      </w:r>
      <w:r>
        <w:rPr>
          <w:rFonts w:ascii="Arial MT"/>
          <w:sz w:val="24"/>
        </w:rPr>
        <w:t>enforceable</w:t>
      </w:r>
      <w:r>
        <w:rPr>
          <w:rFonts w:ascii="Arial MT"/>
          <w:spacing w:val="-7"/>
          <w:sz w:val="24"/>
        </w:rPr>
        <w:t> </w:t>
      </w:r>
      <w:r>
        <w:rPr>
          <w:rFonts w:ascii="Arial MT"/>
          <w:sz w:val="24"/>
        </w:rPr>
        <w:t>in the same way as any other fiduciary duty owed to a company by its directors.</w:t>
      </w:r>
    </w:p>
    <w:p>
      <w:pPr>
        <w:pStyle w:val="BodyText"/>
        <w:spacing w:before="30"/>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Cases</w:t>
      </w:r>
      <w:r>
        <w:rPr>
          <w:rFonts w:ascii="Arial"/>
          <w:spacing w:val="-8"/>
        </w:rPr>
        <w:t> </w:t>
      </w:r>
      <w:r>
        <w:rPr>
          <w:rFonts w:ascii="Arial"/>
        </w:rPr>
        <w:t>within</w:t>
      </w:r>
      <w:r>
        <w:rPr>
          <w:rFonts w:ascii="Arial"/>
          <w:spacing w:val="-5"/>
        </w:rPr>
        <w:t> </w:t>
      </w:r>
      <w:r>
        <w:rPr>
          <w:rFonts w:ascii="Arial"/>
        </w:rPr>
        <w:t>more</w:t>
      </w:r>
      <w:r>
        <w:rPr>
          <w:rFonts w:ascii="Arial"/>
          <w:spacing w:val="-2"/>
        </w:rPr>
        <w:t> </w:t>
      </w:r>
      <w:r>
        <w:rPr>
          <w:rFonts w:ascii="Arial"/>
        </w:rPr>
        <w:t>than</w:t>
      </w:r>
      <w:r>
        <w:rPr>
          <w:rFonts w:ascii="Arial"/>
          <w:spacing w:val="-4"/>
        </w:rPr>
        <w:t> </w:t>
      </w:r>
      <w:r>
        <w:rPr>
          <w:rFonts w:ascii="Arial"/>
        </w:rPr>
        <w:t>one</w:t>
      </w:r>
      <w:r>
        <w:rPr>
          <w:rFonts w:ascii="Arial"/>
          <w:spacing w:val="-2"/>
        </w:rPr>
        <w:t> </w:t>
      </w:r>
      <w:r>
        <w:rPr>
          <w:rFonts w:ascii="Arial"/>
        </w:rPr>
        <w:t>of</w:t>
      </w:r>
      <w:r>
        <w:rPr>
          <w:rFonts w:ascii="Arial"/>
          <w:spacing w:val="-1"/>
        </w:rPr>
        <w:t> </w:t>
      </w:r>
      <w:r>
        <w:rPr>
          <w:rFonts w:ascii="Arial"/>
        </w:rPr>
        <w:t>the</w:t>
      </w:r>
      <w:r>
        <w:rPr>
          <w:rFonts w:ascii="Arial"/>
          <w:spacing w:val="-2"/>
        </w:rPr>
        <w:t> </w:t>
      </w:r>
      <w:r>
        <w:rPr>
          <w:rFonts w:ascii="Arial"/>
        </w:rPr>
        <w:t>general</w:t>
      </w:r>
      <w:r>
        <w:rPr>
          <w:rFonts w:ascii="Arial"/>
          <w:spacing w:val="-1"/>
        </w:rPr>
        <w:t> </w:t>
      </w:r>
      <w:r>
        <w:rPr>
          <w:rFonts w:ascii="Arial"/>
          <w:spacing w:val="-2"/>
        </w:rPr>
        <w:t>duties</w:t>
      </w:r>
    </w:p>
    <w:p>
      <w:pPr>
        <w:pStyle w:val="BodyText"/>
        <w:spacing w:line="276" w:lineRule="auto" w:before="46"/>
        <w:rPr>
          <w:rFonts w:ascii="Arial MT"/>
        </w:rPr>
      </w:pPr>
      <w:r>
        <w:rPr>
          <w:rFonts w:ascii="Arial MT"/>
        </w:rPr>
        <w:t>Except</w:t>
      </w:r>
      <w:r>
        <w:rPr>
          <w:rFonts w:ascii="Arial MT"/>
          <w:spacing w:val="-3"/>
        </w:rPr>
        <w:t> </w:t>
      </w:r>
      <w:r>
        <w:rPr>
          <w:rFonts w:ascii="Arial MT"/>
        </w:rPr>
        <w:t>as</w:t>
      </w:r>
      <w:r>
        <w:rPr>
          <w:rFonts w:ascii="Arial MT"/>
          <w:spacing w:val="-3"/>
        </w:rPr>
        <w:t> </w:t>
      </w:r>
      <w:r>
        <w:rPr>
          <w:rFonts w:ascii="Arial MT"/>
        </w:rPr>
        <w:t>otherwise</w:t>
      </w:r>
      <w:r>
        <w:rPr>
          <w:rFonts w:ascii="Arial MT"/>
          <w:spacing w:val="-3"/>
        </w:rPr>
        <w:t> </w:t>
      </w:r>
      <w:r>
        <w:rPr>
          <w:rFonts w:ascii="Arial MT"/>
        </w:rPr>
        <w:t>provided,</w:t>
      </w:r>
      <w:r>
        <w:rPr>
          <w:rFonts w:ascii="Arial MT"/>
          <w:spacing w:val="-3"/>
        </w:rPr>
        <w:t> </w:t>
      </w:r>
      <w:r>
        <w:rPr>
          <w:rFonts w:ascii="Arial MT"/>
        </w:rPr>
        <w:t>more</w:t>
      </w:r>
      <w:r>
        <w:rPr>
          <w:rFonts w:ascii="Arial MT"/>
          <w:spacing w:val="-3"/>
        </w:rPr>
        <w:t> </w:t>
      </w:r>
      <w:r>
        <w:rPr>
          <w:rFonts w:ascii="Arial MT"/>
        </w:rPr>
        <w:t>than</w:t>
      </w:r>
      <w:r>
        <w:rPr>
          <w:rFonts w:ascii="Arial MT"/>
          <w:spacing w:val="-3"/>
        </w:rPr>
        <w:t> </w:t>
      </w:r>
      <w:r>
        <w:rPr>
          <w:rFonts w:ascii="Arial MT"/>
        </w:rPr>
        <w:t>one</w:t>
      </w:r>
      <w:r>
        <w:rPr>
          <w:rFonts w:ascii="Arial MT"/>
          <w:spacing w:val="-7"/>
        </w:rPr>
        <w:t> </w:t>
      </w:r>
      <w:r>
        <w:rPr>
          <w:rFonts w:ascii="Arial MT"/>
        </w:rPr>
        <w:t>of</w:t>
      </w:r>
      <w:r>
        <w:rPr>
          <w:rFonts w:ascii="Arial MT"/>
          <w:spacing w:val="-3"/>
        </w:rPr>
        <w:t> </w:t>
      </w:r>
      <w:r>
        <w:rPr>
          <w:rFonts w:ascii="Arial MT"/>
        </w:rPr>
        <w:t>the</w:t>
      </w:r>
      <w:r>
        <w:rPr>
          <w:rFonts w:ascii="Arial MT"/>
          <w:spacing w:val="-3"/>
        </w:rPr>
        <w:t> </w:t>
      </w:r>
      <w:r>
        <w:rPr>
          <w:rFonts w:ascii="Arial MT"/>
        </w:rPr>
        <w:t>general</w:t>
      </w:r>
      <w:r>
        <w:rPr>
          <w:rFonts w:ascii="Arial MT"/>
          <w:spacing w:val="-4"/>
        </w:rPr>
        <w:t> </w:t>
      </w:r>
      <w:r>
        <w:rPr>
          <w:rFonts w:ascii="Arial MT"/>
        </w:rPr>
        <w:t>duties</w:t>
      </w:r>
      <w:r>
        <w:rPr>
          <w:rFonts w:ascii="Arial MT"/>
          <w:spacing w:val="-3"/>
        </w:rPr>
        <w:t> </w:t>
      </w:r>
      <w:r>
        <w:rPr>
          <w:rFonts w:ascii="Arial MT"/>
        </w:rPr>
        <w:t>may</w:t>
      </w:r>
      <w:r>
        <w:rPr>
          <w:rFonts w:ascii="Arial MT"/>
          <w:spacing w:val="-3"/>
        </w:rPr>
        <w:t> </w:t>
      </w:r>
      <w:r>
        <w:rPr>
          <w:rFonts w:ascii="Arial MT"/>
        </w:rPr>
        <w:t>apply</w:t>
      </w:r>
      <w:r>
        <w:rPr>
          <w:rFonts w:ascii="Arial MT"/>
          <w:spacing w:val="-7"/>
        </w:rPr>
        <w:t> </w:t>
      </w:r>
      <w:r>
        <w:rPr>
          <w:rFonts w:ascii="Arial MT"/>
        </w:rPr>
        <w:t>in any given case.</w:t>
      </w:r>
    </w:p>
    <w:p>
      <w:pPr>
        <w:pStyle w:val="BodyText"/>
        <w:spacing w:before="35"/>
        <w:ind w:left="0"/>
        <w:rPr>
          <w:rFonts w:ascii="Arial MT"/>
        </w:rPr>
      </w:pPr>
    </w:p>
    <w:p>
      <w:pPr>
        <w:pStyle w:val="Heading2"/>
        <w:numPr>
          <w:ilvl w:val="0"/>
          <w:numId w:val="24"/>
        </w:numPr>
        <w:tabs>
          <w:tab w:pos="775" w:val="left" w:leader="none"/>
        </w:tabs>
        <w:spacing w:line="240" w:lineRule="auto" w:before="0" w:after="0"/>
        <w:ind w:left="775" w:right="0" w:hanging="467"/>
        <w:jc w:val="left"/>
        <w:rPr>
          <w:rFonts w:ascii="Arial"/>
        </w:rPr>
      </w:pPr>
      <w:r>
        <w:rPr>
          <w:rFonts w:ascii="Arial"/>
        </w:rPr>
        <w:t>Consent,</w:t>
      </w:r>
      <w:r>
        <w:rPr>
          <w:rFonts w:ascii="Arial"/>
          <w:spacing w:val="-6"/>
        </w:rPr>
        <w:t> </w:t>
      </w:r>
      <w:r>
        <w:rPr>
          <w:rFonts w:ascii="Arial"/>
        </w:rPr>
        <w:t>approval</w:t>
      </w:r>
      <w:r>
        <w:rPr>
          <w:rFonts w:ascii="Arial"/>
          <w:spacing w:val="-4"/>
        </w:rPr>
        <w:t> </w:t>
      </w:r>
      <w:r>
        <w:rPr>
          <w:rFonts w:ascii="Arial"/>
        </w:rPr>
        <w:t>or</w:t>
      </w:r>
      <w:r>
        <w:rPr>
          <w:rFonts w:ascii="Arial"/>
          <w:spacing w:val="-6"/>
        </w:rPr>
        <w:t> </w:t>
      </w:r>
      <w:r>
        <w:rPr>
          <w:rFonts w:ascii="Arial"/>
        </w:rPr>
        <w:t>authorisation</w:t>
      </w:r>
      <w:r>
        <w:rPr>
          <w:rFonts w:ascii="Arial"/>
          <w:spacing w:val="-6"/>
        </w:rPr>
        <w:t> </w:t>
      </w:r>
      <w:r>
        <w:rPr>
          <w:rFonts w:ascii="Arial"/>
        </w:rPr>
        <w:t>by</w:t>
      </w:r>
      <w:r>
        <w:rPr>
          <w:rFonts w:ascii="Arial"/>
          <w:spacing w:val="-7"/>
        </w:rPr>
        <w:t> </w:t>
      </w:r>
      <w:r>
        <w:rPr>
          <w:rFonts w:ascii="Arial"/>
          <w:spacing w:val="-2"/>
        </w:rPr>
        <w:t>members</w:t>
      </w:r>
    </w:p>
    <w:p>
      <w:pPr>
        <w:pStyle w:val="ListParagraph"/>
        <w:numPr>
          <w:ilvl w:val="0"/>
          <w:numId w:val="33"/>
        </w:numPr>
        <w:tabs>
          <w:tab w:pos="669" w:val="left" w:leader="none"/>
        </w:tabs>
        <w:spacing w:line="240" w:lineRule="auto" w:before="51" w:after="0"/>
        <w:ind w:left="669" w:right="0" w:hanging="361"/>
        <w:jc w:val="left"/>
        <w:rPr>
          <w:rFonts w:ascii="Arial MT" w:hAnsi="Arial MT"/>
          <w:sz w:val="24"/>
        </w:rPr>
      </w:pPr>
      <w:r>
        <w:rPr>
          <w:rFonts w:ascii="Arial MT" w:hAnsi="Arial MT"/>
          <w:sz w:val="24"/>
        </w:rPr>
        <w:t>In</w:t>
      </w:r>
      <w:r>
        <w:rPr>
          <w:rFonts w:ascii="Arial MT" w:hAnsi="Arial MT"/>
          <w:spacing w:val="-5"/>
          <w:sz w:val="24"/>
        </w:rPr>
        <w:t> </w:t>
      </w:r>
      <w:r>
        <w:rPr>
          <w:rFonts w:ascii="Arial MT" w:hAnsi="Arial MT"/>
          <w:sz w:val="24"/>
        </w:rPr>
        <w:t>a case </w:t>
      </w:r>
      <w:r>
        <w:rPr>
          <w:rFonts w:ascii="Arial MT" w:hAnsi="Arial MT"/>
          <w:spacing w:val="-2"/>
          <w:sz w:val="24"/>
        </w:rPr>
        <w:t>where—</w:t>
      </w:r>
    </w:p>
    <w:p>
      <w:pPr>
        <w:pStyle w:val="ListParagraph"/>
        <w:numPr>
          <w:ilvl w:val="1"/>
          <w:numId w:val="33"/>
        </w:numPr>
        <w:tabs>
          <w:tab w:pos="670" w:val="left" w:leader="none"/>
        </w:tabs>
        <w:spacing w:line="276" w:lineRule="auto" w:before="41" w:after="0"/>
        <w:ind w:left="308" w:right="1418" w:firstLine="0"/>
        <w:jc w:val="left"/>
        <w:rPr>
          <w:rFonts w:ascii="Arial MT"/>
          <w:sz w:val="24"/>
        </w:rPr>
      </w:pPr>
      <w:r>
        <w:rPr>
          <w:rFonts w:ascii="Arial MT"/>
          <w:sz w:val="24"/>
        </w:rPr>
        <w:t>section</w:t>
      </w:r>
      <w:r>
        <w:rPr>
          <w:rFonts w:ascii="Arial MT"/>
          <w:spacing w:val="-3"/>
          <w:sz w:val="24"/>
        </w:rPr>
        <w:t> </w:t>
      </w:r>
      <w:r>
        <w:rPr>
          <w:rFonts w:ascii="Arial MT"/>
          <w:sz w:val="24"/>
        </w:rPr>
        <w:t>175</w:t>
      </w:r>
      <w:r>
        <w:rPr>
          <w:rFonts w:ascii="Arial MT"/>
          <w:spacing w:val="-6"/>
          <w:sz w:val="24"/>
        </w:rPr>
        <w:t> </w:t>
      </w:r>
      <w:r>
        <w:rPr>
          <w:rFonts w:ascii="Arial MT"/>
          <w:sz w:val="24"/>
        </w:rPr>
        <w:t>(duty</w:t>
      </w:r>
      <w:r>
        <w:rPr>
          <w:rFonts w:ascii="Arial MT"/>
          <w:spacing w:val="-6"/>
          <w:sz w:val="24"/>
        </w:rPr>
        <w:t> </w:t>
      </w:r>
      <w:r>
        <w:rPr>
          <w:rFonts w:ascii="Arial MT"/>
          <w:sz w:val="24"/>
        </w:rPr>
        <w:t>to</w:t>
      </w:r>
      <w:r>
        <w:rPr>
          <w:rFonts w:ascii="Arial MT"/>
          <w:spacing w:val="-1"/>
          <w:sz w:val="24"/>
        </w:rPr>
        <w:t> </w:t>
      </w:r>
      <w:r>
        <w:rPr>
          <w:rFonts w:ascii="Arial MT"/>
          <w:sz w:val="24"/>
        </w:rPr>
        <w:t>avoid</w:t>
      </w:r>
      <w:r>
        <w:rPr>
          <w:rFonts w:ascii="Arial MT"/>
          <w:spacing w:val="-2"/>
          <w:sz w:val="24"/>
        </w:rPr>
        <w:t> </w:t>
      </w:r>
      <w:r>
        <w:rPr>
          <w:rFonts w:ascii="Arial MT"/>
          <w:sz w:val="24"/>
        </w:rPr>
        <w:t>conflicts</w:t>
      </w:r>
      <w:r>
        <w:rPr>
          <w:rFonts w:ascii="Arial MT"/>
          <w:spacing w:val="-2"/>
          <w:sz w:val="24"/>
        </w:rPr>
        <w:t> </w:t>
      </w:r>
      <w:r>
        <w:rPr>
          <w:rFonts w:ascii="Arial MT"/>
          <w:sz w:val="24"/>
        </w:rPr>
        <w:t>of</w:t>
      </w:r>
      <w:r>
        <w:rPr>
          <w:rFonts w:ascii="Arial MT"/>
          <w:spacing w:val="-6"/>
          <w:sz w:val="24"/>
        </w:rPr>
        <w:t> </w:t>
      </w:r>
      <w:r>
        <w:rPr>
          <w:rFonts w:ascii="Arial MT"/>
          <w:sz w:val="24"/>
        </w:rPr>
        <w:t>interest)</w:t>
      </w:r>
      <w:r>
        <w:rPr>
          <w:rFonts w:ascii="Arial MT"/>
          <w:spacing w:val="-5"/>
          <w:sz w:val="24"/>
        </w:rPr>
        <w:t> </w:t>
      </w:r>
      <w:r>
        <w:rPr>
          <w:rFonts w:ascii="Arial MT"/>
          <w:sz w:val="24"/>
        </w:rPr>
        <w:t>is</w:t>
      </w:r>
      <w:r>
        <w:rPr>
          <w:rFonts w:ascii="Arial MT"/>
          <w:spacing w:val="-2"/>
          <w:sz w:val="24"/>
        </w:rPr>
        <w:t> </w:t>
      </w:r>
      <w:r>
        <w:rPr>
          <w:rFonts w:ascii="Arial MT"/>
          <w:sz w:val="24"/>
        </w:rPr>
        <w:t>complied</w:t>
      </w:r>
      <w:r>
        <w:rPr>
          <w:rFonts w:ascii="Arial MT"/>
          <w:spacing w:val="-1"/>
          <w:sz w:val="24"/>
        </w:rPr>
        <w:t> </w:t>
      </w:r>
      <w:r>
        <w:rPr>
          <w:rFonts w:ascii="Arial MT"/>
          <w:sz w:val="24"/>
        </w:rPr>
        <w:t>with</w:t>
      </w:r>
      <w:r>
        <w:rPr>
          <w:rFonts w:ascii="Arial MT"/>
          <w:spacing w:val="-1"/>
          <w:sz w:val="24"/>
        </w:rPr>
        <w:t> </w:t>
      </w:r>
      <w:r>
        <w:rPr>
          <w:rFonts w:ascii="Arial MT"/>
          <w:sz w:val="24"/>
        </w:rPr>
        <w:t>by authorisation by the directors, or</w:t>
      </w:r>
    </w:p>
    <w:p>
      <w:pPr>
        <w:pStyle w:val="ListParagraph"/>
        <w:numPr>
          <w:ilvl w:val="1"/>
          <w:numId w:val="33"/>
        </w:numPr>
        <w:tabs>
          <w:tab w:pos="670" w:val="left" w:leader="none"/>
        </w:tabs>
        <w:spacing w:line="276" w:lineRule="auto" w:before="0" w:after="0"/>
        <w:ind w:left="308" w:right="1736" w:firstLine="0"/>
        <w:jc w:val="left"/>
        <w:rPr>
          <w:rFonts w:ascii="Arial MT"/>
          <w:sz w:val="24"/>
        </w:rPr>
      </w:pPr>
      <w:r>
        <w:rPr>
          <w:rFonts w:ascii="Arial MT"/>
          <w:sz w:val="24"/>
        </w:rPr>
        <w:t>section</w:t>
      </w:r>
      <w:r>
        <w:rPr>
          <w:rFonts w:ascii="Arial MT"/>
          <w:spacing w:val="-3"/>
          <w:sz w:val="24"/>
        </w:rPr>
        <w:t> </w:t>
      </w:r>
      <w:r>
        <w:rPr>
          <w:rFonts w:ascii="Arial MT"/>
          <w:sz w:val="24"/>
        </w:rPr>
        <w:t>177</w:t>
      </w:r>
      <w:r>
        <w:rPr>
          <w:rFonts w:ascii="Arial MT"/>
          <w:spacing w:val="-6"/>
          <w:sz w:val="24"/>
        </w:rPr>
        <w:t> </w:t>
      </w:r>
      <w:r>
        <w:rPr>
          <w:rFonts w:ascii="Arial MT"/>
          <w:sz w:val="24"/>
        </w:rPr>
        <w:t>(duty</w:t>
      </w:r>
      <w:r>
        <w:rPr>
          <w:rFonts w:ascii="Arial MT"/>
          <w:spacing w:val="-6"/>
          <w:sz w:val="24"/>
        </w:rPr>
        <w:t> </w:t>
      </w:r>
      <w:r>
        <w:rPr>
          <w:rFonts w:ascii="Arial MT"/>
          <w:sz w:val="24"/>
        </w:rPr>
        <w:t>to</w:t>
      </w:r>
      <w:r>
        <w:rPr>
          <w:rFonts w:ascii="Arial MT"/>
          <w:spacing w:val="-1"/>
          <w:sz w:val="24"/>
        </w:rPr>
        <w:t> </w:t>
      </w:r>
      <w:r>
        <w:rPr>
          <w:rFonts w:ascii="Arial MT"/>
          <w:sz w:val="24"/>
        </w:rPr>
        <w:t>declare</w:t>
      </w:r>
      <w:r>
        <w:rPr>
          <w:rFonts w:ascii="Arial MT"/>
          <w:spacing w:val="-6"/>
          <w:sz w:val="24"/>
        </w:rPr>
        <w:t> </w:t>
      </w:r>
      <w:r>
        <w:rPr>
          <w:rFonts w:ascii="Arial MT"/>
          <w:sz w:val="24"/>
        </w:rPr>
        <w:t>interest</w:t>
      </w:r>
      <w:r>
        <w:rPr>
          <w:rFonts w:ascii="Arial MT"/>
          <w:spacing w:val="-6"/>
          <w:sz w:val="24"/>
        </w:rPr>
        <w:t> </w:t>
      </w:r>
      <w:r>
        <w:rPr>
          <w:rFonts w:ascii="Arial MT"/>
          <w:sz w:val="24"/>
        </w:rPr>
        <w:t>in</w:t>
      </w:r>
      <w:r>
        <w:rPr>
          <w:rFonts w:ascii="Arial MT"/>
          <w:spacing w:val="-6"/>
          <w:sz w:val="24"/>
        </w:rPr>
        <w:t> </w:t>
      </w:r>
      <w:r>
        <w:rPr>
          <w:rFonts w:ascii="Arial MT"/>
          <w:sz w:val="24"/>
        </w:rPr>
        <w:t>proposed</w:t>
      </w:r>
      <w:r>
        <w:rPr>
          <w:rFonts w:ascii="Arial MT"/>
          <w:spacing w:val="-2"/>
          <w:sz w:val="24"/>
        </w:rPr>
        <w:t> </w:t>
      </w:r>
      <w:r>
        <w:rPr>
          <w:rFonts w:ascii="Arial MT"/>
          <w:sz w:val="24"/>
        </w:rPr>
        <w:t>transaction</w:t>
      </w:r>
      <w:r>
        <w:rPr>
          <w:rFonts w:ascii="Arial MT"/>
          <w:spacing w:val="-6"/>
          <w:sz w:val="24"/>
        </w:rPr>
        <w:t> </w:t>
      </w:r>
      <w:r>
        <w:rPr>
          <w:rFonts w:ascii="Arial MT"/>
          <w:sz w:val="24"/>
        </w:rPr>
        <w:t>or arrangement) is complied with,</w:t>
      </w:r>
    </w:p>
    <w:p>
      <w:pPr>
        <w:pStyle w:val="BodyText"/>
        <w:spacing w:line="276" w:lineRule="auto"/>
        <w:rPr>
          <w:rFonts w:ascii="Arial MT"/>
        </w:rPr>
      </w:pPr>
      <w:r>
        <w:rPr>
          <w:rFonts w:ascii="Arial MT"/>
        </w:rPr>
        <w:t>the transaction or arrangement is not liable to be set aside by virtue of any common</w:t>
      </w:r>
      <w:r>
        <w:rPr>
          <w:rFonts w:ascii="Arial MT"/>
          <w:spacing w:val="-3"/>
        </w:rPr>
        <w:t> </w:t>
      </w:r>
      <w:r>
        <w:rPr>
          <w:rFonts w:ascii="Arial MT"/>
        </w:rPr>
        <w:t>law</w:t>
      </w:r>
      <w:r>
        <w:rPr>
          <w:rFonts w:ascii="Arial MT"/>
          <w:spacing w:val="-9"/>
        </w:rPr>
        <w:t> </w:t>
      </w:r>
      <w:r>
        <w:rPr>
          <w:rFonts w:ascii="Arial MT"/>
        </w:rPr>
        <w:t>rule</w:t>
      </w:r>
      <w:r>
        <w:rPr>
          <w:rFonts w:ascii="Arial MT"/>
          <w:spacing w:val="-3"/>
        </w:rPr>
        <w:t> </w:t>
      </w:r>
      <w:r>
        <w:rPr>
          <w:rFonts w:ascii="Arial MT"/>
        </w:rPr>
        <w:t>or</w:t>
      </w:r>
      <w:r>
        <w:rPr>
          <w:rFonts w:ascii="Arial MT"/>
          <w:spacing w:val="-2"/>
        </w:rPr>
        <w:t> </w:t>
      </w:r>
      <w:r>
        <w:rPr>
          <w:rFonts w:ascii="Arial MT"/>
        </w:rPr>
        <w:t>equitable principle</w:t>
      </w:r>
      <w:r>
        <w:rPr>
          <w:rFonts w:ascii="Arial MT"/>
          <w:spacing w:val="-3"/>
        </w:rPr>
        <w:t> </w:t>
      </w:r>
      <w:r>
        <w:rPr>
          <w:rFonts w:ascii="Arial MT"/>
        </w:rPr>
        <w:t>requiring</w:t>
      </w:r>
      <w:r>
        <w:rPr>
          <w:rFonts w:ascii="Arial MT"/>
          <w:spacing w:val="-2"/>
        </w:rPr>
        <w:t> </w:t>
      </w:r>
      <w:r>
        <w:rPr>
          <w:rFonts w:ascii="Arial MT"/>
        </w:rPr>
        <w:t>the</w:t>
      </w:r>
      <w:r>
        <w:rPr>
          <w:rFonts w:ascii="Arial MT"/>
          <w:spacing w:val="-3"/>
        </w:rPr>
        <w:t> </w:t>
      </w:r>
      <w:r>
        <w:rPr>
          <w:rFonts w:ascii="Arial MT"/>
        </w:rPr>
        <w:t>consent</w:t>
      </w:r>
      <w:r>
        <w:rPr>
          <w:rFonts w:ascii="Arial MT"/>
          <w:spacing w:val="-3"/>
        </w:rPr>
        <w:t> </w:t>
      </w:r>
      <w:r>
        <w:rPr>
          <w:rFonts w:ascii="Arial MT"/>
        </w:rPr>
        <w:t>or</w:t>
      </w:r>
      <w:r>
        <w:rPr>
          <w:rFonts w:ascii="Arial MT"/>
          <w:spacing w:val="-2"/>
        </w:rPr>
        <w:t> </w:t>
      </w:r>
      <w:r>
        <w:rPr>
          <w:rFonts w:ascii="Arial MT"/>
        </w:rPr>
        <w:t>approval of</w:t>
      </w:r>
      <w:r>
        <w:rPr>
          <w:rFonts w:ascii="Arial MT"/>
          <w:spacing w:val="-8"/>
        </w:rPr>
        <w:t> </w:t>
      </w:r>
      <w:r>
        <w:rPr>
          <w:rFonts w:ascii="Arial MT"/>
        </w:rPr>
        <w:t>the members of the company.</w:t>
      </w:r>
    </w:p>
    <w:p>
      <w:pPr>
        <w:pStyle w:val="BodyText"/>
        <w:spacing w:line="280" w:lineRule="auto"/>
        <w:ind w:right="255"/>
        <w:rPr>
          <w:rFonts w:ascii="Arial MT" w:hAnsi="Arial MT"/>
        </w:rPr>
      </w:pPr>
      <w:r>
        <w:rPr>
          <w:rFonts w:ascii="Arial MT" w:hAnsi="Arial MT"/>
        </w:rPr>
        <w:t>This</w:t>
      </w:r>
      <w:r>
        <w:rPr>
          <w:rFonts w:ascii="Arial MT" w:hAnsi="Arial MT"/>
          <w:spacing w:val="-7"/>
        </w:rPr>
        <w:t> </w:t>
      </w:r>
      <w:r>
        <w:rPr>
          <w:rFonts w:ascii="Arial MT" w:hAnsi="Arial MT"/>
        </w:rPr>
        <w:t>is</w:t>
      </w:r>
      <w:r>
        <w:rPr>
          <w:rFonts w:ascii="Arial MT" w:hAnsi="Arial MT"/>
          <w:spacing w:val="-2"/>
        </w:rPr>
        <w:t> </w:t>
      </w:r>
      <w:r>
        <w:rPr>
          <w:rFonts w:ascii="Arial MT" w:hAnsi="Arial MT"/>
        </w:rPr>
        <w:t>without</w:t>
      </w:r>
      <w:r>
        <w:rPr>
          <w:rFonts w:ascii="Arial MT" w:hAnsi="Arial MT"/>
          <w:spacing w:val="-6"/>
        </w:rPr>
        <w:t> </w:t>
      </w:r>
      <w:r>
        <w:rPr>
          <w:rFonts w:ascii="Arial MT" w:hAnsi="Arial MT"/>
        </w:rPr>
        <w:t>prejudice</w:t>
      </w:r>
      <w:r>
        <w:rPr>
          <w:rFonts w:ascii="Arial MT" w:hAnsi="Arial MT"/>
          <w:spacing w:val="-2"/>
        </w:rPr>
        <w:t> </w:t>
      </w:r>
      <w:r>
        <w:rPr>
          <w:rFonts w:ascii="Arial MT" w:hAnsi="Arial MT"/>
        </w:rPr>
        <w:t>to</w:t>
      </w:r>
      <w:r>
        <w:rPr>
          <w:rFonts w:ascii="Arial MT" w:hAnsi="Arial MT"/>
          <w:spacing w:val="-2"/>
        </w:rPr>
        <w:t> </w:t>
      </w:r>
      <w:r>
        <w:rPr>
          <w:rFonts w:ascii="Arial MT" w:hAnsi="Arial MT"/>
        </w:rPr>
        <w:t>any</w:t>
      </w:r>
      <w:r>
        <w:rPr>
          <w:rFonts w:ascii="Arial MT" w:hAnsi="Arial MT"/>
          <w:spacing w:val="-7"/>
        </w:rPr>
        <w:t> </w:t>
      </w:r>
      <w:r>
        <w:rPr>
          <w:rFonts w:ascii="Arial MT" w:hAnsi="Arial MT"/>
        </w:rPr>
        <w:t>enactment,</w:t>
      </w:r>
      <w:r>
        <w:rPr>
          <w:rFonts w:ascii="Arial MT" w:hAnsi="Arial MT"/>
          <w:spacing w:val="-2"/>
        </w:rPr>
        <w:t> </w:t>
      </w:r>
      <w:r>
        <w:rPr>
          <w:rFonts w:ascii="Arial MT" w:hAnsi="Arial MT"/>
        </w:rPr>
        <w:t>or</w:t>
      </w:r>
      <w:r>
        <w:rPr>
          <w:rFonts w:ascii="Arial MT" w:hAnsi="Arial MT"/>
          <w:spacing w:val="-5"/>
        </w:rPr>
        <w:t> </w:t>
      </w:r>
      <w:r>
        <w:rPr>
          <w:rFonts w:ascii="Arial MT" w:hAnsi="Arial MT"/>
        </w:rPr>
        <w:t>provision</w:t>
      </w:r>
      <w:r>
        <w:rPr>
          <w:rFonts w:ascii="Arial MT" w:hAnsi="Arial MT"/>
          <w:spacing w:val="-2"/>
        </w:rPr>
        <w:t> </w:t>
      </w:r>
      <w:r>
        <w:rPr>
          <w:rFonts w:ascii="Arial MT" w:hAnsi="Arial MT"/>
        </w:rPr>
        <w:t>of</w:t>
      </w:r>
      <w:r>
        <w:rPr>
          <w:rFonts w:ascii="Arial MT" w:hAnsi="Arial MT"/>
          <w:spacing w:val="-6"/>
        </w:rPr>
        <w:t> </w:t>
      </w:r>
      <w:r>
        <w:rPr>
          <w:rFonts w:ascii="Arial MT" w:hAnsi="Arial MT"/>
        </w:rPr>
        <w:t>the</w:t>
      </w:r>
      <w:r>
        <w:rPr>
          <w:rFonts w:ascii="Arial MT" w:hAnsi="Arial MT"/>
          <w:spacing w:val="-2"/>
        </w:rPr>
        <w:t> </w:t>
      </w:r>
      <w:r>
        <w:rPr>
          <w:rFonts w:ascii="Arial MT" w:hAnsi="Arial MT"/>
        </w:rPr>
        <w:t>company’s constitution, requiring such consent or approval.</w:t>
      </w:r>
    </w:p>
    <w:p>
      <w:pPr>
        <w:pStyle w:val="ListParagraph"/>
        <w:numPr>
          <w:ilvl w:val="0"/>
          <w:numId w:val="33"/>
        </w:numPr>
        <w:tabs>
          <w:tab w:pos="669" w:val="left" w:leader="none"/>
        </w:tabs>
        <w:spacing w:line="276" w:lineRule="auto" w:before="0" w:after="0"/>
        <w:ind w:left="308" w:right="325" w:firstLine="0"/>
        <w:jc w:val="both"/>
        <w:rPr>
          <w:rFonts w:ascii="Arial MT" w:hAnsi="Arial MT"/>
          <w:sz w:val="24"/>
        </w:rPr>
      </w:pPr>
      <w:r>
        <w:rPr>
          <w:rFonts w:ascii="Arial MT" w:hAnsi="Arial MT"/>
          <w:sz w:val="24"/>
        </w:rPr>
        <w:t>The</w:t>
      </w:r>
      <w:r>
        <w:rPr>
          <w:rFonts w:ascii="Arial MT" w:hAnsi="Arial MT"/>
          <w:spacing w:val="-2"/>
          <w:sz w:val="24"/>
        </w:rPr>
        <w:t> </w:t>
      </w:r>
      <w:r>
        <w:rPr>
          <w:rFonts w:ascii="Arial MT" w:hAnsi="Arial MT"/>
          <w:sz w:val="24"/>
        </w:rPr>
        <w:t>application</w:t>
      </w:r>
      <w:r>
        <w:rPr>
          <w:rFonts w:ascii="Arial MT" w:hAnsi="Arial MT"/>
          <w:spacing w:val="-2"/>
          <w:sz w:val="24"/>
        </w:rPr>
        <w:t> </w:t>
      </w:r>
      <w:r>
        <w:rPr>
          <w:rFonts w:ascii="Arial MT" w:hAnsi="Arial MT"/>
          <w:sz w:val="24"/>
        </w:rPr>
        <w:t>of</w:t>
      </w:r>
      <w:r>
        <w:rPr>
          <w:rFonts w:ascii="Arial MT" w:hAnsi="Arial MT"/>
          <w:spacing w:val="-5"/>
          <w:sz w:val="24"/>
        </w:rPr>
        <w:t> </w:t>
      </w:r>
      <w:r>
        <w:rPr>
          <w:rFonts w:ascii="Arial MT" w:hAnsi="Arial MT"/>
          <w:sz w:val="24"/>
        </w:rPr>
        <w:t>the</w:t>
      </w:r>
      <w:r>
        <w:rPr>
          <w:rFonts w:ascii="Arial MT" w:hAnsi="Arial MT"/>
          <w:spacing w:val="-2"/>
          <w:sz w:val="24"/>
        </w:rPr>
        <w:t> </w:t>
      </w:r>
      <w:r>
        <w:rPr>
          <w:rFonts w:ascii="Arial MT" w:hAnsi="Arial MT"/>
          <w:sz w:val="24"/>
        </w:rPr>
        <w:t>general</w:t>
      </w:r>
      <w:r>
        <w:rPr>
          <w:rFonts w:ascii="Arial MT" w:hAnsi="Arial MT"/>
          <w:spacing w:val="-3"/>
          <w:sz w:val="24"/>
        </w:rPr>
        <w:t> </w:t>
      </w:r>
      <w:r>
        <w:rPr>
          <w:rFonts w:ascii="Arial MT" w:hAnsi="Arial MT"/>
          <w:sz w:val="24"/>
        </w:rPr>
        <w:t>duties</w:t>
      </w:r>
      <w:r>
        <w:rPr>
          <w:rFonts w:ascii="Arial MT" w:hAnsi="Arial MT"/>
          <w:spacing w:val="-6"/>
          <w:sz w:val="24"/>
        </w:rPr>
        <w:t> </w:t>
      </w:r>
      <w:r>
        <w:rPr>
          <w:rFonts w:ascii="Arial MT" w:hAnsi="Arial MT"/>
          <w:sz w:val="24"/>
        </w:rPr>
        <w:t>is</w:t>
      </w:r>
      <w:r>
        <w:rPr>
          <w:rFonts w:ascii="Arial MT" w:hAnsi="Arial MT"/>
          <w:spacing w:val="-2"/>
          <w:sz w:val="24"/>
        </w:rPr>
        <w:t> </w:t>
      </w:r>
      <w:r>
        <w:rPr>
          <w:rFonts w:ascii="Arial MT" w:hAnsi="Arial MT"/>
          <w:sz w:val="24"/>
        </w:rPr>
        <w:t>not</w:t>
      </w:r>
      <w:r>
        <w:rPr>
          <w:rFonts w:ascii="Arial MT" w:hAnsi="Arial MT"/>
          <w:spacing w:val="-6"/>
          <w:sz w:val="24"/>
        </w:rPr>
        <w:t> </w:t>
      </w:r>
      <w:r>
        <w:rPr>
          <w:rFonts w:ascii="Arial MT" w:hAnsi="Arial MT"/>
          <w:sz w:val="24"/>
        </w:rPr>
        <w:t>affected by</w:t>
      </w:r>
      <w:r>
        <w:rPr>
          <w:rFonts w:ascii="Arial MT" w:hAnsi="Arial MT"/>
          <w:spacing w:val="-2"/>
          <w:sz w:val="24"/>
        </w:rPr>
        <w:t> </w:t>
      </w:r>
      <w:r>
        <w:rPr>
          <w:rFonts w:ascii="Arial MT" w:hAnsi="Arial MT"/>
          <w:sz w:val="24"/>
        </w:rPr>
        <w:t>the</w:t>
      </w:r>
      <w:r>
        <w:rPr>
          <w:rFonts w:ascii="Arial MT" w:hAnsi="Arial MT"/>
          <w:spacing w:val="-2"/>
          <w:sz w:val="24"/>
        </w:rPr>
        <w:t> </w:t>
      </w:r>
      <w:r>
        <w:rPr>
          <w:rFonts w:ascii="Arial MT" w:hAnsi="Arial MT"/>
          <w:sz w:val="24"/>
        </w:rPr>
        <w:t>fact</w:t>
      </w:r>
      <w:r>
        <w:rPr>
          <w:rFonts w:ascii="Arial MT" w:hAnsi="Arial MT"/>
          <w:spacing w:val="-2"/>
          <w:sz w:val="24"/>
        </w:rPr>
        <w:t> </w:t>
      </w:r>
      <w:r>
        <w:rPr>
          <w:rFonts w:ascii="Arial MT" w:hAnsi="Arial MT"/>
          <w:sz w:val="24"/>
        </w:rPr>
        <w:t>that</w:t>
      </w:r>
      <w:r>
        <w:rPr>
          <w:rFonts w:ascii="Arial MT" w:hAnsi="Arial MT"/>
          <w:spacing w:val="-6"/>
          <w:sz w:val="24"/>
        </w:rPr>
        <w:t> </w:t>
      </w:r>
      <w:r>
        <w:rPr>
          <w:rFonts w:ascii="Arial MT" w:hAnsi="Arial MT"/>
          <w:sz w:val="24"/>
        </w:rPr>
        <w:t>the</w:t>
      </w:r>
      <w:r>
        <w:rPr>
          <w:rFonts w:ascii="Arial MT" w:hAnsi="Arial MT"/>
          <w:spacing w:val="-2"/>
          <w:sz w:val="24"/>
        </w:rPr>
        <w:t> </w:t>
      </w:r>
      <w:r>
        <w:rPr>
          <w:rFonts w:ascii="Arial MT" w:hAnsi="Arial MT"/>
          <w:sz w:val="24"/>
        </w:rPr>
        <w:t>case also</w:t>
      </w:r>
      <w:r>
        <w:rPr>
          <w:rFonts w:ascii="Arial MT" w:hAnsi="Arial MT"/>
          <w:spacing w:val="-7"/>
          <w:sz w:val="24"/>
        </w:rPr>
        <w:t> </w:t>
      </w:r>
      <w:r>
        <w:rPr>
          <w:rFonts w:ascii="Arial MT" w:hAnsi="Arial MT"/>
          <w:sz w:val="24"/>
        </w:rPr>
        <w:t>falls</w:t>
      </w:r>
      <w:r>
        <w:rPr>
          <w:rFonts w:ascii="Arial MT" w:hAnsi="Arial MT"/>
          <w:spacing w:val="-8"/>
          <w:sz w:val="24"/>
        </w:rPr>
        <w:t> </w:t>
      </w:r>
      <w:r>
        <w:rPr>
          <w:rFonts w:ascii="Arial MT" w:hAnsi="Arial MT"/>
          <w:sz w:val="24"/>
        </w:rPr>
        <w:t>within</w:t>
      </w:r>
      <w:r>
        <w:rPr>
          <w:rFonts w:ascii="Arial MT" w:hAnsi="Arial MT"/>
          <w:spacing w:val="-3"/>
          <w:sz w:val="24"/>
        </w:rPr>
        <w:t> </w:t>
      </w:r>
      <w:r>
        <w:rPr>
          <w:rFonts w:ascii="Arial MT" w:hAnsi="Arial MT"/>
          <w:sz w:val="24"/>
        </w:rPr>
        <w:t>Chapter</w:t>
      </w:r>
      <w:r>
        <w:rPr>
          <w:rFonts w:ascii="Arial MT" w:hAnsi="Arial MT"/>
          <w:spacing w:val="-2"/>
          <w:sz w:val="24"/>
        </w:rPr>
        <w:t> </w:t>
      </w:r>
      <w:r>
        <w:rPr>
          <w:rFonts w:ascii="Arial MT" w:hAnsi="Arial MT"/>
          <w:sz w:val="24"/>
        </w:rPr>
        <w:t>4</w:t>
      </w:r>
      <w:r>
        <w:rPr>
          <w:rFonts w:ascii="Arial MT" w:hAnsi="Arial MT"/>
          <w:spacing w:val="-7"/>
          <w:sz w:val="24"/>
        </w:rPr>
        <w:t> </w:t>
      </w:r>
      <w:r>
        <w:rPr>
          <w:rFonts w:ascii="Arial MT" w:hAnsi="Arial MT"/>
          <w:sz w:val="24"/>
        </w:rPr>
        <w:t>(transactions</w:t>
      </w:r>
      <w:r>
        <w:rPr>
          <w:rFonts w:ascii="Arial MT" w:hAnsi="Arial MT"/>
          <w:spacing w:val="-8"/>
          <w:sz w:val="24"/>
        </w:rPr>
        <w:t> </w:t>
      </w:r>
      <w:r>
        <w:rPr>
          <w:rFonts w:ascii="Arial MT" w:hAnsi="Arial MT"/>
          <w:sz w:val="24"/>
        </w:rPr>
        <w:t>requiring</w:t>
      </w:r>
      <w:r>
        <w:rPr>
          <w:rFonts w:ascii="Arial MT" w:hAnsi="Arial MT"/>
          <w:spacing w:val="-2"/>
          <w:sz w:val="24"/>
        </w:rPr>
        <w:t> </w:t>
      </w:r>
      <w:r>
        <w:rPr>
          <w:rFonts w:ascii="Arial MT" w:hAnsi="Arial MT"/>
          <w:sz w:val="24"/>
        </w:rPr>
        <w:t>approval of</w:t>
      </w:r>
      <w:r>
        <w:rPr>
          <w:rFonts w:ascii="Arial MT" w:hAnsi="Arial MT"/>
          <w:spacing w:val="-3"/>
          <w:sz w:val="24"/>
        </w:rPr>
        <w:t> </w:t>
      </w:r>
      <w:r>
        <w:rPr>
          <w:rFonts w:ascii="Arial MT" w:hAnsi="Arial MT"/>
          <w:sz w:val="24"/>
        </w:rPr>
        <w:t>members),</w:t>
      </w:r>
      <w:r>
        <w:rPr>
          <w:rFonts w:ascii="Arial MT" w:hAnsi="Arial MT"/>
          <w:spacing w:val="-3"/>
          <w:sz w:val="24"/>
        </w:rPr>
        <w:t> </w:t>
      </w:r>
      <w:r>
        <w:rPr>
          <w:rFonts w:ascii="Arial MT" w:hAnsi="Arial MT"/>
          <w:sz w:val="24"/>
        </w:rPr>
        <w:t>except that where that Chapter applies and—</w:t>
      </w:r>
    </w:p>
    <w:p>
      <w:pPr>
        <w:pStyle w:val="ListParagraph"/>
        <w:numPr>
          <w:ilvl w:val="1"/>
          <w:numId w:val="33"/>
        </w:numPr>
        <w:tabs>
          <w:tab w:pos="670" w:val="left" w:leader="none"/>
        </w:tabs>
        <w:spacing w:line="274" w:lineRule="exact" w:before="0" w:after="0"/>
        <w:ind w:left="670" w:right="0" w:hanging="362"/>
        <w:jc w:val="both"/>
        <w:rPr>
          <w:rFonts w:ascii="Arial MT"/>
          <w:sz w:val="24"/>
        </w:rPr>
      </w:pPr>
      <w:r>
        <w:rPr>
          <w:rFonts w:ascii="Arial MT"/>
          <w:sz w:val="24"/>
        </w:rPr>
        <w:t>approval</w:t>
      </w:r>
      <w:r>
        <w:rPr>
          <w:rFonts w:ascii="Arial MT"/>
          <w:spacing w:val="-11"/>
          <w:sz w:val="24"/>
        </w:rPr>
        <w:t> </w:t>
      </w:r>
      <w:r>
        <w:rPr>
          <w:rFonts w:ascii="Arial MT"/>
          <w:sz w:val="24"/>
        </w:rPr>
        <w:t>is</w:t>
      </w:r>
      <w:r>
        <w:rPr>
          <w:rFonts w:ascii="Arial MT"/>
          <w:spacing w:val="-13"/>
          <w:sz w:val="24"/>
        </w:rPr>
        <w:t> </w:t>
      </w:r>
      <w:r>
        <w:rPr>
          <w:rFonts w:ascii="Arial MT"/>
          <w:sz w:val="24"/>
        </w:rPr>
        <w:t>given</w:t>
      </w:r>
      <w:r>
        <w:rPr>
          <w:rFonts w:ascii="Arial MT"/>
          <w:spacing w:val="-9"/>
          <w:sz w:val="24"/>
        </w:rPr>
        <w:t> </w:t>
      </w:r>
      <w:r>
        <w:rPr>
          <w:rFonts w:ascii="Arial MT"/>
          <w:sz w:val="24"/>
        </w:rPr>
        <w:t>under</w:t>
      </w:r>
      <w:r>
        <w:rPr>
          <w:rFonts w:ascii="Arial MT"/>
          <w:spacing w:val="-9"/>
          <w:sz w:val="24"/>
        </w:rPr>
        <w:t> </w:t>
      </w:r>
      <w:r>
        <w:rPr>
          <w:rFonts w:ascii="Arial MT"/>
          <w:sz w:val="24"/>
        </w:rPr>
        <w:t>that</w:t>
      </w:r>
      <w:r>
        <w:rPr>
          <w:rFonts w:ascii="Arial MT"/>
          <w:spacing w:val="-9"/>
          <w:sz w:val="24"/>
        </w:rPr>
        <w:t> </w:t>
      </w:r>
      <w:r>
        <w:rPr>
          <w:rFonts w:ascii="Arial MT"/>
          <w:sz w:val="24"/>
        </w:rPr>
        <w:t>Chapter,</w:t>
      </w:r>
      <w:r>
        <w:rPr>
          <w:rFonts w:ascii="Arial MT"/>
          <w:spacing w:val="-12"/>
          <w:sz w:val="24"/>
        </w:rPr>
        <w:t> </w:t>
      </w:r>
      <w:r>
        <w:rPr>
          <w:rFonts w:ascii="Arial MT"/>
          <w:spacing w:val="-5"/>
          <w:sz w:val="24"/>
        </w:rPr>
        <w:t>or</w:t>
      </w:r>
    </w:p>
    <w:p>
      <w:pPr>
        <w:spacing w:after="0" w:line="274" w:lineRule="exact"/>
        <w:jc w:val="both"/>
        <w:rPr>
          <w:rFonts w:ascii="Arial MT"/>
          <w:sz w:val="24"/>
        </w:rPr>
        <w:sectPr>
          <w:pgSz w:w="11910" w:h="16840"/>
          <w:pgMar w:header="0" w:footer="998" w:top="1320" w:bottom="1180" w:left="1680" w:right="1180"/>
        </w:sectPr>
      </w:pPr>
    </w:p>
    <w:p>
      <w:pPr>
        <w:pStyle w:val="ListParagraph"/>
        <w:numPr>
          <w:ilvl w:val="1"/>
          <w:numId w:val="33"/>
        </w:numPr>
        <w:tabs>
          <w:tab w:pos="670" w:val="left" w:leader="none"/>
        </w:tabs>
        <w:spacing w:line="276" w:lineRule="auto" w:before="69" w:after="0"/>
        <w:ind w:left="308" w:right="726" w:firstLine="0"/>
        <w:jc w:val="left"/>
        <w:rPr>
          <w:rFonts w:ascii="Arial MT"/>
          <w:sz w:val="24"/>
        </w:rPr>
      </w:pPr>
      <w:r>
        <w:rPr>
          <w:rFonts w:ascii="Arial MT"/>
          <w:sz w:val="24"/>
        </w:rPr>
        <w:t>the matter is one as to which it is provided that approval is</w:t>
      </w:r>
      <w:r>
        <w:rPr>
          <w:rFonts w:ascii="Arial MT"/>
          <w:spacing w:val="20"/>
          <w:sz w:val="24"/>
        </w:rPr>
        <w:t> </w:t>
      </w:r>
      <w:r>
        <w:rPr>
          <w:rFonts w:ascii="Arial MT"/>
          <w:sz w:val="24"/>
        </w:rPr>
        <w:t>not needed, it</w:t>
      </w:r>
      <w:r>
        <w:rPr>
          <w:rFonts w:ascii="Arial MT"/>
          <w:spacing w:val="-6"/>
          <w:sz w:val="24"/>
        </w:rPr>
        <w:t> </w:t>
      </w:r>
      <w:r>
        <w:rPr>
          <w:rFonts w:ascii="Arial MT"/>
          <w:sz w:val="24"/>
        </w:rPr>
        <w:t>is</w:t>
      </w:r>
      <w:r>
        <w:rPr>
          <w:rFonts w:ascii="Arial MT"/>
          <w:spacing w:val="-2"/>
          <w:sz w:val="24"/>
        </w:rPr>
        <w:t> </w:t>
      </w:r>
      <w:r>
        <w:rPr>
          <w:rFonts w:ascii="Arial MT"/>
          <w:sz w:val="24"/>
        </w:rPr>
        <w:t>not</w:t>
      </w:r>
      <w:r>
        <w:rPr>
          <w:rFonts w:ascii="Arial MT"/>
          <w:spacing w:val="-2"/>
          <w:sz w:val="24"/>
        </w:rPr>
        <w:t> </w:t>
      </w:r>
      <w:r>
        <w:rPr>
          <w:rFonts w:ascii="Arial MT"/>
          <w:sz w:val="24"/>
        </w:rPr>
        <w:t>necessary</w:t>
      </w:r>
      <w:r>
        <w:rPr>
          <w:rFonts w:ascii="Arial MT"/>
          <w:spacing w:val="-2"/>
          <w:sz w:val="24"/>
        </w:rPr>
        <w:t> </w:t>
      </w:r>
      <w:r>
        <w:rPr>
          <w:rFonts w:ascii="Arial MT"/>
          <w:sz w:val="24"/>
        </w:rPr>
        <w:t>also</w:t>
      </w:r>
      <w:r>
        <w:rPr>
          <w:rFonts w:ascii="Arial MT"/>
          <w:spacing w:val="-6"/>
          <w:sz w:val="24"/>
        </w:rPr>
        <w:t> </w:t>
      </w:r>
      <w:r>
        <w:rPr>
          <w:rFonts w:ascii="Arial MT"/>
          <w:sz w:val="24"/>
        </w:rPr>
        <w:t>to</w:t>
      </w:r>
      <w:r>
        <w:rPr>
          <w:rFonts w:ascii="Arial MT"/>
          <w:spacing w:val="-2"/>
          <w:sz w:val="24"/>
        </w:rPr>
        <w:t> </w:t>
      </w:r>
      <w:r>
        <w:rPr>
          <w:rFonts w:ascii="Arial MT"/>
          <w:sz w:val="24"/>
        </w:rPr>
        <w:t>comply</w:t>
      </w:r>
      <w:r>
        <w:rPr>
          <w:rFonts w:ascii="Arial MT"/>
          <w:spacing w:val="-2"/>
          <w:sz w:val="24"/>
        </w:rPr>
        <w:t> </w:t>
      </w:r>
      <w:r>
        <w:rPr>
          <w:rFonts w:ascii="Arial MT"/>
          <w:sz w:val="24"/>
        </w:rPr>
        <w:t>with</w:t>
      </w:r>
      <w:r>
        <w:rPr>
          <w:rFonts w:ascii="Arial MT"/>
          <w:spacing w:val="-2"/>
          <w:sz w:val="24"/>
        </w:rPr>
        <w:t> </w:t>
      </w:r>
      <w:r>
        <w:rPr>
          <w:rFonts w:ascii="Arial MT"/>
          <w:sz w:val="24"/>
        </w:rPr>
        <w:t>section</w:t>
      </w:r>
      <w:r>
        <w:rPr>
          <w:rFonts w:ascii="Arial MT"/>
          <w:spacing w:val="-11"/>
          <w:sz w:val="24"/>
        </w:rPr>
        <w:t> </w:t>
      </w:r>
      <w:r>
        <w:rPr>
          <w:rFonts w:ascii="Arial MT"/>
          <w:sz w:val="24"/>
        </w:rPr>
        <w:t>175</w:t>
      </w:r>
      <w:r>
        <w:rPr>
          <w:rFonts w:ascii="Arial MT"/>
          <w:spacing w:val="-2"/>
          <w:sz w:val="24"/>
        </w:rPr>
        <w:t> </w:t>
      </w:r>
      <w:r>
        <w:rPr>
          <w:rFonts w:ascii="Arial MT"/>
          <w:sz w:val="24"/>
        </w:rPr>
        <w:t>(duty</w:t>
      </w:r>
      <w:r>
        <w:rPr>
          <w:rFonts w:ascii="Arial MT"/>
          <w:spacing w:val="-2"/>
          <w:sz w:val="24"/>
        </w:rPr>
        <w:t> </w:t>
      </w:r>
      <w:r>
        <w:rPr>
          <w:rFonts w:ascii="Arial MT"/>
          <w:sz w:val="24"/>
        </w:rPr>
        <w:t>to</w:t>
      </w:r>
      <w:r>
        <w:rPr>
          <w:rFonts w:ascii="Arial MT"/>
          <w:spacing w:val="-2"/>
          <w:sz w:val="24"/>
        </w:rPr>
        <w:t> </w:t>
      </w:r>
      <w:r>
        <w:rPr>
          <w:rFonts w:ascii="Arial MT"/>
          <w:sz w:val="24"/>
        </w:rPr>
        <w:t>avoid</w:t>
      </w:r>
      <w:r>
        <w:rPr>
          <w:rFonts w:ascii="Arial MT"/>
          <w:spacing w:val="-2"/>
          <w:sz w:val="24"/>
        </w:rPr>
        <w:t> </w:t>
      </w:r>
      <w:r>
        <w:rPr>
          <w:rFonts w:ascii="Arial MT"/>
          <w:sz w:val="24"/>
        </w:rPr>
        <w:t>conflicts</w:t>
      </w:r>
      <w:r>
        <w:rPr>
          <w:rFonts w:ascii="Arial MT"/>
          <w:spacing w:val="-2"/>
          <w:sz w:val="24"/>
        </w:rPr>
        <w:t> </w:t>
      </w:r>
      <w:r>
        <w:rPr>
          <w:rFonts w:ascii="Arial MT"/>
          <w:sz w:val="24"/>
        </w:rPr>
        <w:t>of interest) or section 176 (duty not to accept benefits from third parties).</w:t>
      </w:r>
    </w:p>
    <w:p>
      <w:pPr>
        <w:pStyle w:val="ListParagraph"/>
        <w:numPr>
          <w:ilvl w:val="0"/>
          <w:numId w:val="33"/>
        </w:numPr>
        <w:tabs>
          <w:tab w:pos="669" w:val="left" w:leader="none"/>
        </w:tabs>
        <w:spacing w:line="278" w:lineRule="auto" w:before="0" w:after="0"/>
        <w:ind w:left="308" w:right="414" w:firstLine="0"/>
        <w:jc w:val="both"/>
        <w:rPr>
          <w:rFonts w:ascii="Arial MT"/>
          <w:sz w:val="24"/>
        </w:rPr>
      </w:pPr>
      <w:r>
        <w:rPr>
          <w:rFonts w:ascii="Arial MT"/>
          <w:sz w:val="24"/>
        </w:rPr>
        <w:t>Compliance with the general</w:t>
      </w:r>
      <w:r>
        <w:rPr>
          <w:rFonts w:ascii="Arial MT"/>
          <w:spacing w:val="-1"/>
          <w:sz w:val="24"/>
        </w:rPr>
        <w:t> </w:t>
      </w:r>
      <w:r>
        <w:rPr>
          <w:rFonts w:ascii="Arial MT"/>
          <w:sz w:val="24"/>
        </w:rPr>
        <w:t>duties does not remove the need for approval under</w:t>
      </w:r>
      <w:r>
        <w:rPr>
          <w:rFonts w:ascii="Arial MT"/>
          <w:spacing w:val="-2"/>
          <w:sz w:val="24"/>
        </w:rPr>
        <w:t> </w:t>
      </w:r>
      <w:r>
        <w:rPr>
          <w:rFonts w:ascii="Arial MT"/>
          <w:sz w:val="24"/>
        </w:rPr>
        <w:t>any</w:t>
      </w:r>
      <w:r>
        <w:rPr>
          <w:rFonts w:ascii="Arial MT"/>
          <w:spacing w:val="-3"/>
          <w:sz w:val="24"/>
        </w:rPr>
        <w:t> </w:t>
      </w:r>
      <w:r>
        <w:rPr>
          <w:rFonts w:ascii="Arial MT"/>
          <w:sz w:val="24"/>
        </w:rPr>
        <w:t>applicable</w:t>
      </w:r>
      <w:r>
        <w:rPr>
          <w:rFonts w:ascii="Arial MT"/>
          <w:spacing w:val="-3"/>
          <w:sz w:val="24"/>
        </w:rPr>
        <w:t> </w:t>
      </w:r>
      <w:r>
        <w:rPr>
          <w:rFonts w:ascii="Arial MT"/>
          <w:sz w:val="24"/>
        </w:rPr>
        <w:t>provision</w:t>
      </w:r>
      <w:r>
        <w:rPr>
          <w:rFonts w:ascii="Arial MT"/>
          <w:spacing w:val="-3"/>
          <w:sz w:val="24"/>
        </w:rPr>
        <w:t> </w:t>
      </w:r>
      <w:r>
        <w:rPr>
          <w:rFonts w:ascii="Arial MT"/>
          <w:sz w:val="24"/>
        </w:rPr>
        <w:t>of</w:t>
      </w:r>
      <w:r>
        <w:rPr>
          <w:rFonts w:ascii="Arial MT"/>
          <w:spacing w:val="-3"/>
          <w:sz w:val="24"/>
        </w:rPr>
        <w:t> </w:t>
      </w:r>
      <w:r>
        <w:rPr>
          <w:rFonts w:ascii="Arial MT"/>
          <w:sz w:val="24"/>
        </w:rPr>
        <w:t>Chapter</w:t>
      </w:r>
      <w:r>
        <w:rPr>
          <w:rFonts w:ascii="Arial MT"/>
          <w:spacing w:val="-6"/>
          <w:sz w:val="24"/>
        </w:rPr>
        <w:t> </w:t>
      </w:r>
      <w:r>
        <w:rPr>
          <w:rFonts w:ascii="Arial MT"/>
          <w:sz w:val="24"/>
        </w:rPr>
        <w:t>4</w:t>
      </w:r>
      <w:r>
        <w:rPr>
          <w:rFonts w:ascii="Arial MT"/>
          <w:spacing w:val="-3"/>
          <w:sz w:val="24"/>
        </w:rPr>
        <w:t> </w:t>
      </w:r>
      <w:r>
        <w:rPr>
          <w:rFonts w:ascii="Arial MT"/>
          <w:sz w:val="24"/>
        </w:rPr>
        <w:t>(transactions</w:t>
      </w:r>
      <w:r>
        <w:rPr>
          <w:rFonts w:ascii="Arial MT"/>
          <w:spacing w:val="-8"/>
          <w:sz w:val="24"/>
        </w:rPr>
        <w:t> </w:t>
      </w:r>
      <w:r>
        <w:rPr>
          <w:rFonts w:ascii="Arial MT"/>
          <w:sz w:val="24"/>
        </w:rPr>
        <w:t>requiring</w:t>
      </w:r>
      <w:r>
        <w:rPr>
          <w:rFonts w:ascii="Arial MT"/>
          <w:spacing w:val="-3"/>
          <w:sz w:val="24"/>
        </w:rPr>
        <w:t> </w:t>
      </w:r>
      <w:r>
        <w:rPr>
          <w:rFonts w:ascii="Arial MT"/>
          <w:sz w:val="24"/>
        </w:rPr>
        <w:t>approval</w:t>
      </w:r>
      <w:r>
        <w:rPr>
          <w:rFonts w:ascii="Arial MT"/>
          <w:spacing w:val="-4"/>
          <w:sz w:val="24"/>
        </w:rPr>
        <w:t> </w:t>
      </w:r>
      <w:r>
        <w:rPr>
          <w:rFonts w:ascii="Arial MT"/>
          <w:sz w:val="24"/>
        </w:rPr>
        <w:t>of </w:t>
      </w:r>
      <w:r>
        <w:rPr>
          <w:rFonts w:ascii="Arial MT"/>
          <w:spacing w:val="-2"/>
          <w:sz w:val="24"/>
        </w:rPr>
        <w:t>members).</w:t>
      </w:r>
    </w:p>
    <w:p>
      <w:pPr>
        <w:pStyle w:val="ListParagraph"/>
        <w:numPr>
          <w:ilvl w:val="0"/>
          <w:numId w:val="33"/>
        </w:numPr>
        <w:tabs>
          <w:tab w:pos="669" w:val="left" w:leader="none"/>
        </w:tabs>
        <w:spacing w:line="271" w:lineRule="exact" w:before="0" w:after="0"/>
        <w:ind w:left="669" w:right="0" w:hanging="361"/>
        <w:jc w:val="both"/>
        <w:rPr>
          <w:rFonts w:ascii="Arial MT" w:hAnsi="Arial MT"/>
          <w:sz w:val="24"/>
        </w:rPr>
      </w:pPr>
      <w:r>
        <w:rPr>
          <w:rFonts w:ascii="Arial MT" w:hAnsi="Arial MT"/>
          <w:sz w:val="24"/>
        </w:rPr>
        <w:t>The</w:t>
      </w:r>
      <w:r>
        <w:rPr>
          <w:rFonts w:ascii="Arial MT" w:hAnsi="Arial MT"/>
          <w:spacing w:val="-5"/>
          <w:sz w:val="24"/>
        </w:rPr>
        <w:t> </w:t>
      </w:r>
      <w:r>
        <w:rPr>
          <w:rFonts w:ascii="Arial MT" w:hAnsi="Arial MT"/>
          <w:sz w:val="24"/>
        </w:rPr>
        <w:t>general</w:t>
      </w:r>
      <w:r>
        <w:rPr>
          <w:rFonts w:ascii="Arial MT" w:hAnsi="Arial MT"/>
          <w:spacing w:val="-5"/>
          <w:sz w:val="24"/>
        </w:rPr>
        <w:t> </w:t>
      </w:r>
      <w:r>
        <w:rPr>
          <w:rFonts w:ascii="Arial MT" w:hAnsi="Arial MT"/>
          <w:spacing w:val="-2"/>
          <w:sz w:val="24"/>
        </w:rPr>
        <w:t>duties—</w:t>
      </w:r>
    </w:p>
    <w:p>
      <w:pPr>
        <w:pStyle w:val="ListParagraph"/>
        <w:numPr>
          <w:ilvl w:val="1"/>
          <w:numId w:val="33"/>
        </w:numPr>
        <w:tabs>
          <w:tab w:pos="670" w:val="left" w:leader="none"/>
        </w:tabs>
        <w:spacing w:line="276" w:lineRule="auto" w:before="39" w:after="0"/>
        <w:ind w:left="308" w:right="253" w:firstLine="0"/>
        <w:jc w:val="both"/>
        <w:rPr>
          <w:rFonts w:ascii="Arial MT"/>
          <w:sz w:val="24"/>
        </w:rPr>
      </w:pPr>
      <w:r>
        <w:rPr>
          <w:rFonts w:ascii="Arial MT"/>
          <w:sz w:val="24"/>
        </w:rPr>
        <w:t>have</w:t>
      </w:r>
      <w:r>
        <w:rPr>
          <w:rFonts w:ascii="Arial MT"/>
          <w:spacing w:val="-2"/>
          <w:sz w:val="24"/>
        </w:rPr>
        <w:t> </w:t>
      </w:r>
      <w:r>
        <w:rPr>
          <w:rFonts w:ascii="Arial MT"/>
          <w:sz w:val="24"/>
        </w:rPr>
        <w:t>effect</w:t>
      </w:r>
      <w:r>
        <w:rPr>
          <w:rFonts w:ascii="Arial MT"/>
          <w:spacing w:val="-7"/>
          <w:sz w:val="24"/>
        </w:rPr>
        <w:t> </w:t>
      </w:r>
      <w:r>
        <w:rPr>
          <w:rFonts w:ascii="Arial MT"/>
          <w:sz w:val="24"/>
        </w:rPr>
        <w:t>subject</w:t>
      </w:r>
      <w:r>
        <w:rPr>
          <w:rFonts w:ascii="Arial MT"/>
          <w:spacing w:val="-2"/>
          <w:sz w:val="24"/>
        </w:rPr>
        <w:t> </w:t>
      </w:r>
      <w:r>
        <w:rPr>
          <w:rFonts w:ascii="Arial MT"/>
          <w:sz w:val="24"/>
        </w:rPr>
        <w:t>to</w:t>
      </w:r>
      <w:r>
        <w:rPr>
          <w:rFonts w:ascii="Arial MT"/>
          <w:spacing w:val="-1"/>
          <w:sz w:val="24"/>
        </w:rPr>
        <w:t> </w:t>
      </w:r>
      <w:r>
        <w:rPr>
          <w:rFonts w:ascii="Arial MT"/>
          <w:sz w:val="24"/>
        </w:rPr>
        <w:t>any</w:t>
      </w:r>
      <w:r>
        <w:rPr>
          <w:rFonts w:ascii="Arial MT"/>
          <w:spacing w:val="-7"/>
          <w:sz w:val="24"/>
        </w:rPr>
        <w:t> </w:t>
      </w:r>
      <w:r>
        <w:rPr>
          <w:rFonts w:ascii="Arial MT"/>
          <w:sz w:val="24"/>
        </w:rPr>
        <w:t>rule</w:t>
      </w:r>
      <w:r>
        <w:rPr>
          <w:rFonts w:ascii="Arial MT"/>
          <w:spacing w:val="-2"/>
          <w:sz w:val="24"/>
        </w:rPr>
        <w:t> </w:t>
      </w:r>
      <w:r>
        <w:rPr>
          <w:rFonts w:ascii="Arial MT"/>
          <w:sz w:val="24"/>
        </w:rPr>
        <w:t>of</w:t>
      </w:r>
      <w:r>
        <w:rPr>
          <w:rFonts w:ascii="Arial MT"/>
          <w:spacing w:val="-6"/>
          <w:sz w:val="24"/>
        </w:rPr>
        <w:t> </w:t>
      </w:r>
      <w:r>
        <w:rPr>
          <w:rFonts w:ascii="Arial MT"/>
          <w:sz w:val="24"/>
        </w:rPr>
        <w:t>law</w:t>
      </w:r>
      <w:r>
        <w:rPr>
          <w:rFonts w:ascii="Arial MT"/>
          <w:spacing w:val="-8"/>
          <w:sz w:val="24"/>
        </w:rPr>
        <w:t> </w:t>
      </w:r>
      <w:r>
        <w:rPr>
          <w:rFonts w:ascii="Arial MT"/>
          <w:sz w:val="24"/>
        </w:rPr>
        <w:t>enabling</w:t>
      </w:r>
      <w:r>
        <w:rPr>
          <w:rFonts w:ascii="Arial MT"/>
          <w:spacing w:val="-6"/>
          <w:sz w:val="24"/>
        </w:rPr>
        <w:t> </w:t>
      </w:r>
      <w:r>
        <w:rPr>
          <w:rFonts w:ascii="Arial MT"/>
          <w:sz w:val="24"/>
        </w:rPr>
        <w:t>the</w:t>
      </w:r>
      <w:r>
        <w:rPr>
          <w:rFonts w:ascii="Arial MT"/>
          <w:spacing w:val="-2"/>
          <w:sz w:val="24"/>
        </w:rPr>
        <w:t> </w:t>
      </w:r>
      <w:r>
        <w:rPr>
          <w:rFonts w:ascii="Arial MT"/>
          <w:sz w:val="24"/>
        </w:rPr>
        <w:t>company</w:t>
      </w:r>
      <w:r>
        <w:rPr>
          <w:rFonts w:ascii="Arial MT"/>
          <w:spacing w:val="-2"/>
          <w:sz w:val="24"/>
        </w:rPr>
        <w:t> </w:t>
      </w:r>
      <w:r>
        <w:rPr>
          <w:rFonts w:ascii="Arial MT"/>
          <w:sz w:val="24"/>
        </w:rPr>
        <w:t>to</w:t>
      </w:r>
      <w:r>
        <w:rPr>
          <w:rFonts w:ascii="Arial MT"/>
          <w:spacing w:val="-2"/>
          <w:sz w:val="24"/>
        </w:rPr>
        <w:t> </w:t>
      </w:r>
      <w:r>
        <w:rPr>
          <w:rFonts w:ascii="Arial MT"/>
          <w:sz w:val="24"/>
        </w:rPr>
        <w:t>give</w:t>
      </w:r>
      <w:r>
        <w:rPr>
          <w:rFonts w:ascii="Arial MT"/>
          <w:spacing w:val="-2"/>
          <w:sz w:val="24"/>
        </w:rPr>
        <w:t> </w:t>
      </w:r>
      <w:r>
        <w:rPr>
          <w:rFonts w:ascii="Arial MT"/>
          <w:sz w:val="24"/>
        </w:rPr>
        <w:t>authority, specifically</w:t>
      </w:r>
      <w:r>
        <w:rPr>
          <w:rFonts w:ascii="Arial MT"/>
          <w:spacing w:val="-3"/>
          <w:sz w:val="24"/>
        </w:rPr>
        <w:t> </w:t>
      </w:r>
      <w:r>
        <w:rPr>
          <w:rFonts w:ascii="Arial MT"/>
          <w:sz w:val="24"/>
        </w:rPr>
        <w:t>or generally,</w:t>
      </w:r>
      <w:r>
        <w:rPr>
          <w:rFonts w:ascii="Arial MT"/>
          <w:spacing w:val="-2"/>
          <w:sz w:val="24"/>
        </w:rPr>
        <w:t> </w:t>
      </w:r>
      <w:r>
        <w:rPr>
          <w:rFonts w:ascii="Arial MT"/>
          <w:sz w:val="24"/>
        </w:rPr>
        <w:t>for anything to be done (or</w:t>
      </w:r>
      <w:r>
        <w:rPr>
          <w:rFonts w:ascii="Arial MT"/>
          <w:spacing w:val="-2"/>
          <w:sz w:val="24"/>
        </w:rPr>
        <w:t> </w:t>
      </w:r>
      <w:r>
        <w:rPr>
          <w:rFonts w:ascii="Arial MT"/>
          <w:sz w:val="24"/>
        </w:rPr>
        <w:t>omitted) by the directors,</w:t>
      </w:r>
      <w:r>
        <w:rPr>
          <w:rFonts w:ascii="Arial MT"/>
          <w:spacing w:val="-2"/>
          <w:sz w:val="24"/>
        </w:rPr>
        <w:t> </w:t>
      </w:r>
      <w:r>
        <w:rPr>
          <w:rFonts w:ascii="Arial MT"/>
          <w:sz w:val="24"/>
        </w:rPr>
        <w:t>or any of them, that would otherwise be a breach of duty, and</w:t>
      </w:r>
    </w:p>
    <w:p>
      <w:pPr>
        <w:pStyle w:val="ListParagraph"/>
        <w:numPr>
          <w:ilvl w:val="1"/>
          <w:numId w:val="33"/>
        </w:numPr>
        <w:tabs>
          <w:tab w:pos="670" w:val="left" w:leader="none"/>
        </w:tabs>
        <w:spacing w:line="276" w:lineRule="auto" w:before="0" w:after="0"/>
        <w:ind w:left="308" w:right="387" w:firstLine="0"/>
        <w:jc w:val="both"/>
        <w:rPr>
          <w:rFonts w:ascii="Arial MT" w:hAnsi="Arial MT"/>
          <w:sz w:val="24"/>
        </w:rPr>
      </w:pPr>
      <w:r>
        <w:rPr>
          <w:rFonts w:ascii="Arial MT" w:hAnsi="Arial MT"/>
          <w:sz w:val="24"/>
        </w:rPr>
        <w:t>where the</w:t>
      </w:r>
      <w:r>
        <w:rPr>
          <w:rFonts w:ascii="Arial MT" w:hAnsi="Arial MT"/>
          <w:spacing w:val="-4"/>
          <w:sz w:val="24"/>
        </w:rPr>
        <w:t> </w:t>
      </w:r>
      <w:r>
        <w:rPr>
          <w:rFonts w:ascii="Arial MT" w:hAnsi="Arial MT"/>
          <w:sz w:val="24"/>
        </w:rPr>
        <w:t>company’s articles</w:t>
      </w:r>
      <w:r>
        <w:rPr>
          <w:rFonts w:ascii="Arial MT" w:hAnsi="Arial MT"/>
          <w:spacing w:val="-5"/>
          <w:sz w:val="24"/>
        </w:rPr>
        <w:t> </w:t>
      </w:r>
      <w:r>
        <w:rPr>
          <w:rFonts w:ascii="Arial MT" w:hAnsi="Arial MT"/>
          <w:sz w:val="24"/>
        </w:rPr>
        <w:t>contain</w:t>
      </w:r>
      <w:r>
        <w:rPr>
          <w:rFonts w:ascii="Arial MT" w:hAnsi="Arial MT"/>
          <w:spacing w:val="-4"/>
          <w:sz w:val="24"/>
        </w:rPr>
        <w:t> </w:t>
      </w:r>
      <w:r>
        <w:rPr>
          <w:rFonts w:ascii="Arial MT" w:hAnsi="Arial MT"/>
          <w:sz w:val="24"/>
        </w:rPr>
        <w:t>provisions</w:t>
      </w:r>
      <w:r>
        <w:rPr>
          <w:rFonts w:ascii="Arial MT" w:hAnsi="Arial MT"/>
          <w:spacing w:val="-5"/>
          <w:sz w:val="24"/>
        </w:rPr>
        <w:t> </w:t>
      </w:r>
      <w:r>
        <w:rPr>
          <w:rFonts w:ascii="Arial MT" w:hAnsi="Arial MT"/>
          <w:sz w:val="24"/>
        </w:rPr>
        <w:t>for dealing with conflicts of interest,</w:t>
      </w:r>
      <w:r>
        <w:rPr>
          <w:rFonts w:ascii="Arial MT" w:hAnsi="Arial MT"/>
          <w:spacing w:val="-2"/>
          <w:sz w:val="24"/>
        </w:rPr>
        <w:t> </w:t>
      </w:r>
      <w:r>
        <w:rPr>
          <w:rFonts w:ascii="Arial MT" w:hAnsi="Arial MT"/>
          <w:sz w:val="24"/>
        </w:rPr>
        <w:t>are</w:t>
      </w:r>
      <w:r>
        <w:rPr>
          <w:rFonts w:ascii="Arial MT" w:hAnsi="Arial MT"/>
          <w:spacing w:val="-2"/>
          <w:sz w:val="24"/>
        </w:rPr>
        <w:t> </w:t>
      </w:r>
      <w:r>
        <w:rPr>
          <w:rFonts w:ascii="Arial MT" w:hAnsi="Arial MT"/>
          <w:sz w:val="24"/>
        </w:rPr>
        <w:t>not</w:t>
      </w:r>
      <w:r>
        <w:rPr>
          <w:rFonts w:ascii="Arial MT" w:hAnsi="Arial MT"/>
          <w:spacing w:val="-5"/>
          <w:sz w:val="24"/>
        </w:rPr>
        <w:t> </w:t>
      </w:r>
      <w:r>
        <w:rPr>
          <w:rFonts w:ascii="Arial MT" w:hAnsi="Arial MT"/>
          <w:sz w:val="24"/>
        </w:rPr>
        <w:t>infringed</w:t>
      </w:r>
      <w:r>
        <w:rPr>
          <w:rFonts w:ascii="Arial MT" w:hAnsi="Arial MT"/>
          <w:spacing w:val="-2"/>
          <w:sz w:val="24"/>
        </w:rPr>
        <w:t> </w:t>
      </w:r>
      <w:r>
        <w:rPr>
          <w:rFonts w:ascii="Arial MT" w:hAnsi="Arial MT"/>
          <w:sz w:val="24"/>
        </w:rPr>
        <w:t>by</w:t>
      </w:r>
      <w:r>
        <w:rPr>
          <w:rFonts w:ascii="Arial MT" w:hAnsi="Arial MT"/>
          <w:spacing w:val="-6"/>
          <w:sz w:val="24"/>
        </w:rPr>
        <w:t> </w:t>
      </w:r>
      <w:r>
        <w:rPr>
          <w:rFonts w:ascii="Arial MT" w:hAnsi="Arial MT"/>
          <w:sz w:val="24"/>
        </w:rPr>
        <w:t>anything</w:t>
      </w:r>
      <w:r>
        <w:rPr>
          <w:rFonts w:ascii="Arial MT" w:hAnsi="Arial MT"/>
          <w:spacing w:val="-5"/>
          <w:sz w:val="24"/>
        </w:rPr>
        <w:t> </w:t>
      </w:r>
      <w:r>
        <w:rPr>
          <w:rFonts w:ascii="Arial MT" w:hAnsi="Arial MT"/>
          <w:sz w:val="24"/>
        </w:rPr>
        <w:t>done</w:t>
      </w:r>
      <w:r>
        <w:rPr>
          <w:rFonts w:ascii="Arial MT" w:hAnsi="Arial MT"/>
          <w:spacing w:val="-5"/>
          <w:sz w:val="24"/>
        </w:rPr>
        <w:t> </w:t>
      </w:r>
      <w:r>
        <w:rPr>
          <w:rFonts w:ascii="Arial MT" w:hAnsi="Arial MT"/>
          <w:sz w:val="24"/>
        </w:rPr>
        <w:t>(or</w:t>
      </w:r>
      <w:r>
        <w:rPr>
          <w:rFonts w:ascii="Arial MT" w:hAnsi="Arial MT"/>
          <w:spacing w:val="-5"/>
          <w:sz w:val="24"/>
        </w:rPr>
        <w:t> </w:t>
      </w:r>
      <w:r>
        <w:rPr>
          <w:rFonts w:ascii="Arial MT" w:hAnsi="Arial MT"/>
          <w:sz w:val="24"/>
        </w:rPr>
        <w:t>omitted)</w:t>
      </w:r>
      <w:r>
        <w:rPr>
          <w:rFonts w:ascii="Arial MT" w:hAnsi="Arial MT"/>
          <w:spacing w:val="-1"/>
          <w:sz w:val="24"/>
        </w:rPr>
        <w:t> </w:t>
      </w:r>
      <w:r>
        <w:rPr>
          <w:rFonts w:ascii="Arial MT" w:hAnsi="Arial MT"/>
          <w:sz w:val="24"/>
        </w:rPr>
        <w:t>by</w:t>
      </w:r>
      <w:r>
        <w:rPr>
          <w:rFonts w:ascii="Arial MT" w:hAnsi="Arial MT"/>
          <w:spacing w:val="-2"/>
          <w:sz w:val="24"/>
        </w:rPr>
        <w:t> </w:t>
      </w:r>
      <w:r>
        <w:rPr>
          <w:rFonts w:ascii="Arial MT" w:hAnsi="Arial MT"/>
          <w:sz w:val="24"/>
        </w:rPr>
        <w:t>the</w:t>
      </w:r>
      <w:r>
        <w:rPr>
          <w:rFonts w:ascii="Arial MT" w:hAnsi="Arial MT"/>
          <w:spacing w:val="-5"/>
          <w:sz w:val="24"/>
        </w:rPr>
        <w:t> </w:t>
      </w:r>
      <w:r>
        <w:rPr>
          <w:rFonts w:ascii="Arial MT" w:hAnsi="Arial MT"/>
          <w:sz w:val="24"/>
        </w:rPr>
        <w:t>directors,</w:t>
      </w:r>
      <w:r>
        <w:rPr>
          <w:rFonts w:ascii="Arial MT" w:hAnsi="Arial MT"/>
          <w:spacing w:val="-2"/>
          <w:sz w:val="24"/>
        </w:rPr>
        <w:t> </w:t>
      </w:r>
      <w:r>
        <w:rPr>
          <w:rFonts w:ascii="Arial MT" w:hAnsi="Arial MT"/>
          <w:sz w:val="24"/>
        </w:rPr>
        <w:t>or</w:t>
      </w:r>
      <w:r>
        <w:rPr>
          <w:rFonts w:ascii="Arial MT" w:hAnsi="Arial MT"/>
          <w:spacing w:val="-1"/>
          <w:sz w:val="24"/>
        </w:rPr>
        <w:t> </w:t>
      </w:r>
      <w:r>
        <w:rPr>
          <w:rFonts w:ascii="Arial MT" w:hAnsi="Arial MT"/>
          <w:sz w:val="24"/>
        </w:rPr>
        <w:t>any of them, in accordance with those provisions.</w:t>
      </w:r>
    </w:p>
    <w:p>
      <w:pPr>
        <w:pStyle w:val="ListParagraph"/>
        <w:numPr>
          <w:ilvl w:val="0"/>
          <w:numId w:val="33"/>
        </w:numPr>
        <w:tabs>
          <w:tab w:pos="669" w:val="left" w:leader="none"/>
        </w:tabs>
        <w:spacing w:line="276" w:lineRule="auto" w:before="2" w:after="0"/>
        <w:ind w:left="308" w:right="484" w:firstLine="0"/>
        <w:jc w:val="both"/>
        <w:rPr>
          <w:rFonts w:ascii="Arial MT"/>
          <w:sz w:val="24"/>
        </w:rPr>
      </w:pPr>
      <w:r>
        <w:rPr>
          <w:rFonts w:ascii="Arial MT"/>
          <w:sz w:val="24"/>
        </w:rPr>
        <w:t>Otherwise,</w:t>
      </w:r>
      <w:r>
        <w:rPr>
          <w:rFonts w:ascii="Arial MT"/>
          <w:spacing w:val="-4"/>
          <w:sz w:val="24"/>
        </w:rPr>
        <w:t> </w:t>
      </w:r>
      <w:r>
        <w:rPr>
          <w:rFonts w:ascii="Arial MT"/>
          <w:sz w:val="24"/>
        </w:rPr>
        <w:t>the</w:t>
      </w:r>
      <w:r>
        <w:rPr>
          <w:rFonts w:ascii="Arial MT"/>
          <w:spacing w:val="-4"/>
          <w:sz w:val="24"/>
        </w:rPr>
        <w:t> </w:t>
      </w:r>
      <w:r>
        <w:rPr>
          <w:rFonts w:ascii="Arial MT"/>
          <w:sz w:val="24"/>
        </w:rPr>
        <w:t>general duties</w:t>
      </w:r>
      <w:r>
        <w:rPr>
          <w:rFonts w:ascii="Arial MT"/>
          <w:spacing w:val="-4"/>
          <w:sz w:val="24"/>
        </w:rPr>
        <w:t> </w:t>
      </w:r>
      <w:r>
        <w:rPr>
          <w:rFonts w:ascii="Arial MT"/>
          <w:sz w:val="24"/>
        </w:rPr>
        <w:t>have</w:t>
      </w:r>
      <w:r>
        <w:rPr>
          <w:rFonts w:ascii="Arial MT"/>
          <w:spacing w:val="-8"/>
          <w:sz w:val="24"/>
        </w:rPr>
        <w:t> </w:t>
      </w:r>
      <w:r>
        <w:rPr>
          <w:rFonts w:ascii="Arial MT"/>
          <w:sz w:val="24"/>
        </w:rPr>
        <w:t>effect</w:t>
      </w:r>
      <w:r>
        <w:rPr>
          <w:rFonts w:ascii="Arial MT"/>
          <w:spacing w:val="-8"/>
          <w:sz w:val="24"/>
        </w:rPr>
        <w:t> </w:t>
      </w:r>
      <w:r>
        <w:rPr>
          <w:rFonts w:ascii="Arial MT"/>
          <w:sz w:val="24"/>
        </w:rPr>
        <w:t>(except</w:t>
      </w:r>
      <w:r>
        <w:rPr>
          <w:rFonts w:ascii="Arial MT"/>
          <w:spacing w:val="-4"/>
          <w:sz w:val="24"/>
        </w:rPr>
        <w:t> </w:t>
      </w:r>
      <w:r>
        <w:rPr>
          <w:rFonts w:ascii="Arial MT"/>
          <w:sz w:val="24"/>
        </w:rPr>
        <w:t>as</w:t>
      </w:r>
      <w:r>
        <w:rPr>
          <w:rFonts w:ascii="Arial MT"/>
          <w:spacing w:val="-4"/>
          <w:sz w:val="24"/>
        </w:rPr>
        <w:t> </w:t>
      </w:r>
      <w:r>
        <w:rPr>
          <w:rFonts w:ascii="Arial MT"/>
          <w:sz w:val="24"/>
        </w:rPr>
        <w:t>otherwise</w:t>
      </w:r>
      <w:r>
        <w:rPr>
          <w:rFonts w:ascii="Arial MT"/>
          <w:spacing w:val="-4"/>
          <w:sz w:val="24"/>
        </w:rPr>
        <w:t> </w:t>
      </w:r>
      <w:r>
        <w:rPr>
          <w:rFonts w:ascii="Arial MT"/>
          <w:sz w:val="24"/>
        </w:rPr>
        <w:t>provided</w:t>
      </w:r>
      <w:r>
        <w:rPr>
          <w:rFonts w:ascii="Arial MT"/>
          <w:spacing w:val="-4"/>
          <w:sz w:val="24"/>
        </w:rPr>
        <w:t> </w:t>
      </w:r>
      <w:r>
        <w:rPr>
          <w:rFonts w:ascii="Arial MT"/>
          <w:sz w:val="24"/>
        </w:rPr>
        <w:t>or the context otherwise requires) notwithstanding any enactment or rule of law.</w:t>
      </w:r>
    </w:p>
    <w:p>
      <w:pPr>
        <w:pStyle w:val="BodyText"/>
        <w:spacing w:before="44"/>
        <w:ind w:left="0"/>
        <w:rPr>
          <w:rFonts w:ascii="Arial MT"/>
        </w:rPr>
      </w:pPr>
    </w:p>
    <w:p>
      <w:pPr>
        <w:pStyle w:val="BodyText"/>
        <w:spacing w:before="1"/>
        <w:ind w:left="78"/>
        <w:jc w:val="center"/>
        <w:rPr>
          <w:rFonts w:ascii="Arial Black"/>
        </w:rPr>
      </w:pPr>
      <w:r>
        <w:rPr>
          <w:rFonts w:ascii="Arial Black"/>
        </w:rPr>
        <w:t>APPENDIX</w:t>
      </w:r>
      <w:r>
        <w:rPr>
          <w:rFonts w:ascii="Arial Black"/>
          <w:spacing w:val="-7"/>
        </w:rPr>
        <w:t> </w:t>
      </w:r>
      <w:r>
        <w:rPr>
          <w:rFonts w:ascii="Arial Black"/>
          <w:spacing w:val="-10"/>
        </w:rPr>
        <w:t>B</w:t>
      </w:r>
    </w:p>
    <w:p>
      <w:pPr>
        <w:pStyle w:val="BodyText"/>
        <w:spacing w:before="97"/>
        <w:ind w:left="0"/>
        <w:rPr>
          <w:rFonts w:ascii="Arial Black"/>
        </w:rPr>
      </w:pPr>
    </w:p>
    <w:p>
      <w:pPr>
        <w:pStyle w:val="Heading2"/>
        <w:spacing w:line="276" w:lineRule="auto"/>
        <w:ind w:left="199" w:right="115" w:firstLine="0"/>
        <w:jc w:val="center"/>
      </w:pPr>
      <w:r>
        <w:rPr/>
        <w:t>Comprehensive</w:t>
      </w:r>
      <w:r>
        <w:rPr>
          <w:spacing w:val="-3"/>
        </w:rPr>
        <w:t> </w:t>
      </w:r>
      <w:r>
        <w:rPr/>
        <w:t>Draft</w:t>
      </w:r>
      <w:r>
        <w:rPr>
          <w:spacing w:val="-1"/>
        </w:rPr>
        <w:t> </w:t>
      </w:r>
      <w:r>
        <w:rPr/>
        <w:t>Proposal</w:t>
      </w:r>
      <w:r>
        <w:rPr>
          <w:spacing w:val="-7"/>
        </w:rPr>
        <w:t> </w:t>
      </w:r>
      <w:r>
        <w:rPr/>
        <w:t>of</w:t>
      </w:r>
      <w:r>
        <w:rPr>
          <w:spacing w:val="-5"/>
        </w:rPr>
        <w:t> </w:t>
      </w:r>
      <w:r>
        <w:rPr/>
        <w:t>a</w:t>
      </w:r>
      <w:r>
        <w:rPr>
          <w:spacing w:val="-2"/>
        </w:rPr>
        <w:t> </w:t>
      </w:r>
      <w:r>
        <w:rPr/>
        <w:t>Statement</w:t>
      </w:r>
      <w:r>
        <w:rPr>
          <w:spacing w:val="-1"/>
        </w:rPr>
        <w:t> </w:t>
      </w:r>
      <w:r>
        <w:rPr/>
        <w:t>of</w:t>
      </w:r>
      <w:r>
        <w:rPr>
          <w:spacing w:val="-5"/>
        </w:rPr>
        <w:t> </w:t>
      </w:r>
      <w:r>
        <w:rPr/>
        <w:t>Directors’ Duties</w:t>
      </w:r>
      <w:r>
        <w:rPr>
          <w:spacing w:val="-5"/>
        </w:rPr>
        <w:t> </w:t>
      </w:r>
      <w:r>
        <w:rPr/>
        <w:t>for</w:t>
      </w:r>
      <w:r>
        <w:rPr>
          <w:spacing w:val="-8"/>
        </w:rPr>
        <w:t> </w:t>
      </w:r>
      <w:r>
        <w:rPr/>
        <w:t>the Amendment of the Companies and Allied Matters Act 1990</w:t>
      </w:r>
    </w:p>
    <w:p>
      <w:pPr>
        <w:pStyle w:val="BodyText"/>
        <w:spacing w:before="35"/>
        <w:ind w:left="0"/>
        <w:rPr>
          <w:b/>
        </w:rPr>
      </w:pPr>
    </w:p>
    <w:p>
      <w:pPr>
        <w:pStyle w:val="BodyText"/>
      </w:pPr>
      <w:r>
        <w:rPr/>
        <w:t>Based</w:t>
      </w:r>
      <w:r>
        <w:rPr>
          <w:spacing w:val="-4"/>
        </w:rPr>
        <w:t> </w:t>
      </w:r>
      <w:r>
        <w:rPr/>
        <w:t>on</w:t>
      </w:r>
      <w:r>
        <w:rPr>
          <w:spacing w:val="-7"/>
        </w:rPr>
        <w:t> </w:t>
      </w:r>
      <w:r>
        <w:rPr/>
        <w:t>the</w:t>
      </w:r>
      <w:r>
        <w:rPr>
          <w:spacing w:val="-2"/>
        </w:rPr>
        <w:t> </w:t>
      </w:r>
      <w:r>
        <w:rPr/>
        <w:t>findings</w:t>
      </w:r>
      <w:r>
        <w:rPr>
          <w:spacing w:val="-4"/>
        </w:rPr>
        <w:t> </w:t>
      </w:r>
      <w:r>
        <w:rPr/>
        <w:t>reached</w:t>
      </w:r>
      <w:r>
        <w:rPr>
          <w:spacing w:val="2"/>
        </w:rPr>
        <w:t> </w:t>
      </w:r>
      <w:r>
        <w:rPr/>
        <w:t>in</w:t>
      </w:r>
      <w:r>
        <w:rPr>
          <w:spacing w:val="-6"/>
        </w:rPr>
        <w:t> </w:t>
      </w:r>
      <w:r>
        <w:rPr/>
        <w:t>this</w:t>
      </w:r>
      <w:r>
        <w:rPr>
          <w:spacing w:val="-4"/>
        </w:rPr>
        <w:t> </w:t>
      </w:r>
      <w:r>
        <w:rPr/>
        <w:t>work, it</w:t>
      </w:r>
      <w:r>
        <w:rPr>
          <w:spacing w:val="3"/>
        </w:rPr>
        <w:t> </w:t>
      </w:r>
      <w:r>
        <w:rPr/>
        <w:t>is hereby</w:t>
      </w:r>
      <w:r>
        <w:rPr>
          <w:spacing w:val="-11"/>
        </w:rPr>
        <w:t> </w:t>
      </w:r>
      <w:r>
        <w:rPr/>
        <w:t>recommended</w:t>
      </w:r>
      <w:r>
        <w:rPr>
          <w:spacing w:val="-1"/>
        </w:rPr>
        <w:t> </w:t>
      </w:r>
      <w:r>
        <w:rPr>
          <w:spacing w:val="-2"/>
        </w:rPr>
        <w:t>that:</w:t>
      </w:r>
    </w:p>
    <w:p>
      <w:pPr>
        <w:pStyle w:val="BodyText"/>
        <w:ind w:left="0"/>
      </w:pPr>
    </w:p>
    <w:p>
      <w:pPr>
        <w:pStyle w:val="ListParagraph"/>
        <w:numPr>
          <w:ilvl w:val="0"/>
          <w:numId w:val="34"/>
        </w:numPr>
        <w:tabs>
          <w:tab w:pos="1028" w:val="left" w:leader="none"/>
        </w:tabs>
        <w:spacing w:line="280" w:lineRule="auto" w:before="0" w:after="0"/>
        <w:ind w:left="1028" w:right="236" w:hanging="360"/>
        <w:jc w:val="both"/>
        <w:rPr>
          <w:sz w:val="24"/>
        </w:rPr>
      </w:pPr>
      <w:r>
        <w:rPr>
          <w:sz w:val="24"/>
        </w:rPr>
        <w:t>The various provisions on fiduciary</w:t>
      </w:r>
      <w:r>
        <w:rPr>
          <w:spacing w:val="-5"/>
          <w:sz w:val="24"/>
        </w:rPr>
        <w:t> </w:t>
      </w:r>
      <w:r>
        <w:rPr>
          <w:sz w:val="24"/>
        </w:rPr>
        <w:t>duties and duties of</w:t>
      </w:r>
      <w:r>
        <w:rPr>
          <w:spacing w:val="-3"/>
          <w:sz w:val="24"/>
        </w:rPr>
        <w:t> </w:t>
      </w:r>
      <w:r>
        <w:rPr>
          <w:sz w:val="24"/>
        </w:rPr>
        <w:t>care and skill</w:t>
      </w:r>
      <w:r>
        <w:rPr>
          <w:spacing w:val="-5"/>
          <w:sz w:val="24"/>
        </w:rPr>
        <w:t> </w:t>
      </w:r>
      <w:r>
        <w:rPr>
          <w:sz w:val="24"/>
        </w:rPr>
        <w:t>within the CAMA be arranged in the same part of the Act and seriatim;</w:t>
      </w:r>
    </w:p>
    <w:p>
      <w:pPr>
        <w:pStyle w:val="ListParagraph"/>
        <w:numPr>
          <w:ilvl w:val="0"/>
          <w:numId w:val="34"/>
        </w:numPr>
        <w:tabs>
          <w:tab w:pos="1028" w:val="left" w:leader="none"/>
        </w:tabs>
        <w:spacing w:line="276" w:lineRule="auto" w:before="0" w:after="0"/>
        <w:ind w:left="1028" w:right="238" w:hanging="360"/>
        <w:jc w:val="both"/>
        <w:rPr>
          <w:sz w:val="24"/>
        </w:rPr>
      </w:pPr>
      <w:r>
        <w:rPr>
          <w:sz w:val="24"/>
        </w:rPr>
        <w:t>Each duty be specified and identified by an explanatory heading in a particular section as per the CA;</w:t>
      </w:r>
    </w:p>
    <w:p>
      <w:pPr>
        <w:pStyle w:val="ListParagraph"/>
        <w:numPr>
          <w:ilvl w:val="0"/>
          <w:numId w:val="34"/>
        </w:numPr>
        <w:tabs>
          <w:tab w:pos="1028" w:val="left" w:leader="none"/>
        </w:tabs>
        <w:spacing w:line="276" w:lineRule="auto" w:before="0" w:after="0"/>
        <w:ind w:left="1028" w:right="221" w:hanging="360"/>
        <w:jc w:val="both"/>
        <w:rPr>
          <w:sz w:val="24"/>
        </w:rPr>
      </w:pPr>
      <w:r>
        <w:rPr>
          <w:sz w:val="24"/>
        </w:rPr>
        <w:t>The principles codified in ss.279(1), (2) and (9) and 280(5)</w:t>
      </w:r>
      <w:r>
        <w:rPr>
          <w:spacing w:val="40"/>
          <w:sz w:val="24"/>
        </w:rPr>
        <w:t> </w:t>
      </w:r>
      <w:r>
        <w:rPr>
          <w:sz w:val="24"/>
        </w:rPr>
        <w:t>CAMA, be restated in terms of</w:t>
      </w:r>
      <w:r>
        <w:rPr>
          <w:spacing w:val="-2"/>
          <w:sz w:val="24"/>
        </w:rPr>
        <w:t> </w:t>
      </w:r>
      <w:r>
        <w:rPr>
          <w:sz w:val="24"/>
        </w:rPr>
        <w:t>their equivalent in the CA as an introductory</w:t>
      </w:r>
      <w:r>
        <w:rPr>
          <w:spacing w:val="-4"/>
          <w:sz w:val="24"/>
        </w:rPr>
        <w:t> </w:t>
      </w:r>
      <w:r>
        <w:rPr>
          <w:sz w:val="24"/>
        </w:rPr>
        <w:t>section to the directors‘ duties thus:</w:t>
      </w:r>
    </w:p>
    <w:p>
      <w:pPr>
        <w:pStyle w:val="ListParagraph"/>
        <w:numPr>
          <w:ilvl w:val="1"/>
          <w:numId w:val="34"/>
        </w:numPr>
        <w:tabs>
          <w:tab w:pos="1746" w:val="left" w:leader="none"/>
          <w:tab w:pos="1748" w:val="left" w:leader="none"/>
        </w:tabs>
        <w:spacing w:line="276" w:lineRule="auto" w:before="0" w:after="0"/>
        <w:ind w:left="1748" w:right="225" w:hanging="721"/>
        <w:jc w:val="both"/>
        <w:rPr>
          <w:sz w:val="24"/>
        </w:rPr>
      </w:pPr>
      <w:r>
        <w:rPr>
          <w:sz w:val="24"/>
        </w:rPr>
        <w:t>Subject to the provisions of this Act, the duties specified in sections – to</w:t>
      </w:r>
      <w:r>
        <w:rPr>
          <w:spacing w:val="40"/>
          <w:sz w:val="24"/>
        </w:rPr>
        <w:t> </w:t>
      </w:r>
      <w:r>
        <w:rPr>
          <w:sz w:val="24"/>
        </w:rPr>
        <w:t>– are owed by a director of a company to the company and are therefore enforceable against the director by the company.</w:t>
      </w:r>
    </w:p>
    <w:p>
      <w:pPr>
        <w:pStyle w:val="ListParagraph"/>
        <w:numPr>
          <w:ilvl w:val="1"/>
          <w:numId w:val="34"/>
        </w:numPr>
        <w:tabs>
          <w:tab w:pos="1746" w:val="left" w:leader="none"/>
          <w:tab w:pos="1748" w:val="left" w:leader="none"/>
        </w:tabs>
        <w:spacing w:line="276" w:lineRule="auto" w:before="0" w:after="0"/>
        <w:ind w:left="1748" w:right="234" w:hanging="721"/>
        <w:jc w:val="both"/>
        <w:rPr>
          <w:sz w:val="24"/>
        </w:rPr>
      </w:pPr>
      <w:r>
        <w:rPr>
          <w:sz w:val="24"/>
        </w:rPr>
        <w:t>Subject to any necessary adaptations, a former director continues to be subject</w:t>
      </w:r>
      <w:r>
        <w:rPr>
          <w:spacing w:val="-1"/>
          <w:sz w:val="24"/>
        </w:rPr>
        <w:t> </w:t>
      </w:r>
      <w:r>
        <w:rPr>
          <w:sz w:val="24"/>
        </w:rPr>
        <w:t>to</w:t>
      </w:r>
      <w:r>
        <w:rPr>
          <w:spacing w:val="-1"/>
          <w:sz w:val="24"/>
        </w:rPr>
        <w:t> </w:t>
      </w:r>
      <w:r>
        <w:rPr>
          <w:sz w:val="24"/>
        </w:rPr>
        <w:t>the</w:t>
      </w:r>
      <w:r>
        <w:rPr>
          <w:spacing w:val="-2"/>
          <w:sz w:val="24"/>
        </w:rPr>
        <w:t> </w:t>
      </w:r>
      <w:r>
        <w:rPr>
          <w:sz w:val="24"/>
        </w:rPr>
        <w:t>duty</w:t>
      </w:r>
      <w:r>
        <w:rPr>
          <w:spacing w:val="-11"/>
          <w:sz w:val="24"/>
        </w:rPr>
        <w:t> </w:t>
      </w:r>
      <w:r>
        <w:rPr>
          <w:sz w:val="24"/>
        </w:rPr>
        <w:t>to avoid</w:t>
      </w:r>
      <w:r>
        <w:rPr>
          <w:spacing w:val="-1"/>
          <w:sz w:val="24"/>
        </w:rPr>
        <w:t> </w:t>
      </w:r>
      <w:r>
        <w:rPr>
          <w:sz w:val="24"/>
        </w:rPr>
        <w:t>conflicts</w:t>
      </w:r>
      <w:r>
        <w:rPr>
          <w:spacing w:val="-3"/>
          <w:sz w:val="24"/>
        </w:rPr>
        <w:t> </w:t>
      </w:r>
      <w:r>
        <w:rPr>
          <w:sz w:val="24"/>
        </w:rPr>
        <w:t>of</w:t>
      </w:r>
      <w:r>
        <w:rPr>
          <w:spacing w:val="-4"/>
          <w:sz w:val="24"/>
        </w:rPr>
        <w:t> </w:t>
      </w:r>
      <w:r>
        <w:rPr>
          <w:sz w:val="24"/>
        </w:rPr>
        <w:t>interest and</w:t>
      </w:r>
      <w:r>
        <w:rPr>
          <w:spacing w:val="-1"/>
          <w:sz w:val="24"/>
        </w:rPr>
        <w:t> </w:t>
      </w:r>
      <w:r>
        <w:rPr>
          <w:sz w:val="24"/>
        </w:rPr>
        <w:t>the</w:t>
      </w:r>
      <w:r>
        <w:rPr>
          <w:spacing w:val="-2"/>
          <w:sz w:val="24"/>
        </w:rPr>
        <w:t> </w:t>
      </w:r>
      <w:r>
        <w:rPr>
          <w:sz w:val="24"/>
        </w:rPr>
        <w:t>duty</w:t>
      </w:r>
      <w:r>
        <w:rPr>
          <w:spacing w:val="-6"/>
          <w:sz w:val="24"/>
        </w:rPr>
        <w:t> </w:t>
      </w:r>
      <w:r>
        <w:rPr>
          <w:sz w:val="24"/>
        </w:rPr>
        <w:t>not</w:t>
      </w:r>
      <w:r>
        <w:rPr>
          <w:spacing w:val="-1"/>
          <w:sz w:val="24"/>
        </w:rPr>
        <w:t> </w:t>
      </w:r>
      <w:r>
        <w:rPr>
          <w:sz w:val="24"/>
        </w:rPr>
        <w:t>to</w:t>
      </w:r>
      <w:r>
        <w:rPr>
          <w:spacing w:val="-1"/>
          <w:sz w:val="24"/>
        </w:rPr>
        <w:t> </w:t>
      </w:r>
      <w:r>
        <w:rPr>
          <w:sz w:val="24"/>
        </w:rPr>
        <w:t>accept benefits from third parties.</w:t>
      </w:r>
    </w:p>
    <w:p>
      <w:pPr>
        <w:pStyle w:val="ListParagraph"/>
        <w:numPr>
          <w:ilvl w:val="1"/>
          <w:numId w:val="34"/>
        </w:numPr>
        <w:tabs>
          <w:tab w:pos="1744" w:val="left" w:leader="none"/>
          <w:tab w:pos="1748" w:val="left" w:leader="none"/>
        </w:tabs>
        <w:spacing w:line="276" w:lineRule="auto" w:before="0" w:after="0"/>
        <w:ind w:left="1748" w:right="231" w:hanging="721"/>
        <w:jc w:val="both"/>
        <w:rPr>
          <w:sz w:val="24"/>
        </w:rPr>
      </w:pPr>
      <w:r>
        <w:rPr>
          <w:sz w:val="24"/>
        </w:rPr>
        <w:t>The general duties apply to a shadow director to the extent of any directions or instructions he/she gives.</w:t>
      </w:r>
    </w:p>
    <w:p>
      <w:pPr>
        <w:pStyle w:val="ListParagraph"/>
        <w:numPr>
          <w:ilvl w:val="1"/>
          <w:numId w:val="34"/>
        </w:numPr>
        <w:tabs>
          <w:tab w:pos="1746" w:val="left" w:leader="none"/>
          <w:tab w:pos="1748" w:val="left" w:leader="none"/>
        </w:tabs>
        <w:spacing w:line="276" w:lineRule="auto" w:before="0" w:after="0"/>
        <w:ind w:left="1748" w:right="234" w:hanging="721"/>
        <w:jc w:val="both"/>
        <w:rPr>
          <w:sz w:val="24"/>
        </w:rPr>
      </w:pPr>
      <w:r>
        <w:rPr>
          <w:sz w:val="24"/>
        </w:rPr>
        <w:t>A director of a company stands as a fiduciary to that company and must observe the utmost good faith towards the company in any action on its </w:t>
      </w:r>
      <w:r>
        <w:rPr>
          <w:spacing w:val="-2"/>
          <w:sz w:val="24"/>
        </w:rPr>
        <w:t>behalf.</w:t>
      </w:r>
    </w:p>
    <w:p>
      <w:pPr>
        <w:pStyle w:val="ListParagraph"/>
        <w:numPr>
          <w:ilvl w:val="0"/>
          <w:numId w:val="34"/>
        </w:numPr>
        <w:tabs>
          <w:tab w:pos="1028" w:val="left" w:leader="none"/>
        </w:tabs>
        <w:spacing w:line="276" w:lineRule="auto" w:before="0" w:after="0"/>
        <w:ind w:left="1028" w:right="1770" w:hanging="360"/>
        <w:jc w:val="both"/>
        <w:rPr>
          <w:sz w:val="24"/>
        </w:rPr>
      </w:pPr>
      <w:r>
        <w:rPr>
          <w:sz w:val="24"/>
        </w:rPr>
        <w:t>The</w:t>
      </w:r>
      <w:r>
        <w:rPr>
          <w:spacing w:val="-5"/>
          <w:sz w:val="24"/>
        </w:rPr>
        <w:t> </w:t>
      </w:r>
      <w:r>
        <w:rPr>
          <w:sz w:val="24"/>
        </w:rPr>
        <w:t>principle in</w:t>
      </w:r>
      <w:r>
        <w:rPr>
          <w:spacing w:val="-8"/>
          <w:sz w:val="24"/>
        </w:rPr>
        <w:t> </w:t>
      </w:r>
      <w:r>
        <w:rPr>
          <w:sz w:val="24"/>
        </w:rPr>
        <w:t>s.279(5)</w:t>
      </w:r>
      <w:r>
        <w:rPr>
          <w:spacing w:val="-3"/>
          <w:sz w:val="24"/>
        </w:rPr>
        <w:t> </w:t>
      </w:r>
      <w:r>
        <w:rPr>
          <w:sz w:val="24"/>
        </w:rPr>
        <w:t>CAMA</w:t>
      </w:r>
      <w:r>
        <w:rPr>
          <w:spacing w:val="-5"/>
          <w:sz w:val="24"/>
        </w:rPr>
        <w:t> </w:t>
      </w:r>
      <w:r>
        <w:rPr>
          <w:sz w:val="24"/>
        </w:rPr>
        <w:t>be</w:t>
      </w:r>
      <w:r>
        <w:rPr>
          <w:spacing w:val="-5"/>
          <w:sz w:val="24"/>
        </w:rPr>
        <w:t> </w:t>
      </w:r>
      <w:r>
        <w:rPr>
          <w:sz w:val="24"/>
        </w:rPr>
        <w:t>reviewed</w:t>
      </w:r>
      <w:r>
        <w:rPr>
          <w:spacing w:val="-4"/>
          <w:sz w:val="24"/>
        </w:rPr>
        <w:t> </w:t>
      </w:r>
      <w:r>
        <w:rPr>
          <w:sz w:val="24"/>
        </w:rPr>
        <w:t>per</w:t>
      </w:r>
      <w:r>
        <w:rPr>
          <w:spacing w:val="-3"/>
          <w:sz w:val="24"/>
        </w:rPr>
        <w:t> </w:t>
      </w:r>
      <w:r>
        <w:rPr>
          <w:sz w:val="24"/>
        </w:rPr>
        <w:t>s.171</w:t>
      </w:r>
      <w:r>
        <w:rPr>
          <w:spacing w:val="-4"/>
          <w:sz w:val="24"/>
        </w:rPr>
        <w:t> </w:t>
      </w:r>
      <w:r>
        <w:rPr>
          <w:sz w:val="24"/>
        </w:rPr>
        <w:t>CA</w:t>
      </w:r>
      <w:r>
        <w:rPr>
          <w:spacing w:val="-9"/>
          <w:sz w:val="24"/>
        </w:rPr>
        <w:t> </w:t>
      </w:r>
      <w:r>
        <w:rPr>
          <w:sz w:val="24"/>
        </w:rPr>
        <w:t>thus: A director of a company must—</w:t>
      </w:r>
    </w:p>
    <w:p>
      <w:pPr>
        <w:pStyle w:val="ListParagraph"/>
        <w:numPr>
          <w:ilvl w:val="1"/>
          <w:numId w:val="34"/>
        </w:numPr>
        <w:tabs>
          <w:tab w:pos="1747" w:val="left" w:leader="none"/>
        </w:tabs>
        <w:spacing w:line="275" w:lineRule="exact" w:before="0" w:after="0"/>
        <w:ind w:left="1747" w:right="0" w:hanging="719"/>
        <w:jc w:val="both"/>
        <w:rPr>
          <w:sz w:val="24"/>
        </w:rPr>
      </w:pPr>
      <w:r>
        <w:rPr>
          <w:sz w:val="24"/>
        </w:rPr>
        <w:t>act in</w:t>
      </w:r>
      <w:r>
        <w:rPr>
          <w:spacing w:val="-7"/>
          <w:sz w:val="24"/>
        </w:rPr>
        <w:t> </w:t>
      </w:r>
      <w:r>
        <w:rPr>
          <w:sz w:val="24"/>
        </w:rPr>
        <w:t>accordance</w:t>
      </w:r>
      <w:r>
        <w:rPr>
          <w:spacing w:val="-3"/>
          <w:sz w:val="24"/>
        </w:rPr>
        <w:t> </w:t>
      </w:r>
      <w:r>
        <w:rPr>
          <w:sz w:val="24"/>
        </w:rPr>
        <w:t>with</w:t>
      </w:r>
      <w:r>
        <w:rPr>
          <w:spacing w:val="-7"/>
          <w:sz w:val="24"/>
        </w:rPr>
        <w:t> </w:t>
      </w:r>
      <w:r>
        <w:rPr>
          <w:sz w:val="24"/>
        </w:rPr>
        <w:t>the</w:t>
      </w:r>
      <w:r>
        <w:rPr>
          <w:spacing w:val="-3"/>
          <w:sz w:val="24"/>
        </w:rPr>
        <w:t> </w:t>
      </w:r>
      <w:r>
        <w:rPr>
          <w:sz w:val="24"/>
        </w:rPr>
        <w:t>company‘s</w:t>
      </w:r>
      <w:r>
        <w:rPr>
          <w:spacing w:val="-5"/>
          <w:sz w:val="24"/>
        </w:rPr>
        <w:t> </w:t>
      </w:r>
      <w:r>
        <w:rPr>
          <w:sz w:val="24"/>
        </w:rPr>
        <w:t>constitution,</w:t>
      </w:r>
      <w:r>
        <w:rPr>
          <w:spacing w:val="5"/>
          <w:sz w:val="24"/>
        </w:rPr>
        <w:t> </w:t>
      </w:r>
      <w:r>
        <w:rPr>
          <w:spacing w:val="-5"/>
          <w:sz w:val="24"/>
        </w:rPr>
        <w:t>and</w:t>
      </w:r>
    </w:p>
    <w:p>
      <w:pPr>
        <w:spacing w:after="0" w:line="275" w:lineRule="exact"/>
        <w:jc w:val="both"/>
        <w:rPr>
          <w:sz w:val="24"/>
        </w:rPr>
        <w:sectPr>
          <w:pgSz w:w="11910" w:h="16840"/>
          <w:pgMar w:header="0" w:footer="998" w:top="1320" w:bottom="1180" w:left="1680" w:right="1180"/>
        </w:sectPr>
      </w:pPr>
    </w:p>
    <w:p>
      <w:pPr>
        <w:pStyle w:val="ListParagraph"/>
        <w:numPr>
          <w:ilvl w:val="1"/>
          <w:numId w:val="34"/>
        </w:numPr>
        <w:tabs>
          <w:tab w:pos="1748" w:val="left" w:leader="none"/>
        </w:tabs>
        <w:spacing w:line="276" w:lineRule="auto" w:before="65" w:after="0"/>
        <w:ind w:left="1028" w:right="333" w:firstLine="0"/>
        <w:jc w:val="left"/>
        <w:rPr>
          <w:sz w:val="24"/>
        </w:rPr>
      </w:pPr>
      <w:r>
        <w:rPr>
          <w:sz w:val="24"/>
        </w:rPr>
        <w:t>only exercise powers for the purposes for which they are conferred. Consequently,</w:t>
      </w:r>
      <w:r>
        <w:rPr>
          <w:spacing w:val="-1"/>
          <w:sz w:val="24"/>
        </w:rPr>
        <w:t> </w:t>
      </w:r>
      <w:r>
        <w:rPr>
          <w:sz w:val="24"/>
        </w:rPr>
        <w:t>a</w:t>
      </w:r>
      <w:r>
        <w:rPr>
          <w:spacing w:val="-4"/>
          <w:sz w:val="24"/>
        </w:rPr>
        <w:t> </w:t>
      </w:r>
      <w:r>
        <w:rPr>
          <w:sz w:val="24"/>
        </w:rPr>
        <w:t>preliminary</w:t>
      </w:r>
      <w:r>
        <w:rPr>
          <w:spacing w:val="-12"/>
          <w:sz w:val="24"/>
        </w:rPr>
        <w:t> </w:t>
      </w:r>
      <w:r>
        <w:rPr>
          <w:sz w:val="24"/>
        </w:rPr>
        <w:t>provision</w:t>
      </w:r>
      <w:r>
        <w:rPr>
          <w:spacing w:val="-3"/>
          <w:sz w:val="24"/>
        </w:rPr>
        <w:t> </w:t>
      </w:r>
      <w:r>
        <w:rPr>
          <w:sz w:val="24"/>
        </w:rPr>
        <w:t>introductory</w:t>
      </w:r>
      <w:r>
        <w:rPr>
          <w:spacing w:val="-12"/>
          <w:sz w:val="24"/>
        </w:rPr>
        <w:t> </w:t>
      </w:r>
      <w:r>
        <w:rPr>
          <w:sz w:val="24"/>
        </w:rPr>
        <w:t>to</w:t>
      </w:r>
      <w:r>
        <w:rPr>
          <w:spacing w:val="-3"/>
          <w:sz w:val="24"/>
        </w:rPr>
        <w:t> </w:t>
      </w:r>
      <w:r>
        <w:rPr>
          <w:sz w:val="24"/>
        </w:rPr>
        <w:t>the</w:t>
      </w:r>
      <w:r>
        <w:rPr>
          <w:spacing w:val="-4"/>
          <w:sz w:val="24"/>
        </w:rPr>
        <w:t> </w:t>
      </w:r>
      <w:r>
        <w:rPr>
          <w:sz w:val="24"/>
        </w:rPr>
        <w:t>CAMA</w:t>
      </w:r>
      <w:r>
        <w:rPr>
          <w:spacing w:val="-8"/>
          <w:sz w:val="24"/>
        </w:rPr>
        <w:t> </w:t>
      </w:r>
      <w:r>
        <w:rPr>
          <w:sz w:val="24"/>
        </w:rPr>
        <w:t>should</w:t>
      </w:r>
      <w:r>
        <w:rPr>
          <w:spacing w:val="-3"/>
          <w:sz w:val="24"/>
        </w:rPr>
        <w:t> </w:t>
      </w:r>
      <w:r>
        <w:rPr>
          <w:sz w:val="24"/>
        </w:rPr>
        <w:t>reflect that the articles together with any special resolutions and agreements of</w:t>
      </w:r>
    </w:p>
    <w:p>
      <w:pPr>
        <w:pStyle w:val="BodyText"/>
        <w:spacing w:line="275" w:lineRule="exact"/>
        <w:ind w:left="1028"/>
      </w:pPr>
      <w:r>
        <w:rPr/>
        <w:t>members</w:t>
      </w:r>
      <w:r>
        <w:rPr>
          <w:spacing w:val="-6"/>
        </w:rPr>
        <w:t> </w:t>
      </w:r>
      <w:r>
        <w:rPr/>
        <w:t>constitute</w:t>
      </w:r>
      <w:r>
        <w:rPr>
          <w:spacing w:val="-7"/>
        </w:rPr>
        <w:t> </w:t>
      </w:r>
      <w:r>
        <w:rPr/>
        <w:t>the</w:t>
      </w:r>
      <w:r>
        <w:rPr>
          <w:spacing w:val="-3"/>
        </w:rPr>
        <w:t> </w:t>
      </w:r>
      <w:r>
        <w:rPr/>
        <w:t>company‘s</w:t>
      </w:r>
      <w:r>
        <w:rPr>
          <w:spacing w:val="-5"/>
        </w:rPr>
        <w:t> </w:t>
      </w:r>
      <w:r>
        <w:rPr>
          <w:spacing w:val="-2"/>
        </w:rPr>
        <w:t>constitution.</w:t>
      </w:r>
    </w:p>
    <w:p>
      <w:pPr>
        <w:pStyle w:val="ListParagraph"/>
        <w:numPr>
          <w:ilvl w:val="0"/>
          <w:numId w:val="34"/>
        </w:numPr>
        <w:tabs>
          <w:tab w:pos="1028" w:val="left" w:leader="none"/>
        </w:tabs>
        <w:spacing w:line="240" w:lineRule="auto" w:before="41" w:after="0"/>
        <w:ind w:left="1028" w:right="0" w:hanging="360"/>
        <w:jc w:val="left"/>
        <w:rPr>
          <w:sz w:val="24"/>
        </w:rPr>
      </w:pPr>
      <w:r>
        <w:rPr>
          <w:sz w:val="24"/>
        </w:rPr>
        <w:t>The</w:t>
      </w:r>
      <w:r>
        <w:rPr>
          <w:spacing w:val="-5"/>
          <w:sz w:val="24"/>
        </w:rPr>
        <w:t> </w:t>
      </w:r>
      <w:r>
        <w:rPr>
          <w:sz w:val="24"/>
        </w:rPr>
        <w:t>principle</w:t>
      </w:r>
      <w:r>
        <w:rPr>
          <w:spacing w:val="3"/>
          <w:sz w:val="24"/>
        </w:rPr>
        <w:t> </w:t>
      </w:r>
      <w:r>
        <w:rPr>
          <w:sz w:val="24"/>
        </w:rPr>
        <w:t>in</w:t>
      </w:r>
      <w:r>
        <w:rPr>
          <w:spacing w:val="-7"/>
          <w:sz w:val="24"/>
        </w:rPr>
        <w:t> </w:t>
      </w:r>
      <w:r>
        <w:rPr>
          <w:sz w:val="24"/>
        </w:rPr>
        <w:t>s.279(3) and</w:t>
      </w:r>
      <w:r>
        <w:rPr>
          <w:spacing w:val="-1"/>
          <w:sz w:val="24"/>
        </w:rPr>
        <w:t> </w:t>
      </w:r>
      <w:r>
        <w:rPr>
          <w:sz w:val="24"/>
        </w:rPr>
        <w:t>(4)</w:t>
      </w:r>
      <w:r>
        <w:rPr>
          <w:spacing w:val="-1"/>
          <w:sz w:val="24"/>
        </w:rPr>
        <w:t> </w:t>
      </w:r>
      <w:r>
        <w:rPr>
          <w:sz w:val="24"/>
        </w:rPr>
        <w:t>CAMA</w:t>
      </w:r>
      <w:r>
        <w:rPr>
          <w:spacing w:val="-7"/>
          <w:sz w:val="24"/>
        </w:rPr>
        <w:t> </w:t>
      </w:r>
      <w:r>
        <w:rPr>
          <w:sz w:val="24"/>
        </w:rPr>
        <w:t>be</w:t>
      </w:r>
      <w:r>
        <w:rPr>
          <w:spacing w:val="-2"/>
          <w:sz w:val="24"/>
        </w:rPr>
        <w:t> </w:t>
      </w:r>
      <w:r>
        <w:rPr>
          <w:sz w:val="24"/>
        </w:rPr>
        <w:t>reviewed</w:t>
      </w:r>
      <w:r>
        <w:rPr>
          <w:spacing w:val="-1"/>
          <w:sz w:val="24"/>
        </w:rPr>
        <w:t> </w:t>
      </w:r>
      <w:r>
        <w:rPr>
          <w:spacing w:val="-2"/>
          <w:sz w:val="24"/>
        </w:rPr>
        <w:t>thus:</w:t>
      </w:r>
    </w:p>
    <w:p>
      <w:pPr>
        <w:pStyle w:val="BodyText"/>
        <w:spacing w:line="276" w:lineRule="auto" w:before="45"/>
        <w:ind w:left="1028" w:right="228"/>
        <w:jc w:val="both"/>
      </w:pPr>
      <w:r>
        <w:rPr/>
        <w:t>―A</w:t>
      </w:r>
      <w:r>
        <w:rPr>
          <w:spacing w:val="-10"/>
        </w:rPr>
        <w:t> </w:t>
      </w:r>
      <w:r>
        <w:rPr/>
        <w:t>director</w:t>
      </w:r>
      <w:r>
        <w:rPr>
          <w:spacing w:val="-8"/>
        </w:rPr>
        <w:t> </w:t>
      </w:r>
      <w:r>
        <w:rPr/>
        <w:t>of</w:t>
      </w:r>
      <w:r>
        <w:rPr>
          <w:spacing w:val="-11"/>
        </w:rPr>
        <w:t> </w:t>
      </w:r>
      <w:r>
        <w:rPr/>
        <w:t>a</w:t>
      </w:r>
      <w:r>
        <w:rPr>
          <w:spacing w:val="-6"/>
        </w:rPr>
        <w:t> </w:t>
      </w:r>
      <w:r>
        <w:rPr/>
        <w:t>company</w:t>
      </w:r>
      <w:r>
        <w:rPr>
          <w:spacing w:val="-6"/>
        </w:rPr>
        <w:t> </w:t>
      </w:r>
      <w:r>
        <w:rPr/>
        <w:t>must</w:t>
      </w:r>
      <w:r>
        <w:rPr>
          <w:spacing w:val="-1"/>
        </w:rPr>
        <w:t> </w:t>
      </w:r>
      <w:r>
        <w:rPr/>
        <w:t>act</w:t>
      </w:r>
      <w:r>
        <w:rPr>
          <w:spacing w:val="-1"/>
        </w:rPr>
        <w:t> </w:t>
      </w:r>
      <w:r>
        <w:rPr/>
        <w:t>in</w:t>
      </w:r>
      <w:r>
        <w:rPr>
          <w:spacing w:val="-9"/>
        </w:rPr>
        <w:t> </w:t>
      </w:r>
      <w:r>
        <w:rPr/>
        <w:t>the</w:t>
      </w:r>
      <w:r>
        <w:rPr>
          <w:spacing w:val="-6"/>
        </w:rPr>
        <w:t> </w:t>
      </w:r>
      <w:r>
        <w:rPr/>
        <w:t>way</w:t>
      </w:r>
      <w:r>
        <w:rPr>
          <w:spacing w:val="-6"/>
        </w:rPr>
        <w:t> </w:t>
      </w:r>
      <w:r>
        <w:rPr/>
        <w:t>he</w:t>
      </w:r>
      <w:r>
        <w:rPr>
          <w:spacing w:val="-6"/>
        </w:rPr>
        <w:t> </w:t>
      </w:r>
      <w:r>
        <w:rPr/>
        <w:t>considers, in</w:t>
      </w:r>
      <w:r>
        <w:rPr>
          <w:spacing w:val="-9"/>
        </w:rPr>
        <w:t> </w:t>
      </w:r>
      <w:r>
        <w:rPr/>
        <w:t>good</w:t>
      </w:r>
      <w:r>
        <w:rPr>
          <w:spacing w:val="-6"/>
        </w:rPr>
        <w:t> </w:t>
      </w:r>
      <w:r>
        <w:rPr/>
        <w:t>faith,</w:t>
      </w:r>
      <w:r>
        <w:rPr>
          <w:spacing w:val="-3"/>
        </w:rPr>
        <w:t> </w:t>
      </w:r>
      <w:r>
        <w:rPr/>
        <w:t>would be most likely to promote the success of the company for the benefit of its members as a whole, and in doing so have regard to matters most likely to promote the success of the company.</w:t>
      </w:r>
    </w:p>
    <w:p>
      <w:pPr>
        <w:pStyle w:val="BodyText"/>
        <w:spacing w:line="276" w:lineRule="auto"/>
        <w:ind w:left="1028" w:right="236"/>
        <w:jc w:val="both"/>
      </w:pPr>
      <w:r>
        <w:rPr/>
        <w:t>Where the company is limited by guarantee, subsection (1) has effect as if the reference to promoting the success of the company for the benefit of its</w:t>
      </w:r>
      <w:r>
        <w:rPr>
          <w:spacing w:val="40"/>
        </w:rPr>
        <w:t> </w:t>
      </w:r>
      <w:r>
        <w:rPr/>
        <w:t>members were to achieving its objects.</w:t>
      </w:r>
    </w:p>
    <w:p>
      <w:pPr>
        <w:pStyle w:val="BodyText"/>
        <w:spacing w:line="278" w:lineRule="auto"/>
        <w:ind w:left="1028" w:right="226"/>
        <w:jc w:val="both"/>
      </w:pPr>
      <w:r>
        <w:rPr/>
        <w:t>The duty imposed by this section is subject to the provisions of this Act relating to the interest of</w:t>
      </w:r>
      <w:r>
        <w:rPr>
          <w:spacing w:val="-1"/>
        </w:rPr>
        <w:t> </w:t>
      </w:r>
      <w:r>
        <w:rPr/>
        <w:t>creditors as well</w:t>
      </w:r>
      <w:r>
        <w:rPr>
          <w:spacing w:val="-2"/>
        </w:rPr>
        <w:t> </w:t>
      </w:r>
      <w:r>
        <w:rPr/>
        <w:t>as any</w:t>
      </w:r>
      <w:r>
        <w:rPr>
          <w:spacing w:val="-3"/>
        </w:rPr>
        <w:t> </w:t>
      </w:r>
      <w:r>
        <w:rPr/>
        <w:t>rule of</w:t>
      </w:r>
      <w:r>
        <w:rPr>
          <w:spacing w:val="-1"/>
        </w:rPr>
        <w:t> </w:t>
      </w:r>
      <w:r>
        <w:rPr/>
        <w:t>law or Act requiring directors to have regard to any particular matter.‖</w:t>
      </w:r>
    </w:p>
    <w:p>
      <w:pPr>
        <w:pStyle w:val="ListParagraph"/>
        <w:numPr>
          <w:ilvl w:val="0"/>
          <w:numId w:val="34"/>
        </w:numPr>
        <w:tabs>
          <w:tab w:pos="1028" w:val="left" w:leader="none"/>
        </w:tabs>
        <w:spacing w:line="271" w:lineRule="exact" w:before="0" w:after="0"/>
        <w:ind w:left="1028" w:right="0" w:hanging="360"/>
        <w:jc w:val="left"/>
        <w:rPr>
          <w:sz w:val="24"/>
        </w:rPr>
      </w:pPr>
      <w:r>
        <w:rPr>
          <w:sz w:val="24"/>
        </w:rPr>
        <w:t>The</w:t>
      </w:r>
      <w:r>
        <w:rPr>
          <w:spacing w:val="-3"/>
          <w:sz w:val="24"/>
        </w:rPr>
        <w:t> </w:t>
      </w:r>
      <w:r>
        <w:rPr>
          <w:sz w:val="24"/>
        </w:rPr>
        <w:t>principle</w:t>
      </w:r>
      <w:r>
        <w:rPr>
          <w:spacing w:val="2"/>
          <w:sz w:val="24"/>
        </w:rPr>
        <w:t> </w:t>
      </w:r>
      <w:r>
        <w:rPr>
          <w:sz w:val="24"/>
        </w:rPr>
        <w:t>in</w:t>
      </w:r>
      <w:r>
        <w:rPr>
          <w:spacing w:val="-6"/>
          <w:sz w:val="24"/>
        </w:rPr>
        <w:t> </w:t>
      </w:r>
      <w:r>
        <w:rPr>
          <w:sz w:val="24"/>
        </w:rPr>
        <w:t>s.279(6)</w:t>
      </w:r>
      <w:r>
        <w:rPr>
          <w:spacing w:val="-1"/>
          <w:sz w:val="24"/>
        </w:rPr>
        <w:t> </w:t>
      </w:r>
      <w:r>
        <w:rPr>
          <w:sz w:val="24"/>
        </w:rPr>
        <w:t>CAMA</w:t>
      </w:r>
      <w:r>
        <w:rPr>
          <w:spacing w:val="-2"/>
          <w:sz w:val="24"/>
        </w:rPr>
        <w:t> </w:t>
      </w:r>
      <w:r>
        <w:rPr>
          <w:sz w:val="24"/>
        </w:rPr>
        <w:t>be</w:t>
      </w:r>
      <w:r>
        <w:rPr>
          <w:spacing w:val="-3"/>
          <w:sz w:val="24"/>
        </w:rPr>
        <w:t> </w:t>
      </w:r>
      <w:r>
        <w:rPr>
          <w:sz w:val="24"/>
        </w:rPr>
        <w:t>reviewed</w:t>
      </w:r>
      <w:r>
        <w:rPr>
          <w:spacing w:val="2"/>
          <w:sz w:val="24"/>
        </w:rPr>
        <w:t> </w:t>
      </w:r>
      <w:r>
        <w:rPr>
          <w:sz w:val="24"/>
        </w:rPr>
        <w:t>in</w:t>
      </w:r>
      <w:r>
        <w:rPr>
          <w:spacing w:val="-6"/>
          <w:sz w:val="24"/>
        </w:rPr>
        <w:t> </w:t>
      </w:r>
      <w:r>
        <w:rPr>
          <w:sz w:val="24"/>
        </w:rPr>
        <w:t>accordance</w:t>
      </w:r>
      <w:r>
        <w:rPr>
          <w:spacing w:val="-3"/>
          <w:sz w:val="24"/>
        </w:rPr>
        <w:t> </w:t>
      </w:r>
      <w:r>
        <w:rPr>
          <w:sz w:val="24"/>
        </w:rPr>
        <w:t>with</w:t>
      </w:r>
      <w:r>
        <w:rPr>
          <w:spacing w:val="-6"/>
          <w:sz w:val="24"/>
        </w:rPr>
        <w:t> </w:t>
      </w:r>
      <w:r>
        <w:rPr>
          <w:sz w:val="24"/>
        </w:rPr>
        <w:t>s.173</w:t>
      </w:r>
      <w:r>
        <w:rPr>
          <w:spacing w:val="-1"/>
          <w:sz w:val="24"/>
        </w:rPr>
        <w:t> </w:t>
      </w:r>
      <w:r>
        <w:rPr>
          <w:spacing w:val="-5"/>
          <w:sz w:val="24"/>
        </w:rPr>
        <w:t>CA</w:t>
      </w:r>
    </w:p>
    <w:p>
      <w:pPr>
        <w:pStyle w:val="ListParagraph"/>
        <w:numPr>
          <w:ilvl w:val="0"/>
          <w:numId w:val="34"/>
        </w:numPr>
        <w:tabs>
          <w:tab w:pos="1028" w:val="left" w:leader="none"/>
        </w:tabs>
        <w:spacing w:line="276" w:lineRule="auto" w:before="37" w:after="0"/>
        <w:ind w:left="1028" w:right="228" w:hanging="360"/>
        <w:jc w:val="left"/>
        <w:rPr>
          <w:sz w:val="24"/>
        </w:rPr>
      </w:pPr>
      <w:r>
        <w:rPr>
          <w:sz w:val="24"/>
        </w:rPr>
        <w:t>The principles in ss.279(7) and 282 CAMA be reviewed and partly restated as</w:t>
      </w:r>
      <w:r>
        <w:rPr>
          <w:spacing w:val="80"/>
          <w:sz w:val="24"/>
        </w:rPr>
        <w:t> </w:t>
      </w:r>
      <w:r>
        <w:rPr>
          <w:sz w:val="24"/>
        </w:rPr>
        <w:t>per s.174 CA in addition to retaining s.279(7) CAMA.</w:t>
      </w:r>
    </w:p>
    <w:p>
      <w:pPr>
        <w:pStyle w:val="ListParagraph"/>
        <w:numPr>
          <w:ilvl w:val="0"/>
          <w:numId w:val="34"/>
        </w:numPr>
        <w:tabs>
          <w:tab w:pos="1028" w:val="left" w:leader="none"/>
        </w:tabs>
        <w:spacing w:line="275" w:lineRule="exact" w:before="0" w:after="0"/>
        <w:ind w:left="1028" w:right="0" w:hanging="360"/>
        <w:jc w:val="left"/>
        <w:rPr>
          <w:sz w:val="24"/>
        </w:rPr>
      </w:pPr>
      <w:r>
        <w:rPr>
          <w:sz w:val="24"/>
        </w:rPr>
        <w:t>The</w:t>
      </w:r>
      <w:r>
        <w:rPr>
          <w:spacing w:val="23"/>
          <w:sz w:val="24"/>
        </w:rPr>
        <w:t> </w:t>
      </w:r>
      <w:r>
        <w:rPr>
          <w:sz w:val="24"/>
        </w:rPr>
        <w:t>principles</w:t>
      </w:r>
      <w:r>
        <w:rPr>
          <w:spacing w:val="27"/>
          <w:sz w:val="24"/>
        </w:rPr>
        <w:t> </w:t>
      </w:r>
      <w:r>
        <w:rPr>
          <w:sz w:val="24"/>
        </w:rPr>
        <w:t>in</w:t>
      </w:r>
      <w:r>
        <w:rPr>
          <w:spacing w:val="29"/>
          <w:sz w:val="24"/>
        </w:rPr>
        <w:t> </w:t>
      </w:r>
      <w:r>
        <w:rPr>
          <w:sz w:val="24"/>
        </w:rPr>
        <w:t>s.280(1),</w:t>
      </w:r>
      <w:r>
        <w:rPr>
          <w:spacing w:val="27"/>
          <w:sz w:val="24"/>
        </w:rPr>
        <w:t> </w:t>
      </w:r>
      <w:r>
        <w:rPr>
          <w:sz w:val="24"/>
        </w:rPr>
        <w:t>(2),</w:t>
      </w:r>
      <w:r>
        <w:rPr>
          <w:spacing w:val="26"/>
          <w:sz w:val="24"/>
        </w:rPr>
        <w:t> </w:t>
      </w:r>
      <w:r>
        <w:rPr>
          <w:sz w:val="24"/>
        </w:rPr>
        <w:t>(3),</w:t>
      </w:r>
      <w:r>
        <w:rPr>
          <w:spacing w:val="27"/>
          <w:sz w:val="24"/>
        </w:rPr>
        <w:t> </w:t>
      </w:r>
      <w:r>
        <w:rPr>
          <w:sz w:val="24"/>
        </w:rPr>
        <w:t>(4)</w:t>
      </w:r>
      <w:r>
        <w:rPr>
          <w:spacing w:val="26"/>
          <w:sz w:val="24"/>
        </w:rPr>
        <w:t> </w:t>
      </w:r>
      <w:r>
        <w:rPr>
          <w:sz w:val="24"/>
        </w:rPr>
        <w:t>and</w:t>
      </w:r>
      <w:r>
        <w:rPr>
          <w:spacing w:val="25"/>
          <w:sz w:val="24"/>
        </w:rPr>
        <w:t> </w:t>
      </w:r>
      <w:r>
        <w:rPr>
          <w:sz w:val="24"/>
        </w:rPr>
        <w:t>(6)</w:t>
      </w:r>
      <w:r>
        <w:rPr>
          <w:spacing w:val="25"/>
          <w:sz w:val="24"/>
        </w:rPr>
        <w:t> </w:t>
      </w:r>
      <w:r>
        <w:rPr>
          <w:sz w:val="24"/>
        </w:rPr>
        <w:t>CAMA</w:t>
      </w:r>
      <w:r>
        <w:rPr>
          <w:spacing w:val="24"/>
          <w:sz w:val="24"/>
        </w:rPr>
        <w:t> </w:t>
      </w:r>
      <w:r>
        <w:rPr>
          <w:sz w:val="24"/>
        </w:rPr>
        <w:t>be</w:t>
      </w:r>
      <w:r>
        <w:rPr>
          <w:spacing w:val="24"/>
          <w:sz w:val="24"/>
        </w:rPr>
        <w:t> </w:t>
      </w:r>
      <w:r>
        <w:rPr>
          <w:sz w:val="24"/>
        </w:rPr>
        <w:t>restated</w:t>
      </w:r>
      <w:r>
        <w:rPr>
          <w:spacing w:val="25"/>
          <w:sz w:val="24"/>
        </w:rPr>
        <w:t> </w:t>
      </w:r>
      <w:r>
        <w:rPr>
          <w:sz w:val="24"/>
        </w:rPr>
        <w:t>in</w:t>
      </w:r>
      <w:r>
        <w:rPr>
          <w:spacing w:val="20"/>
          <w:sz w:val="24"/>
        </w:rPr>
        <w:t> </w:t>
      </w:r>
      <w:r>
        <w:rPr>
          <w:sz w:val="24"/>
        </w:rPr>
        <w:t>terms</w:t>
      </w:r>
      <w:r>
        <w:rPr>
          <w:spacing w:val="27"/>
          <w:sz w:val="24"/>
        </w:rPr>
        <w:t> </w:t>
      </w:r>
      <w:r>
        <w:rPr>
          <w:spacing w:val="-5"/>
          <w:sz w:val="24"/>
        </w:rPr>
        <w:t>of</w:t>
      </w:r>
    </w:p>
    <w:p>
      <w:pPr>
        <w:pStyle w:val="BodyText"/>
        <w:spacing w:before="42"/>
        <w:ind w:left="1028"/>
      </w:pPr>
      <w:r>
        <w:rPr/>
        <w:t>s.175</w:t>
      </w:r>
      <w:r>
        <w:rPr>
          <w:spacing w:val="-2"/>
        </w:rPr>
        <w:t> </w:t>
      </w:r>
      <w:r>
        <w:rPr/>
        <w:t>CA</w:t>
      </w:r>
      <w:r>
        <w:rPr>
          <w:spacing w:val="-6"/>
        </w:rPr>
        <w:t> </w:t>
      </w:r>
      <w:r>
        <w:rPr/>
        <w:t>with</w:t>
      </w:r>
      <w:r>
        <w:rPr>
          <w:spacing w:val="-6"/>
        </w:rPr>
        <w:t> </w:t>
      </w:r>
      <w:r>
        <w:rPr/>
        <w:t>the</w:t>
      </w:r>
      <w:r>
        <w:rPr>
          <w:spacing w:val="3"/>
        </w:rPr>
        <w:t> </w:t>
      </w:r>
      <w:r>
        <w:rPr/>
        <w:t>following</w:t>
      </w:r>
      <w:r>
        <w:rPr>
          <w:spacing w:val="-1"/>
        </w:rPr>
        <w:t> </w:t>
      </w:r>
      <w:r>
        <w:rPr>
          <w:spacing w:val="-2"/>
        </w:rPr>
        <w:t>alterations:</w:t>
      </w:r>
    </w:p>
    <w:p>
      <w:pPr>
        <w:pStyle w:val="ListParagraph"/>
        <w:numPr>
          <w:ilvl w:val="0"/>
          <w:numId w:val="35"/>
        </w:numPr>
        <w:tabs>
          <w:tab w:pos="1748" w:val="left" w:leader="none"/>
        </w:tabs>
        <w:spacing w:line="240" w:lineRule="auto" w:before="41" w:after="0"/>
        <w:ind w:left="1748" w:right="0" w:hanging="720"/>
        <w:jc w:val="left"/>
        <w:rPr>
          <w:sz w:val="24"/>
        </w:rPr>
      </w:pPr>
      <w:r>
        <w:rPr>
          <w:spacing w:val="-2"/>
          <w:sz w:val="24"/>
        </w:rPr>
        <w:t>Omitting</w:t>
      </w:r>
      <w:r>
        <w:rPr>
          <w:spacing w:val="-12"/>
          <w:sz w:val="24"/>
        </w:rPr>
        <w:t> </w:t>
      </w:r>
      <w:r>
        <w:rPr>
          <w:spacing w:val="-2"/>
          <w:sz w:val="24"/>
        </w:rPr>
        <w:t>―by</w:t>
      </w:r>
      <w:r>
        <w:rPr>
          <w:spacing w:val="-13"/>
          <w:sz w:val="24"/>
        </w:rPr>
        <w:t> </w:t>
      </w:r>
      <w:r>
        <w:rPr>
          <w:spacing w:val="-2"/>
          <w:sz w:val="24"/>
        </w:rPr>
        <w:t>the</w:t>
      </w:r>
      <w:r>
        <w:rPr>
          <w:spacing w:val="-10"/>
          <w:sz w:val="24"/>
        </w:rPr>
        <w:t> </w:t>
      </w:r>
      <w:r>
        <w:rPr>
          <w:spacing w:val="-2"/>
          <w:sz w:val="24"/>
        </w:rPr>
        <w:t>directors‖</w:t>
      </w:r>
      <w:r>
        <w:rPr>
          <w:spacing w:val="-11"/>
          <w:sz w:val="24"/>
        </w:rPr>
        <w:t> </w:t>
      </w:r>
      <w:r>
        <w:rPr>
          <w:spacing w:val="-2"/>
          <w:sz w:val="24"/>
        </w:rPr>
        <w:t>in</w:t>
      </w:r>
      <w:r>
        <w:rPr>
          <w:spacing w:val="-13"/>
          <w:sz w:val="24"/>
        </w:rPr>
        <w:t> </w:t>
      </w:r>
      <w:r>
        <w:rPr>
          <w:spacing w:val="-2"/>
          <w:sz w:val="24"/>
        </w:rPr>
        <w:t>175(4)(b)</w:t>
      </w:r>
    </w:p>
    <w:p>
      <w:pPr>
        <w:pStyle w:val="ListParagraph"/>
        <w:numPr>
          <w:ilvl w:val="0"/>
          <w:numId w:val="35"/>
        </w:numPr>
        <w:tabs>
          <w:tab w:pos="1748" w:val="left" w:leader="none"/>
        </w:tabs>
        <w:spacing w:line="280" w:lineRule="auto" w:before="40" w:after="0"/>
        <w:ind w:left="1748" w:right="4345" w:hanging="721"/>
        <w:jc w:val="left"/>
        <w:rPr>
          <w:sz w:val="24"/>
        </w:rPr>
      </w:pPr>
      <w:r>
        <w:rPr>
          <w:sz w:val="24"/>
        </w:rPr>
        <w:t>Substituting 175(5) with: Authorisation,</w:t>
      </w:r>
      <w:r>
        <w:rPr>
          <w:spacing w:val="-4"/>
          <w:sz w:val="24"/>
        </w:rPr>
        <w:t> </w:t>
      </w:r>
      <w:r>
        <w:rPr>
          <w:sz w:val="24"/>
        </w:rPr>
        <w:t>in</w:t>
      </w:r>
      <w:r>
        <w:rPr>
          <w:spacing w:val="-14"/>
          <w:sz w:val="24"/>
        </w:rPr>
        <w:t> </w:t>
      </w:r>
      <w:r>
        <w:rPr>
          <w:sz w:val="24"/>
        </w:rPr>
        <w:t>the</w:t>
      </w:r>
      <w:r>
        <w:rPr>
          <w:spacing w:val="-10"/>
          <w:sz w:val="24"/>
        </w:rPr>
        <w:t> </w:t>
      </w:r>
      <w:r>
        <w:rPr>
          <w:sz w:val="24"/>
        </w:rPr>
        <w:t>case</w:t>
      </w:r>
      <w:r>
        <w:rPr>
          <w:spacing w:val="-10"/>
          <w:sz w:val="24"/>
        </w:rPr>
        <w:t> </w:t>
      </w:r>
      <w:r>
        <w:rPr>
          <w:sz w:val="24"/>
        </w:rPr>
        <w:t>of—</w:t>
      </w:r>
    </w:p>
    <w:p>
      <w:pPr>
        <w:pStyle w:val="BodyText"/>
        <w:spacing w:line="276" w:lineRule="auto"/>
        <w:ind w:left="1748" w:right="230"/>
        <w:jc w:val="both"/>
      </w:pPr>
      <w:r>
        <w:rPr/>
        <w:t>a private company, may be given by the directors, where the company‘s articles includes</w:t>
      </w:r>
      <w:r>
        <w:rPr>
          <w:spacing w:val="-2"/>
        </w:rPr>
        <w:t> </w:t>
      </w:r>
      <w:r>
        <w:rPr/>
        <w:t>provisions</w:t>
      </w:r>
      <w:r>
        <w:rPr>
          <w:spacing w:val="-2"/>
        </w:rPr>
        <w:t> </w:t>
      </w:r>
      <w:r>
        <w:rPr/>
        <w:t>enabling the</w:t>
      </w:r>
      <w:r>
        <w:rPr>
          <w:spacing w:val="-1"/>
        </w:rPr>
        <w:t> </w:t>
      </w:r>
      <w:r>
        <w:rPr/>
        <w:t>directors</w:t>
      </w:r>
      <w:r>
        <w:rPr>
          <w:spacing w:val="-7"/>
        </w:rPr>
        <w:t> </w:t>
      </w:r>
      <w:r>
        <w:rPr/>
        <w:t>to authorise</w:t>
      </w:r>
      <w:r>
        <w:rPr>
          <w:spacing w:val="-1"/>
        </w:rPr>
        <w:t> </w:t>
      </w:r>
      <w:r>
        <w:rPr/>
        <w:t>the matter; a public company, must be given by the members.</w:t>
      </w:r>
    </w:p>
    <w:p>
      <w:pPr>
        <w:pStyle w:val="ListParagraph"/>
        <w:numPr>
          <w:ilvl w:val="0"/>
          <w:numId w:val="35"/>
        </w:numPr>
        <w:tabs>
          <w:tab w:pos="1745" w:val="left" w:leader="none"/>
        </w:tabs>
        <w:spacing w:line="275" w:lineRule="exact" w:before="0" w:after="0"/>
        <w:ind w:left="1745" w:right="0" w:hanging="717"/>
        <w:jc w:val="both"/>
        <w:rPr>
          <w:sz w:val="24"/>
        </w:rPr>
      </w:pPr>
      <w:r>
        <w:rPr>
          <w:sz w:val="24"/>
        </w:rPr>
        <w:t>Inserting</w:t>
      </w:r>
      <w:r>
        <w:rPr>
          <w:spacing w:val="-3"/>
          <w:sz w:val="24"/>
        </w:rPr>
        <w:t> </w:t>
      </w:r>
      <w:r>
        <w:rPr>
          <w:sz w:val="24"/>
        </w:rPr>
        <w:t>the</w:t>
      </w:r>
      <w:r>
        <w:rPr>
          <w:spacing w:val="-2"/>
          <w:sz w:val="24"/>
        </w:rPr>
        <w:t> </w:t>
      </w:r>
      <w:r>
        <w:rPr>
          <w:sz w:val="24"/>
        </w:rPr>
        <w:t>following</w:t>
      </w:r>
      <w:r>
        <w:rPr>
          <w:spacing w:val="-1"/>
          <w:sz w:val="24"/>
        </w:rPr>
        <w:t> </w:t>
      </w:r>
      <w:r>
        <w:rPr>
          <w:sz w:val="24"/>
        </w:rPr>
        <w:t>words</w:t>
      </w:r>
      <w:r>
        <w:rPr>
          <w:spacing w:val="-3"/>
          <w:sz w:val="24"/>
        </w:rPr>
        <w:t> </w:t>
      </w:r>
      <w:r>
        <w:rPr>
          <w:sz w:val="24"/>
        </w:rPr>
        <w:t>in</w:t>
      </w:r>
      <w:r>
        <w:rPr>
          <w:spacing w:val="-5"/>
          <w:sz w:val="24"/>
        </w:rPr>
        <w:t> </w:t>
      </w:r>
      <w:r>
        <w:rPr>
          <w:sz w:val="24"/>
        </w:rPr>
        <w:t>the</w:t>
      </w:r>
      <w:r>
        <w:rPr>
          <w:spacing w:val="-2"/>
          <w:sz w:val="24"/>
        </w:rPr>
        <w:t> </w:t>
      </w:r>
      <w:r>
        <w:rPr>
          <w:sz w:val="24"/>
        </w:rPr>
        <w:t>beginning</w:t>
      </w:r>
      <w:r>
        <w:rPr>
          <w:spacing w:val="-1"/>
          <w:sz w:val="24"/>
        </w:rPr>
        <w:t> </w:t>
      </w:r>
      <w:r>
        <w:rPr>
          <w:sz w:val="24"/>
        </w:rPr>
        <w:t>of</w:t>
      </w:r>
      <w:r>
        <w:rPr>
          <w:spacing w:val="-8"/>
          <w:sz w:val="24"/>
        </w:rPr>
        <w:t> </w:t>
      </w:r>
      <w:r>
        <w:rPr>
          <w:spacing w:val="-2"/>
          <w:sz w:val="24"/>
        </w:rPr>
        <w:t>s.175(6):</w:t>
      </w:r>
    </w:p>
    <w:p>
      <w:pPr>
        <w:pStyle w:val="BodyText"/>
        <w:spacing w:before="34"/>
        <w:ind w:left="1748"/>
        <w:jc w:val="both"/>
      </w:pPr>
      <w:r>
        <w:rPr/>
        <w:t>In</w:t>
      </w:r>
      <w:r>
        <w:rPr>
          <w:spacing w:val="-6"/>
        </w:rPr>
        <w:t> </w:t>
      </w:r>
      <w:r>
        <w:rPr/>
        <w:t>the case</w:t>
      </w:r>
      <w:r>
        <w:rPr>
          <w:spacing w:val="1"/>
        </w:rPr>
        <w:t> </w:t>
      </w:r>
      <w:r>
        <w:rPr/>
        <w:t>of</w:t>
      </w:r>
      <w:r>
        <w:rPr>
          <w:spacing w:val="-7"/>
        </w:rPr>
        <w:t> </w:t>
      </w:r>
      <w:r>
        <w:rPr/>
        <w:t>authorisation</w:t>
      </w:r>
      <w:r>
        <w:rPr>
          <w:spacing w:val="1"/>
        </w:rPr>
        <w:t> </w:t>
      </w:r>
      <w:r>
        <w:rPr/>
        <w:t>by</w:t>
      </w:r>
      <w:r>
        <w:rPr>
          <w:spacing w:val="-8"/>
        </w:rPr>
        <w:t> </w:t>
      </w:r>
      <w:r>
        <w:rPr/>
        <w:t>the directors in</w:t>
      </w:r>
      <w:r>
        <w:rPr>
          <w:spacing w:val="-4"/>
        </w:rPr>
        <w:t> </w:t>
      </w:r>
      <w:r>
        <w:rPr/>
        <w:t>a</w:t>
      </w:r>
      <w:r>
        <w:rPr>
          <w:spacing w:val="7"/>
        </w:rPr>
        <w:t> </w:t>
      </w:r>
      <w:r>
        <w:rPr/>
        <w:t>private</w:t>
      </w:r>
      <w:r>
        <w:rPr>
          <w:spacing w:val="1"/>
        </w:rPr>
        <w:t> </w:t>
      </w:r>
      <w:r>
        <w:rPr>
          <w:spacing w:val="-2"/>
        </w:rPr>
        <w:t>company,…</w:t>
      </w:r>
    </w:p>
    <w:p>
      <w:pPr>
        <w:pStyle w:val="ListParagraph"/>
        <w:numPr>
          <w:ilvl w:val="0"/>
          <w:numId w:val="35"/>
        </w:numPr>
        <w:tabs>
          <w:tab w:pos="1747" w:val="left" w:leader="none"/>
        </w:tabs>
        <w:spacing w:line="240" w:lineRule="auto" w:before="41" w:after="0"/>
        <w:ind w:left="1747" w:right="0" w:hanging="719"/>
        <w:jc w:val="both"/>
        <w:rPr>
          <w:sz w:val="24"/>
        </w:rPr>
      </w:pPr>
      <w:r>
        <w:rPr>
          <w:sz w:val="24"/>
        </w:rPr>
        <w:t>Adding</w:t>
      </w:r>
      <w:r>
        <w:rPr>
          <w:spacing w:val="-1"/>
          <w:sz w:val="24"/>
        </w:rPr>
        <w:t> </w:t>
      </w:r>
      <w:r>
        <w:rPr>
          <w:sz w:val="24"/>
        </w:rPr>
        <w:t>a</w:t>
      </w:r>
      <w:r>
        <w:rPr>
          <w:spacing w:val="-1"/>
          <w:sz w:val="24"/>
        </w:rPr>
        <w:t> </w:t>
      </w:r>
      <w:r>
        <w:rPr>
          <w:sz w:val="24"/>
        </w:rPr>
        <w:t>rider</w:t>
      </w:r>
      <w:r>
        <w:rPr>
          <w:spacing w:val="1"/>
          <w:sz w:val="24"/>
        </w:rPr>
        <w:t> </w:t>
      </w:r>
      <w:r>
        <w:rPr>
          <w:sz w:val="24"/>
        </w:rPr>
        <w:t>at the</w:t>
      </w:r>
      <w:r>
        <w:rPr>
          <w:spacing w:val="-1"/>
          <w:sz w:val="24"/>
        </w:rPr>
        <w:t> </w:t>
      </w:r>
      <w:r>
        <w:rPr>
          <w:sz w:val="24"/>
        </w:rPr>
        <w:t>end</w:t>
      </w:r>
      <w:r>
        <w:rPr>
          <w:spacing w:val="-1"/>
          <w:sz w:val="24"/>
        </w:rPr>
        <w:t> </w:t>
      </w:r>
      <w:r>
        <w:rPr>
          <w:sz w:val="24"/>
        </w:rPr>
        <w:t>of</w:t>
      </w:r>
      <w:r>
        <w:rPr>
          <w:spacing w:val="-7"/>
          <w:sz w:val="24"/>
        </w:rPr>
        <w:t> </w:t>
      </w:r>
      <w:r>
        <w:rPr>
          <w:sz w:val="24"/>
        </w:rPr>
        <w:t>175(6)(b)</w:t>
      </w:r>
      <w:r>
        <w:rPr>
          <w:spacing w:val="-3"/>
          <w:sz w:val="24"/>
        </w:rPr>
        <w:t> </w:t>
      </w:r>
      <w:r>
        <w:rPr>
          <w:spacing w:val="-4"/>
          <w:sz w:val="24"/>
        </w:rPr>
        <w:t>thus:</w:t>
      </w:r>
    </w:p>
    <w:p>
      <w:pPr>
        <w:pStyle w:val="BodyText"/>
        <w:spacing w:line="242" w:lineRule="auto" w:before="41"/>
        <w:ind w:left="1748" w:right="224"/>
        <w:jc w:val="both"/>
      </w:pPr>
      <w:r>
        <w:rPr/>
        <w:t>the company‘s articles maymakefurther provisions for dealing with conflicts of interest.</w:t>
      </w:r>
    </w:p>
    <w:p>
      <w:pPr>
        <w:pStyle w:val="ListParagraph"/>
        <w:numPr>
          <w:ilvl w:val="0"/>
          <w:numId w:val="34"/>
        </w:numPr>
        <w:tabs>
          <w:tab w:pos="1028" w:val="left" w:leader="none"/>
        </w:tabs>
        <w:spacing w:line="280" w:lineRule="auto" w:before="0" w:after="0"/>
        <w:ind w:left="1028" w:right="236" w:hanging="360"/>
        <w:jc w:val="both"/>
        <w:rPr>
          <w:sz w:val="24"/>
        </w:rPr>
      </w:pPr>
      <w:r>
        <w:rPr>
          <w:sz w:val="24"/>
        </w:rPr>
        <w:t>The principle in s.287 CAMA be reviewed and stated in</w:t>
      </w:r>
      <w:r>
        <w:rPr>
          <w:spacing w:val="-1"/>
          <w:sz w:val="24"/>
        </w:rPr>
        <w:t> </w:t>
      </w:r>
      <w:r>
        <w:rPr>
          <w:sz w:val="24"/>
        </w:rPr>
        <w:t>terms of s.176 CA</w:t>
      </w:r>
      <w:r>
        <w:rPr>
          <w:spacing w:val="-1"/>
          <w:sz w:val="24"/>
        </w:rPr>
        <w:t> </w:t>
      </w:r>
      <w:r>
        <w:rPr>
          <w:sz w:val="24"/>
        </w:rPr>
        <w:t>with the following alterations:</w:t>
      </w:r>
    </w:p>
    <w:p>
      <w:pPr>
        <w:pStyle w:val="ListParagraph"/>
        <w:numPr>
          <w:ilvl w:val="1"/>
          <w:numId w:val="34"/>
        </w:numPr>
        <w:tabs>
          <w:tab w:pos="1747" w:val="left" w:leader="none"/>
        </w:tabs>
        <w:spacing w:line="269" w:lineRule="exact" w:before="0" w:after="0"/>
        <w:ind w:left="1747" w:right="0" w:hanging="719"/>
        <w:jc w:val="both"/>
        <w:rPr>
          <w:sz w:val="24"/>
        </w:rPr>
      </w:pPr>
      <w:r>
        <w:rPr>
          <w:sz w:val="24"/>
        </w:rPr>
        <w:t>Omitting</w:t>
      </w:r>
      <w:r>
        <w:rPr>
          <w:spacing w:val="-4"/>
          <w:sz w:val="24"/>
        </w:rPr>
        <w:t> </w:t>
      </w:r>
      <w:r>
        <w:rPr>
          <w:sz w:val="24"/>
        </w:rPr>
        <w:t>s.176(3)</w:t>
      </w:r>
      <w:r>
        <w:rPr>
          <w:spacing w:val="3"/>
          <w:sz w:val="24"/>
        </w:rPr>
        <w:t> </w:t>
      </w:r>
      <w:r>
        <w:rPr>
          <w:spacing w:val="-5"/>
          <w:sz w:val="24"/>
        </w:rPr>
        <w:t>and</w:t>
      </w:r>
    </w:p>
    <w:p>
      <w:pPr>
        <w:pStyle w:val="ListParagraph"/>
        <w:numPr>
          <w:ilvl w:val="1"/>
          <w:numId w:val="34"/>
        </w:numPr>
        <w:tabs>
          <w:tab w:pos="1747" w:val="left" w:leader="none"/>
        </w:tabs>
        <w:spacing w:line="240" w:lineRule="auto" w:before="35" w:after="0"/>
        <w:ind w:left="1747" w:right="0" w:hanging="719"/>
        <w:jc w:val="both"/>
        <w:rPr>
          <w:sz w:val="24"/>
        </w:rPr>
      </w:pPr>
      <w:r>
        <w:rPr>
          <w:sz w:val="24"/>
        </w:rPr>
        <w:t>Inserting</w:t>
      </w:r>
      <w:r>
        <w:rPr>
          <w:spacing w:val="-2"/>
          <w:sz w:val="24"/>
        </w:rPr>
        <w:t> </w:t>
      </w:r>
      <w:r>
        <w:rPr>
          <w:sz w:val="24"/>
        </w:rPr>
        <w:t>an</w:t>
      </w:r>
      <w:r>
        <w:rPr>
          <w:spacing w:val="-6"/>
          <w:sz w:val="24"/>
        </w:rPr>
        <w:t> </w:t>
      </w:r>
      <w:r>
        <w:rPr>
          <w:sz w:val="24"/>
        </w:rPr>
        <w:t>additional</w:t>
      </w:r>
      <w:r>
        <w:rPr>
          <w:spacing w:val="-7"/>
          <w:sz w:val="24"/>
        </w:rPr>
        <w:t> </w:t>
      </w:r>
      <w:r>
        <w:rPr>
          <w:sz w:val="24"/>
        </w:rPr>
        <w:t>subsection</w:t>
      </w:r>
      <w:r>
        <w:rPr>
          <w:spacing w:val="-6"/>
          <w:sz w:val="24"/>
        </w:rPr>
        <w:t> </w:t>
      </w:r>
      <w:r>
        <w:rPr>
          <w:sz w:val="24"/>
        </w:rPr>
        <w:t>as</w:t>
      </w:r>
      <w:r>
        <w:rPr>
          <w:spacing w:val="1"/>
          <w:sz w:val="24"/>
        </w:rPr>
        <w:t> </w:t>
      </w:r>
      <w:r>
        <w:rPr>
          <w:spacing w:val="-2"/>
          <w:sz w:val="24"/>
        </w:rPr>
        <w:t>follows:</w:t>
      </w:r>
    </w:p>
    <w:p>
      <w:pPr>
        <w:pStyle w:val="BodyText"/>
        <w:spacing w:line="276" w:lineRule="auto" w:before="42"/>
        <w:ind w:left="1748" w:right="231"/>
        <w:jc w:val="both"/>
      </w:pPr>
      <w:r>
        <w:rPr/>
        <w:t>where the benefit offered is disclosed to, and approved by the general meeting, the director may take it.</w:t>
      </w:r>
    </w:p>
    <w:p>
      <w:pPr>
        <w:pStyle w:val="ListParagraph"/>
        <w:numPr>
          <w:ilvl w:val="0"/>
          <w:numId w:val="34"/>
        </w:numPr>
        <w:tabs>
          <w:tab w:pos="1028" w:val="left" w:leader="none"/>
        </w:tabs>
        <w:spacing w:line="276" w:lineRule="auto" w:before="0" w:after="0"/>
        <w:ind w:left="1028" w:right="235" w:hanging="360"/>
        <w:jc w:val="both"/>
        <w:rPr>
          <w:sz w:val="24"/>
        </w:rPr>
      </w:pPr>
      <w:r>
        <w:rPr>
          <w:sz w:val="24"/>
        </w:rPr>
        <w:t>The principle in s.277 CAMA be reviewed and restated in terms of s.177 CA with the following alterations:</w:t>
      </w:r>
    </w:p>
    <w:p>
      <w:pPr>
        <w:pStyle w:val="ListParagraph"/>
        <w:numPr>
          <w:ilvl w:val="1"/>
          <w:numId w:val="34"/>
        </w:numPr>
        <w:tabs>
          <w:tab w:pos="1746" w:val="left" w:leader="none"/>
          <w:tab w:pos="1748" w:val="left" w:leader="none"/>
        </w:tabs>
        <w:spacing w:line="278" w:lineRule="auto" w:before="0" w:after="0"/>
        <w:ind w:left="1748" w:right="236" w:hanging="721"/>
        <w:jc w:val="both"/>
        <w:rPr>
          <w:sz w:val="24"/>
        </w:rPr>
      </w:pPr>
      <w:r>
        <w:rPr>
          <w:sz w:val="24"/>
        </w:rPr>
        <w:t>Removing ―a proposed transaction or arrangement‖ in s.177(1) CA and replacing with ―any proposed contract or contract that has been entered </w:t>
      </w:r>
      <w:r>
        <w:rPr>
          <w:spacing w:val="-2"/>
          <w:sz w:val="24"/>
        </w:rPr>
        <w:t>into‖</w:t>
      </w:r>
    </w:p>
    <w:p>
      <w:pPr>
        <w:pStyle w:val="ListParagraph"/>
        <w:numPr>
          <w:ilvl w:val="1"/>
          <w:numId w:val="34"/>
        </w:numPr>
        <w:tabs>
          <w:tab w:pos="1746" w:val="left" w:leader="none"/>
          <w:tab w:pos="1748" w:val="left" w:leader="none"/>
        </w:tabs>
        <w:spacing w:line="276" w:lineRule="auto" w:before="0" w:after="0"/>
        <w:ind w:left="1748" w:right="229" w:hanging="721"/>
        <w:jc w:val="both"/>
        <w:rPr>
          <w:sz w:val="24"/>
        </w:rPr>
      </w:pPr>
      <w:r>
        <w:rPr>
          <w:sz w:val="24"/>
        </w:rPr>
        <w:t>Removing s.177(4) and Inserting a rider to s.177(2): ―any declaration required</w:t>
      </w:r>
      <w:r>
        <w:rPr>
          <w:spacing w:val="78"/>
          <w:sz w:val="24"/>
        </w:rPr>
        <w:t> </w:t>
      </w:r>
      <w:r>
        <w:rPr>
          <w:sz w:val="24"/>
        </w:rPr>
        <w:t>to</w:t>
      </w:r>
      <w:r>
        <w:rPr>
          <w:spacing w:val="79"/>
          <w:sz w:val="24"/>
        </w:rPr>
        <w:t> </w:t>
      </w:r>
      <w:r>
        <w:rPr>
          <w:sz w:val="24"/>
        </w:rPr>
        <w:t>be</w:t>
      </w:r>
      <w:r>
        <w:rPr>
          <w:spacing w:val="80"/>
          <w:sz w:val="24"/>
        </w:rPr>
        <w:t> </w:t>
      </w:r>
      <w:r>
        <w:rPr>
          <w:sz w:val="24"/>
        </w:rPr>
        <w:t>made</w:t>
      </w:r>
      <w:r>
        <w:rPr>
          <w:spacing w:val="80"/>
          <w:sz w:val="24"/>
        </w:rPr>
        <w:t> </w:t>
      </w:r>
      <w:r>
        <w:rPr>
          <w:sz w:val="24"/>
        </w:rPr>
        <w:t>by</w:t>
      </w:r>
      <w:r>
        <w:rPr>
          <w:spacing w:val="70"/>
          <w:sz w:val="24"/>
        </w:rPr>
        <w:t> </w:t>
      </w:r>
      <w:r>
        <w:rPr>
          <w:sz w:val="24"/>
        </w:rPr>
        <w:t>this</w:t>
      </w:r>
      <w:r>
        <w:rPr>
          <w:spacing w:val="80"/>
          <w:sz w:val="24"/>
        </w:rPr>
        <w:t> </w:t>
      </w:r>
      <w:r>
        <w:rPr>
          <w:sz w:val="24"/>
        </w:rPr>
        <w:t>section</w:t>
      </w:r>
      <w:r>
        <w:rPr>
          <w:spacing w:val="78"/>
          <w:sz w:val="24"/>
        </w:rPr>
        <w:t> </w:t>
      </w:r>
      <w:r>
        <w:rPr>
          <w:sz w:val="24"/>
        </w:rPr>
        <w:t>must</w:t>
      </w:r>
      <w:r>
        <w:rPr>
          <w:spacing w:val="80"/>
          <w:sz w:val="24"/>
        </w:rPr>
        <w:t> </w:t>
      </w:r>
      <w:r>
        <w:rPr>
          <w:sz w:val="24"/>
        </w:rPr>
        <w:t>be</w:t>
      </w:r>
      <w:r>
        <w:rPr>
          <w:spacing w:val="77"/>
          <w:sz w:val="24"/>
        </w:rPr>
        <w:t> </w:t>
      </w:r>
      <w:r>
        <w:rPr>
          <w:sz w:val="24"/>
        </w:rPr>
        <w:t>made</w:t>
      </w:r>
      <w:r>
        <w:rPr>
          <w:spacing w:val="77"/>
          <w:sz w:val="24"/>
        </w:rPr>
        <w:t> </w:t>
      </w:r>
      <w:r>
        <w:rPr>
          <w:sz w:val="24"/>
        </w:rPr>
        <w:t>as</w:t>
      </w:r>
      <w:r>
        <w:rPr>
          <w:spacing w:val="76"/>
          <w:sz w:val="24"/>
        </w:rPr>
        <w:t> </w:t>
      </w:r>
      <w:r>
        <w:rPr>
          <w:sz w:val="24"/>
        </w:rPr>
        <w:t>soon</w:t>
      </w:r>
      <w:r>
        <w:rPr>
          <w:spacing w:val="74"/>
          <w:sz w:val="24"/>
        </w:rPr>
        <w:t> </w:t>
      </w:r>
      <w:r>
        <w:rPr>
          <w:sz w:val="24"/>
        </w:rPr>
        <w:t>as</w:t>
      </w:r>
      <w:r>
        <w:rPr>
          <w:spacing w:val="80"/>
          <w:sz w:val="24"/>
        </w:rPr>
        <w:t> </w:t>
      </w:r>
      <w:r>
        <w:rPr>
          <w:sz w:val="24"/>
        </w:rPr>
        <w:t>is</w:t>
      </w:r>
    </w:p>
    <w:p>
      <w:pPr>
        <w:spacing w:after="0" w:line="276" w:lineRule="auto"/>
        <w:jc w:val="both"/>
        <w:rPr>
          <w:sz w:val="24"/>
        </w:rPr>
        <w:sectPr>
          <w:pgSz w:w="11910" w:h="16840"/>
          <w:pgMar w:header="0" w:footer="998" w:top="1320" w:bottom="1180" w:left="1680" w:right="1180"/>
        </w:sectPr>
      </w:pPr>
    </w:p>
    <w:p>
      <w:pPr>
        <w:pStyle w:val="BodyText"/>
        <w:spacing w:line="276" w:lineRule="auto" w:before="65"/>
        <w:ind w:left="1748" w:right="240"/>
        <w:jc w:val="both"/>
      </w:pPr>
      <w:r>
        <w:rPr/>
        <w:t>reasonably</w:t>
      </w:r>
      <w:r>
        <w:rPr>
          <w:spacing w:val="-1"/>
        </w:rPr>
        <w:t> </w:t>
      </w:r>
      <w:r>
        <w:rPr/>
        <w:t>practicable, in the case of</w:t>
      </w:r>
      <w:r>
        <w:rPr>
          <w:spacing w:val="-4"/>
        </w:rPr>
        <w:t> </w:t>
      </w:r>
      <w:r>
        <w:rPr/>
        <w:t>an existing contract, and before the company enters into the contract, in the case of a proposed contract.‖</w:t>
      </w:r>
    </w:p>
    <w:p>
      <w:pPr>
        <w:pStyle w:val="ListParagraph"/>
        <w:numPr>
          <w:ilvl w:val="1"/>
          <w:numId w:val="34"/>
        </w:numPr>
        <w:tabs>
          <w:tab w:pos="1744" w:val="left" w:leader="none"/>
          <w:tab w:pos="1748" w:val="left" w:leader="none"/>
        </w:tabs>
        <w:spacing w:line="276" w:lineRule="auto" w:before="0" w:after="0"/>
        <w:ind w:left="1748" w:right="226" w:hanging="721"/>
        <w:jc w:val="both"/>
        <w:rPr>
          <w:sz w:val="24"/>
        </w:rPr>
      </w:pPr>
      <w:r>
        <w:rPr>
          <w:sz w:val="24"/>
        </w:rPr>
        <w:t>Inserting a subsection: ―where disclosure is made regarding a proposed transaction, the matter must be referred to the general meeting for </w:t>
      </w:r>
      <w:r>
        <w:rPr>
          <w:spacing w:val="-2"/>
          <w:sz w:val="24"/>
        </w:rPr>
        <w:t>approval.‖</w:t>
      </w:r>
    </w:p>
    <w:p>
      <w:pPr>
        <w:pStyle w:val="ListParagraph"/>
        <w:numPr>
          <w:ilvl w:val="1"/>
          <w:numId w:val="34"/>
        </w:numPr>
        <w:tabs>
          <w:tab w:pos="1746" w:val="left" w:leader="none"/>
          <w:tab w:pos="1748" w:val="left" w:leader="none"/>
        </w:tabs>
        <w:spacing w:line="276" w:lineRule="auto" w:before="2" w:after="0"/>
        <w:ind w:left="1748" w:right="231" w:hanging="721"/>
        <w:jc w:val="both"/>
        <w:rPr>
          <w:sz w:val="24"/>
        </w:rPr>
      </w:pPr>
      <w:r>
        <w:rPr>
          <w:sz w:val="24"/>
        </w:rPr>
        <w:t>Inserting a subsection stating: ―a company director who fails to comply with the provisions of this section regarding disclosure, commits an offence and is liable to a fine of N100,000.00‖</w:t>
      </w:r>
    </w:p>
    <w:p>
      <w:pPr>
        <w:pStyle w:val="BodyText"/>
        <w:spacing w:line="276" w:lineRule="auto"/>
        <w:ind w:right="368"/>
        <w:jc w:val="both"/>
      </w:pPr>
      <w:r>
        <w:rPr/>
        <w:t>Inserting</w:t>
      </w:r>
      <w:r>
        <w:rPr>
          <w:spacing w:val="-15"/>
        </w:rPr>
        <w:t> </w:t>
      </w:r>
      <w:r>
        <w:rPr/>
        <w:t>a</w:t>
      </w:r>
      <w:r>
        <w:rPr>
          <w:spacing w:val="-15"/>
        </w:rPr>
        <w:t> </w:t>
      </w:r>
      <w:r>
        <w:rPr/>
        <w:t>further</w:t>
      </w:r>
      <w:r>
        <w:rPr>
          <w:spacing w:val="-13"/>
        </w:rPr>
        <w:t> </w:t>
      </w:r>
      <w:r>
        <w:rPr/>
        <w:t>subsection</w:t>
      </w:r>
      <w:r>
        <w:rPr>
          <w:spacing w:val="-15"/>
        </w:rPr>
        <w:t> </w:t>
      </w:r>
      <w:r>
        <w:rPr/>
        <w:t>stating:</w:t>
      </w:r>
      <w:r>
        <w:rPr>
          <w:spacing w:val="-10"/>
        </w:rPr>
        <w:t> </w:t>
      </w:r>
      <w:r>
        <w:rPr/>
        <w:t>―nothing</w:t>
      </w:r>
      <w:r>
        <w:rPr>
          <w:spacing w:val="-10"/>
        </w:rPr>
        <w:t> </w:t>
      </w:r>
      <w:r>
        <w:rPr/>
        <w:t>in</w:t>
      </w:r>
      <w:r>
        <w:rPr>
          <w:spacing w:val="-15"/>
        </w:rPr>
        <w:t> </w:t>
      </w:r>
      <w:r>
        <w:rPr/>
        <w:t>this</w:t>
      </w:r>
      <w:r>
        <w:rPr>
          <w:spacing w:val="-15"/>
        </w:rPr>
        <w:t> </w:t>
      </w:r>
      <w:r>
        <w:rPr/>
        <w:t>section</w:t>
      </w:r>
      <w:r>
        <w:rPr>
          <w:spacing w:val="-15"/>
        </w:rPr>
        <w:t> </w:t>
      </w:r>
      <w:r>
        <w:rPr/>
        <w:t>shall</w:t>
      </w:r>
      <w:r>
        <w:rPr>
          <w:spacing w:val="-15"/>
        </w:rPr>
        <w:t> </w:t>
      </w:r>
      <w:r>
        <w:rPr/>
        <w:t>prejudice</w:t>
      </w:r>
      <w:r>
        <w:rPr>
          <w:spacing w:val="-14"/>
        </w:rPr>
        <w:t> </w:t>
      </w:r>
      <w:r>
        <w:rPr/>
        <w:t>the</w:t>
      </w:r>
      <w:r>
        <w:rPr>
          <w:spacing w:val="-14"/>
        </w:rPr>
        <w:t> </w:t>
      </w:r>
      <w:r>
        <w:rPr/>
        <w:t>rule</w:t>
      </w:r>
      <w:r>
        <w:rPr>
          <w:spacing w:val="-14"/>
        </w:rPr>
        <w:t> </w:t>
      </w:r>
      <w:r>
        <w:rPr/>
        <w:t>as to substantial property transactions involving directors.‖</w:t>
      </w:r>
    </w:p>
    <w:sectPr>
      <w:pgSz w:w="11910" w:h="16840"/>
      <w:pgMar w:header="0" w:footer="998" w:top="1320" w:bottom="1180" w:left="1680" w:right="11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 w:name="Arial Black">
    <w:altName w:val="Arial Black"/>
    <w:charset w:val="1"/>
    <w:family w:val="swiss"/>
    <w:pitch w:val="variable"/>
  </w:font>
  <w:font w:name="Calibri">
    <w:altName w:val="Calibri"/>
    <w:charset w:val="1"/>
    <w:family w:val="roman"/>
    <w:pitch w:val="variable"/>
  </w:font>
  <w:font w:name="Tahoma">
    <w:altName w:val="Tahoma"/>
    <w:charset w:val="1"/>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0576">
              <wp:simplePos x="0" y="0"/>
              <wp:positionH relativeFrom="page">
                <wp:posOffset>3816096</wp:posOffset>
              </wp:positionH>
              <wp:positionV relativeFrom="page">
                <wp:posOffset>9918903</wp:posOffset>
              </wp:positionV>
              <wp:extent cx="309880" cy="16573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309880" cy="165735"/>
                      </a:xfrm>
                      <a:prstGeom prst="rect">
                        <a:avLst/>
                      </a:prstGeom>
                    </wps:spPr>
                    <wps:txbx>
                      <w:txbxContent>
                        <w:p>
                          <w:pPr>
                            <w:spacing w:line="245" w:lineRule="exact" w:before="0"/>
                            <w:ind w:left="60" w:right="0" w:firstLine="0"/>
                            <w:jc w:val="left"/>
                            <w:rPr>
                              <w:rFonts w:ascii="Calibri"/>
                              <w:sz w:val="22"/>
                            </w:rPr>
                          </w:pPr>
                          <w:r>
                            <w:rPr>
                              <w:rFonts w:ascii="Calibri"/>
                              <w:spacing w:val="-2"/>
                              <w:sz w:val="22"/>
                            </w:rPr>
                            <w:fldChar w:fldCharType="begin"/>
                          </w:r>
                          <w:r>
                            <w:rPr>
                              <w:rFonts w:ascii="Calibri"/>
                              <w:spacing w:val="-2"/>
                              <w:sz w:val="22"/>
                            </w:rPr>
                            <w:instrText> PAGE  \* roman </w:instrText>
                          </w:r>
                          <w:r>
                            <w:rPr>
                              <w:rFonts w:ascii="Calibri"/>
                              <w:spacing w:val="-2"/>
                              <w:sz w:val="22"/>
                            </w:rPr>
                            <w:fldChar w:fldCharType="separate"/>
                          </w:r>
                          <w:r>
                            <w:rPr>
                              <w:rFonts w:ascii="Calibri"/>
                              <w:spacing w:val="-2"/>
                              <w:sz w:val="22"/>
                            </w:rPr>
                            <w:t>xviii</w:t>
                          </w:r>
                          <w:r>
                            <w:rPr>
                              <w:rFonts w:ascii="Calibri"/>
                              <w:spacing w:val="-2"/>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00.480011pt;margin-top:781.015991pt;width:24.4pt;height:13.05pt;mso-position-horizontal-relative:page;mso-position-vertical-relative:page;z-index:-18235904" type="#_x0000_t202" id="docshape1" filled="false" stroked="false">
              <v:textbox inset="0,0,0,0">
                <w:txbxContent>
                  <w:p>
                    <w:pPr>
                      <w:spacing w:line="245" w:lineRule="exact" w:before="0"/>
                      <w:ind w:left="60" w:right="0" w:firstLine="0"/>
                      <w:jc w:val="left"/>
                      <w:rPr>
                        <w:rFonts w:ascii="Calibri"/>
                        <w:sz w:val="22"/>
                      </w:rPr>
                    </w:pPr>
                    <w:r>
                      <w:rPr>
                        <w:rFonts w:ascii="Calibri"/>
                        <w:spacing w:val="-2"/>
                        <w:sz w:val="22"/>
                      </w:rPr>
                      <w:fldChar w:fldCharType="begin"/>
                    </w:r>
                    <w:r>
                      <w:rPr>
                        <w:rFonts w:ascii="Calibri"/>
                        <w:spacing w:val="-2"/>
                        <w:sz w:val="22"/>
                      </w:rPr>
                      <w:instrText> PAGE  \* roman </w:instrText>
                    </w:r>
                    <w:r>
                      <w:rPr>
                        <w:rFonts w:ascii="Calibri"/>
                        <w:spacing w:val="-2"/>
                        <w:sz w:val="22"/>
                      </w:rPr>
                      <w:fldChar w:fldCharType="separate"/>
                    </w:r>
                    <w:r>
                      <w:rPr>
                        <w:rFonts w:ascii="Calibri"/>
                        <w:spacing w:val="-2"/>
                        <w:sz w:val="22"/>
                      </w:rPr>
                      <w:t>xviii</w:t>
                    </w:r>
                    <w:r>
                      <w:rPr>
                        <w:rFonts w:ascii="Calibri"/>
                        <w:spacing w:val="-2"/>
                        <w:sz w:val="22"/>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1088">
              <wp:simplePos x="0" y="0"/>
              <wp:positionH relativeFrom="page">
                <wp:posOffset>3852671</wp:posOffset>
              </wp:positionH>
              <wp:positionV relativeFrom="page">
                <wp:posOffset>9915855</wp:posOffset>
              </wp:positionV>
              <wp:extent cx="229235" cy="165735"/>
              <wp:effectExtent l="0" t="0" r="0" b="0"/>
              <wp:wrapNone/>
              <wp:docPr id="50" name="Textbox 50"/>
              <wp:cNvGraphicFramePr>
                <a:graphicFrameLocks/>
              </wp:cNvGraphicFramePr>
              <a:graphic>
                <a:graphicData uri="http://schemas.microsoft.com/office/word/2010/wordprocessingShape">
                  <wps:wsp>
                    <wps:cNvPr id="50" name="Textbox 50"/>
                    <wps:cNvSpPr txBox="1"/>
                    <wps:spPr>
                      <a:xfrm>
                        <a:off x="0" y="0"/>
                        <a:ext cx="229235"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21</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303.359985pt;margin-top:780.776001pt;width:18.05pt;height:13.05pt;mso-position-horizontal-relative:page;mso-position-vertical-relative:page;z-index:-18235392" type="#_x0000_t202" id="docshape5"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21</w:t>
                    </w:r>
                    <w:r>
                      <w:rPr>
                        <w:rFonts w:ascii="Calibri"/>
                        <w:spacing w:val="-5"/>
                        <w:sz w:val="22"/>
                      </w:rPr>
                      <w:fldChar w:fldCharType="end"/>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1600">
              <wp:simplePos x="0" y="0"/>
              <wp:positionH relativeFrom="page">
                <wp:posOffset>1262481</wp:posOffset>
              </wp:positionH>
              <wp:positionV relativeFrom="page">
                <wp:posOffset>9564319</wp:posOffset>
              </wp:positionV>
              <wp:extent cx="1829435" cy="9525"/>
              <wp:effectExtent l="0" t="0" r="0" b="0"/>
              <wp:wrapNone/>
              <wp:docPr id="75" name="Graphic 75"/>
              <wp:cNvGraphicFramePr>
                <a:graphicFrameLocks/>
              </wp:cNvGraphicFramePr>
              <a:graphic>
                <a:graphicData uri="http://schemas.microsoft.com/office/word/2010/wordprocessingShape">
                  <wps:wsp>
                    <wps:cNvPr id="75" name="Graphic 75"/>
                    <wps:cNvSpPr/>
                    <wps:spPr>
                      <a:xfrm>
                        <a:off x="0" y="0"/>
                        <a:ext cx="1829435" cy="9525"/>
                      </a:xfrm>
                      <a:custGeom>
                        <a:avLst/>
                        <a:gdLst/>
                        <a:ahLst/>
                        <a:cxnLst/>
                        <a:rect l="l" t="t" r="r" b="b"/>
                        <a:pathLst>
                          <a:path w="1829435" h="9525">
                            <a:moveTo>
                              <a:pt x="1829435" y="0"/>
                            </a:moveTo>
                            <a:lnTo>
                              <a:pt x="0" y="0"/>
                            </a:lnTo>
                            <a:lnTo>
                              <a:pt x="0" y="9143"/>
                            </a:lnTo>
                            <a:lnTo>
                              <a:pt x="1829435" y="9143"/>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99.407997pt;margin-top:753.096008pt;width:144.050pt;height:.71997pt;mso-position-horizontal-relative:page;mso-position-vertical-relative:page;z-index:-18234880" id="docshape30" filled="true" fillcolor="#000000" stroked="false">
              <v:fill type="solid"/>
              <w10:wrap type="none"/>
            </v:rect>
          </w:pict>
        </mc:Fallback>
      </mc:AlternateContent>
    </w:r>
    <w:r>
      <w:rPr/>
      <mc:AlternateContent>
        <mc:Choice Requires="wps">
          <w:drawing>
            <wp:anchor distT="0" distB="0" distL="0" distR="0" allowOverlap="1" layoutInCell="1" locked="0" behindDoc="1" simplePos="0" relativeHeight="485082112">
              <wp:simplePos x="0" y="0"/>
              <wp:positionH relativeFrom="page">
                <wp:posOffset>1249781</wp:posOffset>
              </wp:positionH>
              <wp:positionV relativeFrom="page">
                <wp:posOffset>9620960</wp:posOffset>
              </wp:positionV>
              <wp:extent cx="975994" cy="183515"/>
              <wp:effectExtent l="0" t="0" r="0" b="0"/>
              <wp:wrapNone/>
              <wp:docPr id="76" name="Textbox 76"/>
              <wp:cNvGraphicFramePr>
                <a:graphicFrameLocks/>
              </wp:cNvGraphicFramePr>
              <a:graphic>
                <a:graphicData uri="http://schemas.microsoft.com/office/word/2010/wordprocessingShape">
                  <wps:wsp>
                    <wps:cNvPr id="76" name="Textbox 76"/>
                    <wps:cNvSpPr txBox="1"/>
                    <wps:spPr>
                      <a:xfrm>
                        <a:off x="0" y="0"/>
                        <a:ext cx="975994" cy="183515"/>
                      </a:xfrm>
                      <a:prstGeom prst="rect">
                        <a:avLst/>
                      </a:prstGeom>
                    </wps:spPr>
                    <wps:txbx>
                      <w:txbxContent>
                        <w:p>
                          <w:pPr>
                            <w:spacing w:before="27"/>
                            <w:ind w:left="20" w:right="0" w:firstLine="0"/>
                            <w:jc w:val="left"/>
                            <w:rPr>
                              <w:rFonts w:ascii="Calibri"/>
                              <w:sz w:val="20"/>
                            </w:rPr>
                          </w:pPr>
                          <w:r>
                            <w:rPr>
                              <w:rFonts w:ascii="Calibri"/>
                              <w:sz w:val="20"/>
                              <w:vertAlign w:val="superscript"/>
                            </w:rPr>
                            <w:t>40</w:t>
                          </w:r>
                          <w:r>
                            <w:rPr>
                              <w:rFonts w:ascii="Calibri"/>
                              <w:sz w:val="20"/>
                              <w:vertAlign w:val="baseline"/>
                            </w:rPr>
                            <w:t>Refer</w:t>
                          </w:r>
                          <w:r>
                            <w:rPr>
                              <w:rFonts w:ascii="Calibri"/>
                              <w:spacing w:val="1"/>
                              <w:sz w:val="20"/>
                              <w:vertAlign w:val="baseline"/>
                            </w:rPr>
                            <w:t> </w:t>
                          </w:r>
                          <w:r>
                            <w:rPr>
                              <w:rFonts w:ascii="Calibri"/>
                              <w:sz w:val="20"/>
                              <w:vertAlign w:val="baseline"/>
                            </w:rPr>
                            <w:t>to</w:t>
                          </w:r>
                          <w:r>
                            <w:rPr>
                              <w:rFonts w:ascii="Calibri"/>
                              <w:spacing w:val="-7"/>
                              <w:sz w:val="20"/>
                              <w:vertAlign w:val="baseline"/>
                            </w:rPr>
                            <w:t> </w:t>
                          </w:r>
                          <w:r>
                            <w:rPr>
                              <w:rFonts w:ascii="Calibri"/>
                              <w:spacing w:val="-2"/>
                              <w:sz w:val="20"/>
                              <w:vertAlign w:val="baseline"/>
                            </w:rPr>
                            <w:t>s.168(3)</w:t>
                          </w:r>
                        </w:p>
                      </w:txbxContent>
                    </wps:txbx>
                    <wps:bodyPr wrap="square" lIns="0" tIns="0" rIns="0" bIns="0" rtlCol="0">
                      <a:noAutofit/>
                    </wps:bodyPr>
                  </wps:wsp>
                </a:graphicData>
              </a:graphic>
            </wp:anchor>
          </w:drawing>
        </mc:Choice>
        <mc:Fallback>
          <w:pict>
            <v:shape style="position:absolute;margin-left:98.407997pt;margin-top:757.555969pt;width:76.850pt;height:14.45pt;mso-position-horizontal-relative:page;mso-position-vertical-relative:page;z-index:-18234368" type="#_x0000_t202" id="docshape31" filled="false" stroked="false">
              <v:textbox inset="0,0,0,0">
                <w:txbxContent>
                  <w:p>
                    <w:pPr>
                      <w:spacing w:before="27"/>
                      <w:ind w:left="20" w:right="0" w:firstLine="0"/>
                      <w:jc w:val="left"/>
                      <w:rPr>
                        <w:rFonts w:ascii="Calibri"/>
                        <w:sz w:val="20"/>
                      </w:rPr>
                    </w:pPr>
                    <w:r>
                      <w:rPr>
                        <w:rFonts w:ascii="Calibri"/>
                        <w:sz w:val="20"/>
                        <w:vertAlign w:val="superscript"/>
                      </w:rPr>
                      <w:t>40</w:t>
                    </w:r>
                    <w:r>
                      <w:rPr>
                        <w:rFonts w:ascii="Calibri"/>
                        <w:sz w:val="20"/>
                        <w:vertAlign w:val="baseline"/>
                      </w:rPr>
                      <w:t>Refer</w:t>
                    </w:r>
                    <w:r>
                      <w:rPr>
                        <w:rFonts w:ascii="Calibri"/>
                        <w:spacing w:val="1"/>
                        <w:sz w:val="20"/>
                        <w:vertAlign w:val="baseline"/>
                      </w:rPr>
                      <w:t> </w:t>
                    </w:r>
                    <w:r>
                      <w:rPr>
                        <w:rFonts w:ascii="Calibri"/>
                        <w:sz w:val="20"/>
                        <w:vertAlign w:val="baseline"/>
                      </w:rPr>
                      <w:t>to</w:t>
                    </w:r>
                    <w:r>
                      <w:rPr>
                        <w:rFonts w:ascii="Calibri"/>
                        <w:spacing w:val="-7"/>
                        <w:sz w:val="20"/>
                        <w:vertAlign w:val="baseline"/>
                      </w:rPr>
                      <w:t> </w:t>
                    </w:r>
                    <w:r>
                      <w:rPr>
                        <w:rFonts w:ascii="Calibri"/>
                        <w:spacing w:val="-2"/>
                        <w:sz w:val="20"/>
                        <w:vertAlign w:val="baseline"/>
                      </w:rPr>
                      <w:t>s.168(3)</w:t>
                    </w:r>
                  </w:p>
                </w:txbxContent>
              </v:textbox>
              <w10:wrap type="none"/>
            </v:shape>
          </w:pict>
        </mc:Fallback>
      </mc:AlternateContent>
    </w:r>
    <w:r>
      <w:rPr/>
      <mc:AlternateContent>
        <mc:Choice Requires="wps">
          <w:drawing>
            <wp:anchor distT="0" distB="0" distL="0" distR="0" allowOverlap="1" layoutInCell="1" locked="0" behindDoc="1" simplePos="0" relativeHeight="485082624">
              <wp:simplePos x="0" y="0"/>
              <wp:positionH relativeFrom="page">
                <wp:posOffset>3878071</wp:posOffset>
              </wp:positionH>
              <wp:positionV relativeFrom="page">
                <wp:posOffset>9915855</wp:posOffset>
              </wp:positionV>
              <wp:extent cx="165735" cy="165735"/>
              <wp:effectExtent l="0" t="0" r="0" b="0"/>
              <wp:wrapNone/>
              <wp:docPr id="77" name="Textbox 77"/>
              <wp:cNvGraphicFramePr>
                <a:graphicFrameLocks/>
              </wp:cNvGraphicFramePr>
              <a:graphic>
                <a:graphicData uri="http://schemas.microsoft.com/office/word/2010/wordprocessingShape">
                  <wps:wsp>
                    <wps:cNvPr id="77" name="Textbox 77"/>
                    <wps:cNvSpPr txBox="1"/>
                    <wps:spPr>
                      <a:xfrm>
                        <a:off x="0" y="0"/>
                        <a:ext cx="165735"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49</w:t>
                          </w:r>
                        </w:p>
                      </w:txbxContent>
                    </wps:txbx>
                    <wps:bodyPr wrap="square" lIns="0" tIns="0" rIns="0" bIns="0" rtlCol="0">
                      <a:noAutofit/>
                    </wps:bodyPr>
                  </wps:wsp>
                </a:graphicData>
              </a:graphic>
            </wp:anchor>
          </w:drawing>
        </mc:Choice>
        <mc:Fallback>
          <w:pict>
            <v:shape style="position:absolute;margin-left:305.359985pt;margin-top:780.776001pt;width:13.05pt;height:13.05pt;mso-position-horizontal-relative:page;mso-position-vertical-relative:page;z-index:-18233856" type="#_x0000_t202" id="docshape32" filled="false" stroked="false">
              <v:textbox inset="0,0,0,0">
                <w:txbxContent>
                  <w:p>
                    <w:pPr>
                      <w:spacing w:line="245" w:lineRule="exact" w:before="0"/>
                      <w:ind w:left="20" w:right="0" w:firstLine="0"/>
                      <w:jc w:val="left"/>
                      <w:rPr>
                        <w:rFonts w:ascii="Calibri"/>
                        <w:sz w:val="22"/>
                      </w:rPr>
                    </w:pPr>
                    <w:r>
                      <w:rPr>
                        <w:rFonts w:ascii="Calibri"/>
                        <w:spacing w:val="-5"/>
                        <w:sz w:val="22"/>
                      </w:rPr>
                      <w:t>49</w:t>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3136">
              <wp:simplePos x="0" y="0"/>
              <wp:positionH relativeFrom="page">
                <wp:posOffset>1249781</wp:posOffset>
              </wp:positionH>
              <wp:positionV relativeFrom="page">
                <wp:posOffset>9620960</wp:posOffset>
              </wp:positionV>
              <wp:extent cx="1255395" cy="183515"/>
              <wp:effectExtent l="0" t="0" r="0" b="0"/>
              <wp:wrapNone/>
              <wp:docPr id="78" name="Textbox 78"/>
              <wp:cNvGraphicFramePr>
                <a:graphicFrameLocks/>
              </wp:cNvGraphicFramePr>
              <a:graphic>
                <a:graphicData uri="http://schemas.microsoft.com/office/word/2010/wordprocessingShape">
                  <wps:wsp>
                    <wps:cNvPr id="78" name="Textbox 78"/>
                    <wps:cNvSpPr txBox="1"/>
                    <wps:spPr>
                      <a:xfrm>
                        <a:off x="0" y="0"/>
                        <a:ext cx="1255395" cy="183515"/>
                      </a:xfrm>
                      <a:prstGeom prst="rect">
                        <a:avLst/>
                      </a:prstGeom>
                    </wps:spPr>
                    <wps:txbx>
                      <w:txbxContent>
                        <w:p>
                          <w:pPr>
                            <w:spacing w:before="27"/>
                            <w:ind w:left="20" w:right="0" w:firstLine="0"/>
                            <w:jc w:val="left"/>
                            <w:rPr>
                              <w:rFonts w:ascii="Calibri"/>
                              <w:sz w:val="20"/>
                            </w:rPr>
                          </w:pPr>
                          <w:r>
                            <w:rPr>
                              <w:rFonts w:ascii="Calibri"/>
                              <w:sz w:val="20"/>
                              <w:vertAlign w:val="superscript"/>
                            </w:rPr>
                            <w:t>42</w:t>
                          </w:r>
                          <w:r>
                            <w:rPr>
                              <w:rFonts w:ascii="Calibri"/>
                              <w:sz w:val="20"/>
                              <w:vertAlign w:val="baseline"/>
                            </w:rPr>
                            <w:t>S.248(2)</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4"/>
                              <w:sz w:val="20"/>
                              <w:vertAlign w:val="baseline"/>
                            </w:rPr>
                            <w:t> CAMA.</w:t>
                          </w:r>
                        </w:p>
                      </w:txbxContent>
                    </wps:txbx>
                    <wps:bodyPr wrap="square" lIns="0" tIns="0" rIns="0" bIns="0" rtlCol="0">
                      <a:noAutofit/>
                    </wps:bodyPr>
                  </wps:wsp>
                </a:graphicData>
              </a:graphic>
            </wp:anchor>
          </w:drawing>
        </mc:Choice>
        <mc:Fallback>
          <w:pict>
            <v:shape style="position:absolute;margin-left:98.407997pt;margin-top:757.555969pt;width:98.85pt;height:14.45pt;mso-position-horizontal-relative:page;mso-position-vertical-relative:page;z-index:-18233344" type="#_x0000_t202" id="docshape33" filled="false" stroked="false">
              <v:textbox inset="0,0,0,0">
                <w:txbxContent>
                  <w:p>
                    <w:pPr>
                      <w:spacing w:before="27"/>
                      <w:ind w:left="20" w:right="0" w:firstLine="0"/>
                      <w:jc w:val="left"/>
                      <w:rPr>
                        <w:rFonts w:ascii="Calibri"/>
                        <w:sz w:val="20"/>
                      </w:rPr>
                    </w:pPr>
                    <w:r>
                      <w:rPr>
                        <w:rFonts w:ascii="Calibri"/>
                        <w:sz w:val="20"/>
                        <w:vertAlign w:val="superscript"/>
                      </w:rPr>
                      <w:t>42</w:t>
                    </w:r>
                    <w:r>
                      <w:rPr>
                        <w:rFonts w:ascii="Calibri"/>
                        <w:sz w:val="20"/>
                        <w:vertAlign w:val="baseline"/>
                      </w:rPr>
                      <w:t>S.248(2)</w:t>
                    </w:r>
                    <w:r>
                      <w:rPr>
                        <w:rFonts w:ascii="Calibri"/>
                        <w:spacing w:val="-3"/>
                        <w:sz w:val="20"/>
                        <w:vertAlign w:val="baseline"/>
                      </w:rPr>
                      <w:t> </w:t>
                    </w:r>
                    <w:r>
                      <w:rPr>
                        <w:rFonts w:ascii="Calibri"/>
                        <w:sz w:val="20"/>
                        <w:vertAlign w:val="baseline"/>
                      </w:rPr>
                      <w:t>of</w:t>
                    </w:r>
                    <w:r>
                      <w:rPr>
                        <w:rFonts w:ascii="Calibri"/>
                        <w:spacing w:val="-4"/>
                        <w:sz w:val="20"/>
                        <w:vertAlign w:val="baseline"/>
                      </w:rPr>
                      <w:t> </w:t>
                    </w:r>
                    <w:r>
                      <w:rPr>
                        <w:rFonts w:ascii="Calibri"/>
                        <w:sz w:val="20"/>
                        <w:vertAlign w:val="baseline"/>
                      </w:rPr>
                      <w:t>the</w:t>
                    </w:r>
                    <w:r>
                      <w:rPr>
                        <w:rFonts w:ascii="Calibri"/>
                        <w:spacing w:val="-4"/>
                        <w:sz w:val="20"/>
                        <w:vertAlign w:val="baseline"/>
                      </w:rPr>
                      <w:t> CAMA.</w:t>
                    </w:r>
                  </w:p>
                </w:txbxContent>
              </v:textbox>
              <w10:wrap type="none"/>
            </v:shape>
          </w:pict>
        </mc:Fallback>
      </mc:AlternateContent>
    </w:r>
    <w:r>
      <w:rPr/>
      <mc:AlternateContent>
        <mc:Choice Requires="wps">
          <w:drawing>
            <wp:anchor distT="0" distB="0" distL="0" distR="0" allowOverlap="1" layoutInCell="1" locked="0" behindDoc="1" simplePos="0" relativeHeight="485083648">
              <wp:simplePos x="0" y="0"/>
              <wp:positionH relativeFrom="page">
                <wp:posOffset>3878071</wp:posOffset>
              </wp:positionH>
              <wp:positionV relativeFrom="page">
                <wp:posOffset>9915855</wp:posOffset>
              </wp:positionV>
              <wp:extent cx="165735" cy="165735"/>
              <wp:effectExtent l="0" t="0" r="0" b="0"/>
              <wp:wrapNone/>
              <wp:docPr id="79" name="Textbox 79"/>
              <wp:cNvGraphicFramePr>
                <a:graphicFrameLocks/>
              </wp:cNvGraphicFramePr>
              <a:graphic>
                <a:graphicData uri="http://schemas.microsoft.com/office/word/2010/wordprocessingShape">
                  <wps:wsp>
                    <wps:cNvPr id="79" name="Textbox 79"/>
                    <wps:cNvSpPr txBox="1"/>
                    <wps:spPr>
                      <a:xfrm>
                        <a:off x="0" y="0"/>
                        <a:ext cx="165735"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50</w:t>
                          </w:r>
                        </w:p>
                      </w:txbxContent>
                    </wps:txbx>
                    <wps:bodyPr wrap="square" lIns="0" tIns="0" rIns="0" bIns="0" rtlCol="0">
                      <a:noAutofit/>
                    </wps:bodyPr>
                  </wps:wsp>
                </a:graphicData>
              </a:graphic>
            </wp:anchor>
          </w:drawing>
        </mc:Choice>
        <mc:Fallback>
          <w:pict>
            <v:shape style="position:absolute;margin-left:305.359985pt;margin-top:780.776001pt;width:13.05pt;height:13.05pt;mso-position-horizontal-relative:page;mso-position-vertical-relative:page;z-index:-18232832" type="#_x0000_t202" id="docshape34" filled="false" stroked="false">
              <v:textbox inset="0,0,0,0">
                <w:txbxContent>
                  <w:p>
                    <w:pPr>
                      <w:spacing w:line="245" w:lineRule="exact" w:before="0"/>
                      <w:ind w:left="20" w:right="0" w:firstLine="0"/>
                      <w:jc w:val="left"/>
                      <w:rPr>
                        <w:rFonts w:ascii="Calibri"/>
                        <w:sz w:val="22"/>
                      </w:rPr>
                    </w:pPr>
                    <w:r>
                      <w:rPr>
                        <w:rFonts w:ascii="Calibri"/>
                        <w:spacing w:val="-5"/>
                        <w:sz w:val="22"/>
                      </w:rPr>
                      <w:t>50</w:t>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4160">
              <wp:simplePos x="0" y="0"/>
              <wp:positionH relativeFrom="page">
                <wp:posOffset>3878071</wp:posOffset>
              </wp:positionH>
              <wp:positionV relativeFrom="page">
                <wp:posOffset>9915855</wp:posOffset>
              </wp:positionV>
              <wp:extent cx="165735" cy="165735"/>
              <wp:effectExtent l="0" t="0" r="0" b="0"/>
              <wp:wrapNone/>
              <wp:docPr id="81" name="Textbox 81"/>
              <wp:cNvGraphicFramePr>
                <a:graphicFrameLocks/>
              </wp:cNvGraphicFramePr>
              <a:graphic>
                <a:graphicData uri="http://schemas.microsoft.com/office/word/2010/wordprocessingShape">
                  <wps:wsp>
                    <wps:cNvPr id="81" name="Textbox 81"/>
                    <wps:cNvSpPr txBox="1"/>
                    <wps:spPr>
                      <a:xfrm>
                        <a:off x="0" y="0"/>
                        <a:ext cx="165735"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51</w:t>
                          </w:r>
                        </w:p>
                      </w:txbxContent>
                    </wps:txbx>
                    <wps:bodyPr wrap="square" lIns="0" tIns="0" rIns="0" bIns="0" rtlCol="0">
                      <a:noAutofit/>
                    </wps:bodyPr>
                  </wps:wsp>
                </a:graphicData>
              </a:graphic>
            </wp:anchor>
          </w:drawing>
        </mc:Choice>
        <mc:Fallback>
          <w:pict>
            <v:shape style="position:absolute;margin-left:305.359985pt;margin-top:780.776001pt;width:13.05pt;height:13.05pt;mso-position-horizontal-relative:page;mso-position-vertical-relative:page;z-index:-18232320" type="#_x0000_t202" id="docshape36" filled="false" stroked="false">
              <v:textbox inset="0,0,0,0">
                <w:txbxContent>
                  <w:p>
                    <w:pPr>
                      <w:spacing w:line="245" w:lineRule="exact" w:before="0"/>
                      <w:ind w:left="20" w:right="0" w:firstLine="0"/>
                      <w:jc w:val="left"/>
                      <w:rPr>
                        <w:rFonts w:ascii="Calibri"/>
                        <w:sz w:val="22"/>
                      </w:rPr>
                    </w:pPr>
                    <w:r>
                      <w:rPr>
                        <w:rFonts w:ascii="Calibri"/>
                        <w:spacing w:val="-5"/>
                        <w:sz w:val="22"/>
                      </w:rPr>
                      <w:t>51</w:t>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4672">
              <wp:simplePos x="0" y="0"/>
              <wp:positionH relativeFrom="page">
                <wp:posOffset>3852671</wp:posOffset>
              </wp:positionH>
              <wp:positionV relativeFrom="page">
                <wp:posOffset>9915855</wp:posOffset>
              </wp:positionV>
              <wp:extent cx="229235" cy="165735"/>
              <wp:effectExtent l="0" t="0" r="0" b="0"/>
              <wp:wrapNone/>
              <wp:docPr id="83" name="Textbox 83"/>
              <wp:cNvGraphicFramePr>
                <a:graphicFrameLocks/>
              </wp:cNvGraphicFramePr>
              <a:graphic>
                <a:graphicData uri="http://schemas.microsoft.com/office/word/2010/wordprocessingShape">
                  <wps:wsp>
                    <wps:cNvPr id="83" name="Textbox 83"/>
                    <wps:cNvSpPr txBox="1"/>
                    <wps:spPr>
                      <a:xfrm>
                        <a:off x="0" y="0"/>
                        <a:ext cx="229235"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52</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303.359985pt;margin-top:780.776001pt;width:18.05pt;height:13.05pt;mso-position-horizontal-relative:page;mso-position-vertical-relative:page;z-index:-18231808" type="#_x0000_t202" id="docshape38"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52</w:t>
                    </w:r>
                    <w:r>
                      <w:rPr>
                        <w:rFonts w:ascii="Calibri"/>
                        <w:spacing w:val="-5"/>
                        <w:sz w:val="22"/>
                      </w:rPr>
                      <w:fldChar w:fldCharType="end"/>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5184">
              <wp:simplePos x="0" y="0"/>
              <wp:positionH relativeFrom="page">
                <wp:posOffset>3878071</wp:posOffset>
              </wp:positionH>
              <wp:positionV relativeFrom="page">
                <wp:posOffset>9915855</wp:posOffset>
              </wp:positionV>
              <wp:extent cx="165735" cy="165735"/>
              <wp:effectExtent l="0" t="0" r="0" b="0"/>
              <wp:wrapNone/>
              <wp:docPr id="110" name="Textbox 110"/>
              <wp:cNvGraphicFramePr>
                <a:graphicFrameLocks/>
              </wp:cNvGraphicFramePr>
              <a:graphic>
                <a:graphicData uri="http://schemas.microsoft.com/office/word/2010/wordprocessingShape">
                  <wps:wsp>
                    <wps:cNvPr id="110" name="Textbox 110"/>
                    <wps:cNvSpPr txBox="1"/>
                    <wps:spPr>
                      <a:xfrm>
                        <a:off x="0" y="0"/>
                        <a:ext cx="165735"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78</w:t>
                          </w:r>
                        </w:p>
                      </w:txbxContent>
                    </wps:txbx>
                    <wps:bodyPr wrap="square" lIns="0" tIns="0" rIns="0" bIns="0" rtlCol="0">
                      <a:noAutofit/>
                    </wps:bodyPr>
                  </wps:wsp>
                </a:graphicData>
              </a:graphic>
            </wp:anchor>
          </w:drawing>
        </mc:Choice>
        <mc:Fallback>
          <w:pict>
            <v:shape style="position:absolute;margin-left:305.359985pt;margin-top:780.776001pt;width:13.05pt;height:13.05pt;mso-position-horizontal-relative:page;mso-position-vertical-relative:page;z-index:-18231296" type="#_x0000_t202" id="docshape65" filled="false" stroked="false">
              <v:textbox inset="0,0,0,0">
                <w:txbxContent>
                  <w:p>
                    <w:pPr>
                      <w:spacing w:line="245" w:lineRule="exact" w:before="0"/>
                      <w:ind w:left="20" w:right="0" w:firstLine="0"/>
                      <w:jc w:val="left"/>
                      <w:rPr>
                        <w:rFonts w:ascii="Calibri"/>
                        <w:sz w:val="22"/>
                      </w:rPr>
                    </w:pPr>
                    <w:r>
                      <w:rPr>
                        <w:rFonts w:ascii="Calibri"/>
                        <w:spacing w:val="-5"/>
                        <w:sz w:val="22"/>
                      </w:rPr>
                      <w:t>78</w:t>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5696">
              <wp:simplePos x="0" y="0"/>
              <wp:positionH relativeFrom="page">
                <wp:posOffset>3816096</wp:posOffset>
              </wp:positionH>
              <wp:positionV relativeFrom="page">
                <wp:posOffset>9915855</wp:posOffset>
              </wp:positionV>
              <wp:extent cx="299720" cy="165735"/>
              <wp:effectExtent l="0" t="0" r="0" b="0"/>
              <wp:wrapNone/>
              <wp:docPr id="112" name="Textbox 112"/>
              <wp:cNvGraphicFramePr>
                <a:graphicFrameLocks/>
              </wp:cNvGraphicFramePr>
              <a:graphic>
                <a:graphicData uri="http://schemas.microsoft.com/office/word/2010/wordprocessingShape">
                  <wps:wsp>
                    <wps:cNvPr id="112" name="Textbox 112"/>
                    <wps:cNvSpPr txBox="1"/>
                    <wps:spPr>
                      <a:xfrm>
                        <a:off x="0" y="0"/>
                        <a:ext cx="299720"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100</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300.480011pt;margin-top:780.776001pt;width:23.6pt;height:13.05pt;mso-position-horizontal-relative:page;mso-position-vertical-relative:page;z-index:-18230784" type="#_x0000_t202" id="docshape67"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100</w:t>
                    </w:r>
                    <w:r>
                      <w:rPr>
                        <w:rFonts w:ascii="Calibri"/>
                        <w:spacing w:val="-5"/>
                        <w:sz w:val="22"/>
                      </w:rPr>
                      <w:fldChar w:fldCharType="end"/>
                    </w:r>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6208">
              <wp:simplePos x="0" y="0"/>
              <wp:positionH relativeFrom="page">
                <wp:posOffset>1249781</wp:posOffset>
              </wp:positionH>
              <wp:positionV relativeFrom="page">
                <wp:posOffset>9620960</wp:posOffset>
              </wp:positionV>
              <wp:extent cx="1157605" cy="183515"/>
              <wp:effectExtent l="0" t="0" r="0" b="0"/>
              <wp:wrapNone/>
              <wp:docPr id="168" name="Textbox 168"/>
              <wp:cNvGraphicFramePr>
                <a:graphicFrameLocks/>
              </wp:cNvGraphicFramePr>
              <a:graphic>
                <a:graphicData uri="http://schemas.microsoft.com/office/word/2010/wordprocessingShape">
                  <wps:wsp>
                    <wps:cNvPr id="168" name="Textbox 168"/>
                    <wps:cNvSpPr txBox="1"/>
                    <wps:spPr>
                      <a:xfrm>
                        <a:off x="0" y="0"/>
                        <a:ext cx="1157605" cy="183515"/>
                      </a:xfrm>
                      <a:prstGeom prst="rect">
                        <a:avLst/>
                      </a:prstGeom>
                    </wps:spPr>
                    <wps:txbx>
                      <w:txbxContent>
                        <w:p>
                          <w:pPr>
                            <w:spacing w:before="27"/>
                            <w:ind w:left="20" w:right="0" w:firstLine="0"/>
                            <w:jc w:val="left"/>
                            <w:rPr>
                              <w:rFonts w:ascii="Calibri"/>
                              <w:sz w:val="20"/>
                            </w:rPr>
                          </w:pPr>
                          <w:r>
                            <w:rPr>
                              <w:rFonts w:ascii="Calibri"/>
                              <w:sz w:val="20"/>
                              <w:vertAlign w:val="superscript"/>
                            </w:rPr>
                            <w:t>249</w:t>
                          </w:r>
                          <w:r>
                            <w:rPr>
                              <w:rFonts w:ascii="Calibri"/>
                              <w:sz w:val="20"/>
                              <w:vertAlign w:val="baseline"/>
                            </w:rPr>
                            <w:t>(1942)</w:t>
                          </w:r>
                          <w:r>
                            <w:rPr>
                              <w:rFonts w:ascii="Calibri"/>
                              <w:spacing w:val="-1"/>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 </w:t>
                          </w:r>
                          <w:r>
                            <w:rPr>
                              <w:rFonts w:ascii="Calibri"/>
                              <w:spacing w:val="-4"/>
                              <w:sz w:val="20"/>
                              <w:vertAlign w:val="baseline"/>
                            </w:rPr>
                            <w:t>378.</w:t>
                          </w:r>
                        </w:p>
                      </w:txbxContent>
                    </wps:txbx>
                    <wps:bodyPr wrap="square" lIns="0" tIns="0" rIns="0" bIns="0" rtlCol="0">
                      <a:noAutofit/>
                    </wps:bodyPr>
                  </wps:wsp>
                </a:graphicData>
              </a:graphic>
            </wp:anchor>
          </w:drawing>
        </mc:Choice>
        <mc:Fallback>
          <w:pict>
            <v:shape style="position:absolute;margin-left:98.407997pt;margin-top:757.555969pt;width:91.15pt;height:14.45pt;mso-position-horizontal-relative:page;mso-position-vertical-relative:page;z-index:-18230272" type="#_x0000_t202" id="docshape123" filled="false" stroked="false">
              <v:textbox inset="0,0,0,0">
                <w:txbxContent>
                  <w:p>
                    <w:pPr>
                      <w:spacing w:before="27"/>
                      <w:ind w:left="20" w:right="0" w:firstLine="0"/>
                      <w:jc w:val="left"/>
                      <w:rPr>
                        <w:rFonts w:ascii="Calibri"/>
                        <w:sz w:val="20"/>
                      </w:rPr>
                    </w:pPr>
                    <w:r>
                      <w:rPr>
                        <w:rFonts w:ascii="Calibri"/>
                        <w:sz w:val="20"/>
                        <w:vertAlign w:val="superscript"/>
                      </w:rPr>
                      <w:t>249</w:t>
                    </w:r>
                    <w:r>
                      <w:rPr>
                        <w:rFonts w:ascii="Calibri"/>
                        <w:sz w:val="20"/>
                        <w:vertAlign w:val="baseline"/>
                      </w:rPr>
                      <w:t>(1942)</w:t>
                    </w:r>
                    <w:r>
                      <w:rPr>
                        <w:rFonts w:ascii="Calibri"/>
                        <w:spacing w:val="-1"/>
                        <w:sz w:val="20"/>
                        <w:vertAlign w:val="baseline"/>
                      </w:rPr>
                      <w:t> </w:t>
                    </w:r>
                    <w:r>
                      <w:rPr>
                        <w:rFonts w:ascii="Calibri"/>
                        <w:sz w:val="20"/>
                        <w:vertAlign w:val="baseline"/>
                      </w:rPr>
                      <w:t>1</w:t>
                    </w:r>
                    <w:r>
                      <w:rPr>
                        <w:rFonts w:ascii="Calibri"/>
                        <w:spacing w:val="-3"/>
                        <w:sz w:val="20"/>
                        <w:vertAlign w:val="baseline"/>
                      </w:rPr>
                      <w:t> </w:t>
                    </w:r>
                    <w:r>
                      <w:rPr>
                        <w:rFonts w:ascii="Calibri"/>
                        <w:sz w:val="20"/>
                        <w:vertAlign w:val="baseline"/>
                      </w:rPr>
                      <w:t>All</w:t>
                    </w:r>
                    <w:r>
                      <w:rPr>
                        <w:rFonts w:ascii="Calibri"/>
                        <w:spacing w:val="-5"/>
                        <w:sz w:val="20"/>
                        <w:vertAlign w:val="baseline"/>
                      </w:rPr>
                      <w:t> </w:t>
                    </w:r>
                    <w:r>
                      <w:rPr>
                        <w:rFonts w:ascii="Calibri"/>
                        <w:sz w:val="20"/>
                        <w:vertAlign w:val="baseline"/>
                      </w:rPr>
                      <w:t>ER </w:t>
                    </w:r>
                    <w:r>
                      <w:rPr>
                        <w:rFonts w:ascii="Calibri"/>
                        <w:spacing w:val="-4"/>
                        <w:sz w:val="20"/>
                        <w:vertAlign w:val="baseline"/>
                      </w:rPr>
                      <w:t>378.</w:t>
                    </w:r>
                  </w:p>
                </w:txbxContent>
              </v:textbox>
              <w10:wrap type="none"/>
            </v:shape>
          </w:pict>
        </mc:Fallback>
      </mc:AlternateContent>
    </w:r>
    <w:r>
      <w:rPr/>
      <mc:AlternateContent>
        <mc:Choice Requires="wps">
          <w:drawing>
            <wp:anchor distT="0" distB="0" distL="0" distR="0" allowOverlap="1" layoutInCell="1" locked="0" behindDoc="1" simplePos="0" relativeHeight="485086720">
              <wp:simplePos x="0" y="0"/>
              <wp:positionH relativeFrom="page">
                <wp:posOffset>3816096</wp:posOffset>
              </wp:positionH>
              <wp:positionV relativeFrom="page">
                <wp:posOffset>9915855</wp:posOffset>
              </wp:positionV>
              <wp:extent cx="299720" cy="165735"/>
              <wp:effectExtent l="0" t="0" r="0" b="0"/>
              <wp:wrapNone/>
              <wp:docPr id="169" name="Textbox 169"/>
              <wp:cNvGraphicFramePr>
                <a:graphicFrameLocks/>
              </wp:cNvGraphicFramePr>
              <a:graphic>
                <a:graphicData uri="http://schemas.microsoft.com/office/word/2010/wordprocessingShape">
                  <wps:wsp>
                    <wps:cNvPr id="169" name="Textbox 169"/>
                    <wps:cNvSpPr txBox="1"/>
                    <wps:spPr>
                      <a:xfrm>
                        <a:off x="0" y="0"/>
                        <a:ext cx="299720"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133</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300.480011pt;margin-top:780.776001pt;width:23.6pt;height:13.05pt;mso-position-horizontal-relative:page;mso-position-vertical-relative:page;z-index:-18229760" type="#_x0000_t202" id="docshape124"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133</w:t>
                    </w:r>
                    <w:r>
                      <w:rPr>
                        <w:rFonts w:ascii="Calibri"/>
                        <w:spacing w:val="-5"/>
                        <w:sz w:val="22"/>
                      </w:rPr>
                      <w:fldChar w:fldCharType="end"/>
                    </w:r>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7232">
              <wp:simplePos x="0" y="0"/>
              <wp:positionH relativeFrom="page">
                <wp:posOffset>1249781</wp:posOffset>
              </wp:positionH>
              <wp:positionV relativeFrom="page">
                <wp:posOffset>9620960</wp:posOffset>
              </wp:positionV>
              <wp:extent cx="2160905" cy="183515"/>
              <wp:effectExtent l="0" t="0" r="0" b="0"/>
              <wp:wrapNone/>
              <wp:docPr id="172" name="Textbox 172"/>
              <wp:cNvGraphicFramePr>
                <a:graphicFrameLocks/>
              </wp:cNvGraphicFramePr>
              <a:graphic>
                <a:graphicData uri="http://schemas.microsoft.com/office/word/2010/wordprocessingShape">
                  <wps:wsp>
                    <wps:cNvPr id="172" name="Textbox 172"/>
                    <wps:cNvSpPr txBox="1"/>
                    <wps:spPr>
                      <a:xfrm>
                        <a:off x="0" y="0"/>
                        <a:ext cx="2160905" cy="183515"/>
                      </a:xfrm>
                      <a:prstGeom prst="rect">
                        <a:avLst/>
                      </a:prstGeom>
                    </wps:spPr>
                    <wps:txbx>
                      <w:txbxContent>
                        <w:p>
                          <w:pPr>
                            <w:spacing w:before="27"/>
                            <w:ind w:left="20" w:right="0" w:firstLine="0"/>
                            <w:jc w:val="left"/>
                            <w:rPr>
                              <w:rFonts w:ascii="Calibri"/>
                              <w:sz w:val="20"/>
                            </w:rPr>
                          </w:pPr>
                          <w:r>
                            <w:rPr>
                              <w:rFonts w:ascii="Calibri"/>
                              <w:sz w:val="20"/>
                              <w:vertAlign w:val="superscript"/>
                            </w:rPr>
                            <w:t>250</w:t>
                          </w:r>
                          <w:r>
                            <w:rPr>
                              <w:rFonts w:ascii="Calibri"/>
                              <w:sz w:val="20"/>
                              <w:vertAlign w:val="baseline"/>
                            </w:rPr>
                            <w:t>Wild,</w:t>
                          </w:r>
                          <w:r>
                            <w:rPr>
                              <w:rFonts w:ascii="Calibri"/>
                              <w:spacing w:val="-5"/>
                              <w:sz w:val="20"/>
                              <w:vertAlign w:val="baseline"/>
                            </w:rPr>
                            <w:t> </w:t>
                          </w:r>
                          <w:r>
                            <w:rPr>
                              <w:rFonts w:ascii="Calibri"/>
                              <w:sz w:val="20"/>
                              <w:vertAlign w:val="baseline"/>
                            </w:rPr>
                            <w:t>C.</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Weinstein,</w:t>
                          </w:r>
                          <w:r>
                            <w:rPr>
                              <w:rFonts w:ascii="Calibri"/>
                              <w:spacing w:val="-4"/>
                              <w:sz w:val="20"/>
                              <w:vertAlign w:val="baseline"/>
                            </w:rPr>
                            <w:t> </w:t>
                          </w:r>
                          <w:r>
                            <w:rPr>
                              <w:rFonts w:ascii="Calibri"/>
                              <w:sz w:val="20"/>
                              <w:vertAlign w:val="baseline"/>
                            </w:rPr>
                            <w:t>S.op.cit.at</w:t>
                          </w:r>
                          <w:r>
                            <w:rPr>
                              <w:rFonts w:ascii="Calibri"/>
                              <w:spacing w:val="-3"/>
                              <w:sz w:val="20"/>
                              <w:vertAlign w:val="baseline"/>
                            </w:rPr>
                            <w:t> </w:t>
                          </w:r>
                          <w:r>
                            <w:rPr>
                              <w:rFonts w:ascii="Calibri"/>
                              <w:spacing w:val="-4"/>
                              <w:sz w:val="20"/>
                              <w:vertAlign w:val="baseline"/>
                            </w:rPr>
                            <w:t>335.</w:t>
                          </w:r>
                        </w:p>
                      </w:txbxContent>
                    </wps:txbx>
                    <wps:bodyPr wrap="square" lIns="0" tIns="0" rIns="0" bIns="0" rtlCol="0">
                      <a:noAutofit/>
                    </wps:bodyPr>
                  </wps:wsp>
                </a:graphicData>
              </a:graphic>
            </wp:anchor>
          </w:drawing>
        </mc:Choice>
        <mc:Fallback>
          <w:pict>
            <v:shape style="position:absolute;margin-left:98.407997pt;margin-top:757.555969pt;width:170.15pt;height:14.45pt;mso-position-horizontal-relative:page;mso-position-vertical-relative:page;z-index:-18229248" type="#_x0000_t202" id="docshape127" filled="false" stroked="false">
              <v:textbox inset="0,0,0,0">
                <w:txbxContent>
                  <w:p>
                    <w:pPr>
                      <w:spacing w:before="27"/>
                      <w:ind w:left="20" w:right="0" w:firstLine="0"/>
                      <w:jc w:val="left"/>
                      <w:rPr>
                        <w:rFonts w:ascii="Calibri"/>
                        <w:sz w:val="20"/>
                      </w:rPr>
                    </w:pPr>
                    <w:r>
                      <w:rPr>
                        <w:rFonts w:ascii="Calibri"/>
                        <w:sz w:val="20"/>
                        <w:vertAlign w:val="superscript"/>
                      </w:rPr>
                      <w:t>250</w:t>
                    </w:r>
                    <w:r>
                      <w:rPr>
                        <w:rFonts w:ascii="Calibri"/>
                        <w:sz w:val="20"/>
                        <w:vertAlign w:val="baseline"/>
                      </w:rPr>
                      <w:t>Wild,</w:t>
                    </w:r>
                    <w:r>
                      <w:rPr>
                        <w:rFonts w:ascii="Calibri"/>
                        <w:spacing w:val="-5"/>
                        <w:sz w:val="20"/>
                        <w:vertAlign w:val="baseline"/>
                      </w:rPr>
                      <w:t> </w:t>
                    </w:r>
                    <w:r>
                      <w:rPr>
                        <w:rFonts w:ascii="Calibri"/>
                        <w:sz w:val="20"/>
                        <w:vertAlign w:val="baseline"/>
                      </w:rPr>
                      <w:t>C.</w:t>
                    </w:r>
                    <w:r>
                      <w:rPr>
                        <w:rFonts w:ascii="Calibri"/>
                        <w:spacing w:val="-6"/>
                        <w:sz w:val="20"/>
                        <w:vertAlign w:val="baseline"/>
                      </w:rPr>
                      <w:t> </w:t>
                    </w:r>
                    <w:r>
                      <w:rPr>
                        <w:rFonts w:ascii="Calibri"/>
                        <w:sz w:val="20"/>
                        <w:vertAlign w:val="baseline"/>
                      </w:rPr>
                      <w:t>and</w:t>
                    </w:r>
                    <w:r>
                      <w:rPr>
                        <w:rFonts w:ascii="Calibri"/>
                        <w:spacing w:val="-8"/>
                        <w:sz w:val="20"/>
                        <w:vertAlign w:val="baseline"/>
                      </w:rPr>
                      <w:t> </w:t>
                    </w:r>
                    <w:r>
                      <w:rPr>
                        <w:rFonts w:ascii="Calibri"/>
                        <w:sz w:val="20"/>
                        <w:vertAlign w:val="baseline"/>
                      </w:rPr>
                      <w:t>Weinstein,</w:t>
                    </w:r>
                    <w:r>
                      <w:rPr>
                        <w:rFonts w:ascii="Calibri"/>
                        <w:spacing w:val="-4"/>
                        <w:sz w:val="20"/>
                        <w:vertAlign w:val="baseline"/>
                      </w:rPr>
                      <w:t> </w:t>
                    </w:r>
                    <w:r>
                      <w:rPr>
                        <w:rFonts w:ascii="Calibri"/>
                        <w:sz w:val="20"/>
                        <w:vertAlign w:val="baseline"/>
                      </w:rPr>
                      <w:t>S.op.cit.at</w:t>
                    </w:r>
                    <w:r>
                      <w:rPr>
                        <w:rFonts w:ascii="Calibri"/>
                        <w:spacing w:val="-3"/>
                        <w:sz w:val="20"/>
                        <w:vertAlign w:val="baseline"/>
                      </w:rPr>
                      <w:t> </w:t>
                    </w:r>
                    <w:r>
                      <w:rPr>
                        <w:rFonts w:ascii="Calibri"/>
                        <w:spacing w:val="-4"/>
                        <w:sz w:val="20"/>
                        <w:vertAlign w:val="baseline"/>
                      </w:rPr>
                      <w:t>335.</w:t>
                    </w:r>
                  </w:p>
                </w:txbxContent>
              </v:textbox>
              <w10:wrap type="none"/>
            </v:shape>
          </w:pict>
        </mc:Fallback>
      </mc:AlternateContent>
    </w:r>
    <w:r>
      <w:rPr/>
      <mc:AlternateContent>
        <mc:Choice Requires="wps">
          <w:drawing>
            <wp:anchor distT="0" distB="0" distL="0" distR="0" allowOverlap="1" layoutInCell="1" locked="0" behindDoc="1" simplePos="0" relativeHeight="485087744">
              <wp:simplePos x="0" y="0"/>
              <wp:positionH relativeFrom="page">
                <wp:posOffset>3841496</wp:posOffset>
              </wp:positionH>
              <wp:positionV relativeFrom="page">
                <wp:posOffset>9915855</wp:posOffset>
              </wp:positionV>
              <wp:extent cx="236220" cy="165735"/>
              <wp:effectExtent l="0" t="0" r="0" b="0"/>
              <wp:wrapNone/>
              <wp:docPr id="173" name="Textbox 173"/>
              <wp:cNvGraphicFramePr>
                <a:graphicFrameLocks/>
              </wp:cNvGraphicFramePr>
              <a:graphic>
                <a:graphicData uri="http://schemas.microsoft.com/office/word/2010/wordprocessingShape">
                  <wps:wsp>
                    <wps:cNvPr id="173" name="Textbox 173"/>
                    <wps:cNvSpPr txBox="1"/>
                    <wps:spPr>
                      <a:xfrm>
                        <a:off x="0" y="0"/>
                        <a:ext cx="236220"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134</w:t>
                          </w:r>
                        </w:p>
                      </w:txbxContent>
                    </wps:txbx>
                    <wps:bodyPr wrap="square" lIns="0" tIns="0" rIns="0" bIns="0" rtlCol="0">
                      <a:noAutofit/>
                    </wps:bodyPr>
                  </wps:wsp>
                </a:graphicData>
              </a:graphic>
            </wp:anchor>
          </w:drawing>
        </mc:Choice>
        <mc:Fallback>
          <w:pict>
            <v:shape style="position:absolute;margin-left:302.480011pt;margin-top:780.776001pt;width:18.6pt;height:13.05pt;mso-position-horizontal-relative:page;mso-position-vertical-relative:page;z-index:-18228736" type="#_x0000_t202" id="docshape128" filled="false" stroked="false">
              <v:textbox inset="0,0,0,0">
                <w:txbxContent>
                  <w:p>
                    <w:pPr>
                      <w:spacing w:line="245" w:lineRule="exact" w:before="0"/>
                      <w:ind w:left="20" w:right="0" w:firstLine="0"/>
                      <w:jc w:val="left"/>
                      <w:rPr>
                        <w:rFonts w:ascii="Calibri"/>
                        <w:sz w:val="22"/>
                      </w:rPr>
                    </w:pPr>
                    <w:r>
                      <w:rPr>
                        <w:rFonts w:ascii="Calibri"/>
                        <w:spacing w:val="-5"/>
                        <w:sz w:val="22"/>
                      </w:rPr>
                      <w:t>134</w:t>
                    </w:r>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8256">
              <wp:simplePos x="0" y="0"/>
              <wp:positionH relativeFrom="page">
                <wp:posOffset>1249781</wp:posOffset>
              </wp:positionH>
              <wp:positionV relativeFrom="page">
                <wp:posOffset>9620960</wp:posOffset>
              </wp:positionV>
              <wp:extent cx="965200" cy="183515"/>
              <wp:effectExtent l="0" t="0" r="0" b="0"/>
              <wp:wrapNone/>
              <wp:docPr id="175" name="Textbox 175"/>
              <wp:cNvGraphicFramePr>
                <a:graphicFrameLocks/>
              </wp:cNvGraphicFramePr>
              <a:graphic>
                <a:graphicData uri="http://schemas.microsoft.com/office/word/2010/wordprocessingShape">
                  <wps:wsp>
                    <wps:cNvPr id="175" name="Textbox 175"/>
                    <wps:cNvSpPr txBox="1"/>
                    <wps:spPr>
                      <a:xfrm>
                        <a:off x="0" y="0"/>
                        <a:ext cx="965200" cy="183515"/>
                      </a:xfrm>
                      <a:prstGeom prst="rect">
                        <a:avLst/>
                      </a:prstGeom>
                    </wps:spPr>
                    <wps:txbx>
                      <w:txbxContent>
                        <w:p>
                          <w:pPr>
                            <w:spacing w:before="27"/>
                            <w:ind w:left="20" w:right="0" w:firstLine="0"/>
                            <w:jc w:val="left"/>
                            <w:rPr>
                              <w:rFonts w:ascii="Calibri"/>
                              <w:sz w:val="20"/>
                            </w:rPr>
                          </w:pPr>
                          <w:r>
                            <w:rPr>
                              <w:rFonts w:ascii="Calibri"/>
                              <w:sz w:val="20"/>
                              <w:vertAlign w:val="superscript"/>
                            </w:rPr>
                            <w:t>254</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281.</w:t>
                          </w:r>
                        </w:p>
                      </w:txbxContent>
                    </wps:txbx>
                    <wps:bodyPr wrap="square" lIns="0" tIns="0" rIns="0" bIns="0" rtlCol="0">
                      <a:noAutofit/>
                    </wps:bodyPr>
                  </wps:wsp>
                </a:graphicData>
              </a:graphic>
            </wp:anchor>
          </w:drawing>
        </mc:Choice>
        <mc:Fallback>
          <w:pict>
            <v:shape style="position:absolute;margin-left:98.407997pt;margin-top:757.555969pt;width:76pt;height:14.45pt;mso-position-horizontal-relative:page;mso-position-vertical-relative:page;z-index:-18228224" type="#_x0000_t202" id="docshape130" filled="false" stroked="false">
              <v:textbox inset="0,0,0,0">
                <w:txbxContent>
                  <w:p>
                    <w:pPr>
                      <w:spacing w:before="27"/>
                      <w:ind w:left="20" w:right="0" w:firstLine="0"/>
                      <w:jc w:val="left"/>
                      <w:rPr>
                        <w:rFonts w:ascii="Calibri"/>
                        <w:sz w:val="20"/>
                      </w:rPr>
                    </w:pPr>
                    <w:r>
                      <w:rPr>
                        <w:rFonts w:ascii="Calibri"/>
                        <w:sz w:val="20"/>
                        <w:vertAlign w:val="superscript"/>
                      </w:rPr>
                      <w:t>254</w:t>
                    </w:r>
                    <w:r>
                      <w:rPr>
                        <w:rFonts w:ascii="Calibri"/>
                        <w:spacing w:val="1"/>
                        <w:sz w:val="20"/>
                        <w:vertAlign w:val="baseline"/>
                      </w:rPr>
                      <w:t> </w:t>
                    </w:r>
                    <w:r>
                      <w:rPr>
                        <w:rFonts w:ascii="Calibri"/>
                        <w:sz w:val="20"/>
                        <w:vertAlign w:val="baseline"/>
                      </w:rPr>
                      <w:t>Refer</w:t>
                    </w:r>
                    <w:r>
                      <w:rPr>
                        <w:rFonts w:ascii="Calibri"/>
                        <w:spacing w:val="-3"/>
                        <w:sz w:val="20"/>
                        <w:vertAlign w:val="baseline"/>
                      </w:rPr>
                      <w:t> </w:t>
                    </w:r>
                    <w:r>
                      <w:rPr>
                        <w:rFonts w:ascii="Calibri"/>
                        <w:sz w:val="20"/>
                        <w:vertAlign w:val="baseline"/>
                      </w:rPr>
                      <w:t>to</w:t>
                    </w:r>
                    <w:r>
                      <w:rPr>
                        <w:rFonts w:ascii="Calibri"/>
                        <w:spacing w:val="-6"/>
                        <w:sz w:val="20"/>
                        <w:vertAlign w:val="baseline"/>
                      </w:rPr>
                      <w:t> </w:t>
                    </w:r>
                    <w:r>
                      <w:rPr>
                        <w:rFonts w:ascii="Calibri"/>
                        <w:sz w:val="20"/>
                        <w:vertAlign w:val="baseline"/>
                      </w:rPr>
                      <w:t>s.</w:t>
                    </w:r>
                    <w:r>
                      <w:rPr>
                        <w:rFonts w:ascii="Calibri"/>
                        <w:spacing w:val="2"/>
                        <w:sz w:val="20"/>
                        <w:vertAlign w:val="baseline"/>
                      </w:rPr>
                      <w:t> </w:t>
                    </w:r>
                    <w:r>
                      <w:rPr>
                        <w:rFonts w:ascii="Calibri"/>
                        <w:spacing w:val="-4"/>
                        <w:sz w:val="20"/>
                        <w:vertAlign w:val="baseline"/>
                      </w:rPr>
                      <w:t>281.</w:t>
                    </w:r>
                  </w:p>
                </w:txbxContent>
              </v:textbox>
              <w10:wrap type="none"/>
            </v:shape>
          </w:pict>
        </mc:Fallback>
      </mc:AlternateContent>
    </w:r>
    <w:r>
      <w:rPr/>
      <mc:AlternateContent>
        <mc:Choice Requires="wps">
          <w:drawing>
            <wp:anchor distT="0" distB="0" distL="0" distR="0" allowOverlap="1" layoutInCell="1" locked="0" behindDoc="1" simplePos="0" relativeHeight="485088768">
              <wp:simplePos x="0" y="0"/>
              <wp:positionH relativeFrom="page">
                <wp:posOffset>3841496</wp:posOffset>
              </wp:positionH>
              <wp:positionV relativeFrom="page">
                <wp:posOffset>9915855</wp:posOffset>
              </wp:positionV>
              <wp:extent cx="236220" cy="165735"/>
              <wp:effectExtent l="0" t="0" r="0" b="0"/>
              <wp:wrapNone/>
              <wp:docPr id="176" name="Textbox 176"/>
              <wp:cNvGraphicFramePr>
                <a:graphicFrameLocks/>
              </wp:cNvGraphicFramePr>
              <a:graphic>
                <a:graphicData uri="http://schemas.microsoft.com/office/word/2010/wordprocessingShape">
                  <wps:wsp>
                    <wps:cNvPr id="176" name="Textbox 176"/>
                    <wps:cNvSpPr txBox="1"/>
                    <wps:spPr>
                      <a:xfrm>
                        <a:off x="0" y="0"/>
                        <a:ext cx="236220" cy="165735"/>
                      </a:xfrm>
                      <a:prstGeom prst="rect">
                        <a:avLst/>
                      </a:prstGeom>
                    </wps:spPr>
                    <wps:txbx>
                      <w:txbxContent>
                        <w:p>
                          <w:pPr>
                            <w:spacing w:line="245" w:lineRule="exact" w:before="0"/>
                            <w:ind w:left="20" w:right="0" w:firstLine="0"/>
                            <w:jc w:val="left"/>
                            <w:rPr>
                              <w:rFonts w:ascii="Calibri"/>
                              <w:sz w:val="22"/>
                            </w:rPr>
                          </w:pPr>
                          <w:r>
                            <w:rPr>
                              <w:rFonts w:ascii="Calibri"/>
                              <w:spacing w:val="-5"/>
                              <w:sz w:val="22"/>
                            </w:rPr>
                            <w:t>135</w:t>
                          </w:r>
                        </w:p>
                      </w:txbxContent>
                    </wps:txbx>
                    <wps:bodyPr wrap="square" lIns="0" tIns="0" rIns="0" bIns="0" rtlCol="0">
                      <a:noAutofit/>
                    </wps:bodyPr>
                  </wps:wsp>
                </a:graphicData>
              </a:graphic>
            </wp:anchor>
          </w:drawing>
        </mc:Choice>
        <mc:Fallback>
          <w:pict>
            <v:shape style="position:absolute;margin-left:302.480011pt;margin-top:780.776001pt;width:18.6pt;height:13.05pt;mso-position-horizontal-relative:page;mso-position-vertical-relative:page;z-index:-18227712" type="#_x0000_t202" id="docshape131" filled="false" stroked="false">
              <v:textbox inset="0,0,0,0">
                <w:txbxContent>
                  <w:p>
                    <w:pPr>
                      <w:spacing w:line="245" w:lineRule="exact" w:before="0"/>
                      <w:ind w:left="20" w:right="0" w:firstLine="0"/>
                      <w:jc w:val="left"/>
                      <w:rPr>
                        <w:rFonts w:ascii="Calibri"/>
                        <w:sz w:val="22"/>
                      </w:rPr>
                    </w:pPr>
                    <w:r>
                      <w:rPr>
                        <w:rFonts w:ascii="Calibri"/>
                        <w:spacing w:val="-5"/>
                        <w:sz w:val="22"/>
                      </w:rPr>
                      <w:t>135</w:t>
                    </w:r>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9280">
              <wp:simplePos x="0" y="0"/>
              <wp:positionH relativeFrom="page">
                <wp:posOffset>3816096</wp:posOffset>
              </wp:positionH>
              <wp:positionV relativeFrom="page">
                <wp:posOffset>9915855</wp:posOffset>
              </wp:positionV>
              <wp:extent cx="299720" cy="165735"/>
              <wp:effectExtent l="0" t="0" r="0" b="0"/>
              <wp:wrapNone/>
              <wp:docPr id="178" name="Textbox 178"/>
              <wp:cNvGraphicFramePr>
                <a:graphicFrameLocks/>
              </wp:cNvGraphicFramePr>
              <a:graphic>
                <a:graphicData uri="http://schemas.microsoft.com/office/word/2010/wordprocessingShape">
                  <wps:wsp>
                    <wps:cNvPr id="178" name="Textbox 178"/>
                    <wps:cNvSpPr txBox="1"/>
                    <wps:spPr>
                      <a:xfrm>
                        <a:off x="0" y="0"/>
                        <a:ext cx="299720"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136</w:t>
                          </w:r>
                          <w:r>
                            <w:rPr>
                              <w:rFonts w:ascii="Calibri"/>
                              <w:spacing w:val="-5"/>
                              <w:sz w:val="22"/>
                            </w:rPr>
                            <w:fldChar w:fldCharType="end"/>
                          </w:r>
                        </w:p>
                      </w:txbxContent>
                    </wps:txbx>
                    <wps:bodyPr wrap="square" lIns="0" tIns="0" rIns="0" bIns="0" rtlCol="0">
                      <a:noAutofit/>
                    </wps:bodyPr>
                  </wps:wsp>
                </a:graphicData>
              </a:graphic>
            </wp:anchor>
          </w:drawing>
        </mc:Choice>
        <mc:Fallback>
          <w:pict>
            <v:shape style="position:absolute;margin-left:300.480011pt;margin-top:780.776001pt;width:23.6pt;height:13.05pt;mso-position-horizontal-relative:page;mso-position-vertical-relative:page;z-index:-18227200" type="#_x0000_t202" id="docshape133"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136</w:t>
                    </w:r>
                    <w:r>
                      <w:rPr>
                        <w:rFonts w:ascii="Calibri"/>
                        <w:spacing w:val="-5"/>
                        <w:sz w:val="22"/>
                      </w:rPr>
                      <w:fldChar w:fldCharType="end"/>
                    </w:r>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
      </w:rPr>
    </w:pP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rPr>
        <w:sz w:val="20"/>
      </w:rPr>
    </w:pPr>
    <w:r>
      <w:rPr/>
      <mc:AlternateContent>
        <mc:Choice Requires="wps">
          <w:drawing>
            <wp:anchor distT="0" distB="0" distL="0" distR="0" allowOverlap="1" layoutInCell="1" locked="0" behindDoc="1" simplePos="0" relativeHeight="485089792">
              <wp:simplePos x="0" y="0"/>
              <wp:positionH relativeFrom="page">
                <wp:posOffset>3678935</wp:posOffset>
              </wp:positionH>
              <wp:positionV relativeFrom="page">
                <wp:posOffset>9918903</wp:posOffset>
              </wp:positionV>
              <wp:extent cx="581025" cy="165735"/>
              <wp:effectExtent l="0" t="0" r="0" b="0"/>
              <wp:wrapNone/>
              <wp:docPr id="309" name="Textbox 309"/>
              <wp:cNvGraphicFramePr>
                <a:graphicFrameLocks/>
              </wp:cNvGraphicFramePr>
              <a:graphic>
                <a:graphicData uri="http://schemas.microsoft.com/office/word/2010/wordprocessingShape">
                  <wps:wsp>
                    <wps:cNvPr id="309" name="Textbox 309"/>
                    <wps:cNvSpPr txBox="1"/>
                    <wps:spPr>
                      <a:xfrm>
                        <a:off x="0" y="0"/>
                        <a:ext cx="581025" cy="165735"/>
                      </a:xfrm>
                      <a:prstGeom prst="rect">
                        <a:avLst/>
                      </a:prstGeom>
                    </wps:spPr>
                    <wps:txbx>
                      <w:txbxContent>
                        <w:p>
                          <w:pPr>
                            <w:spacing w:line="245" w:lineRule="exact" w:before="0"/>
                            <w:ind w:left="60" w:right="0" w:firstLine="0"/>
                            <w:jc w:val="left"/>
                            <w:rPr>
                              <w:rFonts w:ascii="Calibri"/>
                              <w:sz w:val="22"/>
                            </w:rPr>
                          </w:pPr>
                          <w:r>
                            <w:rPr>
                              <w:rFonts w:ascii="Calibri"/>
                              <w:spacing w:val="-2"/>
                              <w:sz w:val="22"/>
                            </w:rPr>
                            <w:fldChar w:fldCharType="begin"/>
                          </w:r>
                          <w:r>
                            <w:rPr>
                              <w:rFonts w:ascii="Calibri"/>
                              <w:spacing w:val="-2"/>
                              <w:sz w:val="22"/>
                            </w:rPr>
                            <w:instrText> PAGE  \* roman </w:instrText>
                          </w:r>
                          <w:r>
                            <w:rPr>
                              <w:rFonts w:ascii="Calibri"/>
                              <w:spacing w:val="-2"/>
                              <w:sz w:val="22"/>
                            </w:rPr>
                            <w:fldChar w:fldCharType="separate"/>
                          </w:r>
                          <w:r>
                            <w:rPr>
                              <w:rFonts w:ascii="Calibri"/>
                              <w:spacing w:val="-2"/>
                              <w:sz w:val="22"/>
                            </w:rPr>
                            <w:t>cclxxxviii</w:t>
                          </w:r>
                          <w:r>
                            <w:rPr>
                              <w:rFonts w:ascii="Calibri"/>
                              <w:spacing w:val="-2"/>
                              <w:sz w:val="22"/>
                            </w:rPr>
                            <w:fldChar w:fldCharType="end"/>
                          </w:r>
                        </w:p>
                      </w:txbxContent>
                    </wps:txbx>
                    <wps:bodyPr wrap="square" lIns="0" tIns="0" rIns="0" bIns="0" rtlCol="0">
                      <a:noAutofit/>
                    </wps:bodyPr>
                  </wps:wsp>
                </a:graphicData>
              </a:graphic>
            </wp:anchor>
          </w:drawing>
        </mc:Choice>
        <mc:Fallback>
          <w:pict>
            <v:shape style="position:absolute;margin-left:289.679993pt;margin-top:781.015991pt;width:45.75pt;height:13.05pt;mso-position-horizontal-relative:page;mso-position-vertical-relative:page;z-index:-18226688" type="#_x0000_t202" id="docshape264" filled="false" stroked="false">
              <v:textbox inset="0,0,0,0">
                <w:txbxContent>
                  <w:p>
                    <w:pPr>
                      <w:spacing w:line="245" w:lineRule="exact" w:before="0"/>
                      <w:ind w:left="60" w:right="0" w:firstLine="0"/>
                      <w:jc w:val="left"/>
                      <w:rPr>
                        <w:rFonts w:ascii="Calibri"/>
                        <w:sz w:val="22"/>
                      </w:rPr>
                    </w:pPr>
                    <w:r>
                      <w:rPr>
                        <w:rFonts w:ascii="Calibri"/>
                        <w:spacing w:val="-2"/>
                        <w:sz w:val="22"/>
                      </w:rPr>
                      <w:fldChar w:fldCharType="begin"/>
                    </w:r>
                    <w:r>
                      <w:rPr>
                        <w:rFonts w:ascii="Calibri"/>
                        <w:spacing w:val="-2"/>
                        <w:sz w:val="22"/>
                      </w:rPr>
                      <w:instrText> PAGE  \* roman </w:instrText>
                    </w:r>
                    <w:r>
                      <w:rPr>
                        <w:rFonts w:ascii="Calibri"/>
                        <w:spacing w:val="-2"/>
                        <w:sz w:val="22"/>
                      </w:rPr>
                      <w:fldChar w:fldCharType="separate"/>
                    </w:r>
                    <w:r>
                      <w:rPr>
                        <w:rFonts w:ascii="Calibri"/>
                        <w:spacing w:val="-2"/>
                        <w:sz w:val="22"/>
                      </w:rPr>
                      <w:t>cclxxxviii</w:t>
                    </w:r>
                    <w:r>
                      <w:rPr>
                        <w:rFonts w:ascii="Calibri"/>
                        <w:spacing w:val="-2"/>
                        <w:sz w:val="22"/>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4">
    <w:multiLevelType w:val="hybridMultilevel"/>
    <w:lvl w:ilvl="0">
      <w:start w:val="1"/>
      <w:numFmt w:val="lowerRoman"/>
      <w:lvlText w:val="%1)"/>
      <w:lvlJc w:val="left"/>
      <w:pPr>
        <w:ind w:left="1748" w:hanging="721"/>
        <w:jc w:val="left"/>
      </w:pPr>
      <w:rPr>
        <w:rFonts w:hint="default" w:ascii="Times New Roman" w:hAnsi="Times New Roman" w:eastAsia="Times New Roman" w:cs="Times New Roman"/>
        <w:b w:val="0"/>
        <w:bCs w:val="0"/>
        <w:i w:val="0"/>
        <w:iCs w:val="0"/>
        <w:spacing w:val="-5"/>
        <w:w w:val="100"/>
        <w:sz w:val="24"/>
        <w:szCs w:val="24"/>
        <w:lang w:val="en-US" w:eastAsia="en-US" w:bidi="ar-SA"/>
      </w:rPr>
    </w:lvl>
    <w:lvl w:ilvl="1">
      <w:start w:val="0"/>
      <w:numFmt w:val="bullet"/>
      <w:lvlText w:val="•"/>
      <w:lvlJc w:val="left"/>
      <w:pPr>
        <w:ind w:left="2470" w:hanging="721"/>
      </w:pPr>
      <w:rPr>
        <w:rFonts w:hint="default"/>
        <w:lang w:val="en-US" w:eastAsia="en-US" w:bidi="ar-SA"/>
      </w:rPr>
    </w:lvl>
    <w:lvl w:ilvl="2">
      <w:start w:val="0"/>
      <w:numFmt w:val="bullet"/>
      <w:lvlText w:val="•"/>
      <w:lvlJc w:val="left"/>
      <w:pPr>
        <w:ind w:left="3200" w:hanging="721"/>
      </w:pPr>
      <w:rPr>
        <w:rFonts w:hint="default"/>
        <w:lang w:val="en-US" w:eastAsia="en-US" w:bidi="ar-SA"/>
      </w:rPr>
    </w:lvl>
    <w:lvl w:ilvl="3">
      <w:start w:val="0"/>
      <w:numFmt w:val="bullet"/>
      <w:lvlText w:val="•"/>
      <w:lvlJc w:val="left"/>
      <w:pPr>
        <w:ind w:left="3931" w:hanging="721"/>
      </w:pPr>
      <w:rPr>
        <w:rFonts w:hint="default"/>
        <w:lang w:val="en-US" w:eastAsia="en-US" w:bidi="ar-SA"/>
      </w:rPr>
    </w:lvl>
    <w:lvl w:ilvl="4">
      <w:start w:val="0"/>
      <w:numFmt w:val="bullet"/>
      <w:lvlText w:val="•"/>
      <w:lvlJc w:val="left"/>
      <w:pPr>
        <w:ind w:left="4661" w:hanging="721"/>
      </w:pPr>
      <w:rPr>
        <w:rFonts w:hint="default"/>
        <w:lang w:val="en-US" w:eastAsia="en-US" w:bidi="ar-SA"/>
      </w:rPr>
    </w:lvl>
    <w:lvl w:ilvl="5">
      <w:start w:val="0"/>
      <w:numFmt w:val="bullet"/>
      <w:lvlText w:val="•"/>
      <w:lvlJc w:val="left"/>
      <w:pPr>
        <w:ind w:left="5392" w:hanging="721"/>
      </w:pPr>
      <w:rPr>
        <w:rFonts w:hint="default"/>
        <w:lang w:val="en-US" w:eastAsia="en-US" w:bidi="ar-SA"/>
      </w:rPr>
    </w:lvl>
    <w:lvl w:ilvl="6">
      <w:start w:val="0"/>
      <w:numFmt w:val="bullet"/>
      <w:lvlText w:val="•"/>
      <w:lvlJc w:val="left"/>
      <w:pPr>
        <w:ind w:left="6122" w:hanging="721"/>
      </w:pPr>
      <w:rPr>
        <w:rFonts w:hint="default"/>
        <w:lang w:val="en-US" w:eastAsia="en-US" w:bidi="ar-SA"/>
      </w:rPr>
    </w:lvl>
    <w:lvl w:ilvl="7">
      <w:start w:val="0"/>
      <w:numFmt w:val="bullet"/>
      <w:lvlText w:val="•"/>
      <w:lvlJc w:val="left"/>
      <w:pPr>
        <w:ind w:left="6852" w:hanging="721"/>
      </w:pPr>
      <w:rPr>
        <w:rFonts w:hint="default"/>
        <w:lang w:val="en-US" w:eastAsia="en-US" w:bidi="ar-SA"/>
      </w:rPr>
    </w:lvl>
    <w:lvl w:ilvl="8">
      <w:start w:val="0"/>
      <w:numFmt w:val="bullet"/>
      <w:lvlText w:val="•"/>
      <w:lvlJc w:val="left"/>
      <w:pPr>
        <w:ind w:left="7583" w:hanging="721"/>
      </w:pPr>
      <w:rPr>
        <w:rFonts w:hint="default"/>
        <w:lang w:val="en-US" w:eastAsia="en-US" w:bidi="ar-SA"/>
      </w:rPr>
    </w:lvl>
  </w:abstractNum>
  <w:abstractNum w:abstractNumId="33">
    <w:multiLevelType w:val="hybridMultilevel"/>
    <w:lvl w:ilvl="0">
      <w:start w:val="1"/>
      <w:numFmt w:val="decimal"/>
      <w:lvlText w:val="%1."/>
      <w:lvlJc w:val="left"/>
      <w:pPr>
        <w:ind w:left="102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1"/>
      <w:numFmt w:val="lowerRoman"/>
      <w:lvlText w:val="%2)"/>
      <w:lvlJc w:val="left"/>
      <w:pPr>
        <w:ind w:left="1748" w:hanging="721"/>
        <w:jc w:val="left"/>
      </w:pPr>
      <w:rPr>
        <w:rFonts w:hint="default" w:ascii="Times New Roman" w:hAnsi="Times New Roman" w:eastAsia="Times New Roman" w:cs="Times New Roman"/>
        <w:b w:val="0"/>
        <w:bCs w:val="0"/>
        <w:i w:val="0"/>
        <w:iCs w:val="0"/>
        <w:spacing w:val="-5"/>
        <w:w w:val="100"/>
        <w:sz w:val="24"/>
        <w:szCs w:val="24"/>
        <w:lang w:val="en-US" w:eastAsia="en-US" w:bidi="ar-SA"/>
      </w:rPr>
    </w:lvl>
    <w:lvl w:ilvl="2">
      <w:start w:val="0"/>
      <w:numFmt w:val="bullet"/>
      <w:lvlText w:val="•"/>
      <w:lvlJc w:val="left"/>
      <w:pPr>
        <w:ind w:left="2551" w:hanging="721"/>
      </w:pPr>
      <w:rPr>
        <w:rFonts w:hint="default"/>
        <w:lang w:val="en-US" w:eastAsia="en-US" w:bidi="ar-SA"/>
      </w:rPr>
    </w:lvl>
    <w:lvl w:ilvl="3">
      <w:start w:val="0"/>
      <w:numFmt w:val="bullet"/>
      <w:lvlText w:val="•"/>
      <w:lvlJc w:val="left"/>
      <w:pPr>
        <w:ind w:left="3363" w:hanging="721"/>
      </w:pPr>
      <w:rPr>
        <w:rFonts w:hint="default"/>
        <w:lang w:val="en-US" w:eastAsia="en-US" w:bidi="ar-SA"/>
      </w:rPr>
    </w:lvl>
    <w:lvl w:ilvl="4">
      <w:start w:val="0"/>
      <w:numFmt w:val="bullet"/>
      <w:lvlText w:val="•"/>
      <w:lvlJc w:val="left"/>
      <w:pPr>
        <w:ind w:left="4174" w:hanging="721"/>
      </w:pPr>
      <w:rPr>
        <w:rFonts w:hint="default"/>
        <w:lang w:val="en-US" w:eastAsia="en-US" w:bidi="ar-SA"/>
      </w:rPr>
    </w:lvl>
    <w:lvl w:ilvl="5">
      <w:start w:val="0"/>
      <w:numFmt w:val="bullet"/>
      <w:lvlText w:val="•"/>
      <w:lvlJc w:val="left"/>
      <w:pPr>
        <w:ind w:left="4986" w:hanging="721"/>
      </w:pPr>
      <w:rPr>
        <w:rFonts w:hint="default"/>
        <w:lang w:val="en-US" w:eastAsia="en-US" w:bidi="ar-SA"/>
      </w:rPr>
    </w:lvl>
    <w:lvl w:ilvl="6">
      <w:start w:val="0"/>
      <w:numFmt w:val="bullet"/>
      <w:lvlText w:val="•"/>
      <w:lvlJc w:val="left"/>
      <w:pPr>
        <w:ind w:left="5797" w:hanging="721"/>
      </w:pPr>
      <w:rPr>
        <w:rFonts w:hint="default"/>
        <w:lang w:val="en-US" w:eastAsia="en-US" w:bidi="ar-SA"/>
      </w:rPr>
    </w:lvl>
    <w:lvl w:ilvl="7">
      <w:start w:val="0"/>
      <w:numFmt w:val="bullet"/>
      <w:lvlText w:val="•"/>
      <w:lvlJc w:val="left"/>
      <w:pPr>
        <w:ind w:left="6609" w:hanging="721"/>
      </w:pPr>
      <w:rPr>
        <w:rFonts w:hint="default"/>
        <w:lang w:val="en-US" w:eastAsia="en-US" w:bidi="ar-SA"/>
      </w:rPr>
    </w:lvl>
    <w:lvl w:ilvl="8">
      <w:start w:val="0"/>
      <w:numFmt w:val="bullet"/>
      <w:lvlText w:val="•"/>
      <w:lvlJc w:val="left"/>
      <w:pPr>
        <w:ind w:left="7420" w:hanging="721"/>
      </w:pPr>
      <w:rPr>
        <w:rFonts w:hint="default"/>
        <w:lang w:val="en-US" w:eastAsia="en-US" w:bidi="ar-SA"/>
      </w:rPr>
    </w:lvl>
  </w:abstractNum>
  <w:abstractNum w:abstractNumId="32">
    <w:multiLevelType w:val="hybridMultilevel"/>
    <w:lvl w:ilvl="0">
      <w:start w:val="1"/>
      <w:numFmt w:val="decimal"/>
      <w:lvlText w:val="(%1)"/>
      <w:lvlJc w:val="left"/>
      <w:pPr>
        <w:ind w:left="671"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1609" w:hanging="364"/>
      </w:pPr>
      <w:rPr>
        <w:rFonts w:hint="default"/>
        <w:lang w:val="en-US" w:eastAsia="en-US" w:bidi="ar-SA"/>
      </w:rPr>
    </w:lvl>
    <w:lvl w:ilvl="3">
      <w:start w:val="0"/>
      <w:numFmt w:val="bullet"/>
      <w:lvlText w:val="•"/>
      <w:lvlJc w:val="left"/>
      <w:pPr>
        <w:ind w:left="2538" w:hanging="364"/>
      </w:pPr>
      <w:rPr>
        <w:rFonts w:hint="default"/>
        <w:lang w:val="en-US" w:eastAsia="en-US" w:bidi="ar-SA"/>
      </w:rPr>
    </w:lvl>
    <w:lvl w:ilvl="4">
      <w:start w:val="0"/>
      <w:numFmt w:val="bullet"/>
      <w:lvlText w:val="•"/>
      <w:lvlJc w:val="left"/>
      <w:pPr>
        <w:ind w:left="3468" w:hanging="364"/>
      </w:pPr>
      <w:rPr>
        <w:rFonts w:hint="default"/>
        <w:lang w:val="en-US" w:eastAsia="en-US" w:bidi="ar-SA"/>
      </w:rPr>
    </w:lvl>
    <w:lvl w:ilvl="5">
      <w:start w:val="0"/>
      <w:numFmt w:val="bullet"/>
      <w:lvlText w:val="•"/>
      <w:lvlJc w:val="left"/>
      <w:pPr>
        <w:ind w:left="4397" w:hanging="364"/>
      </w:pPr>
      <w:rPr>
        <w:rFonts w:hint="default"/>
        <w:lang w:val="en-US" w:eastAsia="en-US" w:bidi="ar-SA"/>
      </w:rPr>
    </w:lvl>
    <w:lvl w:ilvl="6">
      <w:start w:val="0"/>
      <w:numFmt w:val="bullet"/>
      <w:lvlText w:val="•"/>
      <w:lvlJc w:val="left"/>
      <w:pPr>
        <w:ind w:left="5326" w:hanging="364"/>
      </w:pPr>
      <w:rPr>
        <w:rFonts w:hint="default"/>
        <w:lang w:val="en-US" w:eastAsia="en-US" w:bidi="ar-SA"/>
      </w:rPr>
    </w:lvl>
    <w:lvl w:ilvl="7">
      <w:start w:val="0"/>
      <w:numFmt w:val="bullet"/>
      <w:lvlText w:val="•"/>
      <w:lvlJc w:val="left"/>
      <w:pPr>
        <w:ind w:left="6256" w:hanging="364"/>
      </w:pPr>
      <w:rPr>
        <w:rFonts w:hint="default"/>
        <w:lang w:val="en-US" w:eastAsia="en-US" w:bidi="ar-SA"/>
      </w:rPr>
    </w:lvl>
    <w:lvl w:ilvl="8">
      <w:start w:val="0"/>
      <w:numFmt w:val="bullet"/>
      <w:lvlText w:val="•"/>
      <w:lvlJc w:val="left"/>
      <w:pPr>
        <w:ind w:left="7185" w:hanging="364"/>
      </w:pPr>
      <w:rPr>
        <w:rFonts w:hint="default"/>
        <w:lang w:val="en-US" w:eastAsia="en-US" w:bidi="ar-SA"/>
      </w:rPr>
    </w:lvl>
  </w:abstractNum>
  <w:abstractNum w:abstractNumId="31">
    <w:multiLevelType w:val="hybridMultilevel"/>
    <w:lvl w:ilvl="0">
      <w:start w:val="1"/>
      <w:numFmt w:val="decimal"/>
      <w:lvlText w:val="(%1)"/>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1">
      <w:start w:val="0"/>
      <w:numFmt w:val="bullet"/>
      <w:lvlText w:val="•"/>
      <w:lvlJc w:val="left"/>
      <w:pPr>
        <w:ind w:left="1174" w:hanging="364"/>
      </w:pPr>
      <w:rPr>
        <w:rFonts w:hint="default"/>
        <w:lang w:val="en-US" w:eastAsia="en-US" w:bidi="ar-SA"/>
      </w:rPr>
    </w:lvl>
    <w:lvl w:ilvl="2">
      <w:start w:val="0"/>
      <w:numFmt w:val="bullet"/>
      <w:lvlText w:val="•"/>
      <w:lvlJc w:val="left"/>
      <w:pPr>
        <w:ind w:left="2048" w:hanging="364"/>
      </w:pPr>
      <w:rPr>
        <w:rFonts w:hint="default"/>
        <w:lang w:val="en-US" w:eastAsia="en-US" w:bidi="ar-SA"/>
      </w:rPr>
    </w:lvl>
    <w:lvl w:ilvl="3">
      <w:start w:val="0"/>
      <w:numFmt w:val="bullet"/>
      <w:lvlText w:val="•"/>
      <w:lvlJc w:val="left"/>
      <w:pPr>
        <w:ind w:left="2923" w:hanging="364"/>
      </w:pPr>
      <w:rPr>
        <w:rFonts w:hint="default"/>
        <w:lang w:val="en-US" w:eastAsia="en-US" w:bidi="ar-SA"/>
      </w:rPr>
    </w:lvl>
    <w:lvl w:ilvl="4">
      <w:start w:val="0"/>
      <w:numFmt w:val="bullet"/>
      <w:lvlText w:val="•"/>
      <w:lvlJc w:val="left"/>
      <w:pPr>
        <w:ind w:left="3797" w:hanging="364"/>
      </w:pPr>
      <w:rPr>
        <w:rFonts w:hint="default"/>
        <w:lang w:val="en-US" w:eastAsia="en-US" w:bidi="ar-SA"/>
      </w:rPr>
    </w:lvl>
    <w:lvl w:ilvl="5">
      <w:start w:val="0"/>
      <w:numFmt w:val="bullet"/>
      <w:lvlText w:val="•"/>
      <w:lvlJc w:val="left"/>
      <w:pPr>
        <w:ind w:left="4672" w:hanging="364"/>
      </w:pPr>
      <w:rPr>
        <w:rFonts w:hint="default"/>
        <w:lang w:val="en-US" w:eastAsia="en-US" w:bidi="ar-SA"/>
      </w:rPr>
    </w:lvl>
    <w:lvl w:ilvl="6">
      <w:start w:val="0"/>
      <w:numFmt w:val="bullet"/>
      <w:lvlText w:val="•"/>
      <w:lvlJc w:val="left"/>
      <w:pPr>
        <w:ind w:left="5546" w:hanging="364"/>
      </w:pPr>
      <w:rPr>
        <w:rFonts w:hint="default"/>
        <w:lang w:val="en-US" w:eastAsia="en-US" w:bidi="ar-SA"/>
      </w:rPr>
    </w:lvl>
    <w:lvl w:ilvl="7">
      <w:start w:val="0"/>
      <w:numFmt w:val="bullet"/>
      <w:lvlText w:val="•"/>
      <w:lvlJc w:val="left"/>
      <w:pPr>
        <w:ind w:left="6420" w:hanging="364"/>
      </w:pPr>
      <w:rPr>
        <w:rFonts w:hint="default"/>
        <w:lang w:val="en-US" w:eastAsia="en-US" w:bidi="ar-SA"/>
      </w:rPr>
    </w:lvl>
    <w:lvl w:ilvl="8">
      <w:start w:val="0"/>
      <w:numFmt w:val="bullet"/>
      <w:lvlText w:val="•"/>
      <w:lvlJc w:val="left"/>
      <w:pPr>
        <w:ind w:left="7295" w:hanging="364"/>
      </w:pPr>
      <w:rPr>
        <w:rFonts w:hint="default"/>
        <w:lang w:val="en-US" w:eastAsia="en-US" w:bidi="ar-SA"/>
      </w:rPr>
    </w:lvl>
  </w:abstractNum>
  <w:abstractNum w:abstractNumId="30">
    <w:multiLevelType w:val="hybridMultilevel"/>
    <w:lvl w:ilvl="0">
      <w:start w:val="1"/>
      <w:numFmt w:val="decimal"/>
      <w:lvlText w:val="(%1)"/>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671" w:hanging="364"/>
        <w:jc w:val="left"/>
      </w:pPr>
      <w:rPr>
        <w:rFonts w:hint="default" w:ascii="Arial MT" w:hAnsi="Arial MT" w:eastAsia="Arial MT" w:cs="Arial MT"/>
        <w:b w:val="0"/>
        <w:bCs w:val="0"/>
        <w:i w:val="0"/>
        <w:iCs w:val="0"/>
        <w:spacing w:val="0"/>
        <w:w w:val="99"/>
        <w:sz w:val="24"/>
        <w:szCs w:val="24"/>
        <w:lang w:val="en-US" w:eastAsia="en-US" w:bidi="ar-SA"/>
      </w:rPr>
    </w:lvl>
    <w:lvl w:ilvl="2">
      <w:start w:val="1"/>
      <w:numFmt w:val="lowerRoman"/>
      <w:lvlText w:val="(%3)"/>
      <w:lvlJc w:val="left"/>
      <w:pPr>
        <w:ind w:left="590" w:hanging="283"/>
        <w:jc w:val="left"/>
      </w:pPr>
      <w:rPr>
        <w:rFonts w:hint="default" w:ascii="Arial MT" w:hAnsi="Arial MT" w:eastAsia="Arial MT" w:cs="Arial MT"/>
        <w:b w:val="0"/>
        <w:bCs w:val="0"/>
        <w:i w:val="0"/>
        <w:iCs w:val="0"/>
        <w:spacing w:val="0"/>
        <w:w w:val="99"/>
        <w:sz w:val="24"/>
        <w:szCs w:val="24"/>
        <w:lang w:val="en-US" w:eastAsia="en-US" w:bidi="ar-SA"/>
      </w:rPr>
    </w:lvl>
    <w:lvl w:ilvl="3">
      <w:start w:val="0"/>
      <w:numFmt w:val="bullet"/>
      <w:lvlText w:val="•"/>
      <w:lvlJc w:val="left"/>
      <w:pPr>
        <w:ind w:left="1725" w:hanging="283"/>
      </w:pPr>
      <w:rPr>
        <w:rFonts w:hint="default"/>
        <w:lang w:val="en-US" w:eastAsia="en-US" w:bidi="ar-SA"/>
      </w:rPr>
    </w:lvl>
    <w:lvl w:ilvl="4">
      <w:start w:val="0"/>
      <w:numFmt w:val="bullet"/>
      <w:lvlText w:val="•"/>
      <w:lvlJc w:val="left"/>
      <w:pPr>
        <w:ind w:left="2771" w:hanging="283"/>
      </w:pPr>
      <w:rPr>
        <w:rFonts w:hint="default"/>
        <w:lang w:val="en-US" w:eastAsia="en-US" w:bidi="ar-SA"/>
      </w:rPr>
    </w:lvl>
    <w:lvl w:ilvl="5">
      <w:start w:val="0"/>
      <w:numFmt w:val="bullet"/>
      <w:lvlText w:val="•"/>
      <w:lvlJc w:val="left"/>
      <w:pPr>
        <w:ind w:left="3816" w:hanging="283"/>
      </w:pPr>
      <w:rPr>
        <w:rFonts w:hint="default"/>
        <w:lang w:val="en-US" w:eastAsia="en-US" w:bidi="ar-SA"/>
      </w:rPr>
    </w:lvl>
    <w:lvl w:ilvl="6">
      <w:start w:val="0"/>
      <w:numFmt w:val="bullet"/>
      <w:lvlText w:val="•"/>
      <w:lvlJc w:val="left"/>
      <w:pPr>
        <w:ind w:left="4862" w:hanging="283"/>
      </w:pPr>
      <w:rPr>
        <w:rFonts w:hint="default"/>
        <w:lang w:val="en-US" w:eastAsia="en-US" w:bidi="ar-SA"/>
      </w:rPr>
    </w:lvl>
    <w:lvl w:ilvl="7">
      <w:start w:val="0"/>
      <w:numFmt w:val="bullet"/>
      <w:lvlText w:val="•"/>
      <w:lvlJc w:val="left"/>
      <w:pPr>
        <w:ind w:left="5907" w:hanging="283"/>
      </w:pPr>
      <w:rPr>
        <w:rFonts w:hint="default"/>
        <w:lang w:val="en-US" w:eastAsia="en-US" w:bidi="ar-SA"/>
      </w:rPr>
    </w:lvl>
    <w:lvl w:ilvl="8">
      <w:start w:val="0"/>
      <w:numFmt w:val="bullet"/>
      <w:lvlText w:val="•"/>
      <w:lvlJc w:val="left"/>
      <w:pPr>
        <w:ind w:left="6953" w:hanging="283"/>
      </w:pPr>
      <w:rPr>
        <w:rFonts w:hint="default"/>
        <w:lang w:val="en-US" w:eastAsia="en-US" w:bidi="ar-SA"/>
      </w:rPr>
    </w:lvl>
  </w:abstractNum>
  <w:abstractNum w:abstractNumId="29">
    <w:multiLevelType w:val="hybridMultilevel"/>
    <w:lvl w:ilvl="0">
      <w:start w:val="1"/>
      <w:numFmt w:val="decimal"/>
      <w:lvlText w:val="(%1)"/>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671" w:hanging="364"/>
        <w:jc w:val="lef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1609" w:hanging="364"/>
      </w:pPr>
      <w:rPr>
        <w:rFonts w:hint="default"/>
        <w:lang w:val="en-US" w:eastAsia="en-US" w:bidi="ar-SA"/>
      </w:rPr>
    </w:lvl>
    <w:lvl w:ilvl="3">
      <w:start w:val="0"/>
      <w:numFmt w:val="bullet"/>
      <w:lvlText w:val="•"/>
      <w:lvlJc w:val="left"/>
      <w:pPr>
        <w:ind w:left="2538" w:hanging="364"/>
      </w:pPr>
      <w:rPr>
        <w:rFonts w:hint="default"/>
        <w:lang w:val="en-US" w:eastAsia="en-US" w:bidi="ar-SA"/>
      </w:rPr>
    </w:lvl>
    <w:lvl w:ilvl="4">
      <w:start w:val="0"/>
      <w:numFmt w:val="bullet"/>
      <w:lvlText w:val="•"/>
      <w:lvlJc w:val="left"/>
      <w:pPr>
        <w:ind w:left="3468" w:hanging="364"/>
      </w:pPr>
      <w:rPr>
        <w:rFonts w:hint="default"/>
        <w:lang w:val="en-US" w:eastAsia="en-US" w:bidi="ar-SA"/>
      </w:rPr>
    </w:lvl>
    <w:lvl w:ilvl="5">
      <w:start w:val="0"/>
      <w:numFmt w:val="bullet"/>
      <w:lvlText w:val="•"/>
      <w:lvlJc w:val="left"/>
      <w:pPr>
        <w:ind w:left="4397" w:hanging="364"/>
      </w:pPr>
      <w:rPr>
        <w:rFonts w:hint="default"/>
        <w:lang w:val="en-US" w:eastAsia="en-US" w:bidi="ar-SA"/>
      </w:rPr>
    </w:lvl>
    <w:lvl w:ilvl="6">
      <w:start w:val="0"/>
      <w:numFmt w:val="bullet"/>
      <w:lvlText w:val="•"/>
      <w:lvlJc w:val="left"/>
      <w:pPr>
        <w:ind w:left="5326" w:hanging="364"/>
      </w:pPr>
      <w:rPr>
        <w:rFonts w:hint="default"/>
        <w:lang w:val="en-US" w:eastAsia="en-US" w:bidi="ar-SA"/>
      </w:rPr>
    </w:lvl>
    <w:lvl w:ilvl="7">
      <w:start w:val="0"/>
      <w:numFmt w:val="bullet"/>
      <w:lvlText w:val="•"/>
      <w:lvlJc w:val="left"/>
      <w:pPr>
        <w:ind w:left="6256" w:hanging="364"/>
      </w:pPr>
      <w:rPr>
        <w:rFonts w:hint="default"/>
        <w:lang w:val="en-US" w:eastAsia="en-US" w:bidi="ar-SA"/>
      </w:rPr>
    </w:lvl>
    <w:lvl w:ilvl="8">
      <w:start w:val="0"/>
      <w:numFmt w:val="bullet"/>
      <w:lvlText w:val="•"/>
      <w:lvlJc w:val="left"/>
      <w:pPr>
        <w:ind w:left="7185" w:hanging="364"/>
      </w:pPr>
      <w:rPr>
        <w:rFonts w:hint="default"/>
        <w:lang w:val="en-US" w:eastAsia="en-US" w:bidi="ar-SA"/>
      </w:rPr>
    </w:lvl>
  </w:abstractNum>
  <w:abstractNum w:abstractNumId="28">
    <w:multiLevelType w:val="hybridMultilevel"/>
    <w:lvl w:ilvl="0">
      <w:start w:val="1"/>
      <w:numFmt w:val="decimal"/>
      <w:lvlText w:val="(%1)"/>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308" w:hanging="360"/>
        <w:jc w:val="lef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2048" w:hanging="360"/>
      </w:pPr>
      <w:rPr>
        <w:rFonts w:hint="default"/>
        <w:lang w:val="en-US" w:eastAsia="en-US" w:bidi="ar-SA"/>
      </w:rPr>
    </w:lvl>
    <w:lvl w:ilvl="3">
      <w:start w:val="0"/>
      <w:numFmt w:val="bullet"/>
      <w:lvlText w:val="•"/>
      <w:lvlJc w:val="left"/>
      <w:pPr>
        <w:ind w:left="2923" w:hanging="360"/>
      </w:pPr>
      <w:rPr>
        <w:rFonts w:hint="default"/>
        <w:lang w:val="en-US" w:eastAsia="en-US" w:bidi="ar-SA"/>
      </w:rPr>
    </w:lvl>
    <w:lvl w:ilvl="4">
      <w:start w:val="0"/>
      <w:numFmt w:val="bullet"/>
      <w:lvlText w:val="•"/>
      <w:lvlJc w:val="left"/>
      <w:pPr>
        <w:ind w:left="3797" w:hanging="360"/>
      </w:pPr>
      <w:rPr>
        <w:rFonts w:hint="default"/>
        <w:lang w:val="en-US" w:eastAsia="en-US" w:bidi="ar-SA"/>
      </w:rPr>
    </w:lvl>
    <w:lvl w:ilvl="5">
      <w:start w:val="0"/>
      <w:numFmt w:val="bullet"/>
      <w:lvlText w:val="•"/>
      <w:lvlJc w:val="left"/>
      <w:pPr>
        <w:ind w:left="4672" w:hanging="360"/>
      </w:pPr>
      <w:rPr>
        <w:rFonts w:hint="default"/>
        <w:lang w:val="en-US" w:eastAsia="en-US" w:bidi="ar-SA"/>
      </w:rPr>
    </w:lvl>
    <w:lvl w:ilvl="6">
      <w:start w:val="0"/>
      <w:numFmt w:val="bullet"/>
      <w:lvlText w:val="•"/>
      <w:lvlJc w:val="left"/>
      <w:pPr>
        <w:ind w:left="5546" w:hanging="360"/>
      </w:pPr>
      <w:rPr>
        <w:rFonts w:hint="default"/>
        <w:lang w:val="en-US" w:eastAsia="en-US" w:bidi="ar-SA"/>
      </w:rPr>
    </w:lvl>
    <w:lvl w:ilvl="7">
      <w:start w:val="0"/>
      <w:numFmt w:val="bullet"/>
      <w:lvlText w:val="•"/>
      <w:lvlJc w:val="left"/>
      <w:pPr>
        <w:ind w:left="6420" w:hanging="360"/>
      </w:pPr>
      <w:rPr>
        <w:rFonts w:hint="default"/>
        <w:lang w:val="en-US" w:eastAsia="en-US" w:bidi="ar-SA"/>
      </w:rPr>
    </w:lvl>
    <w:lvl w:ilvl="8">
      <w:start w:val="0"/>
      <w:numFmt w:val="bullet"/>
      <w:lvlText w:val="•"/>
      <w:lvlJc w:val="left"/>
      <w:pPr>
        <w:ind w:left="7295" w:hanging="360"/>
      </w:pPr>
      <w:rPr>
        <w:rFonts w:hint="default"/>
        <w:lang w:val="en-US" w:eastAsia="en-US" w:bidi="ar-SA"/>
      </w:rPr>
    </w:lvl>
  </w:abstractNum>
  <w:abstractNum w:abstractNumId="27">
    <w:multiLevelType w:val="hybridMultilevel"/>
    <w:lvl w:ilvl="0">
      <w:start w:val="1"/>
      <w:numFmt w:val="decimal"/>
      <w:lvlText w:val="(%1)"/>
      <w:lvlJc w:val="left"/>
      <w:pPr>
        <w:ind w:left="671"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308" w:hanging="364"/>
        <w:jc w:val="righ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1609" w:hanging="364"/>
      </w:pPr>
      <w:rPr>
        <w:rFonts w:hint="default"/>
        <w:lang w:val="en-US" w:eastAsia="en-US" w:bidi="ar-SA"/>
      </w:rPr>
    </w:lvl>
    <w:lvl w:ilvl="3">
      <w:start w:val="0"/>
      <w:numFmt w:val="bullet"/>
      <w:lvlText w:val="•"/>
      <w:lvlJc w:val="left"/>
      <w:pPr>
        <w:ind w:left="2538" w:hanging="364"/>
      </w:pPr>
      <w:rPr>
        <w:rFonts w:hint="default"/>
        <w:lang w:val="en-US" w:eastAsia="en-US" w:bidi="ar-SA"/>
      </w:rPr>
    </w:lvl>
    <w:lvl w:ilvl="4">
      <w:start w:val="0"/>
      <w:numFmt w:val="bullet"/>
      <w:lvlText w:val="•"/>
      <w:lvlJc w:val="left"/>
      <w:pPr>
        <w:ind w:left="3468" w:hanging="364"/>
      </w:pPr>
      <w:rPr>
        <w:rFonts w:hint="default"/>
        <w:lang w:val="en-US" w:eastAsia="en-US" w:bidi="ar-SA"/>
      </w:rPr>
    </w:lvl>
    <w:lvl w:ilvl="5">
      <w:start w:val="0"/>
      <w:numFmt w:val="bullet"/>
      <w:lvlText w:val="•"/>
      <w:lvlJc w:val="left"/>
      <w:pPr>
        <w:ind w:left="4397" w:hanging="364"/>
      </w:pPr>
      <w:rPr>
        <w:rFonts w:hint="default"/>
        <w:lang w:val="en-US" w:eastAsia="en-US" w:bidi="ar-SA"/>
      </w:rPr>
    </w:lvl>
    <w:lvl w:ilvl="6">
      <w:start w:val="0"/>
      <w:numFmt w:val="bullet"/>
      <w:lvlText w:val="•"/>
      <w:lvlJc w:val="left"/>
      <w:pPr>
        <w:ind w:left="5326" w:hanging="364"/>
      </w:pPr>
      <w:rPr>
        <w:rFonts w:hint="default"/>
        <w:lang w:val="en-US" w:eastAsia="en-US" w:bidi="ar-SA"/>
      </w:rPr>
    </w:lvl>
    <w:lvl w:ilvl="7">
      <w:start w:val="0"/>
      <w:numFmt w:val="bullet"/>
      <w:lvlText w:val="•"/>
      <w:lvlJc w:val="left"/>
      <w:pPr>
        <w:ind w:left="6256" w:hanging="364"/>
      </w:pPr>
      <w:rPr>
        <w:rFonts w:hint="default"/>
        <w:lang w:val="en-US" w:eastAsia="en-US" w:bidi="ar-SA"/>
      </w:rPr>
    </w:lvl>
    <w:lvl w:ilvl="8">
      <w:start w:val="0"/>
      <w:numFmt w:val="bullet"/>
      <w:lvlText w:val="•"/>
      <w:lvlJc w:val="left"/>
      <w:pPr>
        <w:ind w:left="7185" w:hanging="364"/>
      </w:pPr>
      <w:rPr>
        <w:rFonts w:hint="default"/>
        <w:lang w:val="en-US" w:eastAsia="en-US" w:bidi="ar-SA"/>
      </w:rPr>
    </w:lvl>
  </w:abstractNum>
  <w:abstractNum w:abstractNumId="26">
    <w:multiLevelType w:val="hybridMultilevel"/>
    <w:lvl w:ilvl="0">
      <w:start w:val="1"/>
      <w:numFmt w:val="decimal"/>
      <w:lvlText w:val="(%1)"/>
      <w:lvlJc w:val="left"/>
      <w:pPr>
        <w:ind w:left="671"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308" w:hanging="360"/>
        <w:jc w:val="lef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1609" w:hanging="360"/>
      </w:pPr>
      <w:rPr>
        <w:rFonts w:hint="default"/>
        <w:lang w:val="en-US" w:eastAsia="en-US" w:bidi="ar-SA"/>
      </w:rPr>
    </w:lvl>
    <w:lvl w:ilvl="3">
      <w:start w:val="0"/>
      <w:numFmt w:val="bullet"/>
      <w:lvlText w:val="•"/>
      <w:lvlJc w:val="left"/>
      <w:pPr>
        <w:ind w:left="2538" w:hanging="360"/>
      </w:pPr>
      <w:rPr>
        <w:rFonts w:hint="default"/>
        <w:lang w:val="en-US" w:eastAsia="en-US" w:bidi="ar-SA"/>
      </w:rPr>
    </w:lvl>
    <w:lvl w:ilvl="4">
      <w:start w:val="0"/>
      <w:numFmt w:val="bullet"/>
      <w:lvlText w:val="•"/>
      <w:lvlJc w:val="left"/>
      <w:pPr>
        <w:ind w:left="3468" w:hanging="360"/>
      </w:pPr>
      <w:rPr>
        <w:rFonts w:hint="default"/>
        <w:lang w:val="en-US" w:eastAsia="en-US" w:bidi="ar-SA"/>
      </w:rPr>
    </w:lvl>
    <w:lvl w:ilvl="5">
      <w:start w:val="0"/>
      <w:numFmt w:val="bullet"/>
      <w:lvlText w:val="•"/>
      <w:lvlJc w:val="left"/>
      <w:pPr>
        <w:ind w:left="4397" w:hanging="360"/>
      </w:pPr>
      <w:rPr>
        <w:rFonts w:hint="default"/>
        <w:lang w:val="en-US" w:eastAsia="en-US" w:bidi="ar-SA"/>
      </w:rPr>
    </w:lvl>
    <w:lvl w:ilvl="6">
      <w:start w:val="0"/>
      <w:numFmt w:val="bullet"/>
      <w:lvlText w:val="•"/>
      <w:lvlJc w:val="left"/>
      <w:pPr>
        <w:ind w:left="5326" w:hanging="360"/>
      </w:pPr>
      <w:rPr>
        <w:rFonts w:hint="default"/>
        <w:lang w:val="en-US" w:eastAsia="en-US" w:bidi="ar-SA"/>
      </w:rPr>
    </w:lvl>
    <w:lvl w:ilvl="7">
      <w:start w:val="0"/>
      <w:numFmt w:val="bullet"/>
      <w:lvlText w:val="•"/>
      <w:lvlJc w:val="left"/>
      <w:pPr>
        <w:ind w:left="6256" w:hanging="360"/>
      </w:pPr>
      <w:rPr>
        <w:rFonts w:hint="default"/>
        <w:lang w:val="en-US" w:eastAsia="en-US" w:bidi="ar-SA"/>
      </w:rPr>
    </w:lvl>
    <w:lvl w:ilvl="8">
      <w:start w:val="0"/>
      <w:numFmt w:val="bullet"/>
      <w:lvlText w:val="•"/>
      <w:lvlJc w:val="left"/>
      <w:pPr>
        <w:ind w:left="7185" w:hanging="360"/>
      </w:pPr>
      <w:rPr>
        <w:rFonts w:hint="default"/>
        <w:lang w:val="en-US" w:eastAsia="en-US" w:bidi="ar-SA"/>
      </w:rPr>
    </w:lvl>
  </w:abstractNum>
  <w:abstractNum w:abstractNumId="25">
    <w:multiLevelType w:val="hybridMultilevel"/>
    <w:lvl w:ilvl="0">
      <w:start w:val="1"/>
      <w:numFmt w:val="decimal"/>
      <w:lvlText w:val="(%1)"/>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671" w:hanging="364"/>
        <w:jc w:val="lef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1609" w:hanging="364"/>
      </w:pPr>
      <w:rPr>
        <w:rFonts w:hint="default"/>
        <w:lang w:val="en-US" w:eastAsia="en-US" w:bidi="ar-SA"/>
      </w:rPr>
    </w:lvl>
    <w:lvl w:ilvl="3">
      <w:start w:val="0"/>
      <w:numFmt w:val="bullet"/>
      <w:lvlText w:val="•"/>
      <w:lvlJc w:val="left"/>
      <w:pPr>
        <w:ind w:left="2538" w:hanging="364"/>
      </w:pPr>
      <w:rPr>
        <w:rFonts w:hint="default"/>
        <w:lang w:val="en-US" w:eastAsia="en-US" w:bidi="ar-SA"/>
      </w:rPr>
    </w:lvl>
    <w:lvl w:ilvl="4">
      <w:start w:val="0"/>
      <w:numFmt w:val="bullet"/>
      <w:lvlText w:val="•"/>
      <w:lvlJc w:val="left"/>
      <w:pPr>
        <w:ind w:left="3468" w:hanging="364"/>
      </w:pPr>
      <w:rPr>
        <w:rFonts w:hint="default"/>
        <w:lang w:val="en-US" w:eastAsia="en-US" w:bidi="ar-SA"/>
      </w:rPr>
    </w:lvl>
    <w:lvl w:ilvl="5">
      <w:start w:val="0"/>
      <w:numFmt w:val="bullet"/>
      <w:lvlText w:val="•"/>
      <w:lvlJc w:val="left"/>
      <w:pPr>
        <w:ind w:left="4397" w:hanging="364"/>
      </w:pPr>
      <w:rPr>
        <w:rFonts w:hint="default"/>
        <w:lang w:val="en-US" w:eastAsia="en-US" w:bidi="ar-SA"/>
      </w:rPr>
    </w:lvl>
    <w:lvl w:ilvl="6">
      <w:start w:val="0"/>
      <w:numFmt w:val="bullet"/>
      <w:lvlText w:val="•"/>
      <w:lvlJc w:val="left"/>
      <w:pPr>
        <w:ind w:left="5326" w:hanging="364"/>
      </w:pPr>
      <w:rPr>
        <w:rFonts w:hint="default"/>
        <w:lang w:val="en-US" w:eastAsia="en-US" w:bidi="ar-SA"/>
      </w:rPr>
    </w:lvl>
    <w:lvl w:ilvl="7">
      <w:start w:val="0"/>
      <w:numFmt w:val="bullet"/>
      <w:lvlText w:val="•"/>
      <w:lvlJc w:val="left"/>
      <w:pPr>
        <w:ind w:left="6256" w:hanging="364"/>
      </w:pPr>
      <w:rPr>
        <w:rFonts w:hint="default"/>
        <w:lang w:val="en-US" w:eastAsia="en-US" w:bidi="ar-SA"/>
      </w:rPr>
    </w:lvl>
    <w:lvl w:ilvl="8">
      <w:start w:val="0"/>
      <w:numFmt w:val="bullet"/>
      <w:lvlText w:val="•"/>
      <w:lvlJc w:val="left"/>
      <w:pPr>
        <w:ind w:left="7185" w:hanging="364"/>
      </w:pPr>
      <w:rPr>
        <w:rFonts w:hint="default"/>
        <w:lang w:val="en-US" w:eastAsia="en-US" w:bidi="ar-SA"/>
      </w:rPr>
    </w:lvl>
  </w:abstractNum>
  <w:abstractNum w:abstractNumId="24">
    <w:multiLevelType w:val="hybridMultilevel"/>
    <w:lvl w:ilvl="0">
      <w:start w:val="1"/>
      <w:numFmt w:val="decimal"/>
      <w:lvlText w:val="(%1)"/>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1">
      <w:start w:val="1"/>
      <w:numFmt w:val="lowerLetter"/>
      <w:lvlText w:val="(%2)"/>
      <w:lvlJc w:val="left"/>
      <w:pPr>
        <w:ind w:left="308" w:hanging="364"/>
        <w:jc w:val="lef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2048" w:hanging="364"/>
      </w:pPr>
      <w:rPr>
        <w:rFonts w:hint="default"/>
        <w:lang w:val="en-US" w:eastAsia="en-US" w:bidi="ar-SA"/>
      </w:rPr>
    </w:lvl>
    <w:lvl w:ilvl="3">
      <w:start w:val="0"/>
      <w:numFmt w:val="bullet"/>
      <w:lvlText w:val="•"/>
      <w:lvlJc w:val="left"/>
      <w:pPr>
        <w:ind w:left="2923" w:hanging="364"/>
      </w:pPr>
      <w:rPr>
        <w:rFonts w:hint="default"/>
        <w:lang w:val="en-US" w:eastAsia="en-US" w:bidi="ar-SA"/>
      </w:rPr>
    </w:lvl>
    <w:lvl w:ilvl="4">
      <w:start w:val="0"/>
      <w:numFmt w:val="bullet"/>
      <w:lvlText w:val="•"/>
      <w:lvlJc w:val="left"/>
      <w:pPr>
        <w:ind w:left="3797" w:hanging="364"/>
      </w:pPr>
      <w:rPr>
        <w:rFonts w:hint="default"/>
        <w:lang w:val="en-US" w:eastAsia="en-US" w:bidi="ar-SA"/>
      </w:rPr>
    </w:lvl>
    <w:lvl w:ilvl="5">
      <w:start w:val="0"/>
      <w:numFmt w:val="bullet"/>
      <w:lvlText w:val="•"/>
      <w:lvlJc w:val="left"/>
      <w:pPr>
        <w:ind w:left="4672" w:hanging="364"/>
      </w:pPr>
      <w:rPr>
        <w:rFonts w:hint="default"/>
        <w:lang w:val="en-US" w:eastAsia="en-US" w:bidi="ar-SA"/>
      </w:rPr>
    </w:lvl>
    <w:lvl w:ilvl="6">
      <w:start w:val="0"/>
      <w:numFmt w:val="bullet"/>
      <w:lvlText w:val="•"/>
      <w:lvlJc w:val="left"/>
      <w:pPr>
        <w:ind w:left="5546" w:hanging="364"/>
      </w:pPr>
      <w:rPr>
        <w:rFonts w:hint="default"/>
        <w:lang w:val="en-US" w:eastAsia="en-US" w:bidi="ar-SA"/>
      </w:rPr>
    </w:lvl>
    <w:lvl w:ilvl="7">
      <w:start w:val="0"/>
      <w:numFmt w:val="bullet"/>
      <w:lvlText w:val="•"/>
      <w:lvlJc w:val="left"/>
      <w:pPr>
        <w:ind w:left="6420" w:hanging="364"/>
      </w:pPr>
      <w:rPr>
        <w:rFonts w:hint="default"/>
        <w:lang w:val="en-US" w:eastAsia="en-US" w:bidi="ar-SA"/>
      </w:rPr>
    </w:lvl>
    <w:lvl w:ilvl="8">
      <w:start w:val="0"/>
      <w:numFmt w:val="bullet"/>
      <w:lvlText w:val="•"/>
      <w:lvlJc w:val="left"/>
      <w:pPr>
        <w:ind w:left="7295" w:hanging="364"/>
      </w:pPr>
      <w:rPr>
        <w:rFonts w:hint="default"/>
        <w:lang w:val="en-US" w:eastAsia="en-US" w:bidi="ar-SA"/>
      </w:rPr>
    </w:lvl>
  </w:abstractNum>
  <w:abstractNum w:abstractNumId="23">
    <w:multiLevelType w:val="hybridMultilevel"/>
    <w:lvl w:ilvl="0">
      <w:start w:val="170"/>
      <w:numFmt w:val="decimal"/>
      <w:lvlText w:val="%1"/>
      <w:lvlJc w:val="left"/>
      <w:pPr>
        <w:ind w:left="777" w:hanging="470"/>
        <w:jc w:val="left"/>
      </w:pPr>
      <w:rPr>
        <w:rFonts w:hint="default" w:ascii="Arial" w:hAnsi="Arial" w:eastAsia="Arial" w:cs="Arial"/>
        <w:b/>
        <w:bCs/>
        <w:i w:val="0"/>
        <w:iCs w:val="0"/>
        <w:spacing w:val="0"/>
        <w:w w:val="100"/>
        <w:sz w:val="24"/>
        <w:szCs w:val="24"/>
        <w:lang w:val="en-US" w:eastAsia="en-US" w:bidi="ar-SA"/>
      </w:rPr>
    </w:lvl>
    <w:lvl w:ilvl="1">
      <w:start w:val="1"/>
      <w:numFmt w:val="lowerLetter"/>
      <w:lvlText w:val="(%2)"/>
      <w:lvlJc w:val="left"/>
      <w:pPr>
        <w:ind w:left="671" w:hanging="364"/>
        <w:jc w:val="left"/>
      </w:pPr>
      <w:rPr>
        <w:rFonts w:hint="default" w:ascii="Arial MT" w:hAnsi="Arial MT" w:eastAsia="Arial MT" w:cs="Arial MT"/>
        <w:b w:val="0"/>
        <w:bCs w:val="0"/>
        <w:i w:val="0"/>
        <w:iCs w:val="0"/>
        <w:spacing w:val="0"/>
        <w:w w:val="99"/>
        <w:sz w:val="24"/>
        <w:szCs w:val="24"/>
        <w:lang w:val="en-US" w:eastAsia="en-US" w:bidi="ar-SA"/>
      </w:rPr>
    </w:lvl>
    <w:lvl w:ilvl="2">
      <w:start w:val="0"/>
      <w:numFmt w:val="bullet"/>
      <w:lvlText w:val="•"/>
      <w:lvlJc w:val="left"/>
      <w:pPr>
        <w:ind w:left="1698" w:hanging="364"/>
      </w:pPr>
      <w:rPr>
        <w:rFonts w:hint="default"/>
        <w:lang w:val="en-US" w:eastAsia="en-US" w:bidi="ar-SA"/>
      </w:rPr>
    </w:lvl>
    <w:lvl w:ilvl="3">
      <w:start w:val="0"/>
      <w:numFmt w:val="bullet"/>
      <w:lvlText w:val="•"/>
      <w:lvlJc w:val="left"/>
      <w:pPr>
        <w:ind w:left="2616" w:hanging="364"/>
      </w:pPr>
      <w:rPr>
        <w:rFonts w:hint="default"/>
        <w:lang w:val="en-US" w:eastAsia="en-US" w:bidi="ar-SA"/>
      </w:rPr>
    </w:lvl>
    <w:lvl w:ilvl="4">
      <w:start w:val="0"/>
      <w:numFmt w:val="bullet"/>
      <w:lvlText w:val="•"/>
      <w:lvlJc w:val="left"/>
      <w:pPr>
        <w:ind w:left="3534" w:hanging="364"/>
      </w:pPr>
      <w:rPr>
        <w:rFonts w:hint="default"/>
        <w:lang w:val="en-US" w:eastAsia="en-US" w:bidi="ar-SA"/>
      </w:rPr>
    </w:lvl>
    <w:lvl w:ilvl="5">
      <w:start w:val="0"/>
      <w:numFmt w:val="bullet"/>
      <w:lvlText w:val="•"/>
      <w:lvlJc w:val="left"/>
      <w:pPr>
        <w:ind w:left="4452" w:hanging="364"/>
      </w:pPr>
      <w:rPr>
        <w:rFonts w:hint="default"/>
        <w:lang w:val="en-US" w:eastAsia="en-US" w:bidi="ar-SA"/>
      </w:rPr>
    </w:lvl>
    <w:lvl w:ilvl="6">
      <w:start w:val="0"/>
      <w:numFmt w:val="bullet"/>
      <w:lvlText w:val="•"/>
      <w:lvlJc w:val="left"/>
      <w:pPr>
        <w:ind w:left="5371" w:hanging="364"/>
      </w:pPr>
      <w:rPr>
        <w:rFonts w:hint="default"/>
        <w:lang w:val="en-US" w:eastAsia="en-US" w:bidi="ar-SA"/>
      </w:rPr>
    </w:lvl>
    <w:lvl w:ilvl="7">
      <w:start w:val="0"/>
      <w:numFmt w:val="bullet"/>
      <w:lvlText w:val="•"/>
      <w:lvlJc w:val="left"/>
      <w:pPr>
        <w:ind w:left="6289" w:hanging="364"/>
      </w:pPr>
      <w:rPr>
        <w:rFonts w:hint="default"/>
        <w:lang w:val="en-US" w:eastAsia="en-US" w:bidi="ar-SA"/>
      </w:rPr>
    </w:lvl>
    <w:lvl w:ilvl="8">
      <w:start w:val="0"/>
      <w:numFmt w:val="bullet"/>
      <w:lvlText w:val="•"/>
      <w:lvlJc w:val="left"/>
      <w:pPr>
        <w:ind w:left="7207" w:hanging="364"/>
      </w:pPr>
      <w:rPr>
        <w:rFonts w:hint="default"/>
        <w:lang w:val="en-US" w:eastAsia="en-US" w:bidi="ar-SA"/>
      </w:rPr>
    </w:lvl>
  </w:abstractNum>
  <w:abstractNum w:abstractNumId="22">
    <w:multiLevelType w:val="hybridMultilevel"/>
    <w:lvl w:ilvl="0">
      <w:start w:val="6"/>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decimal"/>
      <w:lvlText w:val="%3."/>
      <w:lvlJc w:val="left"/>
      <w:pPr>
        <w:ind w:left="951" w:hanging="360"/>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0"/>
      <w:numFmt w:val="bullet"/>
      <w:lvlText w:val="•"/>
      <w:lvlJc w:val="left"/>
      <w:pPr>
        <w:ind w:left="2803" w:hanging="360"/>
      </w:pPr>
      <w:rPr>
        <w:rFonts w:hint="default"/>
        <w:lang w:val="en-US" w:eastAsia="en-US" w:bidi="ar-SA"/>
      </w:rPr>
    </w:lvl>
    <w:lvl w:ilvl="4">
      <w:start w:val="0"/>
      <w:numFmt w:val="bullet"/>
      <w:lvlText w:val="•"/>
      <w:lvlJc w:val="left"/>
      <w:pPr>
        <w:ind w:left="3694" w:hanging="360"/>
      </w:pPr>
      <w:rPr>
        <w:rFonts w:hint="default"/>
        <w:lang w:val="en-US" w:eastAsia="en-US" w:bidi="ar-SA"/>
      </w:rPr>
    </w:lvl>
    <w:lvl w:ilvl="5">
      <w:start w:val="0"/>
      <w:numFmt w:val="bullet"/>
      <w:lvlText w:val="•"/>
      <w:lvlJc w:val="left"/>
      <w:pPr>
        <w:ind w:left="4586" w:hanging="360"/>
      </w:pPr>
      <w:rPr>
        <w:rFonts w:hint="default"/>
        <w:lang w:val="en-US" w:eastAsia="en-US" w:bidi="ar-SA"/>
      </w:rPr>
    </w:lvl>
    <w:lvl w:ilvl="6">
      <w:start w:val="0"/>
      <w:numFmt w:val="bullet"/>
      <w:lvlText w:val="•"/>
      <w:lvlJc w:val="left"/>
      <w:pPr>
        <w:ind w:left="5477" w:hanging="360"/>
      </w:pPr>
      <w:rPr>
        <w:rFonts w:hint="default"/>
        <w:lang w:val="en-US" w:eastAsia="en-US" w:bidi="ar-SA"/>
      </w:rPr>
    </w:lvl>
    <w:lvl w:ilvl="7">
      <w:start w:val="0"/>
      <w:numFmt w:val="bullet"/>
      <w:lvlText w:val="•"/>
      <w:lvlJc w:val="left"/>
      <w:pPr>
        <w:ind w:left="6369" w:hanging="360"/>
      </w:pPr>
      <w:rPr>
        <w:rFonts w:hint="default"/>
        <w:lang w:val="en-US" w:eastAsia="en-US" w:bidi="ar-SA"/>
      </w:rPr>
    </w:lvl>
    <w:lvl w:ilvl="8">
      <w:start w:val="0"/>
      <w:numFmt w:val="bullet"/>
      <w:lvlText w:val="•"/>
      <w:lvlJc w:val="left"/>
      <w:pPr>
        <w:ind w:left="7260" w:hanging="360"/>
      </w:pPr>
      <w:rPr>
        <w:rFonts w:hint="default"/>
        <w:lang w:val="en-US" w:eastAsia="en-US" w:bidi="ar-SA"/>
      </w:rPr>
    </w:lvl>
  </w:abstractNum>
  <w:abstractNum w:abstractNumId="21">
    <w:multiLevelType w:val="hybridMultilevel"/>
    <w:lvl w:ilvl="0">
      <w:start w:val="1"/>
      <w:numFmt w:val="decimal"/>
      <w:lvlText w:val="%1."/>
      <w:lvlJc w:val="left"/>
      <w:pPr>
        <w:ind w:left="1748" w:hanging="36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470" w:hanging="361"/>
      </w:pPr>
      <w:rPr>
        <w:rFonts w:hint="default"/>
        <w:lang w:val="en-US" w:eastAsia="en-US" w:bidi="ar-SA"/>
      </w:rPr>
    </w:lvl>
    <w:lvl w:ilvl="2">
      <w:start w:val="0"/>
      <w:numFmt w:val="bullet"/>
      <w:lvlText w:val="•"/>
      <w:lvlJc w:val="left"/>
      <w:pPr>
        <w:ind w:left="3200" w:hanging="361"/>
      </w:pPr>
      <w:rPr>
        <w:rFonts w:hint="default"/>
        <w:lang w:val="en-US" w:eastAsia="en-US" w:bidi="ar-SA"/>
      </w:rPr>
    </w:lvl>
    <w:lvl w:ilvl="3">
      <w:start w:val="0"/>
      <w:numFmt w:val="bullet"/>
      <w:lvlText w:val="•"/>
      <w:lvlJc w:val="left"/>
      <w:pPr>
        <w:ind w:left="3931" w:hanging="361"/>
      </w:pPr>
      <w:rPr>
        <w:rFonts w:hint="default"/>
        <w:lang w:val="en-US" w:eastAsia="en-US" w:bidi="ar-SA"/>
      </w:rPr>
    </w:lvl>
    <w:lvl w:ilvl="4">
      <w:start w:val="0"/>
      <w:numFmt w:val="bullet"/>
      <w:lvlText w:val="•"/>
      <w:lvlJc w:val="left"/>
      <w:pPr>
        <w:ind w:left="4661" w:hanging="361"/>
      </w:pPr>
      <w:rPr>
        <w:rFonts w:hint="default"/>
        <w:lang w:val="en-US" w:eastAsia="en-US" w:bidi="ar-SA"/>
      </w:rPr>
    </w:lvl>
    <w:lvl w:ilvl="5">
      <w:start w:val="0"/>
      <w:numFmt w:val="bullet"/>
      <w:lvlText w:val="•"/>
      <w:lvlJc w:val="left"/>
      <w:pPr>
        <w:ind w:left="5392" w:hanging="361"/>
      </w:pPr>
      <w:rPr>
        <w:rFonts w:hint="default"/>
        <w:lang w:val="en-US" w:eastAsia="en-US" w:bidi="ar-SA"/>
      </w:rPr>
    </w:lvl>
    <w:lvl w:ilvl="6">
      <w:start w:val="0"/>
      <w:numFmt w:val="bullet"/>
      <w:lvlText w:val="•"/>
      <w:lvlJc w:val="left"/>
      <w:pPr>
        <w:ind w:left="6122" w:hanging="361"/>
      </w:pPr>
      <w:rPr>
        <w:rFonts w:hint="default"/>
        <w:lang w:val="en-US" w:eastAsia="en-US" w:bidi="ar-SA"/>
      </w:rPr>
    </w:lvl>
    <w:lvl w:ilvl="7">
      <w:start w:val="0"/>
      <w:numFmt w:val="bullet"/>
      <w:lvlText w:val="•"/>
      <w:lvlJc w:val="left"/>
      <w:pPr>
        <w:ind w:left="6852" w:hanging="361"/>
      </w:pPr>
      <w:rPr>
        <w:rFonts w:hint="default"/>
        <w:lang w:val="en-US" w:eastAsia="en-US" w:bidi="ar-SA"/>
      </w:rPr>
    </w:lvl>
    <w:lvl w:ilvl="8">
      <w:start w:val="0"/>
      <w:numFmt w:val="bullet"/>
      <w:lvlText w:val="•"/>
      <w:lvlJc w:val="left"/>
      <w:pPr>
        <w:ind w:left="7583" w:hanging="361"/>
      </w:pPr>
      <w:rPr>
        <w:rFonts w:hint="default"/>
        <w:lang w:val="en-US" w:eastAsia="en-US" w:bidi="ar-SA"/>
      </w:rPr>
    </w:lvl>
  </w:abstractNum>
  <w:abstractNum w:abstractNumId="20">
    <w:multiLevelType w:val="hybridMultilevel"/>
    <w:lvl w:ilvl="0">
      <w:start w:val="7"/>
      <w:numFmt w:val="lowerLetter"/>
      <w:lvlText w:val="(%1)"/>
      <w:lvlJc w:val="left"/>
      <w:pPr>
        <w:ind w:left="2295" w:hanging="346"/>
        <w:jc w:val="left"/>
      </w:pPr>
      <w:rPr>
        <w:rFonts w:hint="default"/>
        <w:spacing w:val="-4"/>
        <w:w w:val="100"/>
        <w:lang w:val="en-US" w:eastAsia="en-US" w:bidi="ar-SA"/>
      </w:rPr>
    </w:lvl>
    <w:lvl w:ilvl="1">
      <w:start w:val="0"/>
      <w:numFmt w:val="bullet"/>
      <w:lvlText w:val="•"/>
      <w:lvlJc w:val="left"/>
      <w:pPr>
        <w:ind w:left="2974" w:hanging="346"/>
      </w:pPr>
      <w:rPr>
        <w:rFonts w:hint="default"/>
        <w:lang w:val="en-US" w:eastAsia="en-US" w:bidi="ar-SA"/>
      </w:rPr>
    </w:lvl>
    <w:lvl w:ilvl="2">
      <w:start w:val="0"/>
      <w:numFmt w:val="bullet"/>
      <w:lvlText w:val="•"/>
      <w:lvlJc w:val="left"/>
      <w:pPr>
        <w:ind w:left="3648" w:hanging="346"/>
      </w:pPr>
      <w:rPr>
        <w:rFonts w:hint="default"/>
        <w:lang w:val="en-US" w:eastAsia="en-US" w:bidi="ar-SA"/>
      </w:rPr>
    </w:lvl>
    <w:lvl w:ilvl="3">
      <w:start w:val="0"/>
      <w:numFmt w:val="bullet"/>
      <w:lvlText w:val="•"/>
      <w:lvlJc w:val="left"/>
      <w:pPr>
        <w:ind w:left="4323" w:hanging="346"/>
      </w:pPr>
      <w:rPr>
        <w:rFonts w:hint="default"/>
        <w:lang w:val="en-US" w:eastAsia="en-US" w:bidi="ar-SA"/>
      </w:rPr>
    </w:lvl>
    <w:lvl w:ilvl="4">
      <w:start w:val="0"/>
      <w:numFmt w:val="bullet"/>
      <w:lvlText w:val="•"/>
      <w:lvlJc w:val="left"/>
      <w:pPr>
        <w:ind w:left="4997" w:hanging="346"/>
      </w:pPr>
      <w:rPr>
        <w:rFonts w:hint="default"/>
        <w:lang w:val="en-US" w:eastAsia="en-US" w:bidi="ar-SA"/>
      </w:rPr>
    </w:lvl>
    <w:lvl w:ilvl="5">
      <w:start w:val="0"/>
      <w:numFmt w:val="bullet"/>
      <w:lvlText w:val="•"/>
      <w:lvlJc w:val="left"/>
      <w:pPr>
        <w:ind w:left="5672" w:hanging="346"/>
      </w:pPr>
      <w:rPr>
        <w:rFonts w:hint="default"/>
        <w:lang w:val="en-US" w:eastAsia="en-US" w:bidi="ar-SA"/>
      </w:rPr>
    </w:lvl>
    <w:lvl w:ilvl="6">
      <w:start w:val="0"/>
      <w:numFmt w:val="bullet"/>
      <w:lvlText w:val="•"/>
      <w:lvlJc w:val="left"/>
      <w:pPr>
        <w:ind w:left="6346" w:hanging="346"/>
      </w:pPr>
      <w:rPr>
        <w:rFonts w:hint="default"/>
        <w:lang w:val="en-US" w:eastAsia="en-US" w:bidi="ar-SA"/>
      </w:rPr>
    </w:lvl>
    <w:lvl w:ilvl="7">
      <w:start w:val="0"/>
      <w:numFmt w:val="bullet"/>
      <w:lvlText w:val="•"/>
      <w:lvlJc w:val="left"/>
      <w:pPr>
        <w:ind w:left="7020" w:hanging="346"/>
      </w:pPr>
      <w:rPr>
        <w:rFonts w:hint="default"/>
        <w:lang w:val="en-US" w:eastAsia="en-US" w:bidi="ar-SA"/>
      </w:rPr>
    </w:lvl>
    <w:lvl w:ilvl="8">
      <w:start w:val="0"/>
      <w:numFmt w:val="bullet"/>
      <w:lvlText w:val="•"/>
      <w:lvlJc w:val="left"/>
      <w:pPr>
        <w:ind w:left="7695" w:hanging="346"/>
      </w:pPr>
      <w:rPr>
        <w:rFonts w:hint="default"/>
        <w:lang w:val="en-US" w:eastAsia="en-US" w:bidi="ar-SA"/>
      </w:rPr>
    </w:lvl>
  </w:abstractNum>
  <w:abstractNum w:abstractNumId="19">
    <w:multiLevelType w:val="hybridMultilevel"/>
    <w:lvl w:ilvl="0">
      <w:start w:val="5"/>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1"/>
      <w:numFmt w:val="decimal"/>
      <w:lvlText w:val="(%4)"/>
      <w:lvlJc w:val="left"/>
      <w:pPr>
        <w:ind w:left="2007" w:hanging="370"/>
        <w:jc w:val="left"/>
      </w:pPr>
      <w:rPr>
        <w:rFonts w:hint="default" w:ascii="Times New Roman" w:hAnsi="Times New Roman" w:eastAsia="Times New Roman" w:cs="Times New Roman"/>
        <w:b w:val="0"/>
        <w:bCs w:val="0"/>
        <w:i/>
        <w:iCs/>
        <w:spacing w:val="-4"/>
        <w:w w:val="100"/>
        <w:sz w:val="24"/>
        <w:szCs w:val="24"/>
        <w:lang w:val="en-US" w:eastAsia="en-US" w:bidi="ar-SA"/>
      </w:rPr>
    </w:lvl>
    <w:lvl w:ilvl="4">
      <w:start w:val="1"/>
      <w:numFmt w:val="lowerLetter"/>
      <w:lvlText w:val="(%5)"/>
      <w:lvlJc w:val="left"/>
      <w:pPr>
        <w:ind w:left="2007" w:hanging="398"/>
        <w:jc w:val="left"/>
      </w:pPr>
      <w:rPr>
        <w:rFonts w:hint="default" w:ascii="Times New Roman" w:hAnsi="Times New Roman" w:eastAsia="Times New Roman" w:cs="Times New Roman"/>
        <w:b w:val="0"/>
        <w:bCs w:val="0"/>
        <w:i/>
        <w:iCs/>
        <w:spacing w:val="-4"/>
        <w:w w:val="100"/>
        <w:sz w:val="24"/>
        <w:szCs w:val="24"/>
        <w:lang w:val="en-US" w:eastAsia="en-US" w:bidi="ar-SA"/>
      </w:rPr>
    </w:lvl>
    <w:lvl w:ilvl="5">
      <w:start w:val="0"/>
      <w:numFmt w:val="bullet"/>
      <w:lvlText w:val="•"/>
      <w:lvlJc w:val="left"/>
      <w:pPr>
        <w:ind w:left="2147" w:hanging="398"/>
      </w:pPr>
      <w:rPr>
        <w:rFonts w:hint="default"/>
        <w:lang w:val="en-US" w:eastAsia="en-US" w:bidi="ar-SA"/>
      </w:rPr>
    </w:lvl>
    <w:lvl w:ilvl="6">
      <w:start w:val="0"/>
      <w:numFmt w:val="bullet"/>
      <w:lvlText w:val="•"/>
      <w:lvlJc w:val="left"/>
      <w:pPr>
        <w:ind w:left="2184" w:hanging="398"/>
      </w:pPr>
      <w:rPr>
        <w:rFonts w:hint="default"/>
        <w:lang w:val="en-US" w:eastAsia="en-US" w:bidi="ar-SA"/>
      </w:rPr>
    </w:lvl>
    <w:lvl w:ilvl="7">
      <w:start w:val="0"/>
      <w:numFmt w:val="bullet"/>
      <w:lvlText w:val="•"/>
      <w:lvlJc w:val="left"/>
      <w:pPr>
        <w:ind w:left="2220" w:hanging="398"/>
      </w:pPr>
      <w:rPr>
        <w:rFonts w:hint="default"/>
        <w:lang w:val="en-US" w:eastAsia="en-US" w:bidi="ar-SA"/>
      </w:rPr>
    </w:lvl>
    <w:lvl w:ilvl="8">
      <w:start w:val="0"/>
      <w:numFmt w:val="bullet"/>
      <w:lvlText w:val="•"/>
      <w:lvlJc w:val="left"/>
      <w:pPr>
        <w:ind w:left="2257" w:hanging="398"/>
      </w:pPr>
      <w:rPr>
        <w:rFonts w:hint="default"/>
        <w:lang w:val="en-US" w:eastAsia="en-US" w:bidi="ar-SA"/>
      </w:rPr>
    </w:lvl>
  </w:abstractNum>
  <w:abstractNum w:abstractNumId="18">
    <w:multiLevelType w:val="hybridMultilevel"/>
    <w:lvl w:ilvl="0">
      <w:start w:val="1"/>
      <w:numFmt w:val="lowerRoman"/>
      <w:lvlText w:val="(%1)"/>
      <w:lvlJc w:val="left"/>
      <w:pPr>
        <w:ind w:left="2035" w:hanging="288"/>
        <w:jc w:val="left"/>
      </w:pPr>
      <w:rPr>
        <w:rFonts w:hint="default" w:ascii="Times New Roman" w:hAnsi="Times New Roman" w:eastAsia="Times New Roman" w:cs="Times New Roman"/>
        <w:b w:val="0"/>
        <w:bCs w:val="0"/>
        <w:i w:val="0"/>
        <w:iCs w:val="0"/>
        <w:spacing w:val="-10"/>
        <w:w w:val="100"/>
        <w:sz w:val="24"/>
        <w:szCs w:val="24"/>
        <w:lang w:val="en-US" w:eastAsia="en-US" w:bidi="ar-SA"/>
      </w:rPr>
    </w:lvl>
    <w:lvl w:ilvl="1">
      <w:start w:val="0"/>
      <w:numFmt w:val="bullet"/>
      <w:lvlText w:val="•"/>
      <w:lvlJc w:val="left"/>
      <w:pPr>
        <w:ind w:left="2740" w:hanging="288"/>
      </w:pPr>
      <w:rPr>
        <w:rFonts w:hint="default"/>
        <w:lang w:val="en-US" w:eastAsia="en-US" w:bidi="ar-SA"/>
      </w:rPr>
    </w:lvl>
    <w:lvl w:ilvl="2">
      <w:start w:val="0"/>
      <w:numFmt w:val="bullet"/>
      <w:lvlText w:val="•"/>
      <w:lvlJc w:val="left"/>
      <w:pPr>
        <w:ind w:left="3440" w:hanging="288"/>
      </w:pPr>
      <w:rPr>
        <w:rFonts w:hint="default"/>
        <w:lang w:val="en-US" w:eastAsia="en-US" w:bidi="ar-SA"/>
      </w:rPr>
    </w:lvl>
    <w:lvl w:ilvl="3">
      <w:start w:val="0"/>
      <w:numFmt w:val="bullet"/>
      <w:lvlText w:val="•"/>
      <w:lvlJc w:val="left"/>
      <w:pPr>
        <w:ind w:left="4141" w:hanging="288"/>
      </w:pPr>
      <w:rPr>
        <w:rFonts w:hint="default"/>
        <w:lang w:val="en-US" w:eastAsia="en-US" w:bidi="ar-SA"/>
      </w:rPr>
    </w:lvl>
    <w:lvl w:ilvl="4">
      <w:start w:val="0"/>
      <w:numFmt w:val="bullet"/>
      <w:lvlText w:val="•"/>
      <w:lvlJc w:val="left"/>
      <w:pPr>
        <w:ind w:left="4841" w:hanging="288"/>
      </w:pPr>
      <w:rPr>
        <w:rFonts w:hint="default"/>
        <w:lang w:val="en-US" w:eastAsia="en-US" w:bidi="ar-SA"/>
      </w:rPr>
    </w:lvl>
    <w:lvl w:ilvl="5">
      <w:start w:val="0"/>
      <w:numFmt w:val="bullet"/>
      <w:lvlText w:val="•"/>
      <w:lvlJc w:val="left"/>
      <w:pPr>
        <w:ind w:left="5542" w:hanging="288"/>
      </w:pPr>
      <w:rPr>
        <w:rFonts w:hint="default"/>
        <w:lang w:val="en-US" w:eastAsia="en-US" w:bidi="ar-SA"/>
      </w:rPr>
    </w:lvl>
    <w:lvl w:ilvl="6">
      <w:start w:val="0"/>
      <w:numFmt w:val="bullet"/>
      <w:lvlText w:val="•"/>
      <w:lvlJc w:val="left"/>
      <w:pPr>
        <w:ind w:left="6242" w:hanging="288"/>
      </w:pPr>
      <w:rPr>
        <w:rFonts w:hint="default"/>
        <w:lang w:val="en-US" w:eastAsia="en-US" w:bidi="ar-SA"/>
      </w:rPr>
    </w:lvl>
    <w:lvl w:ilvl="7">
      <w:start w:val="0"/>
      <w:numFmt w:val="bullet"/>
      <w:lvlText w:val="•"/>
      <w:lvlJc w:val="left"/>
      <w:pPr>
        <w:ind w:left="6942" w:hanging="288"/>
      </w:pPr>
      <w:rPr>
        <w:rFonts w:hint="default"/>
        <w:lang w:val="en-US" w:eastAsia="en-US" w:bidi="ar-SA"/>
      </w:rPr>
    </w:lvl>
    <w:lvl w:ilvl="8">
      <w:start w:val="0"/>
      <w:numFmt w:val="bullet"/>
      <w:lvlText w:val="•"/>
      <w:lvlJc w:val="left"/>
      <w:pPr>
        <w:ind w:left="7643" w:hanging="288"/>
      </w:pPr>
      <w:rPr>
        <w:rFonts w:hint="default"/>
        <w:lang w:val="en-US" w:eastAsia="en-US" w:bidi="ar-SA"/>
      </w:rPr>
    </w:lvl>
  </w:abstractNum>
  <w:abstractNum w:abstractNumId="17">
    <w:multiLevelType w:val="hybridMultilevel"/>
    <w:lvl w:ilvl="0">
      <w:start w:val="4"/>
      <w:numFmt w:val="decimal"/>
      <w:lvlText w:val="%1"/>
      <w:lvlJc w:val="left"/>
      <w:pPr>
        <w:ind w:left="1028" w:hanging="721"/>
        <w:jc w:val="left"/>
      </w:pPr>
      <w:rPr>
        <w:rFonts w:hint="default"/>
        <w:lang w:val="en-US" w:eastAsia="en-US" w:bidi="ar-SA"/>
      </w:rPr>
    </w:lvl>
    <w:lvl w:ilvl="1">
      <w:start w:val="2"/>
      <w:numFmt w:val="decimal"/>
      <w:lvlText w:val="%1.%2"/>
      <w:lvlJc w:val="left"/>
      <w:pPr>
        <w:ind w:left="1028" w:hanging="721"/>
        <w:jc w:val="left"/>
      </w:pPr>
      <w:rPr>
        <w:rFonts w:hint="default"/>
        <w:lang w:val="en-US" w:eastAsia="en-US" w:bidi="ar-SA"/>
      </w:rPr>
    </w:lvl>
    <w:lvl w:ilvl="2">
      <w:start w:val="6"/>
      <w:numFmt w:val="decimal"/>
      <w:lvlText w:val="%1.%2.%3"/>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1"/>
      <w:numFmt w:val="decimal"/>
      <w:lvlText w:val="%4."/>
      <w:lvlJc w:val="left"/>
      <w:pPr>
        <w:ind w:left="102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4">
      <w:start w:val="1"/>
      <w:numFmt w:val="lowerLetter"/>
      <w:lvlText w:val="(%5)"/>
      <w:lvlJc w:val="left"/>
      <w:pPr>
        <w:ind w:left="2007" w:hanging="398"/>
        <w:jc w:val="left"/>
      </w:pPr>
      <w:rPr>
        <w:rFonts w:hint="default" w:ascii="Times New Roman" w:hAnsi="Times New Roman" w:eastAsia="Times New Roman" w:cs="Times New Roman"/>
        <w:b w:val="0"/>
        <w:bCs w:val="0"/>
        <w:i/>
        <w:iCs/>
        <w:spacing w:val="-4"/>
        <w:w w:val="100"/>
        <w:sz w:val="24"/>
        <w:szCs w:val="24"/>
        <w:lang w:val="en-US" w:eastAsia="en-US" w:bidi="ar-SA"/>
      </w:rPr>
    </w:lvl>
    <w:lvl w:ilvl="5">
      <w:start w:val="0"/>
      <w:numFmt w:val="bullet"/>
      <w:lvlText w:val="•"/>
      <w:lvlJc w:val="left"/>
      <w:pPr>
        <w:ind w:left="4641" w:hanging="398"/>
      </w:pPr>
      <w:rPr>
        <w:rFonts w:hint="default"/>
        <w:lang w:val="en-US" w:eastAsia="en-US" w:bidi="ar-SA"/>
      </w:rPr>
    </w:lvl>
    <w:lvl w:ilvl="6">
      <w:start w:val="0"/>
      <w:numFmt w:val="bullet"/>
      <w:lvlText w:val="•"/>
      <w:lvlJc w:val="left"/>
      <w:pPr>
        <w:ind w:left="5522" w:hanging="398"/>
      </w:pPr>
      <w:rPr>
        <w:rFonts w:hint="default"/>
        <w:lang w:val="en-US" w:eastAsia="en-US" w:bidi="ar-SA"/>
      </w:rPr>
    </w:lvl>
    <w:lvl w:ilvl="7">
      <w:start w:val="0"/>
      <w:numFmt w:val="bullet"/>
      <w:lvlText w:val="•"/>
      <w:lvlJc w:val="left"/>
      <w:pPr>
        <w:ind w:left="6402" w:hanging="398"/>
      </w:pPr>
      <w:rPr>
        <w:rFonts w:hint="default"/>
        <w:lang w:val="en-US" w:eastAsia="en-US" w:bidi="ar-SA"/>
      </w:rPr>
    </w:lvl>
    <w:lvl w:ilvl="8">
      <w:start w:val="0"/>
      <w:numFmt w:val="bullet"/>
      <w:lvlText w:val="•"/>
      <w:lvlJc w:val="left"/>
      <w:pPr>
        <w:ind w:left="7283" w:hanging="398"/>
      </w:pPr>
      <w:rPr>
        <w:rFonts w:hint="default"/>
        <w:lang w:val="en-US" w:eastAsia="en-US" w:bidi="ar-SA"/>
      </w:rPr>
    </w:lvl>
  </w:abstractNum>
  <w:abstractNum w:abstractNumId="16">
    <w:multiLevelType w:val="hybridMultilevel"/>
    <w:lvl w:ilvl="0">
      <w:start w:val="1"/>
      <w:numFmt w:val="decimal"/>
      <w:lvlText w:val="%1."/>
      <w:lvlJc w:val="left"/>
      <w:pPr>
        <w:ind w:left="102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822" w:hanging="360"/>
      </w:pPr>
      <w:rPr>
        <w:rFonts w:hint="default"/>
        <w:lang w:val="en-US" w:eastAsia="en-US" w:bidi="ar-SA"/>
      </w:rPr>
    </w:lvl>
    <w:lvl w:ilvl="2">
      <w:start w:val="0"/>
      <w:numFmt w:val="bullet"/>
      <w:lvlText w:val="•"/>
      <w:lvlJc w:val="left"/>
      <w:pPr>
        <w:ind w:left="2624" w:hanging="360"/>
      </w:pPr>
      <w:rPr>
        <w:rFonts w:hint="default"/>
        <w:lang w:val="en-US" w:eastAsia="en-US" w:bidi="ar-SA"/>
      </w:rPr>
    </w:lvl>
    <w:lvl w:ilvl="3">
      <w:start w:val="0"/>
      <w:numFmt w:val="bullet"/>
      <w:lvlText w:val="•"/>
      <w:lvlJc w:val="left"/>
      <w:pPr>
        <w:ind w:left="3427" w:hanging="360"/>
      </w:pPr>
      <w:rPr>
        <w:rFonts w:hint="default"/>
        <w:lang w:val="en-US" w:eastAsia="en-US" w:bidi="ar-SA"/>
      </w:rPr>
    </w:lvl>
    <w:lvl w:ilvl="4">
      <w:start w:val="0"/>
      <w:numFmt w:val="bullet"/>
      <w:lvlText w:val="•"/>
      <w:lvlJc w:val="left"/>
      <w:pPr>
        <w:ind w:left="4229" w:hanging="360"/>
      </w:pPr>
      <w:rPr>
        <w:rFonts w:hint="default"/>
        <w:lang w:val="en-US" w:eastAsia="en-US" w:bidi="ar-SA"/>
      </w:rPr>
    </w:lvl>
    <w:lvl w:ilvl="5">
      <w:start w:val="0"/>
      <w:numFmt w:val="bullet"/>
      <w:lvlText w:val="•"/>
      <w:lvlJc w:val="left"/>
      <w:pPr>
        <w:ind w:left="5032" w:hanging="360"/>
      </w:pPr>
      <w:rPr>
        <w:rFonts w:hint="default"/>
        <w:lang w:val="en-US" w:eastAsia="en-US" w:bidi="ar-SA"/>
      </w:rPr>
    </w:lvl>
    <w:lvl w:ilvl="6">
      <w:start w:val="0"/>
      <w:numFmt w:val="bullet"/>
      <w:lvlText w:val="•"/>
      <w:lvlJc w:val="left"/>
      <w:pPr>
        <w:ind w:left="5834" w:hanging="360"/>
      </w:pPr>
      <w:rPr>
        <w:rFonts w:hint="default"/>
        <w:lang w:val="en-US" w:eastAsia="en-US" w:bidi="ar-SA"/>
      </w:rPr>
    </w:lvl>
    <w:lvl w:ilvl="7">
      <w:start w:val="0"/>
      <w:numFmt w:val="bullet"/>
      <w:lvlText w:val="•"/>
      <w:lvlJc w:val="left"/>
      <w:pPr>
        <w:ind w:left="6636" w:hanging="360"/>
      </w:pPr>
      <w:rPr>
        <w:rFonts w:hint="default"/>
        <w:lang w:val="en-US" w:eastAsia="en-US" w:bidi="ar-SA"/>
      </w:rPr>
    </w:lvl>
    <w:lvl w:ilvl="8">
      <w:start w:val="0"/>
      <w:numFmt w:val="bullet"/>
      <w:lvlText w:val="•"/>
      <w:lvlJc w:val="left"/>
      <w:pPr>
        <w:ind w:left="7439" w:hanging="360"/>
      </w:pPr>
      <w:rPr>
        <w:rFonts w:hint="default"/>
        <w:lang w:val="en-US" w:eastAsia="en-US" w:bidi="ar-SA"/>
      </w:rPr>
    </w:lvl>
  </w:abstractNum>
  <w:abstractNum w:abstractNumId="15">
    <w:multiLevelType w:val="hybridMultilevel"/>
    <w:lvl w:ilvl="0">
      <w:start w:val="4"/>
      <w:numFmt w:val="decimal"/>
      <w:lvlText w:val="%1"/>
      <w:lvlJc w:val="left"/>
      <w:pPr>
        <w:ind w:left="1028" w:hanging="721"/>
        <w:jc w:val="left"/>
      </w:pPr>
      <w:rPr>
        <w:rFonts w:hint="default"/>
        <w:lang w:val="en-US" w:eastAsia="en-US" w:bidi="ar-SA"/>
      </w:rPr>
    </w:lvl>
    <w:lvl w:ilvl="1">
      <w:start w:val="2"/>
      <w:numFmt w:val="decimal"/>
      <w:lvlText w:val="%1.%2"/>
      <w:lvlJc w:val="left"/>
      <w:pPr>
        <w:ind w:left="1028" w:hanging="721"/>
        <w:jc w:val="left"/>
      </w:pPr>
      <w:rPr>
        <w:rFonts w:hint="default"/>
        <w:lang w:val="en-US" w:eastAsia="en-US" w:bidi="ar-SA"/>
      </w:rPr>
    </w:lvl>
    <w:lvl w:ilvl="2">
      <w:start w:val="4"/>
      <w:numFmt w:val="decimal"/>
      <w:lvlText w:val="%1.%2.%3."/>
      <w:lvlJc w:val="left"/>
      <w:pPr>
        <w:ind w:left="1028" w:hanging="721"/>
        <w:jc w:val="left"/>
      </w:pPr>
      <w:rPr>
        <w:rFonts w:hint="default" w:ascii="Times New Roman" w:hAnsi="Times New Roman" w:eastAsia="Times New Roman" w:cs="Times New Roman"/>
        <w:b/>
        <w:bCs/>
        <w:i w:val="0"/>
        <w:iCs w:val="0"/>
        <w:spacing w:val="-5"/>
        <w:w w:val="100"/>
        <w:sz w:val="24"/>
        <w:szCs w:val="24"/>
        <w:lang w:val="en-US" w:eastAsia="en-US" w:bidi="ar-SA"/>
      </w:rPr>
    </w:lvl>
    <w:lvl w:ilvl="3">
      <w:start w:val="1"/>
      <w:numFmt w:val="decimal"/>
      <w:lvlText w:val="(%4)"/>
      <w:lvlJc w:val="left"/>
      <w:pPr>
        <w:ind w:left="2007" w:hanging="356"/>
        <w:jc w:val="left"/>
      </w:pPr>
      <w:rPr>
        <w:rFonts w:hint="default" w:ascii="Times New Roman" w:hAnsi="Times New Roman" w:eastAsia="Times New Roman" w:cs="Times New Roman"/>
        <w:b w:val="0"/>
        <w:bCs w:val="0"/>
        <w:i/>
        <w:iCs/>
        <w:spacing w:val="-4"/>
        <w:w w:val="100"/>
        <w:sz w:val="24"/>
        <w:szCs w:val="24"/>
        <w:lang w:val="en-US" w:eastAsia="en-US" w:bidi="ar-SA"/>
      </w:rPr>
    </w:lvl>
    <w:lvl w:ilvl="4">
      <w:start w:val="1"/>
      <w:numFmt w:val="lowerLetter"/>
      <w:lvlText w:val="(%5)"/>
      <w:lvlJc w:val="left"/>
      <w:pPr>
        <w:ind w:left="2007" w:hanging="360"/>
        <w:jc w:val="left"/>
      </w:pPr>
      <w:rPr>
        <w:rFonts w:hint="default" w:ascii="Times New Roman" w:hAnsi="Times New Roman" w:eastAsia="Times New Roman" w:cs="Times New Roman"/>
        <w:b w:val="0"/>
        <w:bCs w:val="0"/>
        <w:i/>
        <w:iCs/>
        <w:spacing w:val="-4"/>
        <w:w w:val="100"/>
        <w:sz w:val="24"/>
        <w:szCs w:val="24"/>
        <w:lang w:val="en-US" w:eastAsia="en-US" w:bidi="ar-SA"/>
      </w:rPr>
    </w:lvl>
    <w:lvl w:ilvl="5">
      <w:start w:val="0"/>
      <w:numFmt w:val="bullet"/>
      <w:lvlText w:val="•"/>
      <w:lvlJc w:val="left"/>
      <w:pPr>
        <w:ind w:left="5130" w:hanging="360"/>
      </w:pPr>
      <w:rPr>
        <w:rFonts w:hint="default"/>
        <w:lang w:val="en-US" w:eastAsia="en-US" w:bidi="ar-SA"/>
      </w:rPr>
    </w:lvl>
    <w:lvl w:ilvl="6">
      <w:start w:val="0"/>
      <w:numFmt w:val="bullet"/>
      <w:lvlText w:val="•"/>
      <w:lvlJc w:val="left"/>
      <w:pPr>
        <w:ind w:left="5913" w:hanging="360"/>
      </w:pPr>
      <w:rPr>
        <w:rFonts w:hint="default"/>
        <w:lang w:val="en-US" w:eastAsia="en-US" w:bidi="ar-SA"/>
      </w:rPr>
    </w:lvl>
    <w:lvl w:ilvl="7">
      <w:start w:val="0"/>
      <w:numFmt w:val="bullet"/>
      <w:lvlText w:val="•"/>
      <w:lvlJc w:val="left"/>
      <w:pPr>
        <w:ind w:left="6696" w:hanging="360"/>
      </w:pPr>
      <w:rPr>
        <w:rFonts w:hint="default"/>
        <w:lang w:val="en-US" w:eastAsia="en-US" w:bidi="ar-SA"/>
      </w:rPr>
    </w:lvl>
    <w:lvl w:ilvl="8">
      <w:start w:val="0"/>
      <w:numFmt w:val="bullet"/>
      <w:lvlText w:val="•"/>
      <w:lvlJc w:val="left"/>
      <w:pPr>
        <w:ind w:left="7478" w:hanging="360"/>
      </w:pPr>
      <w:rPr>
        <w:rFonts w:hint="default"/>
        <w:lang w:val="en-US" w:eastAsia="en-US" w:bidi="ar-SA"/>
      </w:rPr>
    </w:lvl>
  </w:abstractNum>
  <w:abstractNum w:abstractNumId="14">
    <w:multiLevelType w:val="hybridMultilevel"/>
    <w:lvl w:ilvl="0">
      <w:start w:val="4"/>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1"/>
      <w:numFmt w:val="decimal"/>
      <w:lvlText w:val="(%4)"/>
      <w:lvlJc w:val="left"/>
      <w:pPr>
        <w:ind w:left="2295" w:hanging="288"/>
        <w:jc w:val="left"/>
      </w:pPr>
      <w:rPr>
        <w:rFonts w:hint="default" w:ascii="Times New Roman" w:hAnsi="Times New Roman" w:eastAsia="Times New Roman" w:cs="Times New Roman"/>
        <w:b w:val="0"/>
        <w:bCs w:val="0"/>
        <w:i/>
        <w:iCs/>
        <w:spacing w:val="-4"/>
        <w:w w:val="100"/>
        <w:sz w:val="22"/>
        <w:szCs w:val="22"/>
        <w:lang w:val="en-US" w:eastAsia="en-US" w:bidi="ar-SA"/>
      </w:rPr>
    </w:lvl>
    <w:lvl w:ilvl="4">
      <w:start w:val="1"/>
      <w:numFmt w:val="lowerLetter"/>
      <w:lvlText w:val="(%5)"/>
      <w:lvlJc w:val="left"/>
      <w:pPr>
        <w:ind w:left="2295" w:hanging="346"/>
        <w:jc w:val="left"/>
      </w:pPr>
      <w:rPr>
        <w:rFonts w:hint="default"/>
        <w:spacing w:val="-4"/>
        <w:w w:val="100"/>
        <w:lang w:val="en-US" w:eastAsia="en-US" w:bidi="ar-SA"/>
      </w:rPr>
    </w:lvl>
    <w:lvl w:ilvl="5">
      <w:start w:val="0"/>
      <w:numFmt w:val="bullet"/>
      <w:lvlText w:val="•"/>
      <w:lvlJc w:val="left"/>
      <w:pPr>
        <w:ind w:left="5297" w:hanging="346"/>
      </w:pPr>
      <w:rPr>
        <w:rFonts w:hint="default"/>
        <w:lang w:val="en-US" w:eastAsia="en-US" w:bidi="ar-SA"/>
      </w:rPr>
    </w:lvl>
    <w:lvl w:ilvl="6">
      <w:start w:val="0"/>
      <w:numFmt w:val="bullet"/>
      <w:lvlText w:val="•"/>
      <w:lvlJc w:val="left"/>
      <w:pPr>
        <w:ind w:left="6046" w:hanging="346"/>
      </w:pPr>
      <w:rPr>
        <w:rFonts w:hint="default"/>
        <w:lang w:val="en-US" w:eastAsia="en-US" w:bidi="ar-SA"/>
      </w:rPr>
    </w:lvl>
    <w:lvl w:ilvl="7">
      <w:start w:val="0"/>
      <w:numFmt w:val="bullet"/>
      <w:lvlText w:val="•"/>
      <w:lvlJc w:val="left"/>
      <w:pPr>
        <w:ind w:left="6796" w:hanging="346"/>
      </w:pPr>
      <w:rPr>
        <w:rFonts w:hint="default"/>
        <w:lang w:val="en-US" w:eastAsia="en-US" w:bidi="ar-SA"/>
      </w:rPr>
    </w:lvl>
    <w:lvl w:ilvl="8">
      <w:start w:val="0"/>
      <w:numFmt w:val="bullet"/>
      <w:lvlText w:val="•"/>
      <w:lvlJc w:val="left"/>
      <w:pPr>
        <w:ind w:left="7545" w:hanging="346"/>
      </w:pPr>
      <w:rPr>
        <w:rFonts w:hint="default"/>
        <w:lang w:val="en-US" w:eastAsia="en-US" w:bidi="ar-SA"/>
      </w:rPr>
    </w:lvl>
  </w:abstractNum>
  <w:abstractNum w:abstractNumId="13">
    <w:multiLevelType w:val="hybridMultilevel"/>
    <w:lvl w:ilvl="0">
      <w:start w:val="1"/>
      <w:numFmt w:val="decimal"/>
      <w:lvlText w:val="(%1)"/>
      <w:lvlJc w:val="left"/>
      <w:pPr>
        <w:ind w:left="2574" w:hanging="567"/>
        <w:jc w:val="left"/>
      </w:pPr>
      <w:rPr>
        <w:rFonts w:hint="default" w:ascii="Times New Roman" w:hAnsi="Times New Roman" w:eastAsia="Times New Roman" w:cs="Times New Roman"/>
        <w:b w:val="0"/>
        <w:bCs w:val="0"/>
        <w:i/>
        <w:iCs/>
        <w:spacing w:val="-4"/>
        <w:w w:val="100"/>
        <w:sz w:val="24"/>
        <w:szCs w:val="24"/>
        <w:lang w:val="en-US" w:eastAsia="en-US" w:bidi="ar-SA"/>
      </w:rPr>
    </w:lvl>
    <w:lvl w:ilvl="1">
      <w:start w:val="1"/>
      <w:numFmt w:val="lowerLetter"/>
      <w:lvlText w:val="(%2)"/>
      <w:lvlJc w:val="left"/>
      <w:pPr>
        <w:ind w:left="2574" w:hanging="615"/>
        <w:jc w:val="left"/>
      </w:pPr>
      <w:rPr>
        <w:rFonts w:hint="default" w:ascii="Times New Roman" w:hAnsi="Times New Roman" w:eastAsia="Times New Roman" w:cs="Times New Roman"/>
        <w:b w:val="0"/>
        <w:bCs w:val="0"/>
        <w:i/>
        <w:iCs/>
        <w:spacing w:val="-4"/>
        <w:w w:val="100"/>
        <w:sz w:val="24"/>
        <w:szCs w:val="24"/>
        <w:lang w:val="en-US" w:eastAsia="en-US" w:bidi="ar-SA"/>
      </w:rPr>
    </w:lvl>
    <w:lvl w:ilvl="2">
      <w:start w:val="0"/>
      <w:numFmt w:val="bullet"/>
      <w:lvlText w:val="•"/>
      <w:lvlJc w:val="left"/>
      <w:pPr>
        <w:ind w:left="3872" w:hanging="615"/>
      </w:pPr>
      <w:rPr>
        <w:rFonts w:hint="default"/>
        <w:lang w:val="en-US" w:eastAsia="en-US" w:bidi="ar-SA"/>
      </w:rPr>
    </w:lvl>
    <w:lvl w:ilvl="3">
      <w:start w:val="0"/>
      <w:numFmt w:val="bullet"/>
      <w:lvlText w:val="•"/>
      <w:lvlJc w:val="left"/>
      <w:pPr>
        <w:ind w:left="4519" w:hanging="615"/>
      </w:pPr>
      <w:rPr>
        <w:rFonts w:hint="default"/>
        <w:lang w:val="en-US" w:eastAsia="en-US" w:bidi="ar-SA"/>
      </w:rPr>
    </w:lvl>
    <w:lvl w:ilvl="4">
      <w:start w:val="0"/>
      <w:numFmt w:val="bullet"/>
      <w:lvlText w:val="•"/>
      <w:lvlJc w:val="left"/>
      <w:pPr>
        <w:ind w:left="5165" w:hanging="615"/>
      </w:pPr>
      <w:rPr>
        <w:rFonts w:hint="default"/>
        <w:lang w:val="en-US" w:eastAsia="en-US" w:bidi="ar-SA"/>
      </w:rPr>
    </w:lvl>
    <w:lvl w:ilvl="5">
      <w:start w:val="0"/>
      <w:numFmt w:val="bullet"/>
      <w:lvlText w:val="•"/>
      <w:lvlJc w:val="left"/>
      <w:pPr>
        <w:ind w:left="5812" w:hanging="615"/>
      </w:pPr>
      <w:rPr>
        <w:rFonts w:hint="default"/>
        <w:lang w:val="en-US" w:eastAsia="en-US" w:bidi="ar-SA"/>
      </w:rPr>
    </w:lvl>
    <w:lvl w:ilvl="6">
      <w:start w:val="0"/>
      <w:numFmt w:val="bullet"/>
      <w:lvlText w:val="•"/>
      <w:lvlJc w:val="left"/>
      <w:pPr>
        <w:ind w:left="6458" w:hanging="615"/>
      </w:pPr>
      <w:rPr>
        <w:rFonts w:hint="default"/>
        <w:lang w:val="en-US" w:eastAsia="en-US" w:bidi="ar-SA"/>
      </w:rPr>
    </w:lvl>
    <w:lvl w:ilvl="7">
      <w:start w:val="0"/>
      <w:numFmt w:val="bullet"/>
      <w:lvlText w:val="•"/>
      <w:lvlJc w:val="left"/>
      <w:pPr>
        <w:ind w:left="7104" w:hanging="615"/>
      </w:pPr>
      <w:rPr>
        <w:rFonts w:hint="default"/>
        <w:lang w:val="en-US" w:eastAsia="en-US" w:bidi="ar-SA"/>
      </w:rPr>
    </w:lvl>
    <w:lvl w:ilvl="8">
      <w:start w:val="0"/>
      <w:numFmt w:val="bullet"/>
      <w:lvlText w:val="•"/>
      <w:lvlJc w:val="left"/>
      <w:pPr>
        <w:ind w:left="7751" w:hanging="615"/>
      </w:pPr>
      <w:rPr>
        <w:rFonts w:hint="default"/>
        <w:lang w:val="en-US" w:eastAsia="en-US" w:bidi="ar-SA"/>
      </w:rPr>
    </w:lvl>
  </w:abstractNum>
  <w:abstractNum w:abstractNumId="12">
    <w:multiLevelType w:val="hybridMultilevel"/>
    <w:lvl w:ilvl="0">
      <w:start w:val="1"/>
      <w:numFmt w:val="lowerRoman"/>
      <w:lvlText w:val="%1)"/>
      <w:lvlJc w:val="left"/>
      <w:pPr>
        <w:ind w:left="2829" w:hanging="539"/>
        <w:jc w:val="left"/>
      </w:pPr>
      <w:rPr>
        <w:rFonts w:hint="default"/>
        <w:spacing w:val="0"/>
        <w:w w:val="100"/>
        <w:lang w:val="en-US" w:eastAsia="en-US" w:bidi="ar-SA"/>
      </w:rPr>
    </w:lvl>
    <w:lvl w:ilvl="1">
      <w:start w:val="0"/>
      <w:numFmt w:val="bullet"/>
      <w:lvlText w:val="•"/>
      <w:lvlJc w:val="left"/>
      <w:pPr>
        <w:ind w:left="3442" w:hanging="539"/>
      </w:pPr>
      <w:rPr>
        <w:rFonts w:hint="default"/>
        <w:lang w:val="en-US" w:eastAsia="en-US" w:bidi="ar-SA"/>
      </w:rPr>
    </w:lvl>
    <w:lvl w:ilvl="2">
      <w:start w:val="0"/>
      <w:numFmt w:val="bullet"/>
      <w:lvlText w:val="•"/>
      <w:lvlJc w:val="left"/>
      <w:pPr>
        <w:ind w:left="4064" w:hanging="539"/>
      </w:pPr>
      <w:rPr>
        <w:rFonts w:hint="default"/>
        <w:lang w:val="en-US" w:eastAsia="en-US" w:bidi="ar-SA"/>
      </w:rPr>
    </w:lvl>
    <w:lvl w:ilvl="3">
      <w:start w:val="0"/>
      <w:numFmt w:val="bullet"/>
      <w:lvlText w:val="•"/>
      <w:lvlJc w:val="left"/>
      <w:pPr>
        <w:ind w:left="4687" w:hanging="539"/>
      </w:pPr>
      <w:rPr>
        <w:rFonts w:hint="default"/>
        <w:lang w:val="en-US" w:eastAsia="en-US" w:bidi="ar-SA"/>
      </w:rPr>
    </w:lvl>
    <w:lvl w:ilvl="4">
      <w:start w:val="0"/>
      <w:numFmt w:val="bullet"/>
      <w:lvlText w:val="•"/>
      <w:lvlJc w:val="left"/>
      <w:pPr>
        <w:ind w:left="5309" w:hanging="539"/>
      </w:pPr>
      <w:rPr>
        <w:rFonts w:hint="default"/>
        <w:lang w:val="en-US" w:eastAsia="en-US" w:bidi="ar-SA"/>
      </w:rPr>
    </w:lvl>
    <w:lvl w:ilvl="5">
      <w:start w:val="0"/>
      <w:numFmt w:val="bullet"/>
      <w:lvlText w:val="•"/>
      <w:lvlJc w:val="left"/>
      <w:pPr>
        <w:ind w:left="5932" w:hanging="539"/>
      </w:pPr>
      <w:rPr>
        <w:rFonts w:hint="default"/>
        <w:lang w:val="en-US" w:eastAsia="en-US" w:bidi="ar-SA"/>
      </w:rPr>
    </w:lvl>
    <w:lvl w:ilvl="6">
      <w:start w:val="0"/>
      <w:numFmt w:val="bullet"/>
      <w:lvlText w:val="•"/>
      <w:lvlJc w:val="left"/>
      <w:pPr>
        <w:ind w:left="6554" w:hanging="539"/>
      </w:pPr>
      <w:rPr>
        <w:rFonts w:hint="default"/>
        <w:lang w:val="en-US" w:eastAsia="en-US" w:bidi="ar-SA"/>
      </w:rPr>
    </w:lvl>
    <w:lvl w:ilvl="7">
      <w:start w:val="0"/>
      <w:numFmt w:val="bullet"/>
      <w:lvlText w:val="•"/>
      <w:lvlJc w:val="left"/>
      <w:pPr>
        <w:ind w:left="7176" w:hanging="539"/>
      </w:pPr>
      <w:rPr>
        <w:rFonts w:hint="default"/>
        <w:lang w:val="en-US" w:eastAsia="en-US" w:bidi="ar-SA"/>
      </w:rPr>
    </w:lvl>
    <w:lvl w:ilvl="8">
      <w:start w:val="0"/>
      <w:numFmt w:val="bullet"/>
      <w:lvlText w:val="•"/>
      <w:lvlJc w:val="left"/>
      <w:pPr>
        <w:ind w:left="7799" w:hanging="539"/>
      </w:pPr>
      <w:rPr>
        <w:rFonts w:hint="default"/>
        <w:lang w:val="en-US" w:eastAsia="en-US" w:bidi="ar-SA"/>
      </w:rPr>
    </w:lvl>
  </w:abstractNum>
  <w:abstractNum w:abstractNumId="11">
    <w:multiLevelType w:val="hybridMultilevel"/>
    <w:lvl w:ilvl="0">
      <w:start w:val="3"/>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0"/>
      <w:numFmt w:val="bullet"/>
      <w:lvlText w:val="•"/>
      <w:lvlJc w:val="left"/>
      <w:pPr>
        <w:ind w:left="3427" w:hanging="721"/>
      </w:pPr>
      <w:rPr>
        <w:rFonts w:hint="default"/>
        <w:lang w:val="en-US" w:eastAsia="en-US" w:bidi="ar-SA"/>
      </w:rPr>
    </w:lvl>
    <w:lvl w:ilvl="4">
      <w:start w:val="0"/>
      <w:numFmt w:val="bullet"/>
      <w:lvlText w:val="•"/>
      <w:lvlJc w:val="left"/>
      <w:pPr>
        <w:ind w:left="4229" w:hanging="721"/>
      </w:pPr>
      <w:rPr>
        <w:rFonts w:hint="default"/>
        <w:lang w:val="en-US" w:eastAsia="en-US" w:bidi="ar-SA"/>
      </w:rPr>
    </w:lvl>
    <w:lvl w:ilvl="5">
      <w:start w:val="0"/>
      <w:numFmt w:val="bullet"/>
      <w:lvlText w:val="•"/>
      <w:lvlJc w:val="left"/>
      <w:pPr>
        <w:ind w:left="5032" w:hanging="721"/>
      </w:pPr>
      <w:rPr>
        <w:rFonts w:hint="default"/>
        <w:lang w:val="en-US" w:eastAsia="en-US" w:bidi="ar-SA"/>
      </w:rPr>
    </w:lvl>
    <w:lvl w:ilvl="6">
      <w:start w:val="0"/>
      <w:numFmt w:val="bullet"/>
      <w:lvlText w:val="•"/>
      <w:lvlJc w:val="left"/>
      <w:pPr>
        <w:ind w:left="5834" w:hanging="721"/>
      </w:pPr>
      <w:rPr>
        <w:rFonts w:hint="default"/>
        <w:lang w:val="en-US" w:eastAsia="en-US" w:bidi="ar-SA"/>
      </w:rPr>
    </w:lvl>
    <w:lvl w:ilvl="7">
      <w:start w:val="0"/>
      <w:numFmt w:val="bullet"/>
      <w:lvlText w:val="•"/>
      <w:lvlJc w:val="left"/>
      <w:pPr>
        <w:ind w:left="6636" w:hanging="721"/>
      </w:pPr>
      <w:rPr>
        <w:rFonts w:hint="default"/>
        <w:lang w:val="en-US" w:eastAsia="en-US" w:bidi="ar-SA"/>
      </w:rPr>
    </w:lvl>
    <w:lvl w:ilvl="8">
      <w:start w:val="0"/>
      <w:numFmt w:val="bullet"/>
      <w:lvlText w:val="•"/>
      <w:lvlJc w:val="left"/>
      <w:pPr>
        <w:ind w:left="7439" w:hanging="721"/>
      </w:pPr>
      <w:rPr>
        <w:rFonts w:hint="default"/>
        <w:lang w:val="en-US" w:eastAsia="en-US" w:bidi="ar-SA"/>
      </w:rPr>
    </w:lvl>
  </w:abstractNum>
  <w:abstractNum w:abstractNumId="10">
    <w:multiLevelType w:val="hybridMultilevel"/>
    <w:lvl w:ilvl="0">
      <w:start w:val="1"/>
      <w:numFmt w:val="lowerLetter"/>
      <w:lvlText w:val="%1)"/>
      <w:lvlJc w:val="left"/>
      <w:pPr>
        <w:ind w:left="1028"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1822" w:hanging="360"/>
      </w:pPr>
      <w:rPr>
        <w:rFonts w:hint="default"/>
        <w:lang w:val="en-US" w:eastAsia="en-US" w:bidi="ar-SA"/>
      </w:rPr>
    </w:lvl>
    <w:lvl w:ilvl="2">
      <w:start w:val="0"/>
      <w:numFmt w:val="bullet"/>
      <w:lvlText w:val="•"/>
      <w:lvlJc w:val="left"/>
      <w:pPr>
        <w:ind w:left="2624" w:hanging="360"/>
      </w:pPr>
      <w:rPr>
        <w:rFonts w:hint="default"/>
        <w:lang w:val="en-US" w:eastAsia="en-US" w:bidi="ar-SA"/>
      </w:rPr>
    </w:lvl>
    <w:lvl w:ilvl="3">
      <w:start w:val="0"/>
      <w:numFmt w:val="bullet"/>
      <w:lvlText w:val="•"/>
      <w:lvlJc w:val="left"/>
      <w:pPr>
        <w:ind w:left="3427" w:hanging="360"/>
      </w:pPr>
      <w:rPr>
        <w:rFonts w:hint="default"/>
        <w:lang w:val="en-US" w:eastAsia="en-US" w:bidi="ar-SA"/>
      </w:rPr>
    </w:lvl>
    <w:lvl w:ilvl="4">
      <w:start w:val="0"/>
      <w:numFmt w:val="bullet"/>
      <w:lvlText w:val="•"/>
      <w:lvlJc w:val="left"/>
      <w:pPr>
        <w:ind w:left="4229" w:hanging="360"/>
      </w:pPr>
      <w:rPr>
        <w:rFonts w:hint="default"/>
        <w:lang w:val="en-US" w:eastAsia="en-US" w:bidi="ar-SA"/>
      </w:rPr>
    </w:lvl>
    <w:lvl w:ilvl="5">
      <w:start w:val="0"/>
      <w:numFmt w:val="bullet"/>
      <w:lvlText w:val="•"/>
      <w:lvlJc w:val="left"/>
      <w:pPr>
        <w:ind w:left="5032" w:hanging="360"/>
      </w:pPr>
      <w:rPr>
        <w:rFonts w:hint="default"/>
        <w:lang w:val="en-US" w:eastAsia="en-US" w:bidi="ar-SA"/>
      </w:rPr>
    </w:lvl>
    <w:lvl w:ilvl="6">
      <w:start w:val="0"/>
      <w:numFmt w:val="bullet"/>
      <w:lvlText w:val="•"/>
      <w:lvlJc w:val="left"/>
      <w:pPr>
        <w:ind w:left="5834" w:hanging="360"/>
      </w:pPr>
      <w:rPr>
        <w:rFonts w:hint="default"/>
        <w:lang w:val="en-US" w:eastAsia="en-US" w:bidi="ar-SA"/>
      </w:rPr>
    </w:lvl>
    <w:lvl w:ilvl="7">
      <w:start w:val="0"/>
      <w:numFmt w:val="bullet"/>
      <w:lvlText w:val="•"/>
      <w:lvlJc w:val="left"/>
      <w:pPr>
        <w:ind w:left="6636" w:hanging="360"/>
      </w:pPr>
      <w:rPr>
        <w:rFonts w:hint="default"/>
        <w:lang w:val="en-US" w:eastAsia="en-US" w:bidi="ar-SA"/>
      </w:rPr>
    </w:lvl>
    <w:lvl w:ilvl="8">
      <w:start w:val="0"/>
      <w:numFmt w:val="bullet"/>
      <w:lvlText w:val="•"/>
      <w:lvlJc w:val="left"/>
      <w:pPr>
        <w:ind w:left="7439" w:hanging="360"/>
      </w:pPr>
      <w:rPr>
        <w:rFonts w:hint="default"/>
        <w:lang w:val="en-US" w:eastAsia="en-US" w:bidi="ar-SA"/>
      </w:rPr>
    </w:lvl>
  </w:abstractNum>
  <w:abstractNum w:abstractNumId="9">
    <w:multiLevelType w:val="hybridMultilevel"/>
    <w:lvl w:ilvl="0">
      <w:start w:val="1"/>
      <w:numFmt w:val="lowerRoman"/>
      <w:lvlText w:val="%1)"/>
      <w:lvlJc w:val="left"/>
      <w:pPr>
        <w:ind w:left="1388" w:hanging="720"/>
        <w:jc w:val="left"/>
      </w:pPr>
      <w:rPr>
        <w:rFonts w:hint="default" w:ascii="Times New Roman" w:hAnsi="Times New Roman" w:eastAsia="Times New Roman" w:cs="Times New Roman"/>
        <w:b w:val="0"/>
        <w:bCs w:val="0"/>
        <w:i w:val="0"/>
        <w:iCs w:val="0"/>
        <w:spacing w:val="-5"/>
        <w:w w:val="100"/>
        <w:sz w:val="24"/>
        <w:szCs w:val="24"/>
        <w:lang w:val="en-US" w:eastAsia="en-US" w:bidi="ar-SA"/>
      </w:rPr>
    </w:lvl>
    <w:lvl w:ilvl="1">
      <w:start w:val="0"/>
      <w:numFmt w:val="bullet"/>
      <w:lvlText w:val="•"/>
      <w:lvlJc w:val="left"/>
      <w:pPr>
        <w:ind w:left="2146" w:hanging="720"/>
      </w:pPr>
      <w:rPr>
        <w:rFonts w:hint="default"/>
        <w:lang w:val="en-US" w:eastAsia="en-US" w:bidi="ar-SA"/>
      </w:rPr>
    </w:lvl>
    <w:lvl w:ilvl="2">
      <w:start w:val="0"/>
      <w:numFmt w:val="bullet"/>
      <w:lvlText w:val="•"/>
      <w:lvlJc w:val="left"/>
      <w:pPr>
        <w:ind w:left="2912" w:hanging="720"/>
      </w:pPr>
      <w:rPr>
        <w:rFonts w:hint="default"/>
        <w:lang w:val="en-US" w:eastAsia="en-US" w:bidi="ar-SA"/>
      </w:rPr>
    </w:lvl>
    <w:lvl w:ilvl="3">
      <w:start w:val="0"/>
      <w:numFmt w:val="bullet"/>
      <w:lvlText w:val="•"/>
      <w:lvlJc w:val="left"/>
      <w:pPr>
        <w:ind w:left="3679" w:hanging="720"/>
      </w:pPr>
      <w:rPr>
        <w:rFonts w:hint="default"/>
        <w:lang w:val="en-US" w:eastAsia="en-US" w:bidi="ar-SA"/>
      </w:rPr>
    </w:lvl>
    <w:lvl w:ilvl="4">
      <w:start w:val="0"/>
      <w:numFmt w:val="bullet"/>
      <w:lvlText w:val="•"/>
      <w:lvlJc w:val="left"/>
      <w:pPr>
        <w:ind w:left="4445" w:hanging="720"/>
      </w:pPr>
      <w:rPr>
        <w:rFonts w:hint="default"/>
        <w:lang w:val="en-US" w:eastAsia="en-US" w:bidi="ar-SA"/>
      </w:rPr>
    </w:lvl>
    <w:lvl w:ilvl="5">
      <w:start w:val="0"/>
      <w:numFmt w:val="bullet"/>
      <w:lvlText w:val="•"/>
      <w:lvlJc w:val="left"/>
      <w:pPr>
        <w:ind w:left="5212" w:hanging="720"/>
      </w:pPr>
      <w:rPr>
        <w:rFonts w:hint="default"/>
        <w:lang w:val="en-US" w:eastAsia="en-US" w:bidi="ar-SA"/>
      </w:rPr>
    </w:lvl>
    <w:lvl w:ilvl="6">
      <w:start w:val="0"/>
      <w:numFmt w:val="bullet"/>
      <w:lvlText w:val="•"/>
      <w:lvlJc w:val="left"/>
      <w:pPr>
        <w:ind w:left="5978" w:hanging="720"/>
      </w:pPr>
      <w:rPr>
        <w:rFonts w:hint="default"/>
        <w:lang w:val="en-US" w:eastAsia="en-US" w:bidi="ar-SA"/>
      </w:rPr>
    </w:lvl>
    <w:lvl w:ilvl="7">
      <w:start w:val="0"/>
      <w:numFmt w:val="bullet"/>
      <w:lvlText w:val="•"/>
      <w:lvlJc w:val="left"/>
      <w:pPr>
        <w:ind w:left="6744" w:hanging="720"/>
      </w:pPr>
      <w:rPr>
        <w:rFonts w:hint="default"/>
        <w:lang w:val="en-US" w:eastAsia="en-US" w:bidi="ar-SA"/>
      </w:rPr>
    </w:lvl>
    <w:lvl w:ilvl="8">
      <w:start w:val="0"/>
      <w:numFmt w:val="bullet"/>
      <w:lvlText w:val="•"/>
      <w:lvlJc w:val="left"/>
      <w:pPr>
        <w:ind w:left="7511" w:hanging="720"/>
      </w:pPr>
      <w:rPr>
        <w:rFonts w:hint="default"/>
        <w:lang w:val="en-US" w:eastAsia="en-US" w:bidi="ar-SA"/>
      </w:rPr>
    </w:lvl>
  </w:abstractNum>
  <w:abstractNum w:abstractNumId="8">
    <w:multiLevelType w:val="hybridMultilevel"/>
    <w:lvl w:ilvl="0">
      <w:start w:val="1"/>
      <w:numFmt w:val="lowerLetter"/>
      <w:lvlText w:val="%1)"/>
      <w:lvlJc w:val="left"/>
      <w:pPr>
        <w:ind w:left="1028"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1822" w:hanging="360"/>
      </w:pPr>
      <w:rPr>
        <w:rFonts w:hint="default"/>
        <w:lang w:val="en-US" w:eastAsia="en-US" w:bidi="ar-SA"/>
      </w:rPr>
    </w:lvl>
    <w:lvl w:ilvl="2">
      <w:start w:val="0"/>
      <w:numFmt w:val="bullet"/>
      <w:lvlText w:val="•"/>
      <w:lvlJc w:val="left"/>
      <w:pPr>
        <w:ind w:left="2624" w:hanging="360"/>
      </w:pPr>
      <w:rPr>
        <w:rFonts w:hint="default"/>
        <w:lang w:val="en-US" w:eastAsia="en-US" w:bidi="ar-SA"/>
      </w:rPr>
    </w:lvl>
    <w:lvl w:ilvl="3">
      <w:start w:val="0"/>
      <w:numFmt w:val="bullet"/>
      <w:lvlText w:val="•"/>
      <w:lvlJc w:val="left"/>
      <w:pPr>
        <w:ind w:left="3427" w:hanging="360"/>
      </w:pPr>
      <w:rPr>
        <w:rFonts w:hint="default"/>
        <w:lang w:val="en-US" w:eastAsia="en-US" w:bidi="ar-SA"/>
      </w:rPr>
    </w:lvl>
    <w:lvl w:ilvl="4">
      <w:start w:val="0"/>
      <w:numFmt w:val="bullet"/>
      <w:lvlText w:val="•"/>
      <w:lvlJc w:val="left"/>
      <w:pPr>
        <w:ind w:left="4229" w:hanging="360"/>
      </w:pPr>
      <w:rPr>
        <w:rFonts w:hint="default"/>
        <w:lang w:val="en-US" w:eastAsia="en-US" w:bidi="ar-SA"/>
      </w:rPr>
    </w:lvl>
    <w:lvl w:ilvl="5">
      <w:start w:val="0"/>
      <w:numFmt w:val="bullet"/>
      <w:lvlText w:val="•"/>
      <w:lvlJc w:val="left"/>
      <w:pPr>
        <w:ind w:left="5032" w:hanging="360"/>
      </w:pPr>
      <w:rPr>
        <w:rFonts w:hint="default"/>
        <w:lang w:val="en-US" w:eastAsia="en-US" w:bidi="ar-SA"/>
      </w:rPr>
    </w:lvl>
    <w:lvl w:ilvl="6">
      <w:start w:val="0"/>
      <w:numFmt w:val="bullet"/>
      <w:lvlText w:val="•"/>
      <w:lvlJc w:val="left"/>
      <w:pPr>
        <w:ind w:left="5834" w:hanging="360"/>
      </w:pPr>
      <w:rPr>
        <w:rFonts w:hint="default"/>
        <w:lang w:val="en-US" w:eastAsia="en-US" w:bidi="ar-SA"/>
      </w:rPr>
    </w:lvl>
    <w:lvl w:ilvl="7">
      <w:start w:val="0"/>
      <w:numFmt w:val="bullet"/>
      <w:lvlText w:val="•"/>
      <w:lvlJc w:val="left"/>
      <w:pPr>
        <w:ind w:left="6636" w:hanging="360"/>
      </w:pPr>
      <w:rPr>
        <w:rFonts w:hint="default"/>
        <w:lang w:val="en-US" w:eastAsia="en-US" w:bidi="ar-SA"/>
      </w:rPr>
    </w:lvl>
    <w:lvl w:ilvl="8">
      <w:start w:val="0"/>
      <w:numFmt w:val="bullet"/>
      <w:lvlText w:val="•"/>
      <w:lvlJc w:val="left"/>
      <w:pPr>
        <w:ind w:left="7439" w:hanging="360"/>
      </w:pPr>
      <w:rPr>
        <w:rFonts w:hint="default"/>
        <w:lang w:val="en-US" w:eastAsia="en-US" w:bidi="ar-SA"/>
      </w:rPr>
    </w:lvl>
  </w:abstractNum>
  <w:abstractNum w:abstractNumId="7">
    <w:multiLevelType w:val="hybridMultilevel"/>
    <w:lvl w:ilvl="0">
      <w:start w:val="2"/>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spacing w:val="0"/>
        <w:w w:val="100"/>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1"/>
      <w:numFmt w:val="decimal"/>
      <w:lvlText w:val="%4."/>
      <w:lvlJc w:val="left"/>
      <w:pPr>
        <w:ind w:left="1191"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4">
      <w:start w:val="0"/>
      <w:numFmt w:val="bullet"/>
      <w:lvlText w:val="•"/>
      <w:lvlJc w:val="left"/>
      <w:pPr>
        <w:ind w:left="3814" w:hanging="360"/>
      </w:pPr>
      <w:rPr>
        <w:rFonts w:hint="default"/>
        <w:lang w:val="en-US" w:eastAsia="en-US" w:bidi="ar-SA"/>
      </w:rPr>
    </w:lvl>
    <w:lvl w:ilvl="5">
      <w:start w:val="0"/>
      <w:numFmt w:val="bullet"/>
      <w:lvlText w:val="•"/>
      <w:lvlJc w:val="left"/>
      <w:pPr>
        <w:ind w:left="4686" w:hanging="360"/>
      </w:pPr>
      <w:rPr>
        <w:rFonts w:hint="default"/>
        <w:lang w:val="en-US" w:eastAsia="en-US" w:bidi="ar-SA"/>
      </w:rPr>
    </w:lvl>
    <w:lvl w:ilvl="6">
      <w:start w:val="0"/>
      <w:numFmt w:val="bullet"/>
      <w:lvlText w:val="•"/>
      <w:lvlJc w:val="left"/>
      <w:pPr>
        <w:ind w:left="5557" w:hanging="360"/>
      </w:pPr>
      <w:rPr>
        <w:rFonts w:hint="default"/>
        <w:lang w:val="en-US" w:eastAsia="en-US" w:bidi="ar-SA"/>
      </w:rPr>
    </w:lvl>
    <w:lvl w:ilvl="7">
      <w:start w:val="0"/>
      <w:numFmt w:val="bullet"/>
      <w:lvlText w:val="•"/>
      <w:lvlJc w:val="left"/>
      <w:pPr>
        <w:ind w:left="6429" w:hanging="360"/>
      </w:pPr>
      <w:rPr>
        <w:rFonts w:hint="default"/>
        <w:lang w:val="en-US" w:eastAsia="en-US" w:bidi="ar-SA"/>
      </w:rPr>
    </w:lvl>
    <w:lvl w:ilvl="8">
      <w:start w:val="0"/>
      <w:numFmt w:val="bullet"/>
      <w:lvlText w:val="•"/>
      <w:lvlJc w:val="left"/>
      <w:pPr>
        <w:ind w:left="7300" w:hanging="360"/>
      </w:pPr>
      <w:rPr>
        <w:rFonts w:hint="default"/>
        <w:lang w:val="en-US" w:eastAsia="en-US" w:bidi="ar-SA"/>
      </w:rPr>
    </w:lvl>
  </w:abstractNum>
  <w:abstractNum w:abstractNumId="6">
    <w:multiLevelType w:val="hybridMultilevel"/>
    <w:lvl w:ilvl="0">
      <w:start w:val="1"/>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0"/>
      <w:numFmt w:val="bullet"/>
      <w:lvlText w:val="•"/>
      <w:lvlJc w:val="left"/>
      <w:pPr>
        <w:ind w:left="1282" w:hanging="721"/>
      </w:pPr>
      <w:rPr>
        <w:rFonts w:hint="default"/>
        <w:lang w:val="en-US" w:eastAsia="en-US" w:bidi="ar-SA"/>
      </w:rPr>
    </w:lvl>
    <w:lvl w:ilvl="3">
      <w:start w:val="0"/>
      <w:numFmt w:val="bullet"/>
      <w:lvlText w:val="•"/>
      <w:lvlJc w:val="left"/>
      <w:pPr>
        <w:ind w:left="1414" w:hanging="721"/>
      </w:pPr>
      <w:rPr>
        <w:rFonts w:hint="default"/>
        <w:lang w:val="en-US" w:eastAsia="en-US" w:bidi="ar-SA"/>
      </w:rPr>
    </w:lvl>
    <w:lvl w:ilvl="4">
      <w:start w:val="0"/>
      <w:numFmt w:val="bullet"/>
      <w:lvlText w:val="•"/>
      <w:lvlJc w:val="left"/>
      <w:pPr>
        <w:ind w:left="1545" w:hanging="721"/>
      </w:pPr>
      <w:rPr>
        <w:rFonts w:hint="default"/>
        <w:lang w:val="en-US" w:eastAsia="en-US" w:bidi="ar-SA"/>
      </w:rPr>
    </w:lvl>
    <w:lvl w:ilvl="5">
      <w:start w:val="0"/>
      <w:numFmt w:val="bullet"/>
      <w:lvlText w:val="•"/>
      <w:lvlJc w:val="left"/>
      <w:pPr>
        <w:ind w:left="1676" w:hanging="721"/>
      </w:pPr>
      <w:rPr>
        <w:rFonts w:hint="default"/>
        <w:lang w:val="en-US" w:eastAsia="en-US" w:bidi="ar-SA"/>
      </w:rPr>
    </w:lvl>
    <w:lvl w:ilvl="6">
      <w:start w:val="0"/>
      <w:numFmt w:val="bullet"/>
      <w:lvlText w:val="•"/>
      <w:lvlJc w:val="left"/>
      <w:pPr>
        <w:ind w:left="1808" w:hanging="721"/>
      </w:pPr>
      <w:rPr>
        <w:rFonts w:hint="default"/>
        <w:lang w:val="en-US" w:eastAsia="en-US" w:bidi="ar-SA"/>
      </w:rPr>
    </w:lvl>
    <w:lvl w:ilvl="7">
      <w:start w:val="0"/>
      <w:numFmt w:val="bullet"/>
      <w:lvlText w:val="•"/>
      <w:lvlJc w:val="left"/>
      <w:pPr>
        <w:ind w:left="1939" w:hanging="721"/>
      </w:pPr>
      <w:rPr>
        <w:rFonts w:hint="default"/>
        <w:lang w:val="en-US" w:eastAsia="en-US" w:bidi="ar-SA"/>
      </w:rPr>
    </w:lvl>
    <w:lvl w:ilvl="8">
      <w:start w:val="0"/>
      <w:numFmt w:val="bullet"/>
      <w:lvlText w:val="•"/>
      <w:lvlJc w:val="left"/>
      <w:pPr>
        <w:ind w:left="2070" w:hanging="721"/>
      </w:pPr>
      <w:rPr>
        <w:rFonts w:hint="default"/>
        <w:lang w:val="en-US" w:eastAsia="en-US" w:bidi="ar-SA"/>
      </w:rPr>
    </w:lvl>
  </w:abstractNum>
  <w:abstractNum w:abstractNumId="5">
    <w:multiLevelType w:val="hybridMultilevel"/>
    <w:lvl w:ilvl="0">
      <w:start w:val="6"/>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2624" w:hanging="721"/>
      </w:pPr>
      <w:rPr>
        <w:rFonts w:hint="default"/>
        <w:lang w:val="en-US" w:eastAsia="en-US" w:bidi="ar-SA"/>
      </w:rPr>
    </w:lvl>
    <w:lvl w:ilvl="3">
      <w:start w:val="0"/>
      <w:numFmt w:val="bullet"/>
      <w:lvlText w:val="•"/>
      <w:lvlJc w:val="left"/>
      <w:pPr>
        <w:ind w:left="3427" w:hanging="721"/>
      </w:pPr>
      <w:rPr>
        <w:rFonts w:hint="default"/>
        <w:lang w:val="en-US" w:eastAsia="en-US" w:bidi="ar-SA"/>
      </w:rPr>
    </w:lvl>
    <w:lvl w:ilvl="4">
      <w:start w:val="0"/>
      <w:numFmt w:val="bullet"/>
      <w:lvlText w:val="•"/>
      <w:lvlJc w:val="left"/>
      <w:pPr>
        <w:ind w:left="4229" w:hanging="721"/>
      </w:pPr>
      <w:rPr>
        <w:rFonts w:hint="default"/>
        <w:lang w:val="en-US" w:eastAsia="en-US" w:bidi="ar-SA"/>
      </w:rPr>
    </w:lvl>
    <w:lvl w:ilvl="5">
      <w:start w:val="0"/>
      <w:numFmt w:val="bullet"/>
      <w:lvlText w:val="•"/>
      <w:lvlJc w:val="left"/>
      <w:pPr>
        <w:ind w:left="5032" w:hanging="721"/>
      </w:pPr>
      <w:rPr>
        <w:rFonts w:hint="default"/>
        <w:lang w:val="en-US" w:eastAsia="en-US" w:bidi="ar-SA"/>
      </w:rPr>
    </w:lvl>
    <w:lvl w:ilvl="6">
      <w:start w:val="0"/>
      <w:numFmt w:val="bullet"/>
      <w:lvlText w:val="•"/>
      <w:lvlJc w:val="left"/>
      <w:pPr>
        <w:ind w:left="5834" w:hanging="721"/>
      </w:pPr>
      <w:rPr>
        <w:rFonts w:hint="default"/>
        <w:lang w:val="en-US" w:eastAsia="en-US" w:bidi="ar-SA"/>
      </w:rPr>
    </w:lvl>
    <w:lvl w:ilvl="7">
      <w:start w:val="0"/>
      <w:numFmt w:val="bullet"/>
      <w:lvlText w:val="•"/>
      <w:lvlJc w:val="left"/>
      <w:pPr>
        <w:ind w:left="6636" w:hanging="721"/>
      </w:pPr>
      <w:rPr>
        <w:rFonts w:hint="default"/>
        <w:lang w:val="en-US" w:eastAsia="en-US" w:bidi="ar-SA"/>
      </w:rPr>
    </w:lvl>
    <w:lvl w:ilvl="8">
      <w:start w:val="0"/>
      <w:numFmt w:val="bullet"/>
      <w:lvlText w:val="•"/>
      <w:lvlJc w:val="left"/>
      <w:pPr>
        <w:ind w:left="7439" w:hanging="721"/>
      </w:pPr>
      <w:rPr>
        <w:rFonts w:hint="default"/>
        <w:lang w:val="en-US" w:eastAsia="en-US" w:bidi="ar-SA"/>
      </w:rPr>
    </w:lvl>
  </w:abstractNum>
  <w:abstractNum w:abstractNumId="4">
    <w:multiLevelType w:val="hybridMultilevel"/>
    <w:lvl w:ilvl="0">
      <w:start w:val="5"/>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3427" w:hanging="721"/>
      </w:pPr>
      <w:rPr>
        <w:rFonts w:hint="default"/>
        <w:lang w:val="en-US" w:eastAsia="en-US" w:bidi="ar-SA"/>
      </w:rPr>
    </w:lvl>
    <w:lvl w:ilvl="4">
      <w:start w:val="0"/>
      <w:numFmt w:val="bullet"/>
      <w:lvlText w:val="•"/>
      <w:lvlJc w:val="left"/>
      <w:pPr>
        <w:ind w:left="4229" w:hanging="721"/>
      </w:pPr>
      <w:rPr>
        <w:rFonts w:hint="default"/>
        <w:lang w:val="en-US" w:eastAsia="en-US" w:bidi="ar-SA"/>
      </w:rPr>
    </w:lvl>
    <w:lvl w:ilvl="5">
      <w:start w:val="0"/>
      <w:numFmt w:val="bullet"/>
      <w:lvlText w:val="•"/>
      <w:lvlJc w:val="left"/>
      <w:pPr>
        <w:ind w:left="5032" w:hanging="721"/>
      </w:pPr>
      <w:rPr>
        <w:rFonts w:hint="default"/>
        <w:lang w:val="en-US" w:eastAsia="en-US" w:bidi="ar-SA"/>
      </w:rPr>
    </w:lvl>
    <w:lvl w:ilvl="6">
      <w:start w:val="0"/>
      <w:numFmt w:val="bullet"/>
      <w:lvlText w:val="•"/>
      <w:lvlJc w:val="left"/>
      <w:pPr>
        <w:ind w:left="5834" w:hanging="721"/>
      </w:pPr>
      <w:rPr>
        <w:rFonts w:hint="default"/>
        <w:lang w:val="en-US" w:eastAsia="en-US" w:bidi="ar-SA"/>
      </w:rPr>
    </w:lvl>
    <w:lvl w:ilvl="7">
      <w:start w:val="0"/>
      <w:numFmt w:val="bullet"/>
      <w:lvlText w:val="•"/>
      <w:lvlJc w:val="left"/>
      <w:pPr>
        <w:ind w:left="6636" w:hanging="721"/>
      </w:pPr>
      <w:rPr>
        <w:rFonts w:hint="default"/>
        <w:lang w:val="en-US" w:eastAsia="en-US" w:bidi="ar-SA"/>
      </w:rPr>
    </w:lvl>
    <w:lvl w:ilvl="8">
      <w:start w:val="0"/>
      <w:numFmt w:val="bullet"/>
      <w:lvlText w:val="•"/>
      <w:lvlJc w:val="left"/>
      <w:pPr>
        <w:ind w:left="7439" w:hanging="721"/>
      </w:pPr>
      <w:rPr>
        <w:rFonts w:hint="default"/>
        <w:lang w:val="en-US" w:eastAsia="en-US" w:bidi="ar-SA"/>
      </w:rPr>
    </w:lvl>
  </w:abstractNum>
  <w:abstractNum w:abstractNumId="3">
    <w:multiLevelType w:val="hybridMultilevel"/>
    <w:lvl w:ilvl="0">
      <w:start w:val="4"/>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val="0"/>
        <w:bCs w:val="0"/>
        <w:i w:val="0"/>
        <w:iCs w:val="0"/>
        <w:spacing w:val="0"/>
        <w:w w:val="96"/>
        <w:sz w:val="24"/>
        <w:szCs w:val="24"/>
        <w:lang w:val="en-US" w:eastAsia="en-US" w:bidi="ar-SA"/>
      </w:rPr>
    </w:lvl>
    <w:lvl w:ilvl="3">
      <w:start w:val="0"/>
      <w:numFmt w:val="bullet"/>
      <w:lvlText w:val="•"/>
      <w:lvlJc w:val="left"/>
      <w:pPr>
        <w:ind w:left="3427" w:hanging="721"/>
      </w:pPr>
      <w:rPr>
        <w:rFonts w:hint="default"/>
        <w:lang w:val="en-US" w:eastAsia="en-US" w:bidi="ar-SA"/>
      </w:rPr>
    </w:lvl>
    <w:lvl w:ilvl="4">
      <w:start w:val="0"/>
      <w:numFmt w:val="bullet"/>
      <w:lvlText w:val="•"/>
      <w:lvlJc w:val="left"/>
      <w:pPr>
        <w:ind w:left="4229" w:hanging="721"/>
      </w:pPr>
      <w:rPr>
        <w:rFonts w:hint="default"/>
        <w:lang w:val="en-US" w:eastAsia="en-US" w:bidi="ar-SA"/>
      </w:rPr>
    </w:lvl>
    <w:lvl w:ilvl="5">
      <w:start w:val="0"/>
      <w:numFmt w:val="bullet"/>
      <w:lvlText w:val="•"/>
      <w:lvlJc w:val="left"/>
      <w:pPr>
        <w:ind w:left="5032" w:hanging="721"/>
      </w:pPr>
      <w:rPr>
        <w:rFonts w:hint="default"/>
        <w:lang w:val="en-US" w:eastAsia="en-US" w:bidi="ar-SA"/>
      </w:rPr>
    </w:lvl>
    <w:lvl w:ilvl="6">
      <w:start w:val="0"/>
      <w:numFmt w:val="bullet"/>
      <w:lvlText w:val="•"/>
      <w:lvlJc w:val="left"/>
      <w:pPr>
        <w:ind w:left="5834" w:hanging="721"/>
      </w:pPr>
      <w:rPr>
        <w:rFonts w:hint="default"/>
        <w:lang w:val="en-US" w:eastAsia="en-US" w:bidi="ar-SA"/>
      </w:rPr>
    </w:lvl>
    <w:lvl w:ilvl="7">
      <w:start w:val="0"/>
      <w:numFmt w:val="bullet"/>
      <w:lvlText w:val="•"/>
      <w:lvlJc w:val="left"/>
      <w:pPr>
        <w:ind w:left="6636" w:hanging="721"/>
      </w:pPr>
      <w:rPr>
        <w:rFonts w:hint="default"/>
        <w:lang w:val="en-US" w:eastAsia="en-US" w:bidi="ar-SA"/>
      </w:rPr>
    </w:lvl>
    <w:lvl w:ilvl="8">
      <w:start w:val="0"/>
      <w:numFmt w:val="bullet"/>
      <w:lvlText w:val="•"/>
      <w:lvlJc w:val="left"/>
      <w:pPr>
        <w:ind w:left="7439" w:hanging="721"/>
      </w:pPr>
      <w:rPr>
        <w:rFonts w:hint="default"/>
        <w:lang w:val="en-US" w:eastAsia="en-US" w:bidi="ar-SA"/>
      </w:rPr>
    </w:lvl>
  </w:abstractNum>
  <w:abstractNum w:abstractNumId="2">
    <w:multiLevelType w:val="hybridMultilevel"/>
    <w:lvl w:ilvl="0">
      <w:start w:val="3"/>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3427" w:hanging="721"/>
      </w:pPr>
      <w:rPr>
        <w:rFonts w:hint="default"/>
        <w:lang w:val="en-US" w:eastAsia="en-US" w:bidi="ar-SA"/>
      </w:rPr>
    </w:lvl>
    <w:lvl w:ilvl="4">
      <w:start w:val="0"/>
      <w:numFmt w:val="bullet"/>
      <w:lvlText w:val="•"/>
      <w:lvlJc w:val="left"/>
      <w:pPr>
        <w:ind w:left="4229" w:hanging="721"/>
      </w:pPr>
      <w:rPr>
        <w:rFonts w:hint="default"/>
        <w:lang w:val="en-US" w:eastAsia="en-US" w:bidi="ar-SA"/>
      </w:rPr>
    </w:lvl>
    <w:lvl w:ilvl="5">
      <w:start w:val="0"/>
      <w:numFmt w:val="bullet"/>
      <w:lvlText w:val="•"/>
      <w:lvlJc w:val="left"/>
      <w:pPr>
        <w:ind w:left="5032" w:hanging="721"/>
      </w:pPr>
      <w:rPr>
        <w:rFonts w:hint="default"/>
        <w:lang w:val="en-US" w:eastAsia="en-US" w:bidi="ar-SA"/>
      </w:rPr>
    </w:lvl>
    <w:lvl w:ilvl="6">
      <w:start w:val="0"/>
      <w:numFmt w:val="bullet"/>
      <w:lvlText w:val="•"/>
      <w:lvlJc w:val="left"/>
      <w:pPr>
        <w:ind w:left="5834" w:hanging="721"/>
      </w:pPr>
      <w:rPr>
        <w:rFonts w:hint="default"/>
        <w:lang w:val="en-US" w:eastAsia="en-US" w:bidi="ar-SA"/>
      </w:rPr>
    </w:lvl>
    <w:lvl w:ilvl="7">
      <w:start w:val="0"/>
      <w:numFmt w:val="bullet"/>
      <w:lvlText w:val="•"/>
      <w:lvlJc w:val="left"/>
      <w:pPr>
        <w:ind w:left="6636" w:hanging="721"/>
      </w:pPr>
      <w:rPr>
        <w:rFonts w:hint="default"/>
        <w:lang w:val="en-US" w:eastAsia="en-US" w:bidi="ar-SA"/>
      </w:rPr>
    </w:lvl>
    <w:lvl w:ilvl="8">
      <w:start w:val="0"/>
      <w:numFmt w:val="bullet"/>
      <w:lvlText w:val="•"/>
      <w:lvlJc w:val="left"/>
      <w:pPr>
        <w:ind w:left="7439" w:hanging="721"/>
      </w:pPr>
      <w:rPr>
        <w:rFonts w:hint="default"/>
        <w:lang w:val="en-US" w:eastAsia="en-US" w:bidi="ar-SA"/>
      </w:rPr>
    </w:lvl>
  </w:abstractNum>
  <w:abstractNum w:abstractNumId="1">
    <w:multiLevelType w:val="hybridMultilevel"/>
    <w:lvl w:ilvl="0">
      <w:start w:val="2"/>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1"/>
      <w:numFmt w:val="decimal"/>
      <w:lvlText w:val="%1.%2.%3"/>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3427" w:hanging="721"/>
      </w:pPr>
      <w:rPr>
        <w:rFonts w:hint="default"/>
        <w:lang w:val="en-US" w:eastAsia="en-US" w:bidi="ar-SA"/>
      </w:rPr>
    </w:lvl>
    <w:lvl w:ilvl="4">
      <w:start w:val="0"/>
      <w:numFmt w:val="bullet"/>
      <w:lvlText w:val="•"/>
      <w:lvlJc w:val="left"/>
      <w:pPr>
        <w:ind w:left="4229" w:hanging="721"/>
      </w:pPr>
      <w:rPr>
        <w:rFonts w:hint="default"/>
        <w:lang w:val="en-US" w:eastAsia="en-US" w:bidi="ar-SA"/>
      </w:rPr>
    </w:lvl>
    <w:lvl w:ilvl="5">
      <w:start w:val="0"/>
      <w:numFmt w:val="bullet"/>
      <w:lvlText w:val="•"/>
      <w:lvlJc w:val="left"/>
      <w:pPr>
        <w:ind w:left="5032" w:hanging="721"/>
      </w:pPr>
      <w:rPr>
        <w:rFonts w:hint="default"/>
        <w:lang w:val="en-US" w:eastAsia="en-US" w:bidi="ar-SA"/>
      </w:rPr>
    </w:lvl>
    <w:lvl w:ilvl="6">
      <w:start w:val="0"/>
      <w:numFmt w:val="bullet"/>
      <w:lvlText w:val="•"/>
      <w:lvlJc w:val="left"/>
      <w:pPr>
        <w:ind w:left="5834" w:hanging="721"/>
      </w:pPr>
      <w:rPr>
        <w:rFonts w:hint="default"/>
        <w:lang w:val="en-US" w:eastAsia="en-US" w:bidi="ar-SA"/>
      </w:rPr>
    </w:lvl>
    <w:lvl w:ilvl="7">
      <w:start w:val="0"/>
      <w:numFmt w:val="bullet"/>
      <w:lvlText w:val="•"/>
      <w:lvlJc w:val="left"/>
      <w:pPr>
        <w:ind w:left="6636" w:hanging="721"/>
      </w:pPr>
      <w:rPr>
        <w:rFonts w:hint="default"/>
        <w:lang w:val="en-US" w:eastAsia="en-US" w:bidi="ar-SA"/>
      </w:rPr>
    </w:lvl>
    <w:lvl w:ilvl="8">
      <w:start w:val="0"/>
      <w:numFmt w:val="bullet"/>
      <w:lvlText w:val="•"/>
      <w:lvlJc w:val="left"/>
      <w:pPr>
        <w:ind w:left="7439" w:hanging="721"/>
      </w:pPr>
      <w:rPr>
        <w:rFonts w:hint="default"/>
        <w:lang w:val="en-US" w:eastAsia="en-US" w:bidi="ar-SA"/>
      </w:rPr>
    </w:lvl>
  </w:abstractNum>
  <w:abstractNum w:abstractNumId="0">
    <w:multiLevelType w:val="hybridMultilevel"/>
    <w:lvl w:ilvl="0">
      <w:start w:val="1"/>
      <w:numFmt w:val="decimal"/>
      <w:lvlText w:val="%1"/>
      <w:lvlJc w:val="left"/>
      <w:pPr>
        <w:ind w:left="1028" w:hanging="721"/>
        <w:jc w:val="left"/>
      </w:pPr>
      <w:rPr>
        <w:rFonts w:hint="default"/>
        <w:lang w:val="en-US" w:eastAsia="en-US" w:bidi="ar-SA"/>
      </w:rPr>
    </w:lvl>
    <w:lvl w:ilvl="1">
      <w:start w:val="1"/>
      <w:numFmt w:val="decimal"/>
      <w:lvlText w:val="%1.%2"/>
      <w:lvlJc w:val="left"/>
      <w:pPr>
        <w:ind w:left="1028" w:hanging="721"/>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start w:val="0"/>
      <w:numFmt w:val="bullet"/>
      <w:lvlText w:val="•"/>
      <w:lvlJc w:val="left"/>
      <w:pPr>
        <w:ind w:left="2624" w:hanging="721"/>
      </w:pPr>
      <w:rPr>
        <w:rFonts w:hint="default"/>
        <w:lang w:val="en-US" w:eastAsia="en-US" w:bidi="ar-SA"/>
      </w:rPr>
    </w:lvl>
    <w:lvl w:ilvl="3">
      <w:start w:val="0"/>
      <w:numFmt w:val="bullet"/>
      <w:lvlText w:val="•"/>
      <w:lvlJc w:val="left"/>
      <w:pPr>
        <w:ind w:left="3427" w:hanging="721"/>
      </w:pPr>
      <w:rPr>
        <w:rFonts w:hint="default"/>
        <w:lang w:val="en-US" w:eastAsia="en-US" w:bidi="ar-SA"/>
      </w:rPr>
    </w:lvl>
    <w:lvl w:ilvl="4">
      <w:start w:val="0"/>
      <w:numFmt w:val="bullet"/>
      <w:lvlText w:val="•"/>
      <w:lvlJc w:val="left"/>
      <w:pPr>
        <w:ind w:left="4229" w:hanging="721"/>
      </w:pPr>
      <w:rPr>
        <w:rFonts w:hint="default"/>
        <w:lang w:val="en-US" w:eastAsia="en-US" w:bidi="ar-SA"/>
      </w:rPr>
    </w:lvl>
    <w:lvl w:ilvl="5">
      <w:start w:val="0"/>
      <w:numFmt w:val="bullet"/>
      <w:lvlText w:val="•"/>
      <w:lvlJc w:val="left"/>
      <w:pPr>
        <w:ind w:left="5032" w:hanging="721"/>
      </w:pPr>
      <w:rPr>
        <w:rFonts w:hint="default"/>
        <w:lang w:val="en-US" w:eastAsia="en-US" w:bidi="ar-SA"/>
      </w:rPr>
    </w:lvl>
    <w:lvl w:ilvl="6">
      <w:start w:val="0"/>
      <w:numFmt w:val="bullet"/>
      <w:lvlText w:val="•"/>
      <w:lvlJc w:val="left"/>
      <w:pPr>
        <w:ind w:left="5834" w:hanging="721"/>
      </w:pPr>
      <w:rPr>
        <w:rFonts w:hint="default"/>
        <w:lang w:val="en-US" w:eastAsia="en-US" w:bidi="ar-SA"/>
      </w:rPr>
    </w:lvl>
    <w:lvl w:ilvl="7">
      <w:start w:val="0"/>
      <w:numFmt w:val="bullet"/>
      <w:lvlText w:val="•"/>
      <w:lvlJc w:val="left"/>
      <w:pPr>
        <w:ind w:left="6636" w:hanging="721"/>
      </w:pPr>
      <w:rPr>
        <w:rFonts w:hint="default"/>
        <w:lang w:val="en-US" w:eastAsia="en-US" w:bidi="ar-SA"/>
      </w:rPr>
    </w:lvl>
    <w:lvl w:ilvl="8">
      <w:start w:val="0"/>
      <w:numFmt w:val="bullet"/>
      <w:lvlText w:val="•"/>
      <w:lvlJc w:val="left"/>
      <w:pPr>
        <w:ind w:left="7439" w:hanging="721"/>
      </w:pPr>
      <w:rPr>
        <w:rFonts w:hint="default"/>
        <w:lang w:val="en-US" w:eastAsia="en-US" w:bidi="ar-SA"/>
      </w:rPr>
    </w:lvl>
  </w:abstract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TOC1" w:type="paragraph">
    <w:name w:val="TOC 1"/>
    <w:basedOn w:val="Normal"/>
    <w:uiPriority w:val="1"/>
    <w:qFormat/>
    <w:pPr>
      <w:spacing w:before="281" w:line="275" w:lineRule="exact"/>
      <w:ind w:left="308"/>
    </w:pPr>
    <w:rPr>
      <w:rFonts w:ascii="Times New Roman" w:hAnsi="Times New Roman" w:eastAsia="Times New Roman" w:cs="Times New Roman"/>
      <w:b/>
      <w:bCs/>
      <w:sz w:val="24"/>
      <w:szCs w:val="24"/>
      <w:lang w:val="en-US" w:eastAsia="en-US" w:bidi="ar-SA"/>
    </w:rPr>
  </w:style>
  <w:style w:styleId="TOC2" w:type="paragraph">
    <w:name w:val="TOC 2"/>
    <w:basedOn w:val="Normal"/>
    <w:uiPriority w:val="1"/>
    <w:qFormat/>
    <w:pPr>
      <w:ind w:left="308"/>
    </w:pPr>
    <w:rPr>
      <w:rFonts w:ascii="Times New Roman" w:hAnsi="Times New Roman" w:eastAsia="Times New Roman" w:cs="Times New Roman"/>
      <w:b/>
      <w:bCs/>
      <w:sz w:val="24"/>
      <w:szCs w:val="24"/>
      <w:lang w:val="en-US" w:eastAsia="en-US" w:bidi="ar-SA"/>
    </w:rPr>
  </w:style>
  <w:style w:styleId="TOC3" w:type="paragraph">
    <w:name w:val="TOC 3"/>
    <w:basedOn w:val="Normal"/>
    <w:uiPriority w:val="1"/>
    <w:qFormat/>
    <w:pPr>
      <w:spacing w:before="276"/>
      <w:ind w:left="1028" w:hanging="720"/>
    </w:pPr>
    <w:rPr>
      <w:rFonts w:ascii="Times New Roman" w:hAnsi="Times New Roman" w:eastAsia="Times New Roman" w:cs="Times New Roman"/>
      <w:sz w:val="24"/>
      <w:szCs w:val="24"/>
      <w:lang w:val="en-US" w:eastAsia="en-US" w:bidi="ar-SA"/>
    </w:rPr>
  </w:style>
  <w:style w:styleId="BodyText" w:type="paragraph">
    <w:name w:val="Body Text"/>
    <w:basedOn w:val="Normal"/>
    <w:uiPriority w:val="1"/>
    <w:qFormat/>
    <w:pPr>
      <w:ind w:left="308"/>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spacing w:before="91"/>
      <w:jc w:val="center"/>
      <w:outlineLvl w:val="1"/>
    </w:pPr>
    <w:rPr>
      <w:rFonts w:ascii="Arial Black" w:hAnsi="Arial Black" w:eastAsia="Arial Black" w:cs="Arial Black"/>
      <w:sz w:val="32"/>
      <w:szCs w:val="32"/>
      <w:lang w:val="en-US" w:eastAsia="en-US" w:bidi="ar-SA"/>
    </w:rPr>
  </w:style>
  <w:style w:styleId="Heading2" w:type="paragraph">
    <w:name w:val="Heading 2"/>
    <w:basedOn w:val="Normal"/>
    <w:uiPriority w:val="1"/>
    <w:qFormat/>
    <w:pPr>
      <w:ind w:left="1027" w:hanging="719"/>
      <w:jc w:val="both"/>
      <w:outlineLvl w:val="2"/>
    </w:pPr>
    <w:rPr>
      <w:rFonts w:ascii="Times New Roman" w:hAnsi="Times New Roman" w:eastAsia="Times New Roman" w:cs="Times New Roman"/>
      <w:b/>
      <w:bCs/>
      <w:sz w:val="24"/>
      <w:szCs w:val="24"/>
      <w:lang w:val="en-US" w:eastAsia="en-US" w:bidi="ar-SA"/>
    </w:rPr>
  </w:style>
  <w:style w:styleId="ListParagraph" w:type="paragraph">
    <w:name w:val="List Paragraph"/>
    <w:basedOn w:val="Normal"/>
    <w:uiPriority w:val="1"/>
    <w:qFormat/>
    <w:pPr>
      <w:ind w:left="1028" w:hanging="720"/>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spacing w:line="234" w:lineRule="exact"/>
      <w:ind w:left="105"/>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hyperlink" Target="http://www.vanguardngr.com/" TargetMode="External"/><Relationship Id="rId8" Type="http://schemas.openxmlformats.org/officeDocument/2006/relationships/hyperlink" Target="http://www.vanguardngr.com/2012/10/prosan-moves-for-amendment-of-cama/" TargetMode="External"/><Relationship Id="rId9" Type="http://schemas.openxmlformats.org/officeDocument/2006/relationships/hyperlink" Target="http://www.vanguardngr.com/2009/09/dematerialisation-stockbrokers-call-for-review-of-cama/?utm_source=feedburner&amp;utm_medium=feed&amp;utm_campaign=Feed%3A%20vanguardngr%2FdIeb%20%28Vanguard%20News%20Feed%29" TargetMode="External"/><Relationship Id="rId10" Type="http://schemas.openxmlformats.org/officeDocument/2006/relationships/hyperlink" Target="http://www.allianzeglobal.com/Market_News/.../AG_Market_News_011110_02.doc" TargetMode="External"/><Relationship Id="rId11" Type="http://schemas.openxmlformats.org/officeDocument/2006/relationships/hyperlink" Target="http://www.nassnig.org/nass/legislation_2012.php" TargetMode="External"/><Relationship Id="rId12" Type="http://schemas.openxmlformats.org/officeDocument/2006/relationships/hyperlink" Target="http://www.berr.gov.uk/files/file40139.pdf" TargetMode="External"/><Relationship Id="rId13" Type="http://schemas.openxmlformats.org/officeDocument/2006/relationships/hyperlink" Target="http://www.berr.gov.uk/bbf/co-act-2006/clr-review/page25086.html" TargetMode="External"/><Relationship Id="rId14" Type="http://schemas.openxmlformats.org/officeDocument/2006/relationships/hyperlink" Target="https://www.law.upenn.edu/journals/jbl/articles/volume11/issue2/ClarkKnight11U.Pa.J.Bus.L.259(2009).pdf" TargetMode="External"/><Relationship Id="rId15" Type="http://schemas.openxmlformats.org/officeDocument/2006/relationships/hyperlink" Target="http://www.newsquarechambers.co.uk/files/Publications" TargetMode="External"/><Relationship Id="rId16" Type="http://schemas.openxmlformats.org/officeDocument/2006/relationships/hyperlink" Target="http://www.scribd.com/doc/99319274/6LAW0087-Company-Law-2010-2011-Module-Guide" TargetMode="External"/><Relationship Id="rId17" Type="http://schemas.openxmlformats.org/officeDocument/2006/relationships/hyperlink" Target="http://www.newsquarechambers.co.uk/files/Publications/Directors%20duties%20under%20the%20Companies%20Act%202006%20(Robin%20Hollington%20QC).pdf" TargetMode="External"/><Relationship Id="rId18" Type="http://schemas.openxmlformats.org/officeDocument/2006/relationships/hyperlink" Target="http://www.lccge.bbk.ac.uk/publications-and-resources/docs/PhDThesisPNTaylorJune2010.pdf" TargetMode="External"/><Relationship Id="rId19" Type="http://schemas.openxmlformats.org/officeDocument/2006/relationships/hyperlink" Target="http://www.alastairhudson.com/companylaw/07%20-%20Directors%20duties%20-%20early%20web%20draft.pdf" TargetMode="External"/><Relationship Id="rId20" Type="http://schemas.openxmlformats.org/officeDocument/2006/relationships/footer" Target="footer3.xml"/><Relationship Id="rId21" Type="http://schemas.openxmlformats.org/officeDocument/2006/relationships/footer" Target="footer4.xml"/><Relationship Id="rId22" Type="http://schemas.openxmlformats.org/officeDocument/2006/relationships/footer" Target="footer5.xml"/><Relationship Id="rId23" Type="http://schemas.openxmlformats.org/officeDocument/2006/relationships/footer" Target="footer6.xml"/><Relationship Id="rId24" Type="http://schemas.openxmlformats.org/officeDocument/2006/relationships/hyperlink" Target="http://papers.ssrn.com/sol3/papers.cfm?abstract_id=2261239&amp;download=yes" TargetMode="External"/><Relationship Id="rId25" Type="http://schemas.openxmlformats.org/officeDocument/2006/relationships/hyperlink" Target="http://www.accaglobal.com/content/dam/acca/global/PDF-technical/business-law/tech-tp-cdd.pdf" TargetMode="External"/><Relationship Id="rId26" Type="http://schemas.openxmlformats.org/officeDocument/2006/relationships/hyperlink" Target="http://eprints.lse.ac.uk/archive/00000200" TargetMode="External"/><Relationship Id="rId27" Type="http://schemas.openxmlformats.org/officeDocument/2006/relationships/footer" Target="footer7.xml"/><Relationship Id="rId28" Type="http://schemas.openxmlformats.org/officeDocument/2006/relationships/footer" Target="footer8.xml"/><Relationship Id="rId29" Type="http://schemas.openxmlformats.org/officeDocument/2006/relationships/hyperlink" Target="http://www.iiste.org/Journals/index.php/RJFA/article/download/183/67" TargetMode="External"/><Relationship Id="rId30" Type="http://schemas.openxmlformats.org/officeDocument/2006/relationships/hyperlink" Target="http://thecitizenng.com/business/cadbury-plc-heads-to-trouble-again-over-alleged-fraudulent-reporting-its-not-true-says-cadbury/" TargetMode="External"/><Relationship Id="rId31" Type="http://schemas.openxmlformats.org/officeDocument/2006/relationships/hyperlink" Target="http://www.umich.edu/~thecore/doc/Friedman.pdf" TargetMode="External"/><Relationship Id="rId32" Type="http://schemas.openxmlformats.org/officeDocument/2006/relationships/hyperlink" Target="https://tspace.library.utoronto.ca/bitstream/1807/33219/1/gill_ralph_201211_LLM_thesis.pdf" TargetMode="External"/><Relationship Id="rId33" Type="http://schemas.openxmlformats.org/officeDocument/2006/relationships/hyperlink" Target="http://www.law.unimelb.edu.au/files/dmfile/Evaluatingtheshareholderprimacytheoryevidencefromasurveyof_Australian_directors__20_11_07_2.pdf" TargetMode="External"/><Relationship Id="rId34" Type="http://schemas.openxmlformats.org/officeDocument/2006/relationships/hyperlink" Target="http://www.hbs.edu/faculty/Pages/download.aspx?name=00-058.pdf" TargetMode="External"/><Relationship Id="rId35" Type="http://schemas.openxmlformats.org/officeDocument/2006/relationships/hyperlink" Target="http://academic.udayton.edu/lawrenceulrich/Stakeholder%20Theory.pdf" TargetMode="External"/><Relationship Id="rId36" Type="http://schemas.openxmlformats.org/officeDocument/2006/relationships/hyperlink" Target="http://www.vanguardngr.com/2009/08/efcc-files-charges-against-ibru-ebong-13-others/" TargetMode="External"/><Relationship Id="rId37" Type="http://schemas.openxmlformats.org/officeDocument/2006/relationships/hyperlink" Target="http://www.bbc.co.uk/news/world-africa-11506421" TargetMode="External"/><Relationship Id="rId38" Type="http://schemas.openxmlformats.org/officeDocument/2006/relationships/hyperlink" Target="http://www.proshareng.com/articles/847/Why-Bunmi-Oni-Auditor-Must-Be-Prosecuted" TargetMode="External"/><Relationship Id="rId39" Type="http://schemas.openxmlformats.org/officeDocument/2006/relationships/footer" Target="footer9.xml"/><Relationship Id="rId40" Type="http://schemas.openxmlformats.org/officeDocument/2006/relationships/footer" Target="footer10.xml"/><Relationship Id="rId41" Type="http://schemas.openxmlformats.org/officeDocument/2006/relationships/footer" Target="footer11.xml"/><Relationship Id="rId42" Type="http://schemas.openxmlformats.org/officeDocument/2006/relationships/footer" Target="footer12.xml"/><Relationship Id="rId43" Type="http://schemas.openxmlformats.org/officeDocument/2006/relationships/hyperlink" Target="http://www.essexcourt.net/uploads/publications/JIBFL_brown.pdf" TargetMode="External"/><Relationship Id="rId44" Type="http://schemas.openxmlformats.org/officeDocument/2006/relationships/hyperlink" Target="http://www.cipe.org/sites/default/files/publication-docs/CG_USAID.pdf" TargetMode="External"/><Relationship Id="rId45" Type="http://schemas.openxmlformats.org/officeDocument/2006/relationships/hyperlink" Target="http://www.unglobalcompact.org/AboutTheGC/TheTenPrinciples/index.html" TargetMode="External"/><Relationship Id="rId46" Type="http://schemas.openxmlformats.org/officeDocument/2006/relationships/hyperlink" Target="http://blogs.law.harvard.edu/corpgov/2009/05/12/the-proposed-%e2%80%9cshareholder-bill-of-rights-act-of-2009%e2%80%9d" TargetMode="External"/><Relationship Id="rId47" Type="http://schemas.openxmlformats.org/officeDocument/2006/relationships/hyperlink" Target="http://papers.ssrn.com/sol3/papers.cfm?abstract_id=1662411" TargetMode="External"/><Relationship Id="rId48" Type="http://schemas.openxmlformats.org/officeDocument/2006/relationships/hyperlink" Target="http://www.berr.gov.uk/files/file23279.pdf" TargetMode="External"/><Relationship Id="rId49" Type="http://schemas.openxmlformats.org/officeDocument/2006/relationships/hyperlink" Target="http://www.bailii.org/ew/cases/EWHC/Ch/2010/2375.html" TargetMode="External"/><Relationship Id="rId50" Type="http://schemas.openxmlformats.org/officeDocument/2006/relationships/hyperlink" Target="http://usir.salford.ac.uk/3112/1/CA_2006.pdf" TargetMode="External"/><Relationship Id="rId51" Type="http://schemas.openxmlformats.org/officeDocument/2006/relationships/hyperlink" Target="http://papers.ssrn.com/sol3/papers.cfm?abstract_id=2139528" TargetMode="External"/><Relationship Id="rId52" Type="http://schemas.openxmlformats.org/officeDocument/2006/relationships/hyperlink" Target="http://eprints.lse.ac.uk/200/1/FinalMLRDDuties.pdf" TargetMode="External"/><Relationship Id="rId53" Type="http://schemas.openxmlformats.org/officeDocument/2006/relationships/hyperlink" Target="http://www.ffw.com/pdf/Directors-duties.pdf" TargetMode="External"/><Relationship Id="rId54" Type="http://schemas.openxmlformats.org/officeDocument/2006/relationships/hyperlink" Target="http://papers.ssrn.com/sol3/papers.cfm?abstract_id=1754664" TargetMode="External"/><Relationship Id="rId55" Type="http://schemas.openxmlformats.org/officeDocument/2006/relationships/hyperlink" Target="http://law.oxy.co/common-law-duties-of-care-and-skill-93650/" TargetMode="External"/><Relationship Id="rId56" Type="http://schemas.openxmlformats.org/officeDocument/2006/relationships/hyperlink" Target="http://www.legco.gov.hk/yr10-11/english/bc/bc03/papers/bc030628cb1-2577-1-e.pdf" TargetMode="External"/><Relationship Id="rId57" Type="http://schemas.openxmlformats.org/officeDocument/2006/relationships/hyperlink" Target="http://www.scribd.com/doc/104560914/The-Companies-Act-2006-and-its-implications-for-Company-Directors" TargetMode="External"/><Relationship Id="rId58" Type="http://schemas.openxmlformats.org/officeDocument/2006/relationships/hyperlink" Target="http://www.linklaters.com/pdfs/publications/.../GC100briefingpaper.pdf" TargetMode="External"/><Relationship Id="rId59" Type="http://schemas.openxmlformats.org/officeDocument/2006/relationships/hyperlink" Target="http://www.lewissilkin.com/en/Knowledge/2012/January/~/media/Knowledge%20PDFs/Corporate/Guide%20to%20Directors%20Duties.ashx" TargetMode="External"/><Relationship Id="rId60" Type="http://schemas.openxmlformats.org/officeDocument/2006/relationships/hyperlink" Target="http://www.thegrid.org.uk/.../hfl/documents/directors_guidance_2006_act.pdf" TargetMode="External"/><Relationship Id="rId61" Type="http://schemas.openxmlformats.org/officeDocument/2006/relationships/hyperlink" Target="http://www.mwe.com/info/pubs/Company%20Lawyer%20Issue%2011.pdf" TargetMode="External"/><Relationship Id="rId62" Type="http://schemas.openxmlformats.org/officeDocument/2006/relationships/hyperlink" Target="http://www.manches.com/Content/Resources/files/publications/directors-duties-conflicts-of-interest-2013.pdf" TargetMode="External"/><Relationship Id="rId63" Type="http://schemas.openxmlformats.org/officeDocument/2006/relationships/hyperlink" Target="http://www.walkermorris.co.uk/shadow-directors-and-their-duties" TargetMode="External"/><Relationship Id="rId64" Type="http://schemas.openxmlformats.org/officeDocument/2006/relationships/hyperlink" Target="http://www.dti.gov.uk/cld/review.htm" TargetMode="External"/><Relationship Id="rId65" Type="http://schemas.openxmlformats.org/officeDocument/2006/relationships/hyperlink" Target="http://papers.ssrn.com/sol3/papers.cfm?abstract_id=759364" TargetMode="External"/><Relationship Id="rId66" Type="http://schemas.openxmlformats.org/officeDocument/2006/relationships/hyperlink" Target="http://economicconfidential.net/upgrade/index.php?option=com_content&amp;view=article&amp;id=1208%3Acac-generates-n6bn-registers-170582-firms-in-10-months&amp;catid=3%3Abusiness&amp;Itemid=3" TargetMode="External"/><Relationship Id="rId67" Type="http://schemas.openxmlformats.org/officeDocument/2006/relationships/hyperlink" Target="http://www.proshareng.com/news/8150" TargetMode="External"/><Relationship Id="rId68" Type="http://schemas.openxmlformats.org/officeDocument/2006/relationships/hyperlink" Target="http://www.proshareng.com/news/2089" TargetMode="External"/><Relationship Id="rId69" Type="http://schemas.openxmlformats.org/officeDocument/2006/relationships/hyperlink" Target="http://www.nairaland.com/527926/cecilia-ibru-jailed-lose-n" TargetMode="External"/><Relationship Id="rId70" Type="http://schemas.openxmlformats.org/officeDocument/2006/relationships/hyperlink" Target="http://newafricanpress.com/2010/09/22/n41b-scandal-rocks-intercontinental-bank/" TargetMode="External"/><Relationship Id="rId71" Type="http://schemas.openxmlformats.org/officeDocument/2006/relationships/hyperlink" Target="http://www.nigerianbestforum.com/blog/bank-chiefs-arraigned-face-131-charges/" TargetMode="External"/><Relationship Id="rId72" Type="http://schemas.openxmlformats.org/officeDocument/2006/relationships/footer" Target="footer13.xml"/><Relationship Id="rId73" Type="http://schemas.openxmlformats.org/officeDocument/2006/relationships/footer" Target="footer14.xml"/><Relationship Id="rId74"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dcterms:created xsi:type="dcterms:W3CDTF">2023-10-30T14:40:13Z</dcterms:created>
  <dcterms:modified xsi:type="dcterms:W3CDTF">2023-10-30T14:40:13Z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2002-01-01T00:00:00Z</vt:filetime>
  </property>
  <property fmtid="{D5CDD505-2E9C-101B-9397-08002B2CF9AE}" pid="3" name="Creator">
    <vt:lpwstr>Microsoft® Office Word 2007</vt:lpwstr>
  </property>
  <property fmtid="{D5CDD505-2E9C-101B-9397-08002B2CF9AE}" pid="4" name="LastSaved">
    <vt:filetime>2023-10-30T00:00:00Z</vt:filetime>
  </property>
  <property fmtid="{D5CDD505-2E9C-101B-9397-08002B2CF9AE}" pid="5" name="Producer">
    <vt:lpwstr>Microsoft® Office Word 2007</vt:lpwstr>
  </property>
</Properties>
</file>