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9A5F">
      <w:pPr>
        <w:jc w:val="both"/>
      </w:pPr>
    </w:p>
    <w:p w14:paraId="56812979">
      <w:pPr>
        <w:pStyle w:val="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10"/>
          <w:rFonts w:hint="default" w:ascii="Times New Roman" w:hAnsi="Times New Roman" w:cs="Times New Roman"/>
          <w:b/>
          <w:bCs/>
        </w:rPr>
        <w:t>Trends in Migrant Labor and Remittances in Lesotho</w:t>
      </w:r>
    </w:p>
    <w:p w14:paraId="2F5C172D">
      <w:pPr>
        <w:pStyle w:val="9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Style w:val="5"/>
          <w:rFonts w:hint="default" w:ascii="Times New Roman" w:hAnsi="Times New Roman" w:cs="Times New Roman"/>
        </w:rPr>
        <w:t>Teboho Mokhele</w:t>
      </w:r>
    </w:p>
    <w:p w14:paraId="250BA2A1">
      <w:pPr>
        <w:jc w:val="both"/>
      </w:pPr>
      <w:r>
        <w:rPr>
          <w:rFonts w:hint="default" w:ascii="Times New Roman" w:hAnsi="Times New Roman" w:cs="Times New Roman"/>
        </w:rPr>
        <w:t>This study examines long-term trends in migrant labor and remittance flows in Lesotho from 2010 to 2024, focusing on migration to South Africa’s mining, agricultural, and domestic-service sectors. A mixed-methods research design was employed, drawing on labor migration datasets, central bank remittance records, and household surveys administered to 3,200 migrant and non-migrant households. Qualitative data were obtained from interviews with 40 returned migrants, recruitment agencies, and labor policymakers. Findings show a steady decline in traditional mine labor migration but a rise in informal-sector and domestic-service migration among women. Remittances remained a critical livelihood source, contributing over 18% of national GDP during the study period. Time-series analysis revealed that remittance inflows were sensitive to economic fluctuations in South Africa, with significant drops during the COVID-19 pandemic. Household-level analysis showed that remittances improved food security, education access, and small-business investment but also created dependency risks and exposure to labor exploitation abroad. Regression results indicated that migrant education level, migration sector, and documentation status significantly predicted remittance amounts (p &lt; 0.05). Key challenges include increasing irregular migration, deportation risks, and high transaction fees for cross-border remittances. The study concludes that migrant labor remains a cornerstone of Lesotho’s socio-economic stability but requires diversification and stronger labor protections. Policy recommendations include bilateral labor agreements, financial-literacy programs for remittance use, and the expansion of low-cost digital remittance channels.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48A50">
    <w:pPr>
      <w:pStyle w:val="7"/>
      <w:pBdr>
        <w:bottom w:val="none" w:color="auto" w:sz="0" w:space="0"/>
      </w:pBdr>
      <w:jc w:val="left"/>
      <w:rPr>
        <w:rFonts w:hint="default" w:ascii="Bahnschrift SemiLight" w:hAnsi="Bahnschrift SemiLight" w:cs="Bahnschrift SemiLight"/>
        <w:sz w:val="16"/>
        <w:szCs w:val="16"/>
        <w:lang w:val="en-US"/>
      </w:rPr>
    </w:pPr>
    <w:r>
      <w:rPr>
        <w:rFonts w:hint="default" w:ascii="Bahnschrift SemiLight" w:hAnsi="Bahnschrift SemiLight" w:cs="Bahnschrift SemiLight"/>
        <w:sz w:val="16"/>
        <w:szCs w:val="16"/>
        <w:lang w:val="en-US"/>
      </w:rPr>
      <w:t>Journal of Accounting and Economics</w:t>
    </w:r>
    <w:r>
      <w:rPr>
        <w:rFonts w:hint="default" w:ascii="Bahnschrift SemiLight" w:hAnsi="Bahnschrift SemiLight" w:cs="Bahnschrift SemiLight"/>
        <w:sz w:val="16"/>
        <w:szCs w:val="16"/>
        <w:lang w:val="en-US"/>
      </w:rPr>
      <w:tab/>
    </w:r>
    <w:r>
      <w:rPr>
        <w:rFonts w:hint="default" w:ascii="Bahnschrift SemiLight" w:hAnsi="Bahnschrift SemiLight" w:cs="Bahnschrift SemiLight"/>
        <w:sz w:val="16"/>
        <w:szCs w:val="16"/>
        <w:lang w:val="en-US"/>
      </w:rPr>
      <w:tab/>
    </w:r>
    <w:r>
      <w:rPr>
        <w:rFonts w:hint="default" w:ascii="Bahnschrift SemiLight" w:hAnsi="Bahnschrift SemiLight" w:cs="Bahnschrift SemiLight"/>
        <w:sz w:val="16"/>
        <w:szCs w:val="16"/>
        <w:lang w:val="en-US"/>
      </w:rPr>
      <w:drawing>
        <wp:inline distT="0" distB="0" distL="114300" distR="114300">
          <wp:extent cx="920750" cy="233045"/>
          <wp:effectExtent l="0" t="0" r="12700" b="0"/>
          <wp:docPr id="1" name="Picture 1" descr="logo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0750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86893">
    <w:pPr>
      <w:pStyle w:val="7"/>
      <w:pBdr>
        <w:bottom w:val="none" w:color="auto" w:sz="0" w:space="0"/>
      </w:pBdr>
      <w:jc w:val="left"/>
      <w:rPr>
        <w:rFonts w:hint="default" w:ascii="Bahnschrift SemiLight" w:hAnsi="Bahnschrift SemiLight" w:cs="Bahnschrift SemiLight"/>
        <w:sz w:val="16"/>
        <w:szCs w:val="16"/>
        <w:lang w:val="en-US"/>
      </w:rPr>
    </w:pPr>
    <w:r>
      <w:rPr>
        <w:rFonts w:hint="default" w:ascii="Bahnschrift SemiLight" w:hAnsi="Bahnschrift SemiLight" w:cs="Bahnschrift SemiLight"/>
        <w:color w:val="0AA60E"/>
        <w:sz w:val="16"/>
        <w:szCs w:val="16"/>
        <w:u w:val="none"/>
        <w:lang w:val="en-US"/>
      </w:rPr>
      <w:fldChar w:fldCharType="begin"/>
    </w:r>
    <w:r>
      <w:rPr>
        <w:rFonts w:hint="default" w:ascii="Bahnschrift SemiLight" w:hAnsi="Bahnschrift SemiLight" w:cs="Bahnschrift SemiLight"/>
        <w:color w:val="0AA60E"/>
        <w:sz w:val="16"/>
        <w:szCs w:val="16"/>
        <w:u w:val="none"/>
        <w:lang w:val="en-US"/>
      </w:rPr>
      <w:instrText xml:space="preserve"> HYPERLINK "https://greenresearchng.com/11.4/GR80537740" </w:instrText>
    </w:r>
    <w:r>
      <w:rPr>
        <w:rFonts w:hint="default" w:ascii="Bahnschrift SemiLight" w:hAnsi="Bahnschrift SemiLight" w:cs="Bahnschrift SemiLight"/>
        <w:color w:val="0AA60E"/>
        <w:sz w:val="16"/>
        <w:szCs w:val="16"/>
        <w:u w:val="none"/>
        <w:lang w:val="en-US"/>
      </w:rPr>
      <w:fldChar w:fldCharType="separate"/>
    </w:r>
    <w:r>
      <w:rPr>
        <w:rStyle w:val="8"/>
        <w:rFonts w:hint="default" w:ascii="Bahnschrift SemiLight" w:hAnsi="Bahnschrift SemiLight" w:cs="Bahnschrift SemiLight"/>
        <w:color w:val="0AA60E"/>
        <w:sz w:val="16"/>
        <w:szCs w:val="16"/>
        <w:u w:val="none"/>
        <w:lang w:val="en-US"/>
      </w:rPr>
      <w:t>https://greenresearchng.com/x</w:t>
    </w:r>
    <w:r>
      <w:rPr>
        <w:rFonts w:hint="default" w:ascii="Bahnschrift SemiLight" w:hAnsi="Bahnschrift SemiLight" w:cs="Bahnschrift SemiLight"/>
        <w:color w:val="0AA60E"/>
        <w:sz w:val="16"/>
        <w:szCs w:val="16"/>
        <w:u w:val="none"/>
        <w:lang w:val="en-US"/>
      </w:rPr>
      <w:fldChar w:fldCharType="end"/>
    </w:r>
    <w:r>
      <w:rPr>
        <w:rFonts w:hint="default" w:ascii="Bahnschrift SemiLight" w:hAnsi="Bahnschrift SemiLight" w:cs="Bahnschrift SemiLight"/>
        <w:color w:val="0AA60E"/>
        <w:sz w:val="16"/>
        <w:szCs w:val="16"/>
        <w:u w:val="none"/>
        <w:lang w:val="en-US"/>
      </w:rPr>
      <w:t>xxxxx</w:t>
    </w:r>
    <w:r>
      <w:rPr>
        <w:rFonts w:hint="default" w:ascii="Bahnschrift SemiLight" w:hAnsi="Bahnschrift SemiLight" w:cs="Bahnschrift SemiLight"/>
        <w:sz w:val="16"/>
        <w:szCs w:val="16"/>
        <w:lang w:val="en-US"/>
      </w:rPr>
      <w:tab/>
    </w:r>
    <w:r>
      <w:rPr>
        <w:rFonts w:hint="default" w:ascii="Bahnschrift SemiLight" w:hAnsi="Bahnschrift SemiLight" w:cs="Bahnschrift SemiLight"/>
        <w:sz w:val="16"/>
        <w:szCs w:val="16"/>
        <w:lang w:val="en-US"/>
      </w:rPr>
      <w:tab/>
    </w:r>
    <w:r>
      <w:rPr>
        <w:rFonts w:hint="default" w:ascii="Bahnschrift SemiLight" w:hAnsi="Bahnschrift SemiLight" w:cs="Bahnschrift SemiLight"/>
        <w:sz w:val="16"/>
        <w:szCs w:val="16"/>
        <w:lang w:val="en-US"/>
      </w:rPr>
      <w:t>Review in progress</w:t>
    </w:r>
  </w:p>
  <w:p w14:paraId="3A10A894">
    <w:pPr>
      <w:pStyle w:val="7"/>
      <w:pBdr>
        <w:bottom w:val="single" w:color="auto" w:sz="4" w:space="0"/>
      </w:pBdr>
      <w:jc w:val="left"/>
    </w:pPr>
    <w:r>
      <w:rPr>
        <w:rFonts w:hint="default" w:ascii="Bahnschrift SemiLight" w:hAnsi="Bahnschrift SemiLight" w:cs="Bahnschrift SemiLight"/>
        <w:sz w:val="16"/>
        <w:szCs w:val="16"/>
        <w:lang w:val="en-US"/>
      </w:rPr>
      <w:t>Research Paper | Open Access</w:t>
    </w:r>
    <w:r>
      <w:rPr>
        <w:rFonts w:hint="default" w:ascii="Bahnschrift SemiLight" w:hAnsi="Bahnschrift SemiLight" w:cs="Bahnschrift SemiLight"/>
        <w:sz w:val="16"/>
        <w:szCs w:val="16"/>
        <w:lang w:val="en-US"/>
      </w:rPr>
      <w:tab/>
    </w:r>
    <w:r>
      <w:rPr>
        <w:rFonts w:hint="default" w:ascii="Bahnschrift SemiLight" w:hAnsi="Bahnschrift SemiLight" w:cs="Bahnschrift SemiLight"/>
        <w:sz w:val="16"/>
        <w:szCs w:val="16"/>
        <w:lang w:val="en-US"/>
      </w:rPr>
      <w:tab/>
    </w:r>
    <w:r>
      <w:rPr>
        <w:rFonts w:hint="default" w:ascii="Bahnschrift SemiLight" w:hAnsi="Bahnschrift SemiLight" w:cs="Bahnschrift SemiLight"/>
        <w:sz w:val="16"/>
        <w:szCs w:val="16"/>
        <w:lang w:val="en-US"/>
      </w:rPr>
      <w:t>Review in progress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E310D"/>
    <w:rsid w:val="24D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qFormat/>
    <w:uiPriority w:val="0"/>
    <w:rPr>
      <w:color w:val="0000FF"/>
      <w:u w:val="single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greenresearchng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2025-12-03T11:42:00Z</dcterms:created>
  <dc:creator>WPS_1620566671</dc:creator>
  <cp:lastModifiedBy>WPS_1620566671</cp:lastModifiedBy>
  <dcterms:modified xsi:type="dcterms:W3CDTF">2025-12-03T11:47:44Z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2057-12.2.0.23158</vt:lpwstr>
  </property>
  <property fmtid="{D5CDD505-2E9C-101B-9397-08002B2CF9AE}" pid="3" name="ICV">
    <vt:lpwstr>7B63C4BA94C84CD190F5A16AA525AA3A_11</vt:lpwstr>
  </property>
</Properties>
</file>