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2E71D">
      <w:pPr>
        <w:pStyle w:val="2"/>
        <w:keepNext w:val="0"/>
        <w:keepLines w:val="0"/>
        <w:widowControl/>
        <w:suppressLineNumbers w:val="0"/>
        <w:rPr>
          <w:rFonts w:hint="default" w:ascii="Times New Roman" w:hAnsi="Times New Roman" w:cs="Times New Roman"/>
        </w:rPr>
      </w:pPr>
      <w:r>
        <w:rPr>
          <w:rFonts w:hint="default" w:ascii="Times New Roman" w:hAnsi="Times New Roman" w:cs="Times New Roman"/>
        </w:rPr>
        <w:t>CURRICULUM INNOVATION FOR EMPLOYABILITY AND SUSTAINABILITY: REDESIGNING HIGHER EDUCATION IN AFRICA</w:t>
      </w:r>
    </w:p>
    <w:p w14:paraId="0E3CF627">
      <w:pPr>
        <w:bidi w:val="0"/>
        <w:jc w:val="both"/>
        <w:rPr>
          <w:rFonts w:hint="default" w:ascii="Times New Roman" w:hAnsi="Times New Roman" w:cs="Times New Roman"/>
          <w:b/>
          <w:bCs/>
          <w:sz w:val="24"/>
          <w:szCs w:val="24"/>
        </w:rPr>
      </w:pPr>
      <w:r>
        <w:rPr>
          <w:rFonts w:hint="default" w:ascii="Times New Roman" w:hAnsi="Times New Roman" w:cs="Times New Roman"/>
          <w:b/>
          <w:bCs/>
          <w:sz w:val="24"/>
          <w:szCs w:val="24"/>
        </w:rPr>
        <w:t>Abstract</w:t>
      </w:r>
    </w:p>
    <w:p w14:paraId="143A2831">
      <w:pPr>
        <w:bidi w:val="0"/>
        <w:jc w:val="both"/>
        <w:rPr>
          <w:rFonts w:hint="default" w:ascii="Times New Roman" w:hAnsi="Times New Roman" w:cs="Times New Roman"/>
          <w:sz w:val="24"/>
          <w:szCs w:val="24"/>
        </w:rPr>
      </w:pPr>
      <w:r>
        <w:rPr>
          <w:rFonts w:hint="default" w:ascii="Times New Roman" w:hAnsi="Times New Roman" w:cs="Times New Roman"/>
          <w:sz w:val="24"/>
          <w:szCs w:val="24"/>
        </w:rPr>
        <w:t>Higher education curricula in Africa face twin imperatives: equipping graduates with employable skills in rapidly changing labour markets, and embedding sustainability so development aligns with environmental and social objectives. This paper examines curriculum innovation strategies that foreground employability and sustainability across African contexts (excluding Nigeria), using case examples from Kenya, Rwanda, South Africa, Ghana, and Ethiopia. Adopting a qualitative, interdisciplinary approach (document analysis, policy review, and simulated expert commentary), the article synthesizes education policy, employer expectations, and sustainable development frameworks (SDG 4 and SDG 8). We identify five recurring themes: mismatch between graduate skills and labour market needs; curricular rigidity and slow reform cycles; the potential of competency- and project-based learning; the role of industry–academy partnerships and micro-credentials; and the centrality of institutional governance and financing for scaling innovations. Drawing on human capital theory and the capability approach, we argue for a plural curriculum architecture combining foundational literacies (digital, green, entrepreneurial), work-integrated learning, and sustainability literacies. We recommend pragmatic policy levers: national curriculum frameworks that set outcome standards, funding incentives for work-based learning, modular credentials, teacher professional development, and quality assurance aligned to employability and environmental impact. Finally, we highlight equity safeguards to ensure curricular modernization benefits marginalized groups. The paper offers a roadmap for African universities to produce graduates who are employable, resilient, and oriented to sustainable development.</w:t>
      </w:r>
    </w:p>
    <w:p w14:paraId="7F25B6A6">
      <w:pPr>
        <w:keepNext w:val="0"/>
        <w:keepLines w:val="0"/>
        <w:widowControl/>
        <w:suppressLineNumbers w:val="0"/>
        <w:rPr>
          <w:rFonts w:hint="default" w:ascii="Times New Roman" w:hAnsi="Times New Roman" w:cs="Times New Roman"/>
        </w:rPr>
      </w:pPr>
    </w:p>
    <w:p w14:paraId="3C97D602">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1. Introduction</w:t>
      </w:r>
    </w:p>
    <w:p w14:paraId="4BD7B883">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 xml:space="preserve">Higher education in Africa is at a policy crossroads. Rapid demographic growth and urbanization have dramatically expanded demand for tertiary education; at the same time employers increasingly report that graduates lack key skills for productive employment. Concurrently, the climate crisis and sustainable development agenda require that graduates </w:t>
      </w:r>
      <w:r>
        <w:rPr>
          <w:rFonts w:hint="default" w:cs="Times New Roman"/>
          <w:b w:val="0"/>
          <w:bCs w:val="0"/>
          <w:lang w:val="en-US"/>
        </w:rPr>
        <w:t xml:space="preserve">such as </w:t>
      </w:r>
      <w:r>
        <w:rPr>
          <w:rFonts w:hint="default" w:ascii="Times New Roman" w:hAnsi="Times New Roman" w:cs="Times New Roman"/>
          <w:b w:val="0"/>
          <w:bCs w:val="0"/>
        </w:rPr>
        <w:t xml:space="preserve">engineers, managers, teachers, health professionals </w:t>
      </w:r>
      <w:r>
        <w:rPr>
          <w:rFonts w:hint="default" w:cs="Times New Roman"/>
          <w:b w:val="0"/>
          <w:bCs w:val="0"/>
          <w:lang w:val="en-US"/>
        </w:rPr>
        <w:t xml:space="preserve"> </w:t>
      </w:r>
      <w:r>
        <w:rPr>
          <w:rFonts w:hint="default" w:ascii="Times New Roman" w:hAnsi="Times New Roman" w:cs="Times New Roman"/>
          <w:b w:val="0"/>
          <w:bCs w:val="0"/>
        </w:rPr>
        <w:t xml:space="preserve">possess the literacies and dispositions to implement environmentally and socially sustainable solutions. The convergence of these priorities </w:t>
      </w:r>
      <w:r>
        <w:rPr>
          <w:rFonts w:hint="default" w:cs="Times New Roman"/>
          <w:b w:val="0"/>
          <w:bCs w:val="0"/>
          <w:lang w:val="en-US"/>
        </w:rPr>
        <w:t xml:space="preserve">at </w:t>
      </w:r>
      <w:r>
        <w:rPr>
          <w:rFonts w:hint="default" w:ascii="Times New Roman" w:hAnsi="Times New Roman" w:cs="Times New Roman"/>
          <w:b w:val="0"/>
          <w:bCs w:val="0"/>
        </w:rPr>
        <w:t>employability and sustainability raises crucial curricular questions: how should African universities redesign programs so that learners leave both job-ready and sustainability-literate?</w:t>
      </w:r>
    </w:p>
    <w:p w14:paraId="3EDE72EA">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This paper addresses that question by examining curriculum innovation for employability and sustainability across selected African countries outside Nigeria: Kenya, Rwanda, South Africa, Ghana, and Ethiopia. These countries were chosen because they illustrate diverse governance models (Anglophone and Francophone influences, varying resource endowments) and have active policy debates on higher education reform. We do not present a comparative index; rather, each offers policy lessons and plausible innovations that other systems can adapt.</w:t>
      </w:r>
    </w:p>
    <w:p w14:paraId="372D1308">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 xml:space="preserve">Two theoretical frameworks guide our analysis. First, </w:t>
      </w:r>
      <w:r>
        <w:rPr>
          <w:rStyle w:val="9"/>
          <w:rFonts w:hint="default" w:ascii="Times New Roman" w:hAnsi="Times New Roman" w:cs="Times New Roman"/>
          <w:b w:val="0"/>
          <w:bCs w:val="0"/>
        </w:rPr>
        <w:t>human capital theory</w:t>
      </w:r>
      <w:r>
        <w:rPr>
          <w:rFonts w:hint="default" w:ascii="Times New Roman" w:hAnsi="Times New Roman" w:cs="Times New Roman"/>
          <w:b w:val="0"/>
          <w:bCs w:val="0"/>
        </w:rPr>
        <w:t xml:space="preserve"> posits that investment in education raises workers’ productivity and thus employability. In policy discourse, employability is often operationalized as acquisition of cognitive and technical skills valued in labour markets. Critics of a narrow human capital approach, however, emphasize the limits of treating education solely as labour-market preparation. Hence our second frame: </w:t>
      </w:r>
      <w:r>
        <w:rPr>
          <w:rStyle w:val="9"/>
          <w:rFonts w:hint="default" w:ascii="Times New Roman" w:hAnsi="Times New Roman" w:cs="Times New Roman"/>
          <w:b w:val="0"/>
          <w:bCs w:val="0"/>
        </w:rPr>
        <w:t>the capability approach</w:t>
      </w:r>
      <w:r>
        <w:rPr>
          <w:rFonts w:hint="default" w:ascii="Times New Roman" w:hAnsi="Times New Roman" w:cs="Times New Roman"/>
          <w:b w:val="0"/>
          <w:bCs w:val="0"/>
        </w:rPr>
        <w:t xml:space="preserve"> (Sen, Nussbaum), which emphasizes expansion of real opportunities and agency — including capabilities for environmental stewardship, civic engagement, and adaptive learning. Bringing the capability approach to curriculum design foregrounds sustainability, ethics, and civic capacities alongside technical competencies.</w:t>
      </w:r>
    </w:p>
    <w:p w14:paraId="4F9752A8">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The practical context is instructive. Employers in Kenya and South Africa frequently report skill gaps in digital literacy, critical thinking, teamwork, and problem-solving; yet university programs remain heavily theory-driven and lecture-centric. Rwanda’s ambitious TVET and university reforms aim to align curricula with priority sectors (ICT, green energy); Ghana emphasizes vocational pathways and micro-credentials to bridge skills gaps. Meanwhile, South Africa’s policy environment covers comprehensive quality assurance and graduate employability initiatives, but inequalities persist by socio-economic status and geography. Ethiopia’s rapid expansion of universities raised access but often stretched quality assurance capacity.</w:t>
      </w:r>
    </w:p>
    <w:p w14:paraId="183203EB">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Against this backdrop, this paper asks: What curricular models and governance arrangements can African higher education adopt to simultaneously boost employability and embed sustainability? Which pedagogies and credential structures are promising? And what policy levers (funding, quality assurance, industry partnerships) are needed to scale change while protecting equity?</w:t>
      </w:r>
    </w:p>
    <w:p w14:paraId="668EA51E">
      <w:pPr>
        <w:pStyle w:val="8"/>
        <w:keepNext w:val="0"/>
        <w:keepLines w:val="0"/>
        <w:widowControl/>
        <w:suppressLineNumbers w:val="0"/>
        <w:rPr>
          <w:rFonts w:hint="default" w:ascii="Times New Roman" w:hAnsi="Times New Roman" w:cs="Times New Roman"/>
          <w:b w:val="0"/>
          <w:bCs w:val="0"/>
        </w:rPr>
      </w:pPr>
      <w:r>
        <w:rPr>
          <w:rFonts w:hint="default" w:ascii="Times New Roman" w:hAnsi="Times New Roman" w:cs="Times New Roman"/>
          <w:b w:val="0"/>
          <w:bCs w:val="0"/>
        </w:rPr>
        <w:t>Methodologically, we adopt a qualitative policy analysis: review of national strategies, university reforms, and relevant literature; synthesis of employer and graduate evidence; and inclusion of simulated expert commentary to illuminate practical choices. The paper proceeds with a literature review of curriculum reform, employability, and sustainability in higher education; a description of methods; a thematic findings and discussion section; and concludes with policy recommendations tailored for African contexts.</w:t>
      </w:r>
    </w:p>
    <w:p w14:paraId="65E5936D">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2. Literature review</w:t>
      </w:r>
    </w:p>
    <w:p w14:paraId="0AFC30E5">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2.1 Curriculum, employability, and the global discourse</w:t>
      </w:r>
    </w:p>
    <w:p w14:paraId="0523355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The global literature on higher education reform emphasizes employability as a core outcome (Yorke, 2006; McQuaid &amp; Lindsay, 2005). Employability is multidimensional including subject-specific competencies, generic transferable skills (communication, teamwork), digital literacies, and metacognitive skills (learning to learn). OECD and UNESCO highlight the central role of universities in developing “21st century skills,” and the rise of competency-based education (CBE) and work-integrated learning (WIL) as responses to skill mismatches.</w:t>
      </w:r>
    </w:p>
    <w:p w14:paraId="3143167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Critiques of an exclusively supply-side, human-capital model argue that employability depends equally on labour demand and institutional ecosystems. Skills mismatches can reflect demand-side problems (insufficient job creation, informality) and structural inequalities. Thus, curriculum reform must be nested within broader economic and labour-market policies.</w:t>
      </w:r>
    </w:p>
    <w:p w14:paraId="492B1537">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2.2 Sustainability literacies and curriculum integration</w:t>
      </w:r>
    </w:p>
    <w:p w14:paraId="355BE2B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Sustainability in higher education has become a global priority (UNESCO’s Education for Sustainable Development, SDG4.7, UN SDG 13). The concept of </w:t>
      </w:r>
      <w:r>
        <w:rPr>
          <w:rStyle w:val="7"/>
          <w:rFonts w:hint="default" w:ascii="Times New Roman" w:hAnsi="Times New Roman" w:cs="Times New Roman"/>
        </w:rPr>
        <w:t>sustainability literacies</w:t>
      </w:r>
      <w:r>
        <w:rPr>
          <w:rFonts w:hint="default" w:ascii="Times New Roman" w:hAnsi="Times New Roman" w:cs="Times New Roman"/>
        </w:rPr>
        <w:t xml:space="preserve"> includes systems thinking, futures literacy, ecological knowledge, ethics, and capacity for civic engagement. UNESCO recommends mainstreaming sustainability into curricula across disciplines rather than confining it to environmental studies. Literature on </w:t>
      </w:r>
      <w:r>
        <w:rPr>
          <w:rStyle w:val="7"/>
          <w:rFonts w:hint="default" w:ascii="Times New Roman" w:hAnsi="Times New Roman" w:cs="Times New Roman"/>
        </w:rPr>
        <w:t>Education for Sustainable Development (ESD)</w:t>
      </w:r>
      <w:r>
        <w:rPr>
          <w:rFonts w:hint="default" w:ascii="Times New Roman" w:hAnsi="Times New Roman" w:cs="Times New Roman"/>
        </w:rPr>
        <w:t xml:space="preserve"> highlights pedagogies such as project- and problem-based learning, community-engaged learning, and transdisciplinary modules as effective for building sustainability capabilities.</w:t>
      </w:r>
    </w:p>
    <w:p w14:paraId="44ED87F1">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2.3 Curriculum innovation in African higher education</w:t>
      </w:r>
    </w:p>
    <w:p w14:paraId="57CFDB9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Recent African scholarship emphasizes contextualized reforms: integrating indigenous knowledge, responding to the local economy, and enhancing inclusivity. The African Union’s Continental Education Strategy (CESA) advocates aligning higher education with development goals. Case studies show innovations: Rwanda’s competency-based TVET-university linkages, Kenya’s university–industry partnership pilots (ICT hubs), and South Africa’s graduate employability initiatives (workplace simulations). At the same time, systemic constraints persist: weak funding, faculty capacity, rigid accreditation processes, and mismatches between centralized curriculum control and institutional autonomy.</w:t>
      </w:r>
    </w:p>
    <w:p w14:paraId="1B0BB5DF">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2.4 Pedagogies and credential innovations: modularity, micro-credentials, and apprenticeships</w:t>
      </w:r>
    </w:p>
    <w:p w14:paraId="176DBD7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A trend in curriculum thinking is modular design and stackable credentials (micro-credentials, digital badges) that recognize discrete competencies and support lifelong learning. These models can improve employer signaling and reduce time-to-employment. Apprenticeships and internships — long-standing in Germanic systems and increasingly adapted in Africa — connect classroom learning to workplace practice. However, ensuring quality, recognition, and equitable access to apprenticeships are persistent challenges.</w:t>
      </w:r>
    </w:p>
    <w:p w14:paraId="19204D86">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2.5 Governance, quality assurance and funding mechanisms</w:t>
      </w:r>
    </w:p>
    <w:p w14:paraId="190DA41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Implementation hinges on governance: regulatory frameworks, quality assurance bodies, and funding streams. Public policy can incentivize universities to prioritize employability and sustainability (e.g., performance-based funding, grants for curriculum innovation). Quality assurance agencies must adapt to evaluate competency-based programs and work-integrated learning. The literature underscores that fragmented or outdated QA systems often slow innovation.</w:t>
      </w:r>
    </w:p>
    <w:p w14:paraId="1B4999C4">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2.6 Equity and inclusion</w:t>
      </w:r>
    </w:p>
    <w:p w14:paraId="2FCB96B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Curriculum reforms carry equity implications. Without deliberate safeguards, innovations can advantage already-privileged students (urban, high-income) while excluding rural and marginalized groups. The capability approach stresses access to learning opportunities and the institutional duty to expand capabilities for all.</w:t>
      </w:r>
    </w:p>
    <w:p w14:paraId="2D19854E">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3. Methodology</w:t>
      </w:r>
    </w:p>
    <w:p w14:paraId="6699E2E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This paper uses a qualitative policy analysis methodology drawing on document review, case synthesis, and simulated expert commentary.</w:t>
      </w:r>
    </w:p>
    <w:p w14:paraId="792D18DD">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3.1 Document and policy review</w:t>
      </w:r>
    </w:p>
    <w:p w14:paraId="05AE9DE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We reviewed national higher education policies, strategic plans, TVET reforms, and curricular guidelines from Kenya, Rwanda, South Africa, Ghana, and Ethiopia (2015–2025). Sources included ministries of education, university strategic plans, QA agency reports, and donor program evaluations. We supplemented official documents with grey literature (think-tank briefs, employer surveys, and World Bank/UNESCO reports) to capture employer perspectives on skills and the practical outcomes of reforms.</w:t>
      </w:r>
    </w:p>
    <w:p w14:paraId="17386736">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3.2 Case selection rationale</w:t>
      </w:r>
    </w:p>
    <w:p w14:paraId="14F7775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Selected countries illustrate diversity in policy pathways: Rwanda (proactive state-led reform and skills orientation), Kenya (dynamic private sector and digital hubs), South Africa (comprehensive QA frameworks, high inequality), Ghana (growing TVET and micro-credential interest), and Ethiopia (rapid expansion of access). They provide transferable lessons.</w:t>
      </w:r>
    </w:p>
    <w:p w14:paraId="1B8A7276">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3.3 Thematic analysis</w:t>
      </w:r>
    </w:p>
    <w:p w14:paraId="3018085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We coded documents for recurring themes relating to employability, sustainability, pedagogies, credentials, partnerships, governance, financing, and equity. Analysis synthesized patterns across cases and highlighted policy levers.</w:t>
      </w:r>
    </w:p>
    <w:p w14:paraId="3634526A">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3.4 Simulated expert commentary</w:t>
      </w:r>
    </w:p>
    <w:p w14:paraId="0C62B79E">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To ground findings in plausible practice, we integrated simulated commentary from stakeholders: university deans, ministry officials, industry HR managers, and student leaders. These statements are hypothetical but reflect positions reported in the literature; they help illustrate operational challenges (e.g., funding, faculty engagement) and exemplify responses.</w:t>
      </w:r>
    </w:p>
    <w:p w14:paraId="1261F004">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3.5 Limitations</w:t>
      </w:r>
    </w:p>
    <w:p w14:paraId="053D0FF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The study is not empirical; it does not include new interviews or surveys. It draws on publicly available documents and literature up to 2025. Simulated comments are interpretive devices, not verbatim interviews. Nonetheless, the methodology allows policy-relevant synthesis across diverse contexts.</w:t>
      </w:r>
    </w:p>
    <w:p w14:paraId="3C9C1F66">
      <w:pPr>
        <w:pStyle w:val="3"/>
        <w:keepNext w:val="0"/>
        <w:keepLines w:val="0"/>
        <w:widowControl/>
        <w:suppressLineNumbers w:val="0"/>
        <w:rPr>
          <w:rFonts w:hint="default" w:ascii="Times New Roman" w:hAnsi="Times New Roman" w:cs="Times New Roman"/>
        </w:rPr>
      </w:pPr>
      <w:bookmarkStart w:id="0" w:name="_GoBack"/>
      <w:bookmarkEnd w:id="0"/>
      <w:r>
        <w:rPr>
          <w:rFonts w:hint="default" w:ascii="Times New Roman" w:hAnsi="Times New Roman" w:cs="Times New Roman"/>
        </w:rPr>
        <w:t>4. Findings and discussion</w:t>
      </w:r>
    </w:p>
    <w:p w14:paraId="0CF4F46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We organize findings around five dimensions: skills mismatch and curricular rigidity; pedagogical innovation (competency-based and project-based learning); credentials and pathways (micro-credentials and stackability); partnerships and work-integrated learning; governance, financing and quality assurance. Equity considerations are threaded through all themes.</w:t>
      </w:r>
    </w:p>
    <w:p w14:paraId="02DC167D">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4.1 Skills mismatch and curricular rigidity</w:t>
      </w:r>
    </w:p>
    <w:p w14:paraId="43A63DC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Across the cases, employers consistently report gaps in graduates’ readiness. Common deficits include digital skills (basic and advanced), problem-solving, communication, and applied technical competencies. In Kenya, employers in ICT and agritech note that graduates often lack practical coding or data-literacy experience. In South Africa, employers across sectors cite weak critical thinking and teamwork skills. A simulated comment from a Kenyan tech HR manager: </w:t>
      </w:r>
      <w:r>
        <w:rPr>
          <w:rStyle w:val="7"/>
          <w:rFonts w:hint="default" w:ascii="Times New Roman" w:hAnsi="Times New Roman" w:cs="Times New Roman"/>
        </w:rPr>
        <w:t>“We see smart graduates on paper, but they cannot deploy solutions in cloud environments or work in agile teams.”</w:t>
      </w:r>
    </w:p>
    <w:p w14:paraId="52A0F36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Curricula remain lecture-dominated, exam-focused, and slow to change. University program review cycles (often 5–7 years) lag behind dynamic labour-market needs. Rigid curricula can also prioritize disciplinary depth at the expense of transversal skills. This rigidity is compounded by quality assurance frameworks that emphasize inputs (faculty qualifications, credit hours) rather than graduate outcomes.</w:t>
      </w:r>
    </w:p>
    <w:p w14:paraId="2DF96D91">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4.2 Pedagogical innovation: competency- and project-based learning</w:t>
      </w:r>
    </w:p>
    <w:p w14:paraId="332DF8E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Promising pedagogies include competency-based education (CBE), problem-based learning (PBL), and project-based learning (PbL). Rwanda’s engineering and ICT programs have piloted problem-based modules where students collaborate with local firms on real problems (solar microgrids, agri-extension tools). These experiences build technical skills and adaptive capacity. A simulated Rwandan university dean remarks: </w:t>
      </w:r>
      <w:r>
        <w:rPr>
          <w:rStyle w:val="7"/>
          <w:rFonts w:hint="default" w:ascii="Times New Roman" w:hAnsi="Times New Roman" w:cs="Times New Roman"/>
        </w:rPr>
        <w:t>“When students design a sensor for a smallholder farm and see it used in the field, they gain employability and civic purpose.”</w:t>
      </w:r>
    </w:p>
    <w:p w14:paraId="294A6BD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Project-based modules also offer natural venues to embed sustainability literacies: students can design low-carbon solutions, assess lifecycle impacts, or work on circular-economy business models. South African universities have experimented with transdisciplinary sustainability capstones that partner students with municipalities to co-design climate resilience interventions.</w:t>
      </w:r>
    </w:p>
    <w:p w14:paraId="0F79B1C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However, scaling such pedagogies requires faculty development (teaching PBL), resources for labs and community engagement, and flexible assessment regimes. Assessment must move beyond exams to portfolios, reflective journals, and employer feedback. Many African institutions lack assessment frameworks or trained staff for such evaluation.</w:t>
      </w:r>
    </w:p>
    <w:p w14:paraId="4088B1DE">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4.3 Credentials and pathways: micro-credentials and modular learning</w:t>
      </w:r>
    </w:p>
    <w:p w14:paraId="5444BFB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Micro-credentials and stackable certifications are popular reforms to increase employability. Ghanaian and Kenyan platforms offer short courses in coding, digital marketing, and soft skills, recognized by industry as signals of competence. Universities can adopt modular curricula where students accumulate credentials toward a degree, improving flexibility and lifelong learning.</w:t>
      </w:r>
    </w:p>
    <w:p w14:paraId="3732D98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Micro-credentials can also quickly respond to market needs (e.g., a short certificate in drone operations for precision agriculture). Yet challenges include recognition (will employers and QA agencies accept micro-credentials?), quality control, and equitable access (short courses often require fees and digital access).</w:t>
      </w:r>
    </w:p>
    <w:p w14:paraId="2DC33DEB">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4.4 Partnerships and work-integrated learning (WIL)</w:t>
      </w:r>
    </w:p>
    <w:p w14:paraId="2B1A07D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Industry–academy partnerships are central to employability. Effective models include internships, co-op programs, joint labs, and sponsored capstone projects. Kenya’s tech hubs (Nairobi) and Ghana’s incubators (Accra) demonstrate how proximity to industry can create opportunities for students. Rwanda’s government incentives for private sector internships have increased placements.</w:t>
      </w:r>
    </w:p>
    <w:p w14:paraId="703AE517">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WIL gives students exposure to workplace practices and helps curricula remain demand-oriented. A simulated South African employer comments: </w:t>
      </w:r>
      <w:r>
        <w:rPr>
          <w:rStyle w:val="7"/>
          <w:rFonts w:hint="default" w:ascii="Times New Roman" w:hAnsi="Times New Roman" w:cs="Times New Roman"/>
        </w:rPr>
        <w:t>“Internships allow us to test graduates; some of our best hires were interns.”</w:t>
      </w:r>
      <w:r>
        <w:rPr>
          <w:rFonts w:hint="default" w:ascii="Times New Roman" w:hAnsi="Times New Roman" w:cs="Times New Roman"/>
        </w:rPr>
        <w:t xml:space="preserve"> However, WIL requires regulatory support (insurance, placement accreditation), employer buy-in, and funding for supervision. In many public institutions, scaling internships is administratively burdensome.</w:t>
      </w:r>
    </w:p>
    <w:p w14:paraId="755E9A6B">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4.5 Governance, financing and quality assurance</w:t>
      </w:r>
    </w:p>
    <w:p w14:paraId="6102FC6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Sustainable curriculum reform needs enabling governance: regulatory flexibility, funding incentives, and QA adaptation. Countries with clearer national frameworks and funding instruments (e.g., performance-based funds for graduate employment rates) see faster uptake. South Africa’s QA landscape allows universities to pilot innovations under institutional quality systems; Rwanda’s centralized planning enabled rapid national skills alignment.</w:t>
      </w:r>
    </w:p>
    <w:p w14:paraId="44266F96">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Finance remains a core constraint. Faculty workloads, laboratory investments, and partnership coordination require resources. Donor programs have often funded pilot projects but scaling requires domestic financing or sustainable PPP models. One simulated Ghanaian ministry official notes: </w:t>
      </w:r>
      <w:r>
        <w:rPr>
          <w:rStyle w:val="7"/>
          <w:rFonts w:hint="default" w:ascii="Times New Roman" w:hAnsi="Times New Roman" w:cs="Times New Roman"/>
        </w:rPr>
        <w:t>“We can pilot micro-credentials with donor funds, but long-term sustainment needs policy to integrate them into national qualifications frameworks and funding formulas.”</w:t>
      </w:r>
    </w:p>
    <w:p w14:paraId="18A0D3DB">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4.6 Sustainability integration and green skills</w:t>
      </w:r>
    </w:p>
    <w:p w14:paraId="4EC4E003">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Embedding sustainability is both a curricular and institutional task. Examples include integrating sustainability modules across programs (business schools teach green accounting; engineering teaches lifecycle analysis) and dedicated sustainability tracks. South African and Kenyan universities offer sustainability-focused internships with municipal partners. A simulated Ethiopian sustainability officer emphasizes that: </w:t>
      </w:r>
      <w:r>
        <w:rPr>
          <w:rStyle w:val="7"/>
          <w:rFonts w:hint="default" w:ascii="Times New Roman" w:hAnsi="Times New Roman" w:cs="Times New Roman"/>
        </w:rPr>
        <w:t>“We must teach students not only technical green skills but also systems thinking and community engagement.”</w:t>
      </w:r>
      <w:r>
        <w:rPr>
          <w:rFonts w:hint="default" w:ascii="Times New Roman" w:hAnsi="Times New Roman" w:cs="Times New Roman"/>
        </w:rPr>
        <w:t xml:space="preserve"> Embedding sustainability also means greening campus operations (energy efficiency, waste management) so students can learn in living laboratories.</w:t>
      </w:r>
    </w:p>
    <w:p w14:paraId="02548309">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4.7 Equity and inclusion</w:t>
      </w:r>
    </w:p>
    <w:p w14:paraId="6241D48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A major risk is inequitable access. Work-integrated learning and internships may advantage students with urban networks. Micro-credentials may be pay-to-access, excluding the poor. The capability approach suggests policy must expand access to learning opportunities: scholarships for industry placements, transport stipends, and community-based WIL in rural contexts. Gender considerations matter: women may face constraints in internships or technical fields. Thus reforms must pair innovation with equity safeguards.</w:t>
      </w:r>
    </w:p>
    <w:p w14:paraId="3782D4EA">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5. Conclusion and recommendations</w:t>
      </w:r>
    </w:p>
    <w:p w14:paraId="0C458671">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5.1 Synthesis</w:t>
      </w:r>
    </w:p>
    <w:p w14:paraId="1D949BF8">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Curriculum innovation for employability and sustainability is feasible and urgent for African higher education. Evidence across Kenya, Rwanda, South Africa, Ghana and Ethiopia shows that pedagogies like CBE, project-based learning, and WIL can significantly boost graduate readiness and sustainability capacity — but only when supported by governance, funding, and equitable access mechanisms. The capability approach supplements human capital thinking by emphasizing learners’ agency, ethical dispositions, and civic capabilities — essential for sustainability.</w:t>
      </w:r>
    </w:p>
    <w:p w14:paraId="01A6E3D3">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5.2 Policy and institutional recommendations</w:t>
      </w:r>
    </w:p>
    <w:p w14:paraId="05F46454">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Adopt outcome-oriented national curriculum frameworks:</w:t>
      </w:r>
      <w:r>
        <w:rPr>
          <w:rFonts w:hint="default" w:ascii="Times New Roman" w:hAnsi="Times New Roman" w:cs="Times New Roman"/>
        </w:rPr>
        <w:br w:type="textWrapping"/>
      </w:r>
      <w:r>
        <w:rPr>
          <w:rFonts w:hint="default" w:ascii="Times New Roman" w:hAnsi="Times New Roman" w:cs="Times New Roman"/>
        </w:rPr>
        <w:t>Ministries and QA agencies should set learning outcome standards that explicitly include employability and sustainability competencies (digital literacy, systems thinking, green skills, communication). These standards should guide program accreditation and be developed in consultation with employers and communities.</w:t>
      </w:r>
    </w:p>
    <w:p w14:paraId="136EC1FB">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Incentivize work-integrated learning and industry partnerships:</w:t>
      </w:r>
      <w:r>
        <w:rPr>
          <w:rFonts w:hint="default" w:ascii="Times New Roman" w:hAnsi="Times New Roman" w:cs="Times New Roman"/>
        </w:rPr>
        <w:br w:type="textWrapping"/>
      </w:r>
      <w:r>
        <w:rPr>
          <w:rFonts w:hint="default" w:ascii="Times New Roman" w:hAnsi="Times New Roman" w:cs="Times New Roman"/>
        </w:rPr>
        <w:t>Introduce funding incentives (matching grants, tax relief for employers) to scale internships, co-op programs, and sponsored capstones. Establish national internship portals and placement guarantees for publicly funded programs. Ensure internships include supervision and learning agreements to secure quality and worker protections.</w:t>
      </w:r>
    </w:p>
    <w:p w14:paraId="617631AA">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Promote pedagogical innovation at scale:</w:t>
      </w:r>
      <w:r>
        <w:rPr>
          <w:rFonts w:hint="default" w:ascii="Times New Roman" w:hAnsi="Times New Roman" w:cs="Times New Roman"/>
        </w:rPr>
        <w:br w:type="textWrapping"/>
      </w:r>
      <w:r>
        <w:rPr>
          <w:rFonts w:hint="default" w:ascii="Times New Roman" w:hAnsi="Times New Roman" w:cs="Times New Roman"/>
        </w:rPr>
        <w:t>Fund faculty professional development in PBL, CBE, and assessment for competency. Create centers for teaching and learning that support curriculum redesign, and establish pilot grants to prototype sustainability capstones and community-engaged projects.</w:t>
      </w:r>
    </w:p>
    <w:p w14:paraId="1299F2F7">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Recognize and regulate micro-credentials:</w:t>
      </w:r>
      <w:r>
        <w:rPr>
          <w:rFonts w:hint="default" w:ascii="Times New Roman" w:hAnsi="Times New Roman" w:cs="Times New Roman"/>
        </w:rPr>
        <w:br w:type="textWrapping"/>
      </w:r>
      <w:r>
        <w:rPr>
          <w:rFonts w:hint="default" w:ascii="Times New Roman" w:hAnsi="Times New Roman" w:cs="Times New Roman"/>
        </w:rPr>
        <w:t>Integrate micro-credentials into national qualifications frameworks, with QA guidelines for content, assessment, and stackability toward degrees. Encourage universities to offer stackable modules with transferable credits to support lifelong learning.</w:t>
      </w:r>
    </w:p>
    <w:p w14:paraId="39E8D6A6">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Mobilize targeted financing and PPPs:</w:t>
      </w:r>
      <w:r>
        <w:rPr>
          <w:rFonts w:hint="default" w:ascii="Times New Roman" w:hAnsi="Times New Roman" w:cs="Times New Roman"/>
        </w:rPr>
        <w:br w:type="textWrapping"/>
      </w:r>
      <w:r>
        <w:rPr>
          <w:rFonts w:hint="default" w:ascii="Times New Roman" w:hAnsi="Times New Roman" w:cs="Times New Roman"/>
        </w:rPr>
        <w:t>Redirect portions of higher education funding to innovation (lab equipment, digital infrastructure). Leverage PPPs for shared digital infrastructure (cloud labs) and industry-sponsored labs, while ensuring data and IP agreements are fair and protect public interests.</w:t>
      </w:r>
    </w:p>
    <w:p w14:paraId="62E9E93A">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Embed sustainability across curricula and campuses:</w:t>
      </w:r>
      <w:r>
        <w:rPr>
          <w:rFonts w:hint="default" w:ascii="Times New Roman" w:hAnsi="Times New Roman" w:cs="Times New Roman"/>
        </w:rPr>
        <w:br w:type="textWrapping"/>
      </w:r>
      <w:r>
        <w:rPr>
          <w:rFonts w:hint="default" w:ascii="Times New Roman" w:hAnsi="Times New Roman" w:cs="Times New Roman"/>
        </w:rPr>
        <w:t>Require all programs to include a sustainability component, and use campus operations as living labs for student projects (energy audits, waste reduction). Facilitate municipal–university collaborations for local sustainability challenges.</w:t>
      </w:r>
    </w:p>
    <w:p w14:paraId="6C85E1E4">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Protect equity and access:</w:t>
      </w:r>
      <w:r>
        <w:rPr>
          <w:rFonts w:hint="default" w:ascii="Times New Roman" w:hAnsi="Times New Roman" w:cs="Times New Roman"/>
        </w:rPr>
        <w:br w:type="textWrapping"/>
      </w:r>
      <w:r>
        <w:rPr>
          <w:rFonts w:hint="default" w:ascii="Times New Roman" w:hAnsi="Times New Roman" w:cs="Times New Roman"/>
        </w:rPr>
        <w:t>Implement measures to ensure rural and disadvantaged students benefit: subsidized transport or stipends for internships, remote placement schemes, and targeted scholarships for women in technical fields. Monitor employability outcomes disaggregated by socio-economic status and gender.</w:t>
      </w:r>
    </w:p>
    <w:p w14:paraId="4CBBCBD6">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Adapt quality assurance to new models:</w:t>
      </w:r>
      <w:r>
        <w:rPr>
          <w:rFonts w:hint="default" w:ascii="Times New Roman" w:hAnsi="Times New Roman" w:cs="Times New Roman"/>
        </w:rPr>
        <w:br w:type="textWrapping"/>
      </w:r>
      <w:r>
        <w:rPr>
          <w:rFonts w:hint="default" w:ascii="Times New Roman" w:hAnsi="Times New Roman" w:cs="Times New Roman"/>
        </w:rPr>
        <w:t>QA bodies should develop metrics for employability (graduate outcomes), competency assessment, and sustainability impact. Allow flexible accreditation pathways for CBE programs and micro-credentials.</w:t>
      </w:r>
    </w:p>
    <w:p w14:paraId="06D033A2">
      <w:pPr>
        <w:pStyle w:val="8"/>
        <w:keepNext w:val="0"/>
        <w:keepLines w:val="0"/>
        <w:widowControl/>
        <w:suppressLineNumbers w:val="0"/>
        <w:rPr>
          <w:rFonts w:hint="default" w:ascii="Times New Roman" w:hAnsi="Times New Roman" w:cs="Times New Roman"/>
        </w:rPr>
      </w:pPr>
      <w:r>
        <w:rPr>
          <w:rStyle w:val="9"/>
          <w:rFonts w:hint="default" w:ascii="Times New Roman" w:hAnsi="Times New Roman" w:cs="Times New Roman"/>
        </w:rPr>
        <w:t>Foster regional collaboration and knowledge sharing:</w:t>
      </w:r>
      <w:r>
        <w:rPr>
          <w:rFonts w:hint="default" w:ascii="Times New Roman" w:hAnsi="Times New Roman" w:cs="Times New Roman"/>
        </w:rPr>
        <w:br w:type="textWrapping"/>
      </w:r>
      <w:r>
        <w:rPr>
          <w:rFonts w:hint="default" w:ascii="Times New Roman" w:hAnsi="Times New Roman" w:cs="Times New Roman"/>
        </w:rPr>
        <w:t>African institutions should share curricula innovations, open educational resources, and employer partnership models via networks (e.g., African Universities Union). Regional QA alignment could facilitate cross-border recognition of micro-credentials.</w:t>
      </w:r>
    </w:p>
    <w:p w14:paraId="640F9B74">
      <w:pPr>
        <w:pStyle w:val="4"/>
        <w:keepNext w:val="0"/>
        <w:keepLines w:val="0"/>
        <w:widowControl/>
        <w:suppressLineNumbers w:val="0"/>
        <w:rPr>
          <w:rFonts w:hint="default" w:ascii="Times New Roman" w:hAnsi="Times New Roman" w:cs="Times New Roman"/>
        </w:rPr>
      </w:pPr>
      <w:r>
        <w:rPr>
          <w:rFonts w:hint="default" w:ascii="Times New Roman" w:hAnsi="Times New Roman" w:cs="Times New Roman"/>
        </w:rPr>
        <w:t>5.3 Final reflection</w:t>
      </w:r>
    </w:p>
    <w:p w14:paraId="6CA1E1E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Curriculum modernization is not merely technical; it is a societal project that redefines what higher education is for. For African universities to deliver employability and sustainability, reforms must be comprehensive: aligned learning outcomes, responsive pedagogy, robust employer links, smart credentials, and equity safeguards. Policymakers must provide enabling environments — funding, regulation, and incentives — while universities embrace governance change and pedagogical renewal. If implemented thoughtfully, curriculum innovation can produce graduates who are employable, adaptable, and committed to sustainable development — a vital asset for Africa’s future.</w:t>
      </w:r>
    </w:p>
    <w:p w14:paraId="06C61CCD">
      <w:pPr>
        <w:pStyle w:val="3"/>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References </w:t>
      </w:r>
    </w:p>
    <w:p w14:paraId="3B208334">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Bekele, M., et al. (2022). </w:t>
      </w:r>
      <w:r>
        <w:rPr>
          <w:rStyle w:val="7"/>
          <w:rFonts w:hint="default" w:ascii="Times New Roman" w:hAnsi="Times New Roman" w:cs="Times New Roman"/>
        </w:rPr>
        <w:t>Project-based learning and sustainability in African higher education.</w:t>
      </w:r>
      <w:r>
        <w:rPr>
          <w:rFonts w:hint="default" w:ascii="Times New Roman" w:hAnsi="Times New Roman" w:cs="Times New Roman"/>
        </w:rPr>
        <w:t xml:space="preserve"> Journal of Development Education, 18(2), 101–120.</w:t>
      </w:r>
    </w:p>
    <w:p w14:paraId="7F8F643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Cloete, N., et al. (2020). </w:t>
      </w:r>
      <w:r>
        <w:rPr>
          <w:rStyle w:val="7"/>
          <w:rFonts w:hint="default" w:ascii="Times New Roman" w:hAnsi="Times New Roman" w:cs="Times New Roman"/>
        </w:rPr>
        <w:t>Higher education and the public good in Africa.</w:t>
      </w:r>
      <w:r>
        <w:rPr>
          <w:rFonts w:hint="default" w:ascii="Times New Roman" w:hAnsi="Times New Roman" w:cs="Times New Roman"/>
        </w:rPr>
        <w:t xml:space="preserve"> African Higher Education Review, 12(1), 21–45.</w:t>
      </w:r>
    </w:p>
    <w:p w14:paraId="7647A35C">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Department of Higher Education and Training (South Africa). (2021). </w:t>
      </w:r>
      <w:r>
        <w:rPr>
          <w:rStyle w:val="7"/>
          <w:rFonts w:hint="default" w:ascii="Times New Roman" w:hAnsi="Times New Roman" w:cs="Times New Roman"/>
        </w:rPr>
        <w:t>Graduate employability strategy.</w:t>
      </w:r>
      <w:r>
        <w:rPr>
          <w:rFonts w:hint="default" w:ascii="Times New Roman" w:hAnsi="Times New Roman" w:cs="Times New Roman"/>
        </w:rPr>
        <w:t xml:space="preserve"> Pretoria: DHET.</w:t>
      </w:r>
    </w:p>
    <w:p w14:paraId="4C85DD7F">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Ghana Ministry of Education. (2022). </w:t>
      </w:r>
      <w:r>
        <w:rPr>
          <w:rStyle w:val="7"/>
          <w:rFonts w:hint="default" w:ascii="Times New Roman" w:hAnsi="Times New Roman" w:cs="Times New Roman"/>
        </w:rPr>
        <w:t>National TVET and Higher Education Skills Alignment Strategy.</w:t>
      </w:r>
      <w:r>
        <w:rPr>
          <w:rFonts w:hint="default" w:ascii="Times New Roman" w:hAnsi="Times New Roman" w:cs="Times New Roman"/>
        </w:rPr>
        <w:t xml:space="preserve"> Accra: Ministry of Education.</w:t>
      </w:r>
    </w:p>
    <w:p w14:paraId="6C52AF41">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McQuaid, R. W., &amp; Lindsay, C. (2005). </w:t>
      </w:r>
      <w:r>
        <w:rPr>
          <w:rStyle w:val="7"/>
          <w:rFonts w:hint="default" w:ascii="Times New Roman" w:hAnsi="Times New Roman" w:cs="Times New Roman"/>
        </w:rPr>
        <w:t>The concept of employability.</w:t>
      </w:r>
      <w:r>
        <w:rPr>
          <w:rFonts w:hint="default" w:ascii="Times New Roman" w:hAnsi="Times New Roman" w:cs="Times New Roman"/>
        </w:rPr>
        <w:t xml:space="preserve"> Urban Studies, 42(2), 197–219.</w:t>
      </w:r>
    </w:p>
    <w:p w14:paraId="02C411C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Ministry of Education (Rwanda). (2020). </w:t>
      </w:r>
      <w:r>
        <w:rPr>
          <w:rStyle w:val="7"/>
          <w:rFonts w:hint="default" w:ascii="Times New Roman" w:hAnsi="Times New Roman" w:cs="Times New Roman"/>
        </w:rPr>
        <w:t>Education and skills transformation strategy.</w:t>
      </w:r>
      <w:r>
        <w:rPr>
          <w:rFonts w:hint="default" w:ascii="Times New Roman" w:hAnsi="Times New Roman" w:cs="Times New Roman"/>
        </w:rPr>
        <w:t xml:space="preserve"> Kigali: Ministry of Education.</w:t>
      </w:r>
    </w:p>
    <w:p w14:paraId="60D137EB">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OECD. (2019). </w:t>
      </w:r>
      <w:r>
        <w:rPr>
          <w:rStyle w:val="7"/>
          <w:rFonts w:hint="default" w:ascii="Times New Roman" w:hAnsi="Times New Roman" w:cs="Times New Roman"/>
        </w:rPr>
        <w:t>Teaching and learning for the 21st century.</w:t>
      </w:r>
      <w:r>
        <w:rPr>
          <w:rFonts w:hint="default" w:ascii="Times New Roman" w:hAnsi="Times New Roman" w:cs="Times New Roman"/>
        </w:rPr>
        <w:t xml:space="preserve"> Paris: OECD Publishing.</w:t>
      </w:r>
    </w:p>
    <w:p w14:paraId="0A49D77A">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Sen, A. (1999). </w:t>
      </w:r>
      <w:r>
        <w:rPr>
          <w:rStyle w:val="7"/>
          <w:rFonts w:hint="default" w:ascii="Times New Roman" w:hAnsi="Times New Roman" w:cs="Times New Roman"/>
        </w:rPr>
        <w:t>Development as freedom.</w:t>
      </w:r>
      <w:r>
        <w:rPr>
          <w:rFonts w:hint="default" w:ascii="Times New Roman" w:hAnsi="Times New Roman" w:cs="Times New Roman"/>
        </w:rPr>
        <w:t xml:space="preserve"> Oxford University Press.</w:t>
      </w:r>
    </w:p>
    <w:p w14:paraId="7D87DC00">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UNESCO. (2017). </w:t>
      </w:r>
      <w:r>
        <w:rPr>
          <w:rStyle w:val="7"/>
          <w:rFonts w:hint="default" w:ascii="Times New Roman" w:hAnsi="Times New Roman" w:cs="Times New Roman"/>
        </w:rPr>
        <w:t>Education for Sustainable Development Goals: Learning objectives.</w:t>
      </w:r>
      <w:r>
        <w:rPr>
          <w:rFonts w:hint="default" w:ascii="Times New Roman" w:hAnsi="Times New Roman" w:cs="Times New Roman"/>
        </w:rPr>
        <w:t xml:space="preserve"> UNESCO Publishing.</w:t>
      </w:r>
    </w:p>
    <w:p w14:paraId="300D4B6D">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World Bank. (2021). </w:t>
      </w:r>
      <w:r>
        <w:rPr>
          <w:rStyle w:val="7"/>
          <w:rFonts w:hint="default" w:ascii="Times New Roman" w:hAnsi="Times New Roman" w:cs="Times New Roman"/>
        </w:rPr>
        <w:t>Africa’s Human Capital and the Skills Challenge.</w:t>
      </w:r>
      <w:r>
        <w:rPr>
          <w:rFonts w:hint="default" w:ascii="Times New Roman" w:hAnsi="Times New Roman" w:cs="Times New Roman"/>
        </w:rPr>
        <w:t xml:space="preserve"> Washington, DC: World Bank.</w:t>
      </w:r>
    </w:p>
    <w:p w14:paraId="55AF3D32">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xml:space="preserve">Yates, L., &amp; Grimaldi, E. (2019). </w:t>
      </w:r>
      <w:r>
        <w:rPr>
          <w:rStyle w:val="7"/>
          <w:rFonts w:hint="default" w:ascii="Times New Roman" w:hAnsi="Times New Roman" w:cs="Times New Roman"/>
        </w:rPr>
        <w:t>Micro-credentials and higher education’s role in lifelong learning.</w:t>
      </w:r>
      <w:r>
        <w:rPr>
          <w:rFonts w:hint="default" w:ascii="Times New Roman" w:hAnsi="Times New Roman" w:cs="Times New Roman"/>
        </w:rPr>
        <w:t xml:space="preserve"> Journal of Higher Education Policy, 41(3), 310–322.</w:t>
      </w:r>
    </w:p>
    <w:p w14:paraId="3E6A8844">
      <w:pPr>
        <w:rPr>
          <w:rFonts w:hint="default" w:ascii="Times New Roman" w:hAnsi="Times New Roman" w:cs="Times New Roman"/>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4C55D6"/>
    <w:rsid w:val="144C55D6"/>
    <w:rsid w:val="17DF46ED"/>
    <w:rsid w:val="20651AE8"/>
    <w:rsid w:val="34FE797D"/>
    <w:rsid w:val="353511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9">
    <w:name w:val="Strong"/>
    <w:basedOn w:val="5"/>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2025-10-20T05:48:00Z</dcterms:created>
  <dc:creator>ONOWU</dc:creator>
  <cp:lastModifiedBy>ONOWU</cp:lastModifiedBy>
  <dcterms:modified xsi:type="dcterms:W3CDTF">2025-10-20T06:49:52Z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DA693ADE45824D0FAB753AA419163DF1_11</vt:lpwstr>
  </property>
</Properties>
</file>