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8046F"/>
    <w:p w14:paraId="7336522A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  <w:b/>
          <w:bCs/>
        </w:rPr>
        <w:t>Sustainable Waste Management Innovations in Nigeria’s Urban Centers</w:t>
      </w:r>
    </w:p>
    <w:p w14:paraId="00819BB4">
      <w:pPr>
        <w:pStyle w:val="9"/>
        <w:keepNext w:val="0"/>
        <w:keepLines w:val="0"/>
        <w:widowControl/>
        <w:suppressLineNumbers w:val="0"/>
        <w:jc w:val="both"/>
        <w:rPr>
          <w:rStyle w:val="5"/>
          <w:rFonts w:hint="default" w:ascii="Times New Roman" w:hAnsi="Times New Roman" w:eastAsia="SimSu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Author(s):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imSun" w:cs="Times New Roman"/>
          <w:sz w:val="24"/>
          <w:szCs w:val="24"/>
        </w:rPr>
        <w:t>Oluwaseun A. Adeyemi, Chidinma Okonkwo</w:t>
      </w:r>
    </w:p>
    <w:p w14:paraId="6DC48D35">
      <w:pPr>
        <w:jc w:val="both"/>
      </w:pPr>
      <w:r>
        <w:rPr>
          <w:rFonts w:hint="default" w:ascii="Times New Roman" w:hAnsi="Times New Roman" w:cs="Times New Roman"/>
        </w:rPr>
        <w:t>This study analyzes emerging innovations in sustainable waste management across major Nigerian urban centers—Lagos, Abuja, Port Harcourt, and Kaduna—from 2018 to 2024. Using a multi-city comparative framework, data were collected through municipal waste audits, household surveys (n = 7,900), interviews with environmental regulators, and case studies of private waste-recycling firms. The research examined technological advancements, policy reforms, public participation, and environmental outcomes. Findings show that waste generation increased by 28% during the period, driven by rapid urbanization and consumerism. However, innovations such as smart waste-collection systems, waste-to-energy plants, mobile recycling applications, and community-based composting significantly improved waste recovery rates. Lagos demonstrated the highest innovation adoption, with digital route-optimization technologies reducing collection delays by 45%. Policy reforms including the Extended Producer Responsibility (EPR) program stimulated private-sector investment in plastic recycling. Regression analysis revealed that public awareness and willingness to sort waste were strongly influenced by education, income, and the presence of incentives such as cash-back recycling schemes. Major challenges included inadequate lan</w:t>
      </w:r>
      <w:bookmarkStart w:id="0" w:name="_GoBack"/>
      <w:bookmarkEnd w:id="0"/>
      <w:r>
        <w:rPr>
          <w:rFonts w:hint="default" w:ascii="Times New Roman" w:hAnsi="Times New Roman" w:cs="Times New Roman"/>
        </w:rPr>
        <w:t>dfill facilities, weak enforcement of environmental laws, and persistent informal waste-picking activities. The study concludes that Nigeria’s urban waste-management system is transitioning toward sustainability but requires strengthened regulatory oversight, expanded recycling infrastructure, and increased public–private collaboration.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A50">
    <w:pPr>
      <w:pStyle w:val="7"/>
      <w:pBdr>
        <w:bottom w:val="none" w:color="auto" w:sz="0" w:space="0"/>
      </w:pBdr>
      <w:jc w:val="left"/>
      <w:rPr>
        <w:rFonts w:hint="default" w:ascii="Bahnschrift SemiLight" w:hAnsi="Bahnschrift SemiLight" w:cs="Bahnschrift SemiLight"/>
        <w:sz w:val="16"/>
        <w:szCs w:val="16"/>
        <w:lang w:val="en-US"/>
      </w:rPr>
    </w:pPr>
    <w:r>
      <w:rPr>
        <w:rFonts w:hint="default" w:ascii="Bahnschrift SemiLight" w:hAnsi="Bahnschrift SemiLight" w:cs="Bahnschrift SemiLight"/>
        <w:sz w:val="16"/>
        <w:szCs w:val="16"/>
        <w:lang w:val="en-US"/>
      </w:rPr>
      <w:t>Journal of Accounting and Economics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drawing>
        <wp:inline distT="0" distB="0" distL="114300" distR="114300">
          <wp:extent cx="920750" cy="233045"/>
          <wp:effectExtent l="0" t="0" r="12700" b="0"/>
          <wp:docPr id="1" name="Picture 1" descr="logo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075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86893">
    <w:pPr>
      <w:pStyle w:val="7"/>
      <w:pBdr>
        <w:bottom w:val="none" w:color="auto" w:sz="0" w:space="0"/>
      </w:pBdr>
      <w:jc w:val="left"/>
      <w:rPr>
        <w:rFonts w:hint="default" w:ascii="Bahnschrift SemiLight" w:hAnsi="Bahnschrift SemiLight" w:cs="Bahnschrift SemiLight"/>
        <w:sz w:val="16"/>
        <w:szCs w:val="16"/>
        <w:lang w:val="en-US"/>
      </w:rPr>
    </w:pP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begin"/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instrText xml:space="preserve"> HYPERLINK "https://greenresearchng.com/11.4/GR80537740" </w:instrText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separate"/>
    </w:r>
    <w:r>
      <w:rPr>
        <w:rStyle w:val="8"/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t>https://greenresearchng.com/x</w:t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end"/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t>xxxxx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>Review in progress</w:t>
    </w:r>
  </w:p>
  <w:p w14:paraId="0DD6EFB9">
    <w:pPr>
      <w:pStyle w:val="7"/>
      <w:pBdr>
        <w:bottom w:val="single" w:color="auto" w:sz="4" w:space="0"/>
      </w:pBdr>
      <w:jc w:val="left"/>
    </w:pPr>
    <w:r>
      <w:rPr>
        <w:rFonts w:hint="default" w:ascii="Bahnschrift SemiLight" w:hAnsi="Bahnschrift SemiLight" w:cs="Bahnschrift SemiLight"/>
        <w:sz w:val="16"/>
        <w:szCs w:val="16"/>
        <w:lang w:val="en-US"/>
      </w:rPr>
      <w:t>Research Paper | Open Access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>Review in progress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03AF"/>
    <w:rsid w:val="4FD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reenresearchng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2025-12-03T10:09:00Z</dcterms:created>
  <dc:creator>WPS_1620566671</dc:creator>
  <cp:lastModifiedBy>WPS_1620566671</cp:lastModifiedBy>
  <dcterms:modified xsi:type="dcterms:W3CDTF">2025-12-03T10:35:21Z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8CE84CA5B36F4700AE1103B330C6DB31_11</vt:lpwstr>
  </property>
</Properties>
</file>